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80F" w:rsidRPr="00B94D46" w:rsidRDefault="005D1137" w:rsidP="00B94D46">
      <w:pPr>
        <w:pStyle w:val="Title"/>
      </w:pPr>
      <w:r w:rsidRPr="00B94D46">
        <w:t>TAFINLAR</w:t>
      </w:r>
      <w:r w:rsidR="00C556BA" w:rsidRPr="00B94D46">
        <w:rPr>
          <w:vertAlign w:val="superscript"/>
        </w:rPr>
        <w:sym w:font="Symbol" w:char="F0E2"/>
      </w:r>
      <w:r w:rsidR="00796D87" w:rsidRPr="00B94D46">
        <w:t xml:space="preserve"> </w:t>
      </w:r>
      <w:r w:rsidR="00116A72" w:rsidRPr="00B94D46">
        <w:t>CAPSULES</w:t>
      </w:r>
    </w:p>
    <w:p w:rsidR="007A4294" w:rsidRPr="00B94D46" w:rsidRDefault="0077380F" w:rsidP="00B94D46">
      <w:pPr>
        <w:pStyle w:val="Title"/>
      </w:pPr>
      <w:r w:rsidRPr="00B94D46">
        <w:t>PRODUCT INFORMATION</w:t>
      </w:r>
    </w:p>
    <w:p w:rsidR="007A0414" w:rsidRPr="00B94D46" w:rsidRDefault="007A0414" w:rsidP="00B94D46">
      <w:pPr>
        <w:pStyle w:val="Title"/>
      </w:pPr>
    </w:p>
    <w:p w:rsidR="00E81E59" w:rsidRPr="00254BEF" w:rsidRDefault="0077380F" w:rsidP="0070730F">
      <w:pPr>
        <w:pStyle w:val="Heading1"/>
      </w:pPr>
      <w:r w:rsidRPr="00254BEF">
        <w:t>NAME OF THE MEDICINE</w:t>
      </w:r>
    </w:p>
    <w:p w:rsidR="005D14FF" w:rsidRPr="00254BEF" w:rsidRDefault="00982469" w:rsidP="00A70A0A">
      <w:pPr>
        <w:pStyle w:val="ListParagraph"/>
      </w:pPr>
      <w:proofErr w:type="spellStart"/>
      <w:r w:rsidRPr="00254BEF">
        <w:t>Dabrafenib</w:t>
      </w:r>
      <w:proofErr w:type="spellEnd"/>
      <w:r w:rsidRPr="00254BEF">
        <w:t xml:space="preserve"> </w:t>
      </w:r>
      <w:proofErr w:type="spellStart"/>
      <w:r w:rsidRPr="00254BEF">
        <w:t>mesilate</w:t>
      </w:r>
      <w:proofErr w:type="spellEnd"/>
    </w:p>
    <w:p w:rsidR="00982469" w:rsidRPr="00254BEF" w:rsidRDefault="00982469" w:rsidP="00A70A0A">
      <w:pPr>
        <w:pStyle w:val="ListParagraph"/>
      </w:pPr>
    </w:p>
    <w:p w:rsidR="00982469" w:rsidRPr="00254BEF" w:rsidRDefault="00982469" w:rsidP="00B94D46">
      <w:pPr>
        <w:pStyle w:val="ListParagraph"/>
      </w:pPr>
      <w:r w:rsidRPr="00254BEF">
        <w:object w:dxaOrig="4095" w:dyaOrig="4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55pt;height:143.35pt" o:ole="">
            <v:imagedata r:id="rId9" o:title=""/>
          </v:shape>
          <o:OLEObject Type="Embed" ProgID="ISISServer" ShapeID="_x0000_i1025" DrawAspect="Content" ObjectID="_1451131245" r:id="rId10"/>
        </w:object>
      </w:r>
    </w:p>
    <w:p w:rsidR="00982469" w:rsidRPr="00254BEF" w:rsidRDefault="00982469" w:rsidP="00A70A0A">
      <w:pPr>
        <w:pStyle w:val="ListParagraph"/>
      </w:pPr>
    </w:p>
    <w:p w:rsidR="00982469" w:rsidRPr="00254BEF" w:rsidRDefault="00982469" w:rsidP="00A70A0A">
      <w:pPr>
        <w:pStyle w:val="ListParagraph"/>
      </w:pPr>
      <w:r w:rsidRPr="00254BEF">
        <w:t>It has the molecular formula C</w:t>
      </w:r>
      <w:r w:rsidRPr="00254BEF">
        <w:rPr>
          <w:vertAlign w:val="subscript"/>
        </w:rPr>
        <w:t>23</w:t>
      </w:r>
      <w:r w:rsidRPr="00254BEF">
        <w:t>H</w:t>
      </w:r>
      <w:r w:rsidRPr="00254BEF">
        <w:rPr>
          <w:vertAlign w:val="subscript"/>
        </w:rPr>
        <w:t>20</w:t>
      </w:r>
      <w:r w:rsidRPr="00254BEF">
        <w:t>F</w:t>
      </w:r>
      <w:r w:rsidRPr="00254BEF">
        <w:rPr>
          <w:vertAlign w:val="subscript"/>
        </w:rPr>
        <w:t>3</w:t>
      </w:r>
      <w:r w:rsidRPr="00254BEF">
        <w:t>N</w:t>
      </w:r>
      <w:r w:rsidRPr="00254BEF">
        <w:rPr>
          <w:vertAlign w:val="subscript"/>
        </w:rPr>
        <w:t>5</w:t>
      </w:r>
      <w:r w:rsidRPr="00254BEF">
        <w:t>O</w:t>
      </w:r>
      <w:r w:rsidRPr="00254BEF">
        <w:rPr>
          <w:vertAlign w:val="subscript"/>
        </w:rPr>
        <w:t>2</w:t>
      </w:r>
      <w:r w:rsidRPr="00254BEF">
        <w:t>S</w:t>
      </w:r>
      <w:r w:rsidRPr="00254BEF">
        <w:rPr>
          <w:vertAlign w:val="subscript"/>
        </w:rPr>
        <w:t>2</w:t>
      </w:r>
      <w:r w:rsidRPr="00254BEF">
        <w:t>. CH</w:t>
      </w:r>
      <w:r w:rsidRPr="00254BEF">
        <w:rPr>
          <w:vertAlign w:val="subscript"/>
        </w:rPr>
        <w:t>4</w:t>
      </w:r>
      <w:r w:rsidRPr="00254BEF">
        <w:t>O</w:t>
      </w:r>
      <w:r w:rsidRPr="00254BEF">
        <w:rPr>
          <w:vertAlign w:val="subscript"/>
        </w:rPr>
        <w:t>3</w:t>
      </w:r>
      <w:r w:rsidRPr="00254BEF">
        <w:t>S and a molecular weight of 615.68.</w:t>
      </w:r>
    </w:p>
    <w:p w:rsidR="00982469" w:rsidRPr="00254BEF" w:rsidRDefault="00982469" w:rsidP="00A70A0A">
      <w:pPr>
        <w:pStyle w:val="ListParagraph"/>
      </w:pPr>
      <w:r w:rsidRPr="00254BEF">
        <w:t>CAS Registry Number: 1195768-06-9</w:t>
      </w:r>
    </w:p>
    <w:p w:rsidR="00982469" w:rsidRPr="00254BEF" w:rsidRDefault="00982469" w:rsidP="00A70A0A">
      <w:pPr>
        <w:pStyle w:val="ListParagraph"/>
      </w:pPr>
    </w:p>
    <w:p w:rsidR="00C556BA" w:rsidRPr="0070730F" w:rsidRDefault="00E81E59" w:rsidP="0070730F">
      <w:pPr>
        <w:pStyle w:val="Heading1"/>
      </w:pPr>
      <w:r w:rsidRPr="0070730F">
        <w:t>DESCRIPTION</w:t>
      </w:r>
    </w:p>
    <w:p w:rsidR="00236E6E" w:rsidRPr="00254BEF" w:rsidRDefault="00236E6E" w:rsidP="00A70A0A">
      <w:pPr>
        <w:pStyle w:val="ListParagraph"/>
      </w:pPr>
      <w:proofErr w:type="spellStart"/>
      <w:r w:rsidRPr="00254BEF">
        <w:t>Dabrafenib</w:t>
      </w:r>
      <w:proofErr w:type="spellEnd"/>
      <w:r w:rsidRPr="00254BEF">
        <w:t xml:space="preserve"> </w:t>
      </w:r>
      <w:proofErr w:type="spellStart"/>
      <w:r w:rsidRPr="00254BEF">
        <w:t>mesi</w:t>
      </w:r>
      <w:r w:rsidR="00982469" w:rsidRPr="00254BEF">
        <w:t>late</w:t>
      </w:r>
      <w:proofErr w:type="spellEnd"/>
      <w:r w:rsidR="00982469" w:rsidRPr="00254BEF">
        <w:t xml:space="preserve"> is a nitrogen and sulphur containing </w:t>
      </w:r>
      <w:proofErr w:type="spellStart"/>
      <w:r w:rsidR="00982469" w:rsidRPr="00254BEF">
        <w:t>heterocycle</w:t>
      </w:r>
      <w:proofErr w:type="spellEnd"/>
      <w:r w:rsidR="00982469" w:rsidRPr="00254BEF">
        <w:t xml:space="preserve"> possessing an aromatic sulphonamide. </w:t>
      </w:r>
    </w:p>
    <w:p w:rsidR="00982469" w:rsidRPr="00254BEF" w:rsidRDefault="00982469" w:rsidP="00A70A0A">
      <w:pPr>
        <w:pStyle w:val="ListParagraph"/>
      </w:pPr>
      <w:r w:rsidRPr="00254BEF">
        <w:t xml:space="preserve">The chemical name for </w:t>
      </w:r>
      <w:proofErr w:type="spellStart"/>
      <w:r w:rsidRPr="00254BEF">
        <w:t>dabrafenib</w:t>
      </w:r>
      <w:proofErr w:type="spellEnd"/>
      <w:r w:rsidR="00236E6E" w:rsidRPr="00254BEF">
        <w:t xml:space="preserve"> </w:t>
      </w:r>
      <w:proofErr w:type="spellStart"/>
      <w:r w:rsidR="00236E6E" w:rsidRPr="00254BEF">
        <w:t>mesi</w:t>
      </w:r>
      <w:r w:rsidRPr="00254BEF">
        <w:t>late</w:t>
      </w:r>
      <w:proofErr w:type="spellEnd"/>
      <w:r w:rsidRPr="00254BEF">
        <w:t xml:space="preserve"> is N-{3-[5-(2-Amino-4-pyrimidinyl)-2-(1,1-dimethylethyl)-1,3-thiazol-4-yl]-2-fluorophenyl}-2,6-difluorobenzene sulphonamide, </w:t>
      </w:r>
      <w:proofErr w:type="spellStart"/>
      <w:r w:rsidRPr="00254BEF">
        <w:t>methanesulphonate</w:t>
      </w:r>
      <w:proofErr w:type="spellEnd"/>
      <w:r w:rsidRPr="00254BEF">
        <w:t xml:space="preserve"> salt.</w:t>
      </w:r>
    </w:p>
    <w:p w:rsidR="00982469" w:rsidRPr="00254BEF" w:rsidRDefault="00236E6E" w:rsidP="00A70A0A">
      <w:pPr>
        <w:pStyle w:val="ListParagraph"/>
      </w:pPr>
      <w:proofErr w:type="spellStart"/>
      <w:r w:rsidRPr="00254BEF">
        <w:t>Dabrafenib</w:t>
      </w:r>
      <w:proofErr w:type="spellEnd"/>
      <w:r w:rsidRPr="00254BEF">
        <w:t xml:space="preserve"> </w:t>
      </w:r>
      <w:proofErr w:type="spellStart"/>
      <w:r w:rsidRPr="00254BEF">
        <w:t>mesi</w:t>
      </w:r>
      <w:r w:rsidR="00982469" w:rsidRPr="00254BEF">
        <w:t>late</w:t>
      </w:r>
      <w:proofErr w:type="spellEnd"/>
      <w:r w:rsidR="00982469" w:rsidRPr="00254BEF">
        <w:t xml:space="preserve"> is a white to slightly coloured solid. It is very slightly soluble at pH 1 and practically insoluble above pH 4 in aqueous media.</w:t>
      </w:r>
      <w:r w:rsidR="00F67A43" w:rsidRPr="00F67A43">
        <w:t xml:space="preserve"> </w:t>
      </w:r>
      <w:r w:rsidR="00F67A43">
        <w:t>The</w:t>
      </w:r>
      <w:r w:rsidR="00F67A43" w:rsidRPr="00254BEF">
        <w:t xml:space="preserve"> </w:t>
      </w:r>
      <w:proofErr w:type="spellStart"/>
      <w:r w:rsidR="00F67A43">
        <w:t>pKa</w:t>
      </w:r>
      <w:proofErr w:type="spellEnd"/>
      <w:r w:rsidR="00F67A43">
        <w:t xml:space="preserve"> of the </w:t>
      </w:r>
      <w:proofErr w:type="spellStart"/>
      <w:r w:rsidR="00F67A43">
        <w:t>sulfonamide</w:t>
      </w:r>
      <w:proofErr w:type="spellEnd"/>
      <w:r w:rsidR="00F67A43">
        <w:t xml:space="preserve"> moiety is 6.6, the </w:t>
      </w:r>
      <w:proofErr w:type="spellStart"/>
      <w:r w:rsidR="00F67A43">
        <w:t>pKa</w:t>
      </w:r>
      <w:proofErr w:type="spellEnd"/>
      <w:r w:rsidR="00F67A43">
        <w:t xml:space="preserve"> of the </w:t>
      </w:r>
      <w:proofErr w:type="spellStart"/>
      <w:r w:rsidR="00F67A43">
        <w:t>pyrimidine</w:t>
      </w:r>
      <w:proofErr w:type="spellEnd"/>
      <w:r w:rsidR="00F67A43">
        <w:t xml:space="preserve"> moiety is 2.2 and the</w:t>
      </w:r>
      <w:r w:rsidR="00F67A43" w:rsidRPr="00F67A43">
        <w:t xml:space="preserve"> </w:t>
      </w:r>
      <w:proofErr w:type="spellStart"/>
      <w:r w:rsidR="00F67A43">
        <w:t>pKa</w:t>
      </w:r>
      <w:proofErr w:type="spellEnd"/>
      <w:r w:rsidR="00F67A43">
        <w:t xml:space="preserve"> of the thiazole moiety is -1.5. The partition coefficient (log P) is 2.9.</w:t>
      </w:r>
    </w:p>
    <w:p w:rsidR="00236E6E" w:rsidRPr="00254BEF" w:rsidRDefault="00236E6E" w:rsidP="00A70A0A">
      <w:pPr>
        <w:pStyle w:val="ListParagraph"/>
      </w:pPr>
      <w:r w:rsidRPr="00254BEF">
        <w:t xml:space="preserve">The </w:t>
      </w:r>
      <w:r w:rsidR="005D1137">
        <w:t>T</w:t>
      </w:r>
      <w:r w:rsidR="005D1137" w:rsidRPr="00254BEF">
        <w:t xml:space="preserve">AFINLAR </w:t>
      </w:r>
      <w:r w:rsidRPr="00254BEF">
        <w:t xml:space="preserve">Capsules contain 50 or 75 mg </w:t>
      </w:r>
      <w:r w:rsidR="00325EBD" w:rsidRPr="00254BEF">
        <w:t xml:space="preserve">of </w:t>
      </w:r>
      <w:proofErr w:type="spellStart"/>
      <w:r w:rsidR="00325EBD" w:rsidRPr="00254BEF">
        <w:t>dabrafenib</w:t>
      </w:r>
      <w:proofErr w:type="spellEnd"/>
      <w:r w:rsidR="00325EBD" w:rsidRPr="00254BEF">
        <w:t xml:space="preserve"> </w:t>
      </w:r>
      <w:proofErr w:type="spellStart"/>
      <w:r w:rsidR="00325EBD" w:rsidRPr="00254BEF">
        <w:t>mesilate</w:t>
      </w:r>
      <w:proofErr w:type="spellEnd"/>
      <w:r w:rsidR="00325EBD" w:rsidRPr="00254BEF">
        <w:t xml:space="preserve"> as the ac</w:t>
      </w:r>
      <w:r w:rsidRPr="00254BEF">
        <w:t xml:space="preserve">tive ingredient. The </w:t>
      </w:r>
      <w:r w:rsidR="00A83DC6">
        <w:t xml:space="preserve">hard </w:t>
      </w:r>
      <w:r w:rsidRPr="00254BEF">
        <w:t xml:space="preserve">capsules also contain </w:t>
      </w:r>
      <w:r w:rsidR="005D64B4" w:rsidRPr="00254BEF">
        <w:t xml:space="preserve">cellulose - </w:t>
      </w:r>
      <w:r w:rsidRPr="00254BEF">
        <w:t xml:space="preserve">microcrystalline, magnesium </w:t>
      </w:r>
      <w:proofErr w:type="spellStart"/>
      <w:r w:rsidRPr="00254BEF">
        <w:t>stearate</w:t>
      </w:r>
      <w:proofErr w:type="spellEnd"/>
      <w:r w:rsidRPr="00254BEF">
        <w:t xml:space="preserve">, </w:t>
      </w:r>
      <w:r w:rsidR="005D64B4" w:rsidRPr="00254BEF">
        <w:t>silica -</w:t>
      </w:r>
      <w:r w:rsidRPr="00254BEF">
        <w:t xml:space="preserve">colloidal </w:t>
      </w:r>
      <w:r w:rsidR="005D64B4" w:rsidRPr="00254BEF">
        <w:t>anhydrous</w:t>
      </w:r>
      <w:r w:rsidRPr="00254BEF">
        <w:t xml:space="preserve">, iron oxide </w:t>
      </w:r>
      <w:r w:rsidR="005D64B4" w:rsidRPr="00254BEF">
        <w:t>red</w:t>
      </w:r>
      <w:r w:rsidRPr="00254BEF">
        <w:t>, titanium dioxide</w:t>
      </w:r>
      <w:r w:rsidR="005D64B4" w:rsidRPr="00254BEF">
        <w:t xml:space="preserve">, </w:t>
      </w:r>
      <w:proofErr w:type="spellStart"/>
      <w:r w:rsidR="005D64B4" w:rsidRPr="00254BEF">
        <w:t>hypromellose</w:t>
      </w:r>
      <w:proofErr w:type="spellEnd"/>
      <w:r w:rsidRPr="00254BEF">
        <w:t xml:space="preserve">, iron oxide </w:t>
      </w:r>
      <w:r w:rsidR="005D64B4" w:rsidRPr="00254BEF">
        <w:t>black, s</w:t>
      </w:r>
      <w:r w:rsidRPr="00254BEF">
        <w:t xml:space="preserve">hellac, </w:t>
      </w:r>
      <w:r w:rsidR="005D64B4" w:rsidRPr="00254BEF">
        <w:t>butan-1-ol</w:t>
      </w:r>
      <w:r w:rsidRPr="00254BEF">
        <w:t>, isopropyl alcohol, propylene glycol, ammonium hydroxide</w:t>
      </w:r>
    </w:p>
    <w:p w:rsidR="004F640B" w:rsidRPr="00254BEF" w:rsidRDefault="004F640B" w:rsidP="00A70A0A">
      <w:pPr>
        <w:pStyle w:val="ListParagraph"/>
      </w:pPr>
    </w:p>
    <w:p w:rsidR="0077380F" w:rsidRPr="00254BEF" w:rsidRDefault="0077380F" w:rsidP="0070730F">
      <w:pPr>
        <w:pStyle w:val="Heading1"/>
      </w:pPr>
      <w:r w:rsidRPr="00254BEF">
        <w:t>PHARMACOLOGY</w:t>
      </w:r>
    </w:p>
    <w:p w:rsidR="0078175F" w:rsidRPr="0078175F" w:rsidRDefault="00281BB6" w:rsidP="00A70A0A">
      <w:pPr>
        <w:pStyle w:val="ListParagraph"/>
      </w:pPr>
      <w:proofErr w:type="spellStart"/>
      <w:r w:rsidRPr="00254BEF">
        <w:rPr>
          <w:lang w:val="en-US"/>
        </w:rPr>
        <w:t>Dabrafenib</w:t>
      </w:r>
      <w:proofErr w:type="spellEnd"/>
      <w:r w:rsidRPr="00254BEF">
        <w:rPr>
          <w:lang w:val="en-US"/>
        </w:rPr>
        <w:t xml:space="preserve"> is a</w:t>
      </w:r>
      <w:r w:rsidR="00316D06">
        <w:rPr>
          <w:lang w:val="en-US"/>
        </w:rPr>
        <w:t>n</w:t>
      </w:r>
      <w:r w:rsidRPr="00254BEF">
        <w:rPr>
          <w:lang w:val="en-US"/>
        </w:rPr>
        <w:t xml:space="preserve"> ATP-competitive inhibitor of RAF </w:t>
      </w:r>
      <w:proofErr w:type="spellStart"/>
      <w:r w:rsidRPr="00254BEF">
        <w:rPr>
          <w:lang w:val="en-US"/>
        </w:rPr>
        <w:t>kinases</w:t>
      </w:r>
      <w:proofErr w:type="spellEnd"/>
      <w:r w:rsidRPr="00254BEF">
        <w:rPr>
          <w:lang w:val="en-US"/>
        </w:rPr>
        <w:t xml:space="preserve"> with IC</w:t>
      </w:r>
      <w:r w:rsidRPr="00254BEF">
        <w:rPr>
          <w:vertAlign w:val="subscript"/>
          <w:lang w:val="en-US"/>
        </w:rPr>
        <w:t>50</w:t>
      </w:r>
      <w:r w:rsidRPr="00254BEF">
        <w:rPr>
          <w:lang w:val="en-US"/>
        </w:rPr>
        <w:t xml:space="preserve"> values of 0.65, 0.5 and 1.84 </w:t>
      </w:r>
      <w:proofErr w:type="spellStart"/>
      <w:r w:rsidRPr="00254BEF">
        <w:rPr>
          <w:lang w:val="en-US"/>
        </w:rPr>
        <w:t>nM</w:t>
      </w:r>
      <w:proofErr w:type="spellEnd"/>
      <w:r w:rsidRPr="00254BEF">
        <w:rPr>
          <w:lang w:val="en-US"/>
        </w:rPr>
        <w:t xml:space="preserve"> for BRAF</w:t>
      </w:r>
      <w:r w:rsidRPr="00254BEF">
        <w:rPr>
          <w:vertAlign w:val="superscript"/>
          <w:lang w:val="en-US"/>
        </w:rPr>
        <w:t>V600E</w:t>
      </w:r>
      <w:r w:rsidRPr="00254BEF">
        <w:rPr>
          <w:lang w:val="en-US"/>
        </w:rPr>
        <w:t>, BRAF</w:t>
      </w:r>
      <w:r w:rsidRPr="00254BEF">
        <w:rPr>
          <w:vertAlign w:val="superscript"/>
          <w:lang w:val="en-US"/>
        </w:rPr>
        <w:t>V600K</w:t>
      </w:r>
      <w:r w:rsidRPr="00254BEF">
        <w:rPr>
          <w:lang w:val="en-US"/>
        </w:rPr>
        <w:t xml:space="preserve"> and BRAF</w:t>
      </w:r>
      <w:r w:rsidRPr="00254BEF">
        <w:rPr>
          <w:vertAlign w:val="superscript"/>
          <w:lang w:val="en-US"/>
        </w:rPr>
        <w:t>V600D</w:t>
      </w:r>
      <w:r w:rsidRPr="00254BEF">
        <w:rPr>
          <w:lang w:val="en-US"/>
        </w:rPr>
        <w:t xml:space="preserve"> enzymes, respectively. </w:t>
      </w:r>
      <w:proofErr w:type="spellStart"/>
      <w:r w:rsidR="00316D06" w:rsidRPr="00316D06">
        <w:rPr>
          <w:lang w:val="en-US"/>
        </w:rPr>
        <w:t>Dabrafenib</w:t>
      </w:r>
      <w:proofErr w:type="spellEnd"/>
      <w:r w:rsidR="00316D06" w:rsidRPr="00316D06">
        <w:rPr>
          <w:lang w:val="en-US"/>
        </w:rPr>
        <w:t xml:space="preserve"> also inhibits a small number of other </w:t>
      </w:r>
      <w:proofErr w:type="spellStart"/>
      <w:r w:rsidR="00316D06" w:rsidRPr="00316D06">
        <w:rPr>
          <w:lang w:val="en-US"/>
        </w:rPr>
        <w:t>kinases</w:t>
      </w:r>
      <w:proofErr w:type="spellEnd"/>
      <w:r w:rsidR="00316D06" w:rsidRPr="00316D06">
        <w:rPr>
          <w:lang w:val="en-US"/>
        </w:rPr>
        <w:t>, including wild-type BRAF and CRAF with IC</w:t>
      </w:r>
      <w:r w:rsidR="00316D06" w:rsidRPr="00316D06">
        <w:rPr>
          <w:vertAlign w:val="subscript"/>
          <w:lang w:val="en-US"/>
        </w:rPr>
        <w:t>50</w:t>
      </w:r>
      <w:r w:rsidR="00316D06" w:rsidRPr="00316D06">
        <w:rPr>
          <w:lang w:val="en-US"/>
        </w:rPr>
        <w:t xml:space="preserve"> values of 3.2 and 5.0nM, respectively. </w:t>
      </w:r>
      <w:r w:rsidR="00316D06">
        <w:t>M</w:t>
      </w:r>
      <w:r w:rsidRPr="00254BEF">
        <w:t xml:space="preserve">utations in BRAF lead to constitutive activation of the RAS/RAF/MEK/ERK pathway and stimulation of tumour cell growth. BRAF mutations have been identified at a high frequency in specific cancers, including </w:t>
      </w:r>
      <w:r w:rsidRPr="00254BEF">
        <w:lastRenderedPageBreak/>
        <w:t>approximately 50</w:t>
      </w:r>
      <w:r w:rsidR="00D25A0C">
        <w:t>%</w:t>
      </w:r>
      <w:r w:rsidRPr="00254BEF">
        <w:t xml:space="preserve"> of melanoma. </w:t>
      </w:r>
      <w:r w:rsidR="0078175F" w:rsidRPr="00C224CD">
        <w:t>The most commonly observed BRAF mutation, V600E, and the next most common, V600K, account for 95</w:t>
      </w:r>
      <w:r w:rsidR="00D25A0C">
        <w:t>%</w:t>
      </w:r>
      <w:r w:rsidR="0078175F" w:rsidRPr="00C224CD">
        <w:t xml:space="preserve"> of the BRAF mutations found in </w:t>
      </w:r>
      <w:r w:rsidR="00316D06">
        <w:t>these cancers</w:t>
      </w:r>
      <w:r w:rsidR="0078175F" w:rsidRPr="00C224CD">
        <w:t xml:space="preserve">. A number of rare </w:t>
      </w:r>
      <w:r w:rsidR="00316D06">
        <w:t>mutation</w:t>
      </w:r>
      <w:r w:rsidR="0078175F" w:rsidRPr="00C224CD">
        <w:t>s also occur including V600D, V600G and V600R.</w:t>
      </w:r>
      <w:r w:rsidR="008047C6">
        <w:t xml:space="preserve"> Clinical i</w:t>
      </w:r>
      <w:r w:rsidR="008047C6" w:rsidRPr="008047C6">
        <w:t xml:space="preserve">nhibition of </w:t>
      </w:r>
      <w:r w:rsidR="008047C6">
        <w:t xml:space="preserve">the </w:t>
      </w:r>
      <w:r w:rsidR="008047C6" w:rsidRPr="008047C6">
        <w:t>MAPK pathway signalling depends on cellular and genotypic context</w:t>
      </w:r>
      <w:r w:rsidR="008047C6">
        <w:t xml:space="preserve"> (See PRECAUTIONS: Non-</w:t>
      </w:r>
      <w:proofErr w:type="spellStart"/>
      <w:r w:rsidR="008047C6">
        <w:t>cutaneous</w:t>
      </w:r>
      <w:proofErr w:type="spellEnd"/>
      <w:r w:rsidR="008047C6">
        <w:t xml:space="preserve"> malignancy).</w:t>
      </w:r>
    </w:p>
    <w:p w:rsidR="00281BB6" w:rsidRPr="00254BEF" w:rsidRDefault="00281BB6" w:rsidP="00655429">
      <w:pPr>
        <w:pStyle w:val="ListParagraph"/>
      </w:pPr>
      <w:proofErr w:type="spellStart"/>
      <w:r w:rsidRPr="00254BEF">
        <w:rPr>
          <w:lang w:val="en-US"/>
        </w:rPr>
        <w:t>Dabrafenib</w:t>
      </w:r>
      <w:proofErr w:type="spellEnd"/>
      <w:r w:rsidRPr="00254BEF">
        <w:rPr>
          <w:lang w:val="en-US"/>
        </w:rPr>
        <w:t xml:space="preserve"> inhibits BRAF</w:t>
      </w:r>
      <w:r w:rsidRPr="00254BEF">
        <w:rPr>
          <w:vertAlign w:val="superscript"/>
          <w:lang w:val="en-US"/>
        </w:rPr>
        <w:t>V600</w:t>
      </w:r>
      <w:r w:rsidRPr="00254BEF">
        <w:rPr>
          <w:lang w:val="en-US"/>
        </w:rPr>
        <w:t xml:space="preserve"> mutant melanoma cell growth </w:t>
      </w:r>
      <w:r w:rsidRPr="00A70A0A">
        <w:rPr>
          <w:i/>
        </w:rPr>
        <w:t>in vitro</w:t>
      </w:r>
      <w:r w:rsidRPr="00254BEF">
        <w:rPr>
          <w:lang w:val="en-US"/>
        </w:rPr>
        <w:t xml:space="preserve"> and </w:t>
      </w:r>
      <w:r w:rsidRPr="00A70A0A">
        <w:rPr>
          <w:i/>
        </w:rPr>
        <w:t>in vivo</w:t>
      </w:r>
      <w:r w:rsidRPr="00254BEF">
        <w:rPr>
          <w:lang w:val="en-US"/>
        </w:rPr>
        <w:t>.</w:t>
      </w:r>
    </w:p>
    <w:p w:rsidR="00236E6E" w:rsidRPr="0070730F" w:rsidRDefault="00236E6E" w:rsidP="0070730F">
      <w:pPr>
        <w:pStyle w:val="Heading2"/>
      </w:pPr>
      <w:proofErr w:type="spellStart"/>
      <w:r w:rsidRPr="0070730F">
        <w:t>Pharmacodynamic</w:t>
      </w:r>
      <w:proofErr w:type="spellEnd"/>
      <w:r w:rsidRPr="0070730F">
        <w:t xml:space="preserve"> Effects</w:t>
      </w:r>
    </w:p>
    <w:p w:rsidR="00281BB6" w:rsidRPr="00254BEF" w:rsidRDefault="00281BB6" w:rsidP="00A70A0A">
      <w:pPr>
        <w:pStyle w:val="ListParagraph"/>
      </w:pPr>
      <w:proofErr w:type="spellStart"/>
      <w:r w:rsidRPr="00254BEF">
        <w:t>Dabrafenib</w:t>
      </w:r>
      <w:proofErr w:type="spellEnd"/>
      <w:r w:rsidRPr="00254BEF">
        <w:t xml:space="preserve"> demonstrated suppression of a downstream </w:t>
      </w:r>
      <w:proofErr w:type="spellStart"/>
      <w:r w:rsidRPr="00254BEF">
        <w:t>pharmacodynamic</w:t>
      </w:r>
      <w:proofErr w:type="spellEnd"/>
      <w:r w:rsidRPr="00254BEF">
        <w:t xml:space="preserve"> biomarker (</w:t>
      </w:r>
      <w:proofErr w:type="spellStart"/>
      <w:r w:rsidRPr="00254BEF">
        <w:t>phosphorylated</w:t>
      </w:r>
      <w:proofErr w:type="spellEnd"/>
      <w:r w:rsidRPr="00254BEF">
        <w:t xml:space="preserve"> ERK) in BRAF</w:t>
      </w:r>
      <w:r w:rsidRPr="00254BEF">
        <w:rPr>
          <w:vertAlign w:val="superscript"/>
        </w:rPr>
        <w:t>V600</w:t>
      </w:r>
      <w:r w:rsidRPr="00254BEF">
        <w:t xml:space="preserve"> mutant melanoma cell lines, </w:t>
      </w:r>
      <w:r w:rsidRPr="00A70A0A">
        <w:rPr>
          <w:i/>
        </w:rPr>
        <w:t>in vitro</w:t>
      </w:r>
      <w:r w:rsidRPr="00254BEF">
        <w:t xml:space="preserve"> and in animal models. </w:t>
      </w:r>
    </w:p>
    <w:p w:rsidR="00236E6E" w:rsidRDefault="00236E6E" w:rsidP="00A70A0A">
      <w:pPr>
        <w:pStyle w:val="ListParagraph"/>
      </w:pPr>
      <w:r w:rsidRPr="00254BEF">
        <w:t>In subjects with BRAF</w:t>
      </w:r>
      <w:r w:rsidR="0078175F" w:rsidRPr="0078175F">
        <w:rPr>
          <w:vertAlign w:val="superscript"/>
        </w:rPr>
        <w:t xml:space="preserve"> </w:t>
      </w:r>
      <w:r w:rsidR="0078175F" w:rsidRPr="00254BEF">
        <w:rPr>
          <w:vertAlign w:val="superscript"/>
        </w:rPr>
        <w:t>V600</w:t>
      </w:r>
      <w:r w:rsidRPr="00254BEF">
        <w:t xml:space="preserve"> mutant melanoma, administration of </w:t>
      </w:r>
      <w:proofErr w:type="spellStart"/>
      <w:r w:rsidRPr="00254BEF">
        <w:t>dabrafenib</w:t>
      </w:r>
      <w:proofErr w:type="spellEnd"/>
      <w:r w:rsidRPr="00254BEF">
        <w:t xml:space="preserve"> resulted in inhibition of tumour </w:t>
      </w:r>
      <w:proofErr w:type="spellStart"/>
      <w:r w:rsidRPr="00254BEF">
        <w:t>phosphorylated</w:t>
      </w:r>
      <w:proofErr w:type="spellEnd"/>
      <w:r w:rsidRPr="00254BEF">
        <w:t xml:space="preserve"> ERK relative to baseline.</w:t>
      </w:r>
    </w:p>
    <w:p w:rsidR="00DE63EC" w:rsidRPr="009E041D" w:rsidRDefault="00DE63EC" w:rsidP="0070730F">
      <w:pPr>
        <w:pStyle w:val="Heading2"/>
      </w:pPr>
      <w:r w:rsidRPr="009E041D">
        <w:t xml:space="preserve">Determination of BRAF mutation status </w:t>
      </w:r>
    </w:p>
    <w:p w:rsidR="00A83DC6" w:rsidRDefault="00DE63EC" w:rsidP="00A70A0A">
      <w:pPr>
        <w:pStyle w:val="ListParagraph"/>
      </w:pPr>
      <w:r w:rsidRPr="00DE63EC">
        <w:t>In the Phase II and III clinical trials, screening for eligibility required central testing for BRAF</w:t>
      </w:r>
      <w:r>
        <w:t xml:space="preserve"> </w:t>
      </w:r>
      <w:r w:rsidRPr="00DE63EC">
        <w:t>V600 mutation using a BRAF mutation assay conducted on the most recent tumour sample available.</w:t>
      </w:r>
      <w:r>
        <w:t xml:space="preserve"> </w:t>
      </w:r>
      <w:r w:rsidRPr="00DE63EC">
        <w:t>Primary tumour or tumour from a metastatic site was tested with an investigational use only assay (IUO)</w:t>
      </w:r>
      <w:r>
        <w:t xml:space="preserve"> </w:t>
      </w:r>
      <w:r w:rsidRPr="00DE63EC">
        <w:t>developed by Response Genetics Inc. (RGI). The RGI IUO is an allele-specific polymerase chain reaction</w:t>
      </w:r>
      <w:r>
        <w:t xml:space="preserve"> </w:t>
      </w:r>
      <w:r w:rsidRPr="00DE63EC">
        <w:t>(PCR) assay performed on DNA extracted from formalin-fixed paraffin-embedded (FFPE) tumour tissue.</w:t>
      </w:r>
      <w:r>
        <w:t xml:space="preserve"> </w:t>
      </w:r>
      <w:r w:rsidRPr="00DE63EC">
        <w:t>The assay was specifically designed to differentiate between the V600E and V600K mutations. Only</w:t>
      </w:r>
      <w:r>
        <w:t xml:space="preserve"> </w:t>
      </w:r>
      <w:r w:rsidRPr="00DE63EC">
        <w:t>subjects with BRAF</w:t>
      </w:r>
      <w:r w:rsidRPr="0066416F">
        <w:rPr>
          <w:vertAlign w:val="superscript"/>
        </w:rPr>
        <w:t xml:space="preserve">V600E </w:t>
      </w:r>
      <w:r w:rsidRPr="004B1504">
        <w:t xml:space="preserve">or </w:t>
      </w:r>
      <w:r w:rsidRPr="0066416F">
        <w:rPr>
          <w:vertAlign w:val="superscript"/>
        </w:rPr>
        <w:t>V600K</w:t>
      </w:r>
      <w:r w:rsidRPr="00DE63EC">
        <w:t xml:space="preserve"> mutation positive tumo</w:t>
      </w:r>
      <w:r w:rsidR="004212B9">
        <w:t>u</w:t>
      </w:r>
      <w:r w:rsidRPr="00DE63EC">
        <w:t>rs were eligible for study participation.</w:t>
      </w:r>
    </w:p>
    <w:p w:rsidR="00D06FFC" w:rsidRPr="00254BEF" w:rsidRDefault="00D06FFC" w:rsidP="00B94D46">
      <w:pPr>
        <w:pStyle w:val="Heading2"/>
      </w:pPr>
      <w:r w:rsidRPr="00254BEF">
        <w:t>Pharmacokinetics</w:t>
      </w:r>
    </w:p>
    <w:p w:rsidR="00E8156F" w:rsidRPr="00254BEF" w:rsidRDefault="00E8156F" w:rsidP="00A70A0A">
      <w:pPr>
        <w:pStyle w:val="ListParagraph"/>
      </w:pPr>
      <w:r w:rsidRPr="00254BEF">
        <w:t xml:space="preserve">The pharmacokinetics of </w:t>
      </w:r>
      <w:proofErr w:type="spellStart"/>
      <w:r w:rsidRPr="00254BEF">
        <w:t>dabrafenib</w:t>
      </w:r>
      <w:proofErr w:type="spellEnd"/>
      <w:r w:rsidRPr="00254BEF">
        <w:t xml:space="preserve"> were determined in patients with BRAF mutation-positive metastatic melanoma </w:t>
      </w:r>
      <w:r w:rsidR="00AF5399" w:rsidRPr="00AF5399">
        <w:t>after single dose and after repeat</w:t>
      </w:r>
      <w:r w:rsidR="00AF5399">
        <w:t xml:space="preserve"> </w:t>
      </w:r>
      <w:r w:rsidR="00C96863" w:rsidRPr="00AF5399">
        <w:t>dosing</w:t>
      </w:r>
      <w:r w:rsidRPr="00254BEF">
        <w:t xml:space="preserve"> at 150 mg twice daily with dosing approximately 12 hours apart.</w:t>
      </w:r>
    </w:p>
    <w:p w:rsidR="00D06FFC" w:rsidRPr="00254BEF" w:rsidRDefault="00D06FFC" w:rsidP="0070730F">
      <w:pPr>
        <w:pStyle w:val="Heading3"/>
      </w:pPr>
      <w:r w:rsidRPr="00254BEF">
        <w:t>Absorption</w:t>
      </w:r>
    </w:p>
    <w:p w:rsidR="00912DB9" w:rsidRPr="00254BEF" w:rsidRDefault="00912DB9" w:rsidP="00A70A0A">
      <w:pPr>
        <w:pStyle w:val="ListParagraph"/>
      </w:pPr>
      <w:proofErr w:type="spellStart"/>
      <w:r w:rsidRPr="00254BEF">
        <w:t>Dabrafenib</w:t>
      </w:r>
      <w:proofErr w:type="spellEnd"/>
      <w:r w:rsidRPr="00254BEF">
        <w:t xml:space="preserve"> is absorbed orally with median time to achieve peak plasma concentration of 2 hours post-dose. Mean absolute bioavailability of oral </w:t>
      </w:r>
      <w:proofErr w:type="spellStart"/>
      <w:r w:rsidRPr="00254BEF">
        <w:t>dabrafenib</w:t>
      </w:r>
      <w:proofErr w:type="spellEnd"/>
      <w:r w:rsidRPr="00254BEF">
        <w:t xml:space="preserve"> is 95</w:t>
      </w:r>
      <w:r w:rsidR="00D25A0C">
        <w:t>%</w:t>
      </w:r>
      <w:r w:rsidRPr="00254BEF">
        <w:t xml:space="preserve"> (90</w:t>
      </w:r>
      <w:r w:rsidR="00D25A0C">
        <w:t>%</w:t>
      </w:r>
      <w:r w:rsidRPr="00254BEF">
        <w:t xml:space="preserve"> CI: 81, 110</w:t>
      </w:r>
      <w:r w:rsidR="00D25A0C">
        <w:t>%</w:t>
      </w:r>
      <w:r w:rsidRPr="00254BEF">
        <w:t xml:space="preserve">). </w:t>
      </w:r>
      <w:proofErr w:type="spellStart"/>
      <w:r w:rsidRPr="005D1137">
        <w:t>Dabrafenib</w:t>
      </w:r>
      <w:proofErr w:type="spellEnd"/>
      <w:r w:rsidRPr="005D1137">
        <w:t xml:space="preserve"> exposure (</w:t>
      </w:r>
      <w:proofErr w:type="spellStart"/>
      <w:r w:rsidRPr="005D1137">
        <w:t>C</w:t>
      </w:r>
      <w:r w:rsidRPr="005D1137">
        <w:rPr>
          <w:vertAlign w:val="subscript"/>
        </w:rPr>
        <w:t>max</w:t>
      </w:r>
      <w:proofErr w:type="spellEnd"/>
      <w:r w:rsidRPr="005D1137">
        <w:rPr>
          <w:vertAlign w:val="subscript"/>
        </w:rPr>
        <w:t xml:space="preserve"> </w:t>
      </w:r>
      <w:r w:rsidRPr="005D1137">
        <w:t xml:space="preserve">and AUC) increased in a dose proportional manner between </w:t>
      </w:r>
      <w:r w:rsidR="00E47C91">
        <w:t>75</w:t>
      </w:r>
      <w:r w:rsidR="00E47C91" w:rsidRPr="005D1137">
        <w:t xml:space="preserve"> </w:t>
      </w:r>
      <w:r w:rsidRPr="005D1137">
        <w:t xml:space="preserve">and </w:t>
      </w:r>
      <w:r w:rsidR="00E47C91">
        <w:t>150</w:t>
      </w:r>
      <w:r w:rsidR="00E47C91" w:rsidRPr="005D1137">
        <w:t> </w:t>
      </w:r>
      <w:r w:rsidRPr="005D1137">
        <w:t xml:space="preserve">mg following single-dose administration, but the increase was </w:t>
      </w:r>
      <w:r w:rsidR="00E47C91">
        <w:t xml:space="preserve">slightly </w:t>
      </w:r>
      <w:r w:rsidRPr="005D1137">
        <w:t xml:space="preserve">less than dose-proportional after repeat twice daily dosing. </w:t>
      </w:r>
      <w:r w:rsidRPr="00AF5399">
        <w:t xml:space="preserve">There was a decrease in exposure observed with repeat dosing, likely due to induction of its own metabolism. Mean accumulation AUC Day 18/Day 1 ratios averaged 0.73. Following administration of 150 mg twice daily, geometric mean </w:t>
      </w:r>
      <w:proofErr w:type="spellStart"/>
      <w:r w:rsidRPr="00AF5399">
        <w:t>C</w:t>
      </w:r>
      <w:r w:rsidRPr="00AF5399">
        <w:rPr>
          <w:vertAlign w:val="subscript"/>
        </w:rPr>
        <w:t>max</w:t>
      </w:r>
      <w:proofErr w:type="spellEnd"/>
      <w:r w:rsidRPr="00AF5399">
        <w:t>, AUC</w:t>
      </w:r>
      <w:r w:rsidRPr="00AF5399">
        <w:rPr>
          <w:vertAlign w:val="subscript"/>
        </w:rPr>
        <w:t>(0-</w:t>
      </w:r>
      <w:r w:rsidRPr="00AF5399">
        <w:rPr>
          <w:vertAlign w:val="subscript"/>
        </w:rPr>
        <w:sym w:font="Symbol" w:char="F074"/>
      </w:r>
      <w:r w:rsidRPr="00AF5399">
        <w:rPr>
          <w:vertAlign w:val="subscript"/>
        </w:rPr>
        <w:t>)</w:t>
      </w:r>
      <w:r w:rsidRPr="00AF5399">
        <w:t xml:space="preserve"> and </w:t>
      </w:r>
      <w:proofErr w:type="spellStart"/>
      <w:r w:rsidRPr="00AF5399">
        <w:t>predose</w:t>
      </w:r>
      <w:proofErr w:type="spellEnd"/>
      <w:r w:rsidRPr="00AF5399">
        <w:t xml:space="preserve"> concentration (C</w:t>
      </w:r>
      <w:r w:rsidRPr="00AF5399">
        <w:sym w:font="Symbol" w:char="F074"/>
      </w:r>
      <w:r w:rsidRPr="00AF5399">
        <w:t xml:space="preserve">) </w:t>
      </w:r>
      <w:r w:rsidR="00697EF8">
        <w:t xml:space="preserve">at steady state </w:t>
      </w:r>
      <w:r w:rsidRPr="00AF5399">
        <w:t>were 1478 </w:t>
      </w:r>
      <w:proofErr w:type="spellStart"/>
      <w:r w:rsidRPr="00AF5399">
        <w:t>ng</w:t>
      </w:r>
      <w:proofErr w:type="spellEnd"/>
      <w:r w:rsidRPr="00AF5399">
        <w:t>/ml, 4341 </w:t>
      </w:r>
      <w:proofErr w:type="spellStart"/>
      <w:r w:rsidRPr="00AF5399">
        <w:t>ng</w:t>
      </w:r>
      <w:proofErr w:type="spellEnd"/>
      <w:r w:rsidRPr="00AF5399">
        <w:t>*hr/ml and 26 </w:t>
      </w:r>
      <w:proofErr w:type="spellStart"/>
      <w:r w:rsidRPr="00AF5399">
        <w:t>ng</w:t>
      </w:r>
      <w:proofErr w:type="spellEnd"/>
      <w:r w:rsidRPr="00AF5399">
        <w:t>/ml, respectively.</w:t>
      </w:r>
    </w:p>
    <w:p w:rsidR="00912DB9" w:rsidRPr="00254BEF" w:rsidRDefault="00912DB9" w:rsidP="00A70A0A">
      <w:pPr>
        <w:pStyle w:val="ListParagraph"/>
      </w:pPr>
      <w:r w:rsidRPr="00254BEF">
        <w:t xml:space="preserve">Administration of </w:t>
      </w:r>
      <w:proofErr w:type="spellStart"/>
      <w:r w:rsidRPr="00254BEF">
        <w:t>dabrafenib</w:t>
      </w:r>
      <w:proofErr w:type="spellEnd"/>
      <w:r w:rsidRPr="00254BEF">
        <w:t xml:space="preserve"> with food reduced the bioavailability (</w:t>
      </w:r>
      <w:proofErr w:type="spellStart"/>
      <w:r w:rsidRPr="00B94D46">
        <w:t>C</w:t>
      </w:r>
      <w:r w:rsidRPr="00B94D46">
        <w:rPr>
          <w:vertAlign w:val="subscript"/>
        </w:rPr>
        <w:t>max</w:t>
      </w:r>
      <w:proofErr w:type="spellEnd"/>
      <w:r w:rsidRPr="00B94D46">
        <w:t xml:space="preserve"> an</w:t>
      </w:r>
      <w:r w:rsidR="008B5619" w:rsidRPr="00B94D46">
        <w:t>d AUC decreased by 51</w:t>
      </w:r>
      <w:r w:rsidR="00D25A0C">
        <w:t>%</w:t>
      </w:r>
      <w:r w:rsidR="008B5619" w:rsidRPr="00A70A0A">
        <w:t xml:space="preserve"> and 31</w:t>
      </w:r>
      <w:r w:rsidR="00D25A0C">
        <w:t>%</w:t>
      </w:r>
      <w:r w:rsidRPr="00A70A0A">
        <w:t xml:space="preserve"> r</w:t>
      </w:r>
      <w:r w:rsidRPr="00B94D46">
        <w:t xml:space="preserve">espectively) </w:t>
      </w:r>
      <w:r w:rsidRPr="00254BEF">
        <w:t xml:space="preserve">and delayed absorption of </w:t>
      </w:r>
      <w:proofErr w:type="spellStart"/>
      <w:r w:rsidRPr="00254BEF">
        <w:t>dabrafenib</w:t>
      </w:r>
      <w:proofErr w:type="spellEnd"/>
      <w:r w:rsidRPr="00254BEF">
        <w:t xml:space="preserve"> capsules when compared to the fasted state. </w:t>
      </w:r>
    </w:p>
    <w:p w:rsidR="00D06FFC" w:rsidRPr="00254BEF" w:rsidRDefault="00D06FFC" w:rsidP="0070730F">
      <w:pPr>
        <w:pStyle w:val="Heading3"/>
      </w:pPr>
      <w:r w:rsidRPr="00254BEF">
        <w:t>Distribution</w:t>
      </w:r>
    </w:p>
    <w:p w:rsidR="00E8156F" w:rsidRPr="00254BEF" w:rsidRDefault="00E8156F" w:rsidP="00A70A0A">
      <w:pPr>
        <w:pStyle w:val="ListParagraph"/>
      </w:pPr>
      <w:proofErr w:type="spellStart"/>
      <w:r w:rsidRPr="00254BEF">
        <w:t>Dabrafenib</w:t>
      </w:r>
      <w:proofErr w:type="spellEnd"/>
      <w:r w:rsidRPr="00254BEF">
        <w:t xml:space="preserve"> binds to human plasma protein and is </w:t>
      </w:r>
      <w:r w:rsidR="00912DB9" w:rsidRPr="00254BEF">
        <w:t>99.7</w:t>
      </w:r>
      <w:r w:rsidR="00D25A0C">
        <w:t>%</w:t>
      </w:r>
      <w:r w:rsidRPr="00254BEF">
        <w:t xml:space="preserve"> bound.  The steady-state volume of distribution following intravenous </w:t>
      </w:r>
      <w:proofErr w:type="spellStart"/>
      <w:r w:rsidRPr="00254BEF">
        <w:t>microdose</w:t>
      </w:r>
      <w:proofErr w:type="spellEnd"/>
      <w:r w:rsidRPr="00254BEF">
        <w:t xml:space="preserve"> administration is </w:t>
      </w:r>
      <w:r w:rsidR="00912DB9" w:rsidRPr="00254BEF">
        <w:t>46</w:t>
      </w:r>
      <w:r w:rsidRPr="00254BEF">
        <w:t> L.</w:t>
      </w:r>
    </w:p>
    <w:p w:rsidR="00D06FFC" w:rsidRPr="00254BEF" w:rsidRDefault="00D06FFC" w:rsidP="0070730F">
      <w:pPr>
        <w:pStyle w:val="Heading3"/>
      </w:pPr>
      <w:r w:rsidRPr="00254BEF">
        <w:t>Metabolism</w:t>
      </w:r>
    </w:p>
    <w:p w:rsidR="008B5619" w:rsidRPr="008B5619" w:rsidRDefault="00912DB9" w:rsidP="00A70A0A">
      <w:pPr>
        <w:pStyle w:val="ListParagraph"/>
      </w:pPr>
      <w:r w:rsidRPr="00254BEF">
        <w:t xml:space="preserve">The metabolism of </w:t>
      </w:r>
      <w:proofErr w:type="spellStart"/>
      <w:r w:rsidRPr="00254BEF">
        <w:t>dabrafenib</w:t>
      </w:r>
      <w:proofErr w:type="spellEnd"/>
      <w:r w:rsidRPr="00254BEF">
        <w:t xml:space="preserve"> is primarily mediated by CYP2C8 and CYP3A4 to form </w:t>
      </w:r>
      <w:proofErr w:type="spellStart"/>
      <w:r w:rsidRPr="00254BEF">
        <w:t>hydroxy-dabrafenib</w:t>
      </w:r>
      <w:proofErr w:type="spellEnd"/>
      <w:r w:rsidRPr="00254BEF">
        <w:t>, which is further oxidized via CYP3A4 to for</w:t>
      </w:r>
      <w:r w:rsidR="008B5619">
        <w:t xml:space="preserve">m </w:t>
      </w:r>
      <w:proofErr w:type="spellStart"/>
      <w:r w:rsidR="008B5619">
        <w:t>carboxy-dabrafenib</w:t>
      </w:r>
      <w:proofErr w:type="spellEnd"/>
      <w:r w:rsidR="008B5619">
        <w:t xml:space="preserve">.  </w:t>
      </w:r>
      <w:proofErr w:type="spellStart"/>
      <w:r w:rsidR="008B5619">
        <w:t>C</w:t>
      </w:r>
      <w:r w:rsidRPr="00254BEF">
        <w:t>arboxy</w:t>
      </w:r>
      <w:r w:rsidR="008B5619">
        <w:t>-dabrafenib</w:t>
      </w:r>
      <w:proofErr w:type="spellEnd"/>
      <w:r w:rsidRPr="00254BEF">
        <w:t xml:space="preserve"> can be </w:t>
      </w:r>
      <w:proofErr w:type="spellStart"/>
      <w:r w:rsidRPr="00254BEF">
        <w:t>decarboxylated</w:t>
      </w:r>
      <w:proofErr w:type="spellEnd"/>
      <w:r w:rsidRPr="00254BEF">
        <w:t xml:space="preserve"> via a non-enzymatic process to form </w:t>
      </w:r>
      <w:proofErr w:type="spellStart"/>
      <w:r w:rsidRPr="00254BEF">
        <w:lastRenderedPageBreak/>
        <w:t>desmethyl-dabrafenib</w:t>
      </w:r>
      <w:proofErr w:type="spellEnd"/>
      <w:r w:rsidRPr="00254BEF">
        <w:t xml:space="preserve">.  </w:t>
      </w:r>
      <w:proofErr w:type="spellStart"/>
      <w:r w:rsidRPr="00254BEF">
        <w:t>Carboxy-dabrafenib</w:t>
      </w:r>
      <w:proofErr w:type="spellEnd"/>
      <w:r w:rsidRPr="00254BEF">
        <w:t xml:space="preserve"> is excreted in bile and urine. </w:t>
      </w:r>
      <w:proofErr w:type="spellStart"/>
      <w:r w:rsidRPr="00254BEF">
        <w:t>Desmethyl-dabrafenib</w:t>
      </w:r>
      <w:proofErr w:type="spellEnd"/>
      <w:r w:rsidRPr="00254BEF">
        <w:t xml:space="preserve"> </w:t>
      </w:r>
      <w:r w:rsidR="00BE7E9A">
        <w:t>may also be</w:t>
      </w:r>
      <w:r w:rsidRPr="00254BEF">
        <w:t xml:space="preserve"> formed in the gut</w:t>
      </w:r>
      <w:r w:rsidR="008B5619">
        <w:t xml:space="preserve"> and </w:t>
      </w:r>
      <w:r w:rsidRPr="00254BEF">
        <w:t>reabsorbed</w:t>
      </w:r>
      <w:r w:rsidR="008B5619">
        <w:t>.</w:t>
      </w:r>
      <w:r w:rsidRPr="00254BEF">
        <w:t xml:space="preserve"> </w:t>
      </w:r>
      <w:proofErr w:type="spellStart"/>
      <w:r w:rsidR="008B5619" w:rsidRPr="00AF5399">
        <w:t>Desmethyl-dabrafenib</w:t>
      </w:r>
      <w:proofErr w:type="spellEnd"/>
      <w:r w:rsidR="008B5619" w:rsidRPr="00AF5399">
        <w:t xml:space="preserve"> is metaboli</w:t>
      </w:r>
      <w:r w:rsidR="005D7273" w:rsidRPr="00AF5399">
        <w:t>s</w:t>
      </w:r>
      <w:r w:rsidR="008B5619" w:rsidRPr="00AF5399">
        <w:t>ed by CYP3A4 to oxidative metabolites.</w:t>
      </w:r>
      <w:r w:rsidR="008B5619" w:rsidRPr="00A70A0A">
        <w:t xml:space="preserve"> </w:t>
      </w:r>
      <w:proofErr w:type="spellStart"/>
      <w:r w:rsidR="008B5619" w:rsidRPr="00A70A0A">
        <w:t>Hydroxy-dabrafenib</w:t>
      </w:r>
      <w:proofErr w:type="spellEnd"/>
      <w:r w:rsidR="008B5619" w:rsidRPr="00A70A0A">
        <w:t xml:space="preserve"> terminal half-life parallels that of parent with a half-life of 10 h</w:t>
      </w:r>
      <w:r w:rsidR="00D25A0C">
        <w:t>ou</w:t>
      </w:r>
      <w:r w:rsidR="008B5619" w:rsidRPr="00A70A0A">
        <w:t xml:space="preserve">rs while the </w:t>
      </w:r>
      <w:proofErr w:type="spellStart"/>
      <w:r w:rsidR="008B5619" w:rsidRPr="00A70A0A">
        <w:t>carboxy</w:t>
      </w:r>
      <w:proofErr w:type="spellEnd"/>
      <w:r w:rsidR="008B5619" w:rsidRPr="00A70A0A">
        <w:t xml:space="preserve">- and </w:t>
      </w:r>
      <w:proofErr w:type="spellStart"/>
      <w:r w:rsidR="008B5619" w:rsidRPr="00A70A0A">
        <w:t>desmethyl</w:t>
      </w:r>
      <w:proofErr w:type="spellEnd"/>
      <w:r w:rsidR="008B5619" w:rsidRPr="00A70A0A">
        <w:t xml:space="preserve">-metabolites exhibited longer half-lives (21-22 hours). Mean metabolite to parent AUC ratios following repeat-dose administration were 0.9, 11 and 0.7 for </w:t>
      </w:r>
      <w:proofErr w:type="spellStart"/>
      <w:r w:rsidR="008B5619" w:rsidRPr="00A70A0A">
        <w:t>hydroxy</w:t>
      </w:r>
      <w:proofErr w:type="spellEnd"/>
      <w:r w:rsidR="008B5619" w:rsidRPr="00A70A0A">
        <w:t xml:space="preserve">-, </w:t>
      </w:r>
      <w:proofErr w:type="spellStart"/>
      <w:r w:rsidR="008B5619" w:rsidRPr="00A70A0A">
        <w:t>carboxy</w:t>
      </w:r>
      <w:proofErr w:type="spellEnd"/>
      <w:r w:rsidR="008B5619" w:rsidRPr="00A70A0A">
        <w:t xml:space="preserve">-, and </w:t>
      </w:r>
      <w:proofErr w:type="spellStart"/>
      <w:r w:rsidR="008B5619" w:rsidRPr="00A70A0A">
        <w:t>desmethyl-dabrafenib</w:t>
      </w:r>
      <w:proofErr w:type="spellEnd"/>
      <w:r w:rsidR="008B5619" w:rsidRPr="00A70A0A">
        <w:t xml:space="preserve">, respectively.  Based on exposure, relative potency, and pharmacokinetic properties, both </w:t>
      </w:r>
      <w:proofErr w:type="spellStart"/>
      <w:r w:rsidR="008B5619" w:rsidRPr="00A70A0A">
        <w:t>hydroxy</w:t>
      </w:r>
      <w:proofErr w:type="spellEnd"/>
      <w:r w:rsidR="008B5619" w:rsidRPr="00A70A0A">
        <w:t xml:space="preserve">- and </w:t>
      </w:r>
      <w:proofErr w:type="spellStart"/>
      <w:r w:rsidR="008B5619" w:rsidRPr="00A70A0A">
        <w:t>desmethyl-dabrafenib</w:t>
      </w:r>
      <w:proofErr w:type="spellEnd"/>
      <w:r w:rsidR="008B5619" w:rsidRPr="00A70A0A">
        <w:t xml:space="preserve"> are likely to contribute to the clinical activity of </w:t>
      </w:r>
      <w:proofErr w:type="spellStart"/>
      <w:r w:rsidR="008B5619" w:rsidRPr="00A70A0A">
        <w:t>dabrafenib</w:t>
      </w:r>
      <w:proofErr w:type="spellEnd"/>
      <w:r w:rsidR="008B5619" w:rsidRPr="00A70A0A">
        <w:t xml:space="preserve">; while the activity of </w:t>
      </w:r>
      <w:proofErr w:type="spellStart"/>
      <w:r w:rsidR="008B5619" w:rsidRPr="00A70A0A">
        <w:t>carboxy-dabrafenib</w:t>
      </w:r>
      <w:proofErr w:type="spellEnd"/>
      <w:r w:rsidR="008B5619" w:rsidRPr="00A70A0A">
        <w:t xml:space="preserve"> is not likely to be significant.</w:t>
      </w:r>
    </w:p>
    <w:p w:rsidR="00D06FFC" w:rsidRPr="00254BEF" w:rsidRDefault="00E81E59" w:rsidP="0070730F">
      <w:pPr>
        <w:pStyle w:val="Heading3"/>
      </w:pPr>
      <w:r w:rsidRPr="00254BEF">
        <w:t>Excretion</w:t>
      </w:r>
    </w:p>
    <w:p w:rsidR="0039761F" w:rsidRDefault="0093717D" w:rsidP="00A70A0A">
      <w:pPr>
        <w:pStyle w:val="ListParagraph"/>
      </w:pPr>
      <w:r w:rsidRPr="00254BEF">
        <w:t xml:space="preserve">Terminal half-life following IV </w:t>
      </w:r>
      <w:proofErr w:type="spellStart"/>
      <w:r w:rsidRPr="00254BEF">
        <w:t>microdose</w:t>
      </w:r>
      <w:proofErr w:type="spellEnd"/>
      <w:r w:rsidRPr="00254BEF">
        <w:t xml:space="preserve"> is 2.6 hours. </w:t>
      </w:r>
      <w:proofErr w:type="spellStart"/>
      <w:r w:rsidRPr="00254BEF">
        <w:t>Dabrafenib</w:t>
      </w:r>
      <w:proofErr w:type="spellEnd"/>
      <w:r w:rsidRPr="00254BEF">
        <w:t xml:space="preserve"> terminal half-life is 8 hours due to a prolonged terminal phase after oral administration.  IV </w:t>
      </w:r>
      <w:r w:rsidR="008B5619">
        <w:t xml:space="preserve">plasma </w:t>
      </w:r>
      <w:r w:rsidRPr="00254BEF">
        <w:t xml:space="preserve">clearance </w:t>
      </w:r>
      <w:r w:rsidR="00E47C91" w:rsidRPr="00E47C91">
        <w:t xml:space="preserve">after single dose </w:t>
      </w:r>
      <w:r w:rsidRPr="00254BEF">
        <w:t xml:space="preserve">is 12 L/hr. </w:t>
      </w:r>
      <w:r w:rsidR="00E47C91" w:rsidRPr="00E47C91">
        <w:t xml:space="preserve">Following repeat oral dose administration, the oral clearance (CL/F) is 35 L/hr.  </w:t>
      </w:r>
    </w:p>
    <w:p w:rsidR="0093717D" w:rsidRPr="00254BEF" w:rsidRDefault="0093717D" w:rsidP="00A70A0A">
      <w:pPr>
        <w:pStyle w:val="ListParagraph"/>
      </w:pPr>
      <w:r w:rsidRPr="00254BEF">
        <w:t>Faecal excretion is the major route of elimination after oral dose, accounting for 71</w:t>
      </w:r>
      <w:r w:rsidR="00D25A0C">
        <w:t>%</w:t>
      </w:r>
      <w:r w:rsidRPr="00254BEF">
        <w:t xml:space="preserve"> of a radioactive dose while urinary excretion accounted for </w:t>
      </w:r>
      <w:r w:rsidR="00AF5399" w:rsidRPr="00254BEF">
        <w:t>2</w:t>
      </w:r>
      <w:r w:rsidR="00AF5399">
        <w:t>3</w:t>
      </w:r>
      <w:r w:rsidR="00D25A0C">
        <w:t>%</w:t>
      </w:r>
      <w:r w:rsidRPr="00254BEF">
        <w:t xml:space="preserve"> of radioactivity as metabolites.</w:t>
      </w:r>
    </w:p>
    <w:p w:rsidR="00912DB9" w:rsidRPr="00254BEF" w:rsidRDefault="00912DB9" w:rsidP="0070730F">
      <w:pPr>
        <w:pStyle w:val="Heading3"/>
      </w:pPr>
      <w:r w:rsidRPr="00254BEF">
        <w:t>Special Patient Populations</w:t>
      </w:r>
    </w:p>
    <w:p w:rsidR="00281BB6" w:rsidRPr="0070730F" w:rsidRDefault="00912DB9" w:rsidP="00A70A0A">
      <w:pPr>
        <w:pStyle w:val="ListParagraph"/>
      </w:pPr>
      <w:r w:rsidRPr="0070730F">
        <w:rPr>
          <w:i/>
        </w:rPr>
        <w:t>Hepatic Impairment:</w:t>
      </w:r>
      <w:r w:rsidRPr="00254BEF">
        <w:t xml:space="preserve"> </w:t>
      </w:r>
      <w:r w:rsidR="00481F60" w:rsidRPr="00481F60">
        <w:rPr>
          <w:lang w:val="en-US"/>
        </w:rPr>
        <w:t xml:space="preserve">A population pharmacokinetic analysis indicates that mildly elevated </w:t>
      </w:r>
      <w:proofErr w:type="spellStart"/>
      <w:r w:rsidR="00481F60" w:rsidRPr="00481F60">
        <w:rPr>
          <w:lang w:val="en-US"/>
        </w:rPr>
        <w:t>bilirubin</w:t>
      </w:r>
      <w:proofErr w:type="spellEnd"/>
      <w:r w:rsidR="00481F60" w:rsidRPr="00481F60">
        <w:rPr>
          <w:lang w:val="en-US"/>
        </w:rPr>
        <w:t xml:space="preserve"> and/or AST levels</w:t>
      </w:r>
      <w:r w:rsidR="00281BB6" w:rsidRPr="00254BEF">
        <w:rPr>
          <w:rFonts w:eastAsia="MS Mincho"/>
          <w:lang w:eastAsia="ja-JP"/>
        </w:rPr>
        <w:t xml:space="preserve"> (based on National Cancer Institute [NCI] classification) </w:t>
      </w:r>
      <w:r w:rsidR="00481F60" w:rsidRPr="00481F60">
        <w:rPr>
          <w:rFonts w:eastAsia="MS Mincho"/>
          <w:lang w:eastAsia="ja-JP"/>
        </w:rPr>
        <w:t xml:space="preserve">do not significantly affect </w:t>
      </w:r>
      <w:proofErr w:type="spellStart"/>
      <w:r w:rsidR="00481F60" w:rsidRPr="00481F60">
        <w:rPr>
          <w:rFonts w:eastAsia="MS Mincho"/>
          <w:lang w:eastAsia="ja-JP"/>
        </w:rPr>
        <w:t>dabrafenib</w:t>
      </w:r>
      <w:proofErr w:type="spellEnd"/>
      <w:r w:rsidR="00281BB6" w:rsidRPr="00254BEF">
        <w:t xml:space="preserve"> oral clearance. </w:t>
      </w:r>
      <w:r w:rsidR="00281BB6" w:rsidRPr="00254BEF">
        <w:rPr>
          <w:rFonts w:eastAsia="MS Mincho"/>
          <w:lang w:eastAsia="ja-JP"/>
        </w:rPr>
        <w:t xml:space="preserve">In addition, mild hepatic impairment </w:t>
      </w:r>
      <w:r w:rsidR="00481F60" w:rsidRPr="00481F60">
        <w:rPr>
          <w:rFonts w:eastAsia="MS Mincho"/>
          <w:lang w:eastAsia="ja-JP"/>
        </w:rPr>
        <w:t xml:space="preserve">as defined by </w:t>
      </w:r>
      <w:proofErr w:type="spellStart"/>
      <w:r w:rsidR="00481F60" w:rsidRPr="00481F60">
        <w:rPr>
          <w:rFonts w:eastAsia="MS Mincho"/>
          <w:lang w:eastAsia="ja-JP"/>
        </w:rPr>
        <w:t>bilirubin</w:t>
      </w:r>
      <w:proofErr w:type="spellEnd"/>
      <w:r w:rsidR="00481F60" w:rsidRPr="00481F60">
        <w:rPr>
          <w:rFonts w:eastAsia="MS Mincho"/>
          <w:lang w:eastAsia="ja-JP"/>
        </w:rPr>
        <w:t xml:space="preserve"> and AST </w:t>
      </w:r>
      <w:r w:rsidR="00281BB6" w:rsidRPr="00254BEF">
        <w:rPr>
          <w:rFonts w:eastAsia="MS Mincho"/>
          <w:lang w:eastAsia="ja-JP"/>
        </w:rPr>
        <w:t xml:space="preserve">did not have a significant effect on </w:t>
      </w:r>
      <w:proofErr w:type="spellStart"/>
      <w:r w:rsidR="00281BB6" w:rsidRPr="00254BEF">
        <w:rPr>
          <w:rFonts w:eastAsia="MS Mincho"/>
          <w:lang w:eastAsia="ja-JP"/>
        </w:rPr>
        <w:t>dabrafenib</w:t>
      </w:r>
      <w:proofErr w:type="spellEnd"/>
      <w:r w:rsidR="00281BB6" w:rsidRPr="00254BEF">
        <w:rPr>
          <w:rFonts w:eastAsia="MS Mincho"/>
          <w:lang w:eastAsia="ja-JP"/>
        </w:rPr>
        <w:t xml:space="preserve"> metabolite plasma concentrations.</w:t>
      </w:r>
      <w:r w:rsidR="00481F60" w:rsidRPr="00481F60">
        <w:t xml:space="preserve"> </w:t>
      </w:r>
      <w:r w:rsidR="00481F60" w:rsidRPr="00481F60">
        <w:rPr>
          <w:rFonts w:eastAsia="MS Mincho"/>
          <w:lang w:eastAsia="ja-JP"/>
        </w:rPr>
        <w:t xml:space="preserve">No data are available in patients with moderate to severe hepatic impairment. As hepatic metabolism and </w:t>
      </w:r>
      <w:proofErr w:type="spellStart"/>
      <w:r w:rsidR="00481F60" w:rsidRPr="00481F60">
        <w:rPr>
          <w:rFonts w:eastAsia="MS Mincho"/>
          <w:lang w:eastAsia="ja-JP"/>
        </w:rPr>
        <w:t>biliary</w:t>
      </w:r>
      <w:proofErr w:type="spellEnd"/>
      <w:r w:rsidR="00481F60" w:rsidRPr="00481F60">
        <w:rPr>
          <w:rFonts w:eastAsia="MS Mincho"/>
          <w:lang w:eastAsia="ja-JP"/>
        </w:rPr>
        <w:t xml:space="preserve"> secretion are the primary routes of elimination of </w:t>
      </w:r>
      <w:proofErr w:type="spellStart"/>
      <w:r w:rsidR="00481F60" w:rsidRPr="00481F60">
        <w:rPr>
          <w:rFonts w:eastAsia="MS Mincho"/>
          <w:lang w:eastAsia="ja-JP"/>
        </w:rPr>
        <w:t>dabrafenib</w:t>
      </w:r>
      <w:proofErr w:type="spellEnd"/>
      <w:r w:rsidR="00481F60" w:rsidRPr="00481F60">
        <w:rPr>
          <w:rFonts w:eastAsia="MS Mincho"/>
          <w:lang w:eastAsia="ja-JP"/>
        </w:rPr>
        <w:t xml:space="preserve"> and its metabolites, a</w:t>
      </w:r>
      <w:r w:rsidR="00281BB6" w:rsidRPr="00254BEF">
        <w:t xml:space="preserve">dministration of </w:t>
      </w:r>
      <w:proofErr w:type="spellStart"/>
      <w:r w:rsidR="00281BB6" w:rsidRPr="00254BEF">
        <w:t>dabrafenib</w:t>
      </w:r>
      <w:proofErr w:type="spellEnd"/>
      <w:r w:rsidR="00281BB6" w:rsidRPr="00254BEF">
        <w:t xml:space="preserve"> should be undertaken with caution in patients with moderate to severe hepatic impairment (</w:t>
      </w:r>
      <w:r w:rsidR="00281BB6" w:rsidRPr="0039761F">
        <w:t>see</w:t>
      </w:r>
      <w:r w:rsidR="00281BB6" w:rsidRPr="00254BEF">
        <w:rPr>
          <w:i/>
        </w:rPr>
        <w:t xml:space="preserve"> </w:t>
      </w:r>
      <w:r w:rsidR="003E212D" w:rsidRPr="003E212D">
        <w:t>DOSAGE AND ADMINISTRATION</w:t>
      </w:r>
      <w:r w:rsidR="00281BB6" w:rsidRPr="00254BEF">
        <w:rPr>
          <w:i/>
        </w:rPr>
        <w:t>).</w:t>
      </w:r>
    </w:p>
    <w:p w:rsidR="00912DB9" w:rsidRPr="00D74C63" w:rsidRDefault="00912DB9" w:rsidP="00A70A0A">
      <w:pPr>
        <w:pStyle w:val="ListParagraph"/>
        <w:rPr>
          <w:lang w:val="en-US"/>
        </w:rPr>
      </w:pPr>
      <w:r w:rsidRPr="0070730F">
        <w:rPr>
          <w:i/>
        </w:rPr>
        <w:t>Renal Impairment:</w:t>
      </w:r>
      <w:r w:rsidRPr="00D74C63">
        <w:t xml:space="preserve">  </w:t>
      </w:r>
      <w:r w:rsidR="00481F60" w:rsidRPr="00481F60">
        <w:t xml:space="preserve">A population pharmacokinetic analysis suggests that mild renal impairment does not affect oral clearance of </w:t>
      </w:r>
      <w:proofErr w:type="spellStart"/>
      <w:r w:rsidR="00481F60" w:rsidRPr="00481F60">
        <w:t>dabrafenib</w:t>
      </w:r>
      <w:proofErr w:type="spellEnd"/>
      <w:r w:rsidR="00481F60" w:rsidRPr="00481F60">
        <w:t>. Although data in moderate renal impairment are limited these data may indicate no clinically relevant effect</w:t>
      </w:r>
      <w:r w:rsidRPr="00D74C63">
        <w:rPr>
          <w:rFonts w:eastAsia="MS Mincho"/>
          <w:lang w:eastAsia="ja-JP"/>
        </w:rPr>
        <w:t xml:space="preserve"> No data are available in subjects with severe renal impairment</w:t>
      </w:r>
      <w:r w:rsidRPr="00D74C63">
        <w:rPr>
          <w:i/>
        </w:rPr>
        <w:t xml:space="preserve"> (</w:t>
      </w:r>
      <w:r w:rsidRPr="00D74C63">
        <w:t>see</w:t>
      </w:r>
      <w:r w:rsidRPr="00D74C63">
        <w:rPr>
          <w:i/>
        </w:rPr>
        <w:t xml:space="preserve"> </w:t>
      </w:r>
      <w:r w:rsidR="003E212D" w:rsidRPr="003E212D">
        <w:t>DOSAGE AND ADMINISTRATION</w:t>
      </w:r>
      <w:r w:rsidRPr="00D74C63">
        <w:rPr>
          <w:i/>
        </w:rPr>
        <w:t>).</w:t>
      </w:r>
    </w:p>
    <w:p w:rsidR="00281BB6" w:rsidRPr="00254BEF" w:rsidRDefault="00912DB9" w:rsidP="00A70A0A">
      <w:pPr>
        <w:pStyle w:val="ListParagraph"/>
      </w:pPr>
      <w:r w:rsidRPr="0070730F">
        <w:rPr>
          <w:i/>
        </w:rPr>
        <w:t>Age:</w:t>
      </w:r>
      <w:r w:rsidRPr="0070730F">
        <w:t xml:space="preserve"> </w:t>
      </w:r>
      <w:r w:rsidRPr="00D74C63">
        <w:t xml:space="preserve"> Based on the population </w:t>
      </w:r>
      <w:r w:rsidRPr="00D74C63">
        <w:rPr>
          <w:lang w:val="en-US"/>
        </w:rPr>
        <w:t xml:space="preserve">pharmacokinetic analysis, age had no significant effect on </w:t>
      </w:r>
      <w:proofErr w:type="spellStart"/>
      <w:r w:rsidRPr="00D74C63">
        <w:rPr>
          <w:lang w:val="en-US"/>
        </w:rPr>
        <w:t>dabrafenib</w:t>
      </w:r>
      <w:proofErr w:type="spellEnd"/>
      <w:r w:rsidRPr="00D74C63">
        <w:rPr>
          <w:lang w:val="en-US"/>
        </w:rPr>
        <w:t xml:space="preserve"> pharmacokinetics. Age greater than 75 years </w:t>
      </w:r>
      <w:r w:rsidRPr="00D74C63">
        <w:t xml:space="preserve">was a significant predictor of </w:t>
      </w:r>
      <w:proofErr w:type="spellStart"/>
      <w:r w:rsidRPr="00D74C63">
        <w:t>carboxy</w:t>
      </w:r>
      <w:proofErr w:type="spellEnd"/>
      <w:r w:rsidRPr="00D74C63">
        <w:t xml:space="preserve">- and </w:t>
      </w:r>
      <w:proofErr w:type="spellStart"/>
      <w:r w:rsidRPr="00D74C63">
        <w:t>desmethyl-dabrafenib</w:t>
      </w:r>
      <w:proofErr w:type="spellEnd"/>
      <w:r w:rsidRPr="00D74C63">
        <w:t xml:space="preserve"> </w:t>
      </w:r>
      <w:r w:rsidR="0039761F" w:rsidRPr="00D74C63">
        <w:t xml:space="preserve">plasma </w:t>
      </w:r>
      <w:r w:rsidRPr="00D74C63">
        <w:t>concentrations with a 40</w:t>
      </w:r>
      <w:r w:rsidR="00D25A0C">
        <w:t>%</w:t>
      </w:r>
      <w:r w:rsidRPr="00D74C63">
        <w:t xml:space="preserve"> greater exposure</w:t>
      </w:r>
      <w:r w:rsidRPr="00254BEF">
        <w:t xml:space="preserve"> in subjects ≥ 75 years of age, relative to subjects &lt; 75 years old. </w:t>
      </w:r>
    </w:p>
    <w:p w:rsidR="00912DB9" w:rsidRPr="00254BEF" w:rsidRDefault="00912DB9" w:rsidP="00A70A0A">
      <w:pPr>
        <w:pStyle w:val="ListParagraph"/>
        <w:rPr>
          <w:lang w:val="en-US"/>
        </w:rPr>
      </w:pPr>
      <w:r w:rsidRPr="0070730F">
        <w:rPr>
          <w:i/>
        </w:rPr>
        <w:t>Body Weight and Gender:</w:t>
      </w:r>
      <w:r w:rsidRPr="0070730F">
        <w:t xml:space="preserve">  </w:t>
      </w:r>
      <w:r w:rsidRPr="00254BEF">
        <w:t xml:space="preserve">Based on the population </w:t>
      </w:r>
      <w:r w:rsidRPr="00254BEF">
        <w:rPr>
          <w:lang w:val="en-US"/>
        </w:rPr>
        <w:t xml:space="preserve">pharmacokinetic analysis, </w:t>
      </w:r>
      <w:r w:rsidRPr="00254BEF">
        <w:t xml:space="preserve">gender and weight were found to influence </w:t>
      </w:r>
      <w:proofErr w:type="spellStart"/>
      <w:r w:rsidRPr="00254BEF">
        <w:t>dabrafenib</w:t>
      </w:r>
      <w:proofErr w:type="spellEnd"/>
      <w:r w:rsidRPr="00254BEF">
        <w:t xml:space="preserve"> oral clearance; weight also impacted oral volume of distribution and distributional clearance. These pharmacokinetic differences were not considered clinically relevant</w:t>
      </w:r>
      <w:r w:rsidRPr="00A112EC">
        <w:t>.</w:t>
      </w:r>
    </w:p>
    <w:p w:rsidR="00912DB9" w:rsidRPr="00254BEF" w:rsidRDefault="00912DB9" w:rsidP="00A70A0A">
      <w:pPr>
        <w:pStyle w:val="ListParagraph"/>
        <w:rPr>
          <w:lang w:eastAsia="en-US"/>
        </w:rPr>
      </w:pPr>
      <w:r w:rsidRPr="0070730F">
        <w:rPr>
          <w:bCs/>
          <w:i/>
          <w:iCs/>
          <w:lang w:eastAsia="en-US"/>
        </w:rPr>
        <w:t>Race</w:t>
      </w:r>
      <w:r w:rsidRPr="0070730F">
        <w:rPr>
          <w:bCs/>
          <w:i/>
          <w:lang w:eastAsia="en-US"/>
        </w:rPr>
        <w:t>:</w:t>
      </w:r>
      <w:r w:rsidRPr="0070730F">
        <w:t xml:space="preserve">  </w:t>
      </w:r>
      <w:r w:rsidRPr="00254BEF">
        <w:rPr>
          <w:lang w:eastAsia="en-US"/>
        </w:rPr>
        <w:t xml:space="preserve">There are insufficient data to evaluate the potential effect of race on </w:t>
      </w:r>
      <w:proofErr w:type="spellStart"/>
      <w:r w:rsidRPr="00254BEF">
        <w:rPr>
          <w:lang w:eastAsia="en-US"/>
        </w:rPr>
        <w:t>dabrafenib</w:t>
      </w:r>
      <w:proofErr w:type="spellEnd"/>
      <w:r w:rsidRPr="00254BEF">
        <w:rPr>
          <w:lang w:eastAsia="en-US"/>
        </w:rPr>
        <w:t xml:space="preserve"> pharmacokinetics.</w:t>
      </w:r>
    </w:p>
    <w:p w:rsidR="00E8070F" w:rsidRPr="00254BEF" w:rsidRDefault="00E8070F" w:rsidP="0070730F">
      <w:pPr>
        <w:pStyle w:val="ListParagraph"/>
      </w:pPr>
    </w:p>
    <w:p w:rsidR="0077380F" w:rsidRPr="0070730F" w:rsidRDefault="0077380F" w:rsidP="0070730F">
      <w:pPr>
        <w:pStyle w:val="Heading1"/>
      </w:pPr>
      <w:r w:rsidRPr="0070730F">
        <w:t>CLINICAL TRIALS</w:t>
      </w:r>
    </w:p>
    <w:p w:rsidR="00E8156F" w:rsidRPr="00254BEF" w:rsidRDefault="00E8156F" w:rsidP="0070730F">
      <w:pPr>
        <w:pStyle w:val="ListParagraph"/>
      </w:pPr>
      <w:r w:rsidRPr="00254BEF">
        <w:t xml:space="preserve">The efficacy of </w:t>
      </w:r>
      <w:r w:rsidR="005D1137">
        <w:t>TAFINLAR</w:t>
      </w:r>
      <w:r w:rsidRPr="00254BEF">
        <w:t xml:space="preserve"> in </w:t>
      </w:r>
      <w:r w:rsidRPr="00254BEF">
        <w:rPr>
          <w:noProof/>
        </w:rPr>
        <w:t>the treatment of adult patients with BRAF</w:t>
      </w:r>
      <w:r w:rsidRPr="00353192">
        <w:rPr>
          <w:noProof/>
          <w:vertAlign w:val="superscript"/>
        </w:rPr>
        <w:t xml:space="preserve">V600 </w:t>
      </w:r>
      <w:r w:rsidRPr="00254BEF">
        <w:rPr>
          <w:noProof/>
        </w:rPr>
        <w:t>mutation positive unresectable or metastatic melanoma</w:t>
      </w:r>
      <w:r w:rsidRPr="00254BEF">
        <w:t xml:space="preserve"> has been evaluated in 3 studies (BRF113683 [BREAK-3], BRF113710 [BREAK-2] and BRF113929</w:t>
      </w:r>
      <w:r w:rsidRPr="00254BEF" w:rsidDel="00DD20C2">
        <w:t xml:space="preserve"> </w:t>
      </w:r>
      <w:r w:rsidRPr="00254BEF">
        <w:t>[BREAK-MB</w:t>
      </w:r>
      <w:r w:rsidR="00815E4A" w:rsidRPr="00254BEF">
        <w:t>])</w:t>
      </w:r>
      <w:r w:rsidRPr="00254BEF">
        <w:t>.</w:t>
      </w:r>
      <w:r w:rsidR="005D1137">
        <w:t xml:space="preserve"> </w:t>
      </w:r>
      <w:r w:rsidR="005D1137" w:rsidRPr="005D1137">
        <w:t xml:space="preserve">Included </w:t>
      </w:r>
      <w:r w:rsidR="005D1137" w:rsidRPr="005D1137">
        <w:lastRenderedPageBreak/>
        <w:t xml:space="preserve">in these studies were in total 402 subjects with BRAF V600E and 49 subjects with BRAF V600K mutation. </w:t>
      </w:r>
      <w:r w:rsidR="00697EF8" w:rsidRPr="00697EF8">
        <w:t xml:space="preserve">Patients with evidence of active CNS disease (e.g. </w:t>
      </w:r>
      <w:proofErr w:type="spellStart"/>
      <w:r w:rsidR="00697EF8" w:rsidRPr="00697EF8">
        <w:t>radiographically</w:t>
      </w:r>
      <w:proofErr w:type="spellEnd"/>
      <w:r w:rsidR="00697EF8" w:rsidRPr="00697EF8">
        <w:t xml:space="preserve"> unstable or with symptomatic lesions) </w:t>
      </w:r>
      <w:r w:rsidR="00596446" w:rsidRPr="00596446">
        <w:t xml:space="preserve">and those with disease progression in the brain in the last 3 months </w:t>
      </w:r>
      <w:r w:rsidR="00697EF8" w:rsidRPr="00697EF8">
        <w:t>were excluded from the pivotal Phase III study.</w:t>
      </w:r>
    </w:p>
    <w:p w:rsidR="00E8156F" w:rsidRPr="00254BEF" w:rsidRDefault="00281BB6" w:rsidP="0070730F">
      <w:pPr>
        <w:pStyle w:val="Heading3"/>
      </w:pPr>
      <w:r w:rsidRPr="00254BEF">
        <w:t>Previously untreated patients</w:t>
      </w:r>
      <w:r w:rsidR="009E041D">
        <w:t xml:space="preserve"> (Results from the p</w:t>
      </w:r>
      <w:r w:rsidR="0066416F">
        <w:t>hase III</w:t>
      </w:r>
      <w:r w:rsidR="009E041D">
        <w:t xml:space="preserve"> study</w:t>
      </w:r>
      <w:r w:rsidR="0066416F">
        <w:t xml:space="preserve"> BREAK-3)</w:t>
      </w:r>
    </w:p>
    <w:p w:rsidR="00281BB6" w:rsidRPr="00353192" w:rsidRDefault="00281BB6" w:rsidP="0070730F">
      <w:pPr>
        <w:pStyle w:val="ListParagraph"/>
        <w:rPr>
          <w:i/>
          <w:noProof/>
        </w:rPr>
      </w:pPr>
      <w:r w:rsidRPr="00254BEF">
        <w:t xml:space="preserve">The efficacy and safety of </w:t>
      </w:r>
      <w:proofErr w:type="spellStart"/>
      <w:r w:rsidRPr="00254BEF">
        <w:t>dabrafenib</w:t>
      </w:r>
      <w:proofErr w:type="spellEnd"/>
      <w:r w:rsidRPr="00254BEF">
        <w:t xml:space="preserve"> were evaluated in a Phase III randomi</w:t>
      </w:r>
      <w:r w:rsidR="005D7273">
        <w:t>s</w:t>
      </w:r>
      <w:r w:rsidRPr="00254BEF">
        <w:t xml:space="preserve">ed, open-label study [BREAK-3] comparing </w:t>
      </w:r>
      <w:proofErr w:type="spellStart"/>
      <w:r w:rsidRPr="00254BEF">
        <w:t>dabrafenib</w:t>
      </w:r>
      <w:proofErr w:type="spellEnd"/>
      <w:r w:rsidRPr="00254BEF">
        <w:t xml:space="preserve"> to </w:t>
      </w:r>
      <w:proofErr w:type="spellStart"/>
      <w:r w:rsidRPr="00254BEF">
        <w:t>dacarbazine</w:t>
      </w:r>
      <w:proofErr w:type="spellEnd"/>
      <w:r w:rsidRPr="00254BEF">
        <w:t xml:space="preserve"> (DTIC) in previous</w:t>
      </w:r>
      <w:r w:rsidR="00815E4A" w:rsidRPr="00254BEF">
        <w:t>ly untreated patients with BRAF</w:t>
      </w:r>
      <w:r w:rsidRPr="00254BEF">
        <w:rPr>
          <w:vertAlign w:val="superscript"/>
        </w:rPr>
        <w:t>V600E</w:t>
      </w:r>
      <w:r w:rsidRPr="00254BEF">
        <w:t xml:space="preserve"> mutation positive advanced (</w:t>
      </w:r>
      <w:proofErr w:type="spellStart"/>
      <w:r w:rsidRPr="00254BEF">
        <w:t>unresectable</w:t>
      </w:r>
      <w:proofErr w:type="spellEnd"/>
      <w:r w:rsidRPr="00254BEF">
        <w:t xml:space="preserve"> Stage III) or metastatic (Stage IV) melanoma.</w:t>
      </w:r>
      <w:r w:rsidR="00353192">
        <w:t xml:space="preserve"> </w:t>
      </w:r>
      <w:r w:rsidR="00353192" w:rsidRPr="00D74C63">
        <w:t>Screening included central testing of BRAF mutation V600E using a BRAF mutation assay conducted on the most recent tumour sample available.</w:t>
      </w:r>
    </w:p>
    <w:p w:rsidR="00281BB6" w:rsidRPr="00254BEF" w:rsidRDefault="00281BB6" w:rsidP="00A70A0A">
      <w:pPr>
        <w:pStyle w:val="ListParagraph"/>
      </w:pPr>
      <w:r w:rsidRPr="00254BEF">
        <w:t>The trial enrolled 250 patients randomi</w:t>
      </w:r>
      <w:r w:rsidR="005D7273">
        <w:t>s</w:t>
      </w:r>
      <w:r w:rsidRPr="00254BEF">
        <w:t xml:space="preserve">ed 3:1 to receive either </w:t>
      </w:r>
      <w:proofErr w:type="spellStart"/>
      <w:r w:rsidRPr="00254BEF">
        <w:t>dabrafenib</w:t>
      </w:r>
      <w:proofErr w:type="spellEnd"/>
      <w:r w:rsidRPr="00254BEF">
        <w:t xml:space="preserve"> 150 mg twice daily or  intravenous DTIC 1000 mg/m</w:t>
      </w:r>
      <w:r w:rsidRPr="00254BEF">
        <w:rPr>
          <w:vertAlign w:val="superscript"/>
        </w:rPr>
        <w:t>2</w:t>
      </w:r>
      <w:r w:rsidRPr="00254BEF">
        <w:t xml:space="preserve"> every 3 weeks.  The primary objective for this study was to evaluate the efficacy of </w:t>
      </w:r>
      <w:proofErr w:type="spellStart"/>
      <w:r w:rsidRPr="00254BEF">
        <w:t>dabrafenib</w:t>
      </w:r>
      <w:proofErr w:type="spellEnd"/>
      <w:r w:rsidRPr="00254BEF">
        <w:t xml:space="preserve"> compared to DTIC with respect to progression-free surviv</w:t>
      </w:r>
      <w:r w:rsidR="00815E4A" w:rsidRPr="00254BEF">
        <w:t xml:space="preserve">al (PFS) </w:t>
      </w:r>
      <w:r w:rsidR="00DB4E63">
        <w:t xml:space="preserve">per investigator assessment </w:t>
      </w:r>
      <w:r w:rsidR="00815E4A" w:rsidRPr="00254BEF">
        <w:t>for patients with BRAF</w:t>
      </w:r>
      <w:r w:rsidRPr="00254BEF">
        <w:rPr>
          <w:vertAlign w:val="superscript"/>
        </w:rPr>
        <w:t>V600E</w:t>
      </w:r>
      <w:r w:rsidRPr="00254BEF">
        <w:t xml:space="preserve"> mutation positive metastatic melanoma. Patients on the DTIC arm were allowed to </w:t>
      </w:r>
      <w:r w:rsidR="005D1137">
        <w:t xml:space="preserve">cross over and </w:t>
      </w:r>
      <w:r w:rsidRPr="00254BEF">
        <w:t xml:space="preserve">receive </w:t>
      </w:r>
      <w:proofErr w:type="spellStart"/>
      <w:r w:rsidRPr="00254BEF">
        <w:t>dabrafenib</w:t>
      </w:r>
      <w:proofErr w:type="spellEnd"/>
      <w:r w:rsidRPr="00254BEF">
        <w:t xml:space="preserve"> after independent radiographic confirmation of initial progression. Baseline characteristics were balanced between treatment groups. Sixty percent of patients were male and 99.6% were Caucasian ; the median age was 52 years with 21</w:t>
      </w:r>
      <w:r w:rsidR="00D25A0C">
        <w:t>%</w:t>
      </w:r>
      <w:r w:rsidRPr="00254BEF">
        <w:t xml:space="preserve"> of patients being ≥ 65 years, 98.4</w:t>
      </w:r>
      <w:r w:rsidR="00D25A0C">
        <w:t>%</w:t>
      </w:r>
      <w:r w:rsidRPr="00254BEF">
        <w:t xml:space="preserve"> had ECOG status of 0 or 1, and 97</w:t>
      </w:r>
      <w:r w:rsidR="00D25A0C">
        <w:t>%</w:t>
      </w:r>
      <w:r w:rsidRPr="00254BEF">
        <w:t xml:space="preserve"> of patients had metastatic disease.</w:t>
      </w:r>
    </w:p>
    <w:p w:rsidR="00785641" w:rsidRPr="00C224CD" w:rsidRDefault="005D1137" w:rsidP="0070730F">
      <w:pPr>
        <w:pStyle w:val="ListParagraph"/>
      </w:pPr>
      <w:r>
        <w:t xml:space="preserve">At the pre-specified analysis with a 19 December 2011 data cut, a significant improvement in the primary endpoint of PFS (HR = 0.30; 95% CI 0.18, 0.51; p&lt; 0.0001) was achieved. PFS from the primary analysis is shown in </w:t>
      </w:r>
      <w:r w:rsidR="00F57809">
        <w:fldChar w:fldCharType="begin"/>
      </w:r>
      <w:r w:rsidR="00D86F61">
        <w:instrText xml:space="preserve"> REF _Ref354736444 \h </w:instrText>
      </w:r>
      <w:r w:rsidR="00F57809">
        <w:fldChar w:fldCharType="separate"/>
      </w:r>
      <w:r w:rsidR="00D86F61">
        <w:t xml:space="preserve">Figure </w:t>
      </w:r>
      <w:r w:rsidR="00D86F61">
        <w:rPr>
          <w:noProof/>
        </w:rPr>
        <w:t>1</w:t>
      </w:r>
      <w:r w:rsidR="00F57809">
        <w:fldChar w:fldCharType="end"/>
      </w:r>
      <w:r>
        <w:t xml:space="preserve">. </w:t>
      </w:r>
      <w:r w:rsidR="00281BB6" w:rsidRPr="00254BEF">
        <w:t xml:space="preserve">Efficacy results </w:t>
      </w:r>
      <w:r>
        <w:t xml:space="preserve">from a post-hoc analysis with 6-months additional follow-up </w:t>
      </w:r>
      <w:r w:rsidR="00281BB6" w:rsidRPr="00254BEF">
        <w:t>are summari</w:t>
      </w:r>
      <w:r w:rsidR="005D7273">
        <w:t>s</w:t>
      </w:r>
      <w:r w:rsidR="00281BB6" w:rsidRPr="00254BEF">
        <w:t xml:space="preserve">ed in Table </w:t>
      </w:r>
      <w:r w:rsidR="000A6D13" w:rsidRPr="00254BEF">
        <w:t>1</w:t>
      </w:r>
      <w:r w:rsidR="00281BB6" w:rsidRPr="00254BEF">
        <w:t>.</w:t>
      </w:r>
      <w:r>
        <w:t xml:space="preserve"> Overall survival data from a further post-hoc analysis based on an 18 December 2012 data cut is provided in </w:t>
      </w:r>
      <w:r w:rsidR="000012F7">
        <w:t xml:space="preserve">Table 2 </w:t>
      </w:r>
      <w:r>
        <w:t xml:space="preserve">and shown in </w:t>
      </w:r>
      <w:r w:rsidR="00F57809">
        <w:fldChar w:fldCharType="begin"/>
      </w:r>
      <w:r w:rsidR="00D86F61">
        <w:instrText xml:space="preserve"> REF _Ref354736621 \h </w:instrText>
      </w:r>
      <w:r w:rsidR="00F57809">
        <w:fldChar w:fldCharType="separate"/>
      </w:r>
      <w:r w:rsidR="00D86F61">
        <w:t xml:space="preserve">Figure </w:t>
      </w:r>
      <w:r w:rsidR="00D86F61">
        <w:rPr>
          <w:noProof/>
        </w:rPr>
        <w:t>2</w:t>
      </w:r>
      <w:r w:rsidR="00F57809">
        <w:fldChar w:fldCharType="end"/>
      </w:r>
      <w:r>
        <w:t xml:space="preserve">. </w:t>
      </w:r>
    </w:p>
    <w:p w:rsidR="00D86F61" w:rsidRDefault="00D86F61" w:rsidP="00D86F61">
      <w:pPr>
        <w:pStyle w:val="Caption"/>
      </w:pPr>
      <w:r>
        <w:t xml:space="preserve">Table </w:t>
      </w:r>
      <w:fldSimple w:instr=" SEQ Table \* ARABIC ">
        <w:r w:rsidR="00A36833">
          <w:rPr>
            <w:noProof/>
          </w:rPr>
          <w:t>1</w:t>
        </w:r>
      </w:fldSimple>
      <w:r>
        <w:t>:</w:t>
      </w:r>
      <w:r w:rsidRPr="0070730F">
        <w:rPr>
          <w:rFonts w:cs="Arial"/>
          <w:szCs w:val="22"/>
        </w:rPr>
        <w:t xml:space="preserve"> </w:t>
      </w:r>
      <w:r w:rsidRPr="00C224CD">
        <w:rPr>
          <w:rFonts w:cs="Arial"/>
          <w:szCs w:val="22"/>
        </w:rPr>
        <w:t xml:space="preserve">Efficacy </w:t>
      </w:r>
      <w:r>
        <w:rPr>
          <w:rFonts w:cs="Arial"/>
          <w:szCs w:val="22"/>
        </w:rPr>
        <w:t>in previously untreated patients</w:t>
      </w:r>
      <w:r w:rsidRPr="00C224CD">
        <w:rPr>
          <w:rFonts w:cs="Arial"/>
          <w:szCs w:val="22"/>
        </w:rPr>
        <w:t xml:space="preserve"> </w:t>
      </w:r>
      <w:r>
        <w:rPr>
          <w:rFonts w:cs="Arial"/>
          <w:szCs w:val="22"/>
        </w:rPr>
        <w:t>(</w:t>
      </w:r>
      <w:r w:rsidRPr="00C224CD">
        <w:rPr>
          <w:rFonts w:cs="Arial"/>
          <w:szCs w:val="22"/>
        </w:rPr>
        <w:t>BREAK-3 study</w:t>
      </w:r>
      <w:r>
        <w:rPr>
          <w:rFonts w:cs="Arial"/>
          <w:szCs w:val="22"/>
        </w:rPr>
        <w:t>,</w:t>
      </w:r>
      <w:r w:rsidR="00B94D46">
        <w:rPr>
          <w:rFonts w:cs="Arial"/>
          <w:szCs w:val="22"/>
        </w:rPr>
        <w:t xml:space="preserve"> 25 June 2012</w:t>
      </w:r>
      <w:r>
        <w:rPr>
          <w:rFonts w:cs="Arial"/>
          <w:szCs w:val="22"/>
        </w:rPr>
        <w:t>)</w:t>
      </w:r>
    </w:p>
    <w:tbl>
      <w:tblPr>
        <w:tblW w:w="4940" w:type="pct"/>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3598"/>
        <w:gridCol w:w="2664"/>
        <w:gridCol w:w="2671"/>
      </w:tblGrid>
      <w:tr w:rsidR="00785641" w:rsidRPr="00C224CD" w:rsidTr="00785641">
        <w:tc>
          <w:tcPr>
            <w:tcW w:w="2014" w:type="pct"/>
            <w:tcBorders>
              <w:top w:val="single" w:sz="4" w:space="0" w:color="auto"/>
              <w:bottom w:val="single" w:sz="4" w:space="0" w:color="auto"/>
            </w:tcBorders>
            <w:shd w:val="clear" w:color="auto" w:fill="auto"/>
            <w:hideMark/>
          </w:tcPr>
          <w:p w:rsidR="00785641" w:rsidRPr="00C224CD" w:rsidRDefault="00785641" w:rsidP="00785641">
            <w:pPr>
              <w:keepNext/>
              <w:rPr>
                <w:rFonts w:ascii="Arial" w:hAnsi="Arial" w:cs="Arial"/>
                <w:b/>
                <w:sz w:val="22"/>
                <w:szCs w:val="22"/>
              </w:rPr>
            </w:pPr>
          </w:p>
        </w:tc>
        <w:tc>
          <w:tcPr>
            <w:tcW w:w="2986" w:type="pct"/>
            <w:gridSpan w:val="2"/>
            <w:tcBorders>
              <w:top w:val="single" w:sz="4" w:space="0" w:color="auto"/>
              <w:bottom w:val="single" w:sz="4" w:space="0" w:color="auto"/>
            </w:tcBorders>
            <w:shd w:val="clear" w:color="auto" w:fill="auto"/>
            <w:vAlign w:val="center"/>
            <w:hideMark/>
          </w:tcPr>
          <w:p w:rsidR="00785641" w:rsidRPr="00C224CD" w:rsidRDefault="00785641" w:rsidP="00785641">
            <w:pPr>
              <w:keepNext/>
              <w:jc w:val="center"/>
              <w:rPr>
                <w:rFonts w:ascii="Arial" w:eastAsia="MS Mincho" w:hAnsi="Arial" w:cs="Arial"/>
                <w:b/>
                <w:sz w:val="22"/>
                <w:szCs w:val="22"/>
                <w:lang w:val="en-US"/>
              </w:rPr>
            </w:pPr>
            <w:r w:rsidRPr="00C224CD">
              <w:rPr>
                <w:rFonts w:ascii="Arial" w:eastAsia="MS Mincho" w:hAnsi="Arial" w:cs="Arial"/>
                <w:b/>
                <w:sz w:val="22"/>
                <w:szCs w:val="22"/>
                <w:lang w:val="en-US"/>
              </w:rPr>
              <w:t>Intention-to-Treat Population</w:t>
            </w:r>
          </w:p>
        </w:tc>
      </w:tr>
      <w:tr w:rsidR="00785641" w:rsidRPr="00C224CD" w:rsidTr="00785641">
        <w:tc>
          <w:tcPr>
            <w:tcW w:w="2014" w:type="pct"/>
            <w:tcBorders>
              <w:top w:val="single" w:sz="4" w:space="0" w:color="auto"/>
              <w:bottom w:val="single" w:sz="4" w:space="0" w:color="auto"/>
            </w:tcBorders>
            <w:shd w:val="clear" w:color="auto" w:fill="auto"/>
            <w:hideMark/>
          </w:tcPr>
          <w:p w:rsidR="00785641" w:rsidRPr="00C224CD" w:rsidRDefault="00785641" w:rsidP="00785641">
            <w:pPr>
              <w:keepNext/>
              <w:rPr>
                <w:rFonts w:ascii="Arial" w:hAnsi="Arial" w:cs="Arial"/>
                <w:b/>
              </w:rPr>
            </w:pPr>
            <w:r w:rsidRPr="00C224CD">
              <w:rPr>
                <w:rFonts w:ascii="Arial" w:eastAsia="MS Mincho" w:hAnsi="Arial" w:cs="Arial"/>
                <w:b/>
                <w:lang w:val="en-US"/>
              </w:rPr>
              <w:t>Endpoints/ Assessment</w:t>
            </w:r>
          </w:p>
        </w:tc>
        <w:tc>
          <w:tcPr>
            <w:tcW w:w="1491" w:type="pct"/>
            <w:tcBorders>
              <w:top w:val="single" w:sz="4" w:space="0" w:color="auto"/>
              <w:bottom w:val="single" w:sz="4" w:space="0" w:color="auto"/>
            </w:tcBorders>
            <w:shd w:val="clear" w:color="auto" w:fill="auto"/>
            <w:vAlign w:val="center"/>
            <w:hideMark/>
          </w:tcPr>
          <w:p w:rsidR="00785641" w:rsidRPr="00C224CD" w:rsidRDefault="005D1137" w:rsidP="00785641">
            <w:pPr>
              <w:keepNext/>
              <w:jc w:val="center"/>
              <w:rPr>
                <w:rFonts w:ascii="Arial" w:eastAsia="MS Mincho" w:hAnsi="Arial" w:cs="Arial"/>
                <w:b/>
                <w:lang w:val="en-US"/>
              </w:rPr>
            </w:pPr>
            <w:r>
              <w:rPr>
                <w:rFonts w:ascii="Arial" w:eastAsia="MS Mincho" w:hAnsi="Arial" w:cs="Arial"/>
                <w:b/>
                <w:lang w:val="en-US"/>
              </w:rPr>
              <w:t>TAFINLAR</w:t>
            </w:r>
          </w:p>
          <w:p w:rsidR="00785641" w:rsidRPr="00C224CD" w:rsidRDefault="00785641" w:rsidP="00785641">
            <w:pPr>
              <w:keepNext/>
              <w:jc w:val="center"/>
              <w:rPr>
                <w:rFonts w:ascii="Arial" w:eastAsia="MS Mincho" w:hAnsi="Arial" w:cs="Arial"/>
                <w:b/>
                <w:lang w:val="en-US"/>
              </w:rPr>
            </w:pPr>
            <w:r w:rsidRPr="00C224CD">
              <w:rPr>
                <w:rFonts w:ascii="Arial" w:eastAsia="MS Mincho" w:hAnsi="Arial" w:cs="Arial"/>
                <w:b/>
                <w:lang w:val="en-US"/>
              </w:rPr>
              <w:t>N=187</w:t>
            </w:r>
          </w:p>
        </w:tc>
        <w:tc>
          <w:tcPr>
            <w:tcW w:w="1495" w:type="pct"/>
            <w:tcBorders>
              <w:top w:val="single" w:sz="4" w:space="0" w:color="auto"/>
              <w:bottom w:val="single" w:sz="4" w:space="0" w:color="auto"/>
            </w:tcBorders>
            <w:shd w:val="clear" w:color="auto" w:fill="auto"/>
            <w:vAlign w:val="center"/>
            <w:hideMark/>
          </w:tcPr>
          <w:p w:rsidR="00785641" w:rsidRPr="00C224CD" w:rsidRDefault="00785641" w:rsidP="00785641">
            <w:pPr>
              <w:keepNext/>
              <w:jc w:val="center"/>
              <w:rPr>
                <w:rFonts w:ascii="Arial" w:eastAsia="MS Mincho" w:hAnsi="Arial" w:cs="Arial"/>
                <w:b/>
                <w:lang w:val="en-US"/>
              </w:rPr>
            </w:pPr>
            <w:r w:rsidRPr="00C224CD">
              <w:rPr>
                <w:rFonts w:ascii="Arial" w:eastAsia="MS Mincho" w:hAnsi="Arial" w:cs="Arial"/>
                <w:b/>
                <w:lang w:val="en-US"/>
              </w:rPr>
              <w:t>DTIC</w:t>
            </w:r>
          </w:p>
          <w:p w:rsidR="00785641" w:rsidRPr="00C224CD" w:rsidRDefault="00785641" w:rsidP="00785641">
            <w:pPr>
              <w:keepNext/>
              <w:jc w:val="center"/>
              <w:rPr>
                <w:rFonts w:ascii="Arial" w:eastAsia="MS Mincho" w:hAnsi="Arial" w:cs="Arial"/>
                <w:b/>
                <w:lang w:val="en-US"/>
              </w:rPr>
            </w:pPr>
            <w:r w:rsidRPr="00C224CD">
              <w:rPr>
                <w:rFonts w:ascii="Arial" w:eastAsia="MS Mincho" w:hAnsi="Arial" w:cs="Arial"/>
                <w:b/>
                <w:lang w:val="en-US"/>
              </w:rPr>
              <w:t>N=63</w:t>
            </w:r>
          </w:p>
        </w:tc>
      </w:tr>
      <w:tr w:rsidR="00785641" w:rsidRPr="00C224CD" w:rsidTr="00785641">
        <w:tc>
          <w:tcPr>
            <w:tcW w:w="5000" w:type="pct"/>
            <w:gridSpan w:val="3"/>
            <w:tcBorders>
              <w:bottom w:val="single" w:sz="4" w:space="0" w:color="auto"/>
            </w:tcBorders>
            <w:shd w:val="clear" w:color="auto" w:fill="auto"/>
          </w:tcPr>
          <w:p w:rsidR="00785641" w:rsidRPr="00C224CD" w:rsidRDefault="00785641" w:rsidP="002A1D26">
            <w:pPr>
              <w:keepNext/>
              <w:rPr>
                <w:rFonts w:ascii="Arial" w:hAnsi="Arial" w:cs="Arial"/>
                <w:b/>
              </w:rPr>
            </w:pPr>
            <w:r w:rsidRPr="00C224CD">
              <w:rPr>
                <w:rFonts w:ascii="Arial" w:eastAsia="MS Mincho" w:hAnsi="Arial" w:cs="Arial"/>
                <w:b/>
                <w:lang w:val="en-US"/>
              </w:rPr>
              <w:t>Progression-free survival</w:t>
            </w:r>
            <w:r w:rsidR="00353192" w:rsidRPr="00C224CD">
              <w:rPr>
                <w:rFonts w:ascii="Arial" w:eastAsia="MS Mincho" w:hAnsi="Arial" w:cs="Arial"/>
                <w:b/>
                <w:lang w:val="en-US"/>
              </w:rPr>
              <w:t xml:space="preserve"> </w:t>
            </w:r>
          </w:p>
        </w:tc>
      </w:tr>
      <w:tr w:rsidR="00785641" w:rsidRPr="00C224CD" w:rsidTr="00785641">
        <w:tc>
          <w:tcPr>
            <w:tcW w:w="2014" w:type="pct"/>
            <w:tcBorders>
              <w:top w:val="single" w:sz="4" w:space="0" w:color="auto"/>
              <w:bottom w:val="nil"/>
            </w:tcBorders>
            <w:shd w:val="clear" w:color="auto" w:fill="auto"/>
          </w:tcPr>
          <w:p w:rsidR="00785641" w:rsidRPr="00C224CD" w:rsidRDefault="00353192" w:rsidP="00785641">
            <w:pPr>
              <w:keepNext/>
              <w:ind w:left="180"/>
              <w:rPr>
                <w:rFonts w:ascii="Arial" w:eastAsia="MS Mincho" w:hAnsi="Arial" w:cs="Arial"/>
                <w:lang w:val="en-US"/>
              </w:rPr>
            </w:pPr>
            <w:r w:rsidRPr="00C224CD">
              <w:rPr>
                <w:rFonts w:ascii="Arial" w:eastAsia="MS Mincho" w:hAnsi="Arial" w:cs="Arial"/>
                <w:lang w:val="en-US"/>
              </w:rPr>
              <w:t>M</w:t>
            </w:r>
            <w:r w:rsidR="00785641" w:rsidRPr="00C224CD">
              <w:rPr>
                <w:rFonts w:ascii="Arial" w:eastAsia="MS Mincho" w:hAnsi="Arial" w:cs="Arial"/>
                <w:lang w:val="en-US"/>
              </w:rPr>
              <w:t xml:space="preserve">edian, months </w:t>
            </w:r>
            <w:r w:rsidR="00785641" w:rsidRPr="00C224CD">
              <w:rPr>
                <w:rFonts w:ascii="Arial" w:hAnsi="Arial" w:cs="Arial"/>
              </w:rPr>
              <w:t>(95% CI)</w:t>
            </w:r>
          </w:p>
        </w:tc>
        <w:tc>
          <w:tcPr>
            <w:tcW w:w="1491" w:type="pct"/>
            <w:tcBorders>
              <w:top w:val="single" w:sz="4" w:space="0" w:color="auto"/>
              <w:bottom w:val="nil"/>
              <w:right w:val="nil"/>
            </w:tcBorders>
            <w:shd w:val="clear" w:color="auto" w:fill="auto"/>
          </w:tcPr>
          <w:p w:rsidR="00785641" w:rsidRPr="00C224CD" w:rsidRDefault="005D1137" w:rsidP="005D1137">
            <w:pPr>
              <w:keepNext/>
              <w:jc w:val="center"/>
              <w:rPr>
                <w:rFonts w:ascii="Arial" w:hAnsi="Arial" w:cs="Arial"/>
              </w:rPr>
            </w:pPr>
            <w:r>
              <w:rPr>
                <w:rFonts w:ascii="Arial" w:hAnsi="Arial" w:cs="Arial"/>
              </w:rPr>
              <w:t>6.9</w:t>
            </w:r>
            <w:r w:rsidR="00785641" w:rsidRPr="00C224CD">
              <w:rPr>
                <w:rFonts w:ascii="Arial" w:hAnsi="Arial" w:cs="Arial"/>
              </w:rPr>
              <w:t xml:space="preserve"> (</w:t>
            </w:r>
            <w:r>
              <w:rPr>
                <w:rFonts w:ascii="Arial" w:hAnsi="Arial" w:cs="Arial"/>
              </w:rPr>
              <w:t>5.2</w:t>
            </w:r>
            <w:r w:rsidR="00785641" w:rsidRPr="00C224CD">
              <w:rPr>
                <w:rFonts w:ascii="Arial" w:hAnsi="Arial" w:cs="Arial"/>
              </w:rPr>
              <w:t xml:space="preserve">, </w:t>
            </w:r>
            <w:r>
              <w:rPr>
                <w:rFonts w:ascii="Arial" w:hAnsi="Arial" w:cs="Arial"/>
              </w:rPr>
              <w:t>9.0</w:t>
            </w:r>
            <w:r w:rsidR="00785641" w:rsidRPr="00C224CD">
              <w:rPr>
                <w:rFonts w:ascii="Arial" w:hAnsi="Arial" w:cs="Arial"/>
              </w:rPr>
              <w:t>)</w:t>
            </w:r>
          </w:p>
        </w:tc>
        <w:tc>
          <w:tcPr>
            <w:tcW w:w="1495" w:type="pct"/>
            <w:tcBorders>
              <w:top w:val="single" w:sz="4" w:space="0" w:color="auto"/>
              <w:left w:val="nil"/>
              <w:bottom w:val="nil"/>
            </w:tcBorders>
            <w:shd w:val="clear" w:color="auto" w:fill="auto"/>
          </w:tcPr>
          <w:p w:rsidR="00785641" w:rsidRPr="00C224CD" w:rsidRDefault="00785641" w:rsidP="00785641">
            <w:pPr>
              <w:keepNext/>
              <w:jc w:val="center"/>
              <w:rPr>
                <w:rFonts w:ascii="Arial" w:hAnsi="Arial" w:cs="Arial"/>
              </w:rPr>
            </w:pPr>
            <w:r w:rsidRPr="00C224CD">
              <w:rPr>
                <w:rFonts w:ascii="Arial" w:hAnsi="Arial" w:cs="Arial"/>
              </w:rPr>
              <w:t>2.7 (1.5, 3.2)</w:t>
            </w:r>
          </w:p>
        </w:tc>
      </w:tr>
      <w:tr w:rsidR="00785641" w:rsidRPr="00C224CD" w:rsidTr="00785641">
        <w:tc>
          <w:tcPr>
            <w:tcW w:w="2014" w:type="pct"/>
            <w:tcBorders>
              <w:top w:val="nil"/>
              <w:bottom w:val="single" w:sz="4" w:space="0" w:color="auto"/>
            </w:tcBorders>
            <w:shd w:val="clear" w:color="auto" w:fill="auto"/>
          </w:tcPr>
          <w:p w:rsidR="00785641" w:rsidRPr="00C224CD" w:rsidRDefault="00785641" w:rsidP="00785641">
            <w:pPr>
              <w:keepNext/>
              <w:ind w:left="180"/>
              <w:rPr>
                <w:rFonts w:ascii="Arial" w:eastAsia="MS Mincho" w:hAnsi="Arial" w:cs="Arial"/>
                <w:lang w:val="en-US"/>
              </w:rPr>
            </w:pPr>
            <w:r w:rsidRPr="00C224CD">
              <w:rPr>
                <w:rFonts w:ascii="Arial" w:eastAsia="MS Mincho" w:hAnsi="Arial" w:cs="Arial"/>
                <w:lang w:val="en-US"/>
              </w:rPr>
              <w:t>HR (95% CI)</w:t>
            </w:r>
          </w:p>
        </w:tc>
        <w:tc>
          <w:tcPr>
            <w:tcW w:w="2986" w:type="pct"/>
            <w:gridSpan w:val="2"/>
            <w:tcBorders>
              <w:top w:val="nil"/>
              <w:bottom w:val="single" w:sz="4" w:space="0" w:color="auto"/>
            </w:tcBorders>
            <w:shd w:val="clear" w:color="auto" w:fill="auto"/>
          </w:tcPr>
          <w:p w:rsidR="00785641" w:rsidRPr="00C224CD" w:rsidRDefault="00785641" w:rsidP="00785641">
            <w:pPr>
              <w:keepNext/>
              <w:jc w:val="center"/>
              <w:rPr>
                <w:rFonts w:ascii="Arial" w:eastAsia="MS Mincho" w:hAnsi="Arial" w:cs="Arial"/>
                <w:lang w:val="en-US"/>
              </w:rPr>
            </w:pPr>
            <w:r w:rsidRPr="00C224CD">
              <w:rPr>
                <w:rFonts w:ascii="Arial" w:eastAsia="MS Mincho" w:hAnsi="Arial" w:cs="Arial"/>
                <w:lang w:val="en-US"/>
              </w:rPr>
              <w:t>0.</w:t>
            </w:r>
            <w:r w:rsidR="005D1137" w:rsidRPr="00C224CD">
              <w:rPr>
                <w:rFonts w:ascii="Arial" w:eastAsia="MS Mincho" w:hAnsi="Arial" w:cs="Arial"/>
                <w:lang w:val="en-US"/>
              </w:rPr>
              <w:t>3</w:t>
            </w:r>
            <w:r w:rsidR="005D1137">
              <w:rPr>
                <w:rFonts w:ascii="Arial" w:eastAsia="MS Mincho" w:hAnsi="Arial" w:cs="Arial"/>
                <w:lang w:val="en-US"/>
              </w:rPr>
              <w:t>7</w:t>
            </w:r>
            <w:r w:rsidR="005D1137" w:rsidRPr="00C224CD">
              <w:rPr>
                <w:rFonts w:ascii="Arial" w:eastAsia="MS Mincho" w:hAnsi="Arial" w:cs="Arial"/>
                <w:lang w:val="en-US"/>
              </w:rPr>
              <w:t xml:space="preserve"> </w:t>
            </w:r>
            <w:r w:rsidRPr="00C224CD">
              <w:rPr>
                <w:rFonts w:ascii="Arial" w:eastAsia="MS Mincho" w:hAnsi="Arial" w:cs="Arial"/>
                <w:lang w:val="en-US"/>
              </w:rPr>
              <w:t>(0.</w:t>
            </w:r>
            <w:r w:rsidR="005D1137">
              <w:rPr>
                <w:rFonts w:ascii="Arial" w:eastAsia="MS Mincho" w:hAnsi="Arial" w:cs="Arial"/>
                <w:lang w:val="en-US"/>
              </w:rPr>
              <w:t>24</w:t>
            </w:r>
            <w:r w:rsidRPr="00C224CD">
              <w:rPr>
                <w:rFonts w:ascii="Arial" w:eastAsia="MS Mincho" w:hAnsi="Arial" w:cs="Arial"/>
                <w:lang w:val="en-US"/>
              </w:rPr>
              <w:t>, 0.</w:t>
            </w:r>
            <w:r w:rsidR="005D1137" w:rsidRPr="00C224CD">
              <w:rPr>
                <w:rFonts w:ascii="Arial" w:eastAsia="MS Mincho" w:hAnsi="Arial" w:cs="Arial"/>
                <w:lang w:val="en-US"/>
              </w:rPr>
              <w:t>5</w:t>
            </w:r>
            <w:r w:rsidR="005D1137">
              <w:rPr>
                <w:rFonts w:ascii="Arial" w:eastAsia="MS Mincho" w:hAnsi="Arial" w:cs="Arial"/>
                <w:lang w:val="en-US"/>
              </w:rPr>
              <w:t>8</w:t>
            </w:r>
            <w:r w:rsidRPr="00C224CD">
              <w:rPr>
                <w:rFonts w:ascii="Arial" w:eastAsia="MS Mincho" w:hAnsi="Arial" w:cs="Arial"/>
                <w:lang w:val="en-US"/>
              </w:rPr>
              <w:t>)</w:t>
            </w:r>
          </w:p>
          <w:p w:rsidR="00785641" w:rsidRPr="00C224CD" w:rsidRDefault="00785641" w:rsidP="00785641">
            <w:pPr>
              <w:keepNext/>
              <w:jc w:val="center"/>
              <w:rPr>
                <w:rFonts w:ascii="Arial" w:hAnsi="Arial" w:cs="Arial"/>
              </w:rPr>
            </w:pPr>
            <w:r w:rsidRPr="00C224CD">
              <w:rPr>
                <w:rFonts w:ascii="Arial" w:eastAsia="MS Mincho" w:hAnsi="Arial" w:cs="Arial"/>
                <w:lang w:val="en-US"/>
              </w:rPr>
              <w:t>P&lt;0.0001</w:t>
            </w:r>
          </w:p>
        </w:tc>
      </w:tr>
      <w:tr w:rsidR="00785641" w:rsidRPr="00C224CD" w:rsidTr="00785641">
        <w:tc>
          <w:tcPr>
            <w:tcW w:w="5000" w:type="pct"/>
            <w:gridSpan w:val="3"/>
            <w:tcBorders>
              <w:top w:val="single" w:sz="4" w:space="0" w:color="auto"/>
              <w:bottom w:val="single" w:sz="4" w:space="0" w:color="auto"/>
            </w:tcBorders>
            <w:shd w:val="clear" w:color="auto" w:fill="auto"/>
          </w:tcPr>
          <w:p w:rsidR="00785641" w:rsidRPr="00C224CD" w:rsidRDefault="00785641" w:rsidP="005D1137">
            <w:pPr>
              <w:keepNext/>
              <w:rPr>
                <w:rFonts w:ascii="Arial" w:hAnsi="Arial" w:cs="Arial"/>
                <w:lang w:val="en-US"/>
              </w:rPr>
            </w:pPr>
            <w:r w:rsidRPr="00C224CD">
              <w:rPr>
                <w:rFonts w:ascii="Arial" w:hAnsi="Arial" w:cs="Arial"/>
                <w:b/>
              </w:rPr>
              <w:t xml:space="preserve">Overall </w:t>
            </w:r>
            <w:proofErr w:type="spellStart"/>
            <w:r w:rsidR="005D1137" w:rsidRPr="00C224CD">
              <w:rPr>
                <w:rFonts w:ascii="Arial" w:hAnsi="Arial" w:cs="Arial"/>
                <w:b/>
              </w:rPr>
              <w:t>response</w:t>
            </w:r>
            <w:r w:rsidR="005D1137">
              <w:rPr>
                <w:rFonts w:ascii="Arial" w:hAnsi="Arial" w:cs="Arial"/>
                <w:b/>
                <w:vertAlign w:val="superscript"/>
              </w:rPr>
              <w:t>a</w:t>
            </w:r>
            <w:proofErr w:type="spellEnd"/>
            <w:r w:rsidR="005D1137" w:rsidRPr="00C224CD">
              <w:rPr>
                <w:rFonts w:ascii="Arial" w:hAnsi="Arial" w:cs="Arial"/>
                <w:b/>
              </w:rPr>
              <w:t xml:space="preserve"> </w:t>
            </w:r>
          </w:p>
        </w:tc>
      </w:tr>
      <w:tr w:rsidR="00785641" w:rsidRPr="00C224CD" w:rsidTr="00785641">
        <w:tc>
          <w:tcPr>
            <w:tcW w:w="2014" w:type="pct"/>
            <w:tcBorders>
              <w:top w:val="single" w:sz="4" w:space="0" w:color="auto"/>
              <w:bottom w:val="single" w:sz="4" w:space="0" w:color="auto"/>
            </w:tcBorders>
            <w:shd w:val="clear" w:color="auto" w:fill="auto"/>
          </w:tcPr>
          <w:p w:rsidR="00785641" w:rsidRPr="00C224CD" w:rsidRDefault="00785641" w:rsidP="005D1137">
            <w:pPr>
              <w:keepNext/>
              <w:ind w:left="180"/>
              <w:rPr>
                <w:rFonts w:ascii="Arial" w:eastAsia="MS Mincho" w:hAnsi="Arial" w:cs="Arial"/>
                <w:lang w:val="en-US"/>
              </w:rPr>
            </w:pPr>
            <w:r w:rsidRPr="00C224CD">
              <w:rPr>
                <w:rFonts w:ascii="Arial" w:hAnsi="Arial" w:cs="Arial"/>
              </w:rPr>
              <w:t>% (95% CI)</w:t>
            </w:r>
            <w:r w:rsidR="005D1137">
              <w:rPr>
                <w:rFonts w:ascii="Arial" w:hAnsi="Arial" w:cs="Arial"/>
                <w:vertAlign w:val="superscript"/>
              </w:rPr>
              <w:t>b</w:t>
            </w:r>
          </w:p>
        </w:tc>
        <w:tc>
          <w:tcPr>
            <w:tcW w:w="1491" w:type="pct"/>
            <w:tcBorders>
              <w:top w:val="single" w:sz="4" w:space="0" w:color="auto"/>
              <w:bottom w:val="single" w:sz="4" w:space="0" w:color="auto"/>
            </w:tcBorders>
            <w:shd w:val="clear" w:color="auto" w:fill="auto"/>
          </w:tcPr>
          <w:p w:rsidR="00785641" w:rsidRPr="00C224CD" w:rsidRDefault="005D1137" w:rsidP="005D1137">
            <w:pPr>
              <w:keepNext/>
              <w:jc w:val="center"/>
              <w:rPr>
                <w:rFonts w:ascii="Arial" w:hAnsi="Arial" w:cs="Arial"/>
              </w:rPr>
            </w:pPr>
            <w:r w:rsidRPr="00C224CD">
              <w:rPr>
                <w:rFonts w:ascii="Arial" w:hAnsi="Arial" w:cs="Arial"/>
              </w:rPr>
              <w:t>5</w:t>
            </w:r>
            <w:r>
              <w:rPr>
                <w:rFonts w:ascii="Arial" w:hAnsi="Arial" w:cs="Arial"/>
              </w:rPr>
              <w:t>9</w:t>
            </w:r>
            <w:r w:rsidRPr="00C224CD">
              <w:rPr>
                <w:rFonts w:ascii="Arial" w:hAnsi="Arial" w:cs="Arial"/>
              </w:rPr>
              <w:t xml:space="preserve"> </w:t>
            </w:r>
            <w:r w:rsidR="00785641" w:rsidRPr="00C224CD">
              <w:rPr>
                <w:rFonts w:ascii="Arial" w:hAnsi="Arial" w:cs="Arial"/>
              </w:rPr>
              <w:t>(</w:t>
            </w:r>
            <w:r>
              <w:rPr>
                <w:rFonts w:ascii="Arial" w:hAnsi="Arial" w:cs="Arial"/>
              </w:rPr>
              <w:t>51.4</w:t>
            </w:r>
            <w:r w:rsidR="00785641" w:rsidRPr="00C224CD">
              <w:rPr>
                <w:rFonts w:ascii="Arial" w:hAnsi="Arial" w:cs="Arial"/>
              </w:rPr>
              <w:t xml:space="preserve">, </w:t>
            </w:r>
            <w:r>
              <w:rPr>
                <w:rFonts w:ascii="Arial" w:hAnsi="Arial" w:cs="Arial"/>
              </w:rPr>
              <w:t>66.0</w:t>
            </w:r>
            <w:r w:rsidR="00785641" w:rsidRPr="00C224CD">
              <w:rPr>
                <w:rFonts w:ascii="Arial" w:hAnsi="Arial" w:cs="Arial"/>
              </w:rPr>
              <w:t>)</w:t>
            </w:r>
          </w:p>
        </w:tc>
        <w:tc>
          <w:tcPr>
            <w:tcW w:w="1495" w:type="pct"/>
            <w:tcBorders>
              <w:top w:val="single" w:sz="4" w:space="0" w:color="auto"/>
              <w:bottom w:val="single" w:sz="4" w:space="0" w:color="auto"/>
            </w:tcBorders>
            <w:shd w:val="clear" w:color="auto" w:fill="auto"/>
          </w:tcPr>
          <w:p w:rsidR="00785641" w:rsidRPr="00C224CD" w:rsidRDefault="005D1137" w:rsidP="005D1137">
            <w:pPr>
              <w:keepNext/>
              <w:jc w:val="center"/>
              <w:rPr>
                <w:rFonts w:ascii="Arial" w:hAnsi="Arial" w:cs="Arial"/>
              </w:rPr>
            </w:pPr>
            <w:r>
              <w:rPr>
                <w:rFonts w:ascii="Arial" w:hAnsi="Arial" w:cs="Arial"/>
              </w:rPr>
              <w:t>24</w:t>
            </w:r>
            <w:r w:rsidRPr="00C224CD">
              <w:rPr>
                <w:rFonts w:ascii="Arial" w:hAnsi="Arial" w:cs="Arial"/>
              </w:rPr>
              <w:t xml:space="preserve"> </w:t>
            </w:r>
            <w:r w:rsidR="00785641" w:rsidRPr="00C224CD">
              <w:rPr>
                <w:rFonts w:ascii="Arial" w:hAnsi="Arial" w:cs="Arial"/>
              </w:rPr>
              <w:t>(</w:t>
            </w:r>
            <w:r>
              <w:rPr>
                <w:rFonts w:ascii="Arial" w:hAnsi="Arial" w:cs="Arial"/>
              </w:rPr>
              <w:t>21.4</w:t>
            </w:r>
            <w:r w:rsidR="00785641" w:rsidRPr="00C224CD">
              <w:rPr>
                <w:rFonts w:ascii="Arial" w:hAnsi="Arial" w:cs="Arial"/>
              </w:rPr>
              <w:t>, 3</w:t>
            </w:r>
            <w:r>
              <w:rPr>
                <w:rFonts w:ascii="Arial" w:hAnsi="Arial" w:cs="Arial"/>
              </w:rPr>
              <w:t>6.2</w:t>
            </w:r>
            <w:r w:rsidR="00785641" w:rsidRPr="00C224CD">
              <w:rPr>
                <w:rFonts w:ascii="Arial" w:hAnsi="Arial" w:cs="Arial"/>
              </w:rPr>
              <w:t>)</w:t>
            </w:r>
          </w:p>
        </w:tc>
      </w:tr>
      <w:tr w:rsidR="005D1137" w:rsidRPr="00C224CD" w:rsidTr="005D1137">
        <w:tc>
          <w:tcPr>
            <w:tcW w:w="2014" w:type="pct"/>
            <w:tcBorders>
              <w:top w:val="single" w:sz="4" w:space="0" w:color="auto"/>
              <w:bottom w:val="single" w:sz="4" w:space="0" w:color="auto"/>
            </w:tcBorders>
            <w:shd w:val="clear" w:color="auto" w:fill="auto"/>
          </w:tcPr>
          <w:p w:rsidR="005D1137" w:rsidRPr="00C224CD" w:rsidRDefault="005D1137" w:rsidP="005D1137">
            <w:pPr>
              <w:keepNext/>
              <w:ind w:left="180"/>
              <w:rPr>
                <w:rFonts w:ascii="Arial" w:hAnsi="Arial" w:cs="Arial"/>
              </w:rPr>
            </w:pPr>
          </w:p>
        </w:tc>
        <w:tc>
          <w:tcPr>
            <w:tcW w:w="2986" w:type="pct"/>
            <w:gridSpan w:val="2"/>
            <w:tcBorders>
              <w:top w:val="single" w:sz="4" w:space="0" w:color="auto"/>
              <w:bottom w:val="single" w:sz="4" w:space="0" w:color="auto"/>
            </w:tcBorders>
            <w:shd w:val="clear" w:color="auto" w:fill="auto"/>
          </w:tcPr>
          <w:p w:rsidR="005D1137" w:rsidRPr="00C224CD" w:rsidDel="005D1137" w:rsidRDefault="005D1137" w:rsidP="005D1137">
            <w:pPr>
              <w:keepNext/>
              <w:jc w:val="center"/>
              <w:rPr>
                <w:rFonts w:ascii="Arial" w:hAnsi="Arial" w:cs="Arial"/>
              </w:rPr>
            </w:pPr>
            <w:r>
              <w:rPr>
                <w:rFonts w:ascii="Arial" w:hAnsi="Arial" w:cs="Arial"/>
              </w:rPr>
              <w:t>P&lt;0.0001</w:t>
            </w:r>
          </w:p>
        </w:tc>
      </w:tr>
      <w:tr w:rsidR="00785641" w:rsidRPr="00C224CD" w:rsidTr="00785641">
        <w:tc>
          <w:tcPr>
            <w:tcW w:w="5000" w:type="pct"/>
            <w:gridSpan w:val="3"/>
            <w:tcBorders>
              <w:top w:val="single" w:sz="4" w:space="0" w:color="auto"/>
              <w:bottom w:val="single" w:sz="4" w:space="0" w:color="auto"/>
            </w:tcBorders>
            <w:shd w:val="clear" w:color="auto" w:fill="auto"/>
          </w:tcPr>
          <w:p w:rsidR="00785641" w:rsidRPr="00C224CD" w:rsidRDefault="00785641" w:rsidP="00785641">
            <w:pPr>
              <w:keepNext/>
              <w:rPr>
                <w:rFonts w:ascii="Arial" w:hAnsi="Arial" w:cs="Arial"/>
                <w:b/>
              </w:rPr>
            </w:pPr>
            <w:r w:rsidRPr="00C224CD">
              <w:rPr>
                <w:rFonts w:ascii="Arial" w:hAnsi="Arial" w:cs="Arial"/>
                <w:b/>
              </w:rPr>
              <w:t>Duration of response</w:t>
            </w:r>
          </w:p>
        </w:tc>
      </w:tr>
      <w:tr w:rsidR="00785641" w:rsidRPr="00C224CD" w:rsidTr="00785641">
        <w:tc>
          <w:tcPr>
            <w:tcW w:w="2014" w:type="pct"/>
            <w:tcBorders>
              <w:top w:val="single" w:sz="4" w:space="0" w:color="auto"/>
              <w:bottom w:val="nil"/>
            </w:tcBorders>
            <w:shd w:val="clear" w:color="auto" w:fill="auto"/>
          </w:tcPr>
          <w:p w:rsidR="00785641" w:rsidRPr="00C224CD" w:rsidRDefault="00785641" w:rsidP="00785641">
            <w:pPr>
              <w:keepNext/>
              <w:ind w:left="180"/>
              <w:rPr>
                <w:rFonts w:ascii="Arial" w:eastAsia="MS Mincho" w:hAnsi="Arial" w:cs="Arial"/>
                <w:b/>
                <w:lang w:val="en-US"/>
              </w:rPr>
            </w:pPr>
          </w:p>
        </w:tc>
        <w:tc>
          <w:tcPr>
            <w:tcW w:w="1491" w:type="pct"/>
            <w:tcBorders>
              <w:top w:val="single" w:sz="4" w:space="0" w:color="auto"/>
              <w:bottom w:val="nil"/>
            </w:tcBorders>
            <w:shd w:val="clear" w:color="auto" w:fill="auto"/>
          </w:tcPr>
          <w:p w:rsidR="00785641" w:rsidRPr="00C224CD" w:rsidRDefault="00785641" w:rsidP="005D1137">
            <w:pPr>
              <w:keepNext/>
              <w:jc w:val="center"/>
              <w:rPr>
                <w:rFonts w:ascii="Arial" w:hAnsi="Arial" w:cs="Arial"/>
                <w:lang w:val="en-US"/>
              </w:rPr>
            </w:pPr>
            <w:r w:rsidRPr="00C224CD">
              <w:rPr>
                <w:rFonts w:ascii="Arial" w:hAnsi="Arial" w:cs="Arial"/>
                <w:lang w:val="en-US"/>
              </w:rPr>
              <w:t>N=</w:t>
            </w:r>
            <w:r w:rsidR="005D1137">
              <w:rPr>
                <w:rFonts w:ascii="Arial" w:hAnsi="Arial" w:cs="Arial"/>
                <w:lang w:val="en-US"/>
              </w:rPr>
              <w:t>110</w:t>
            </w:r>
          </w:p>
        </w:tc>
        <w:tc>
          <w:tcPr>
            <w:tcW w:w="1495" w:type="pct"/>
            <w:tcBorders>
              <w:top w:val="single" w:sz="4" w:space="0" w:color="auto"/>
              <w:bottom w:val="nil"/>
            </w:tcBorders>
            <w:shd w:val="clear" w:color="auto" w:fill="auto"/>
          </w:tcPr>
          <w:p w:rsidR="00785641" w:rsidRPr="00C224CD" w:rsidRDefault="00785641" w:rsidP="005D1137">
            <w:pPr>
              <w:keepNext/>
              <w:jc w:val="center"/>
              <w:rPr>
                <w:rFonts w:ascii="Arial" w:hAnsi="Arial" w:cs="Arial"/>
              </w:rPr>
            </w:pPr>
            <w:r w:rsidRPr="00C224CD">
              <w:rPr>
                <w:rFonts w:ascii="Arial" w:hAnsi="Arial" w:cs="Arial"/>
              </w:rPr>
              <w:t>N=</w:t>
            </w:r>
            <w:r w:rsidR="005D1137">
              <w:rPr>
                <w:rFonts w:ascii="Arial" w:hAnsi="Arial" w:cs="Arial"/>
              </w:rPr>
              <w:t>15</w:t>
            </w:r>
          </w:p>
        </w:tc>
      </w:tr>
      <w:tr w:rsidR="00785641" w:rsidRPr="00C224CD" w:rsidTr="00785641">
        <w:tc>
          <w:tcPr>
            <w:tcW w:w="2014" w:type="pct"/>
            <w:tcBorders>
              <w:top w:val="nil"/>
              <w:bottom w:val="single" w:sz="4" w:space="0" w:color="auto"/>
            </w:tcBorders>
            <w:shd w:val="clear" w:color="auto" w:fill="auto"/>
          </w:tcPr>
          <w:p w:rsidR="00785641" w:rsidRPr="00C224CD" w:rsidRDefault="00785641" w:rsidP="00785641">
            <w:pPr>
              <w:keepNext/>
              <w:ind w:left="180"/>
              <w:rPr>
                <w:rFonts w:ascii="Arial" w:eastAsia="MS Mincho" w:hAnsi="Arial" w:cs="Arial"/>
                <w:lang w:val="en-US"/>
              </w:rPr>
            </w:pPr>
            <w:r w:rsidRPr="00C224CD">
              <w:rPr>
                <w:rFonts w:ascii="Arial" w:hAnsi="Arial" w:cs="Arial"/>
              </w:rPr>
              <w:t>Median, months (95% CI)</w:t>
            </w:r>
          </w:p>
        </w:tc>
        <w:tc>
          <w:tcPr>
            <w:tcW w:w="1491" w:type="pct"/>
            <w:tcBorders>
              <w:top w:val="nil"/>
              <w:bottom w:val="single" w:sz="4" w:space="0" w:color="auto"/>
            </w:tcBorders>
            <w:shd w:val="clear" w:color="auto" w:fill="auto"/>
          </w:tcPr>
          <w:p w:rsidR="00785641" w:rsidRPr="00C224CD" w:rsidRDefault="005D1137" w:rsidP="005D1137">
            <w:pPr>
              <w:keepNext/>
              <w:jc w:val="center"/>
              <w:rPr>
                <w:rFonts w:ascii="Arial" w:hAnsi="Arial" w:cs="Arial"/>
              </w:rPr>
            </w:pPr>
            <w:r>
              <w:rPr>
                <w:rFonts w:ascii="Arial" w:hAnsi="Arial" w:cs="Arial"/>
                <w:lang w:val="en-US"/>
              </w:rPr>
              <w:t>8.0</w:t>
            </w:r>
            <w:r w:rsidR="00785641" w:rsidRPr="00C224CD">
              <w:rPr>
                <w:rFonts w:ascii="Arial" w:hAnsi="Arial" w:cs="Arial"/>
                <w:lang w:val="en-US"/>
              </w:rPr>
              <w:t xml:space="preserve"> (</w:t>
            </w:r>
            <w:r>
              <w:rPr>
                <w:rFonts w:ascii="Arial" w:hAnsi="Arial" w:cs="Arial"/>
                <w:lang w:val="en-US"/>
              </w:rPr>
              <w:t>6.6</w:t>
            </w:r>
            <w:r w:rsidR="00785641" w:rsidRPr="00C224CD">
              <w:rPr>
                <w:rFonts w:ascii="Arial" w:hAnsi="Arial" w:cs="Arial"/>
                <w:lang w:val="en-US"/>
              </w:rPr>
              <w:t xml:space="preserve">, </w:t>
            </w:r>
            <w:r>
              <w:rPr>
                <w:rFonts w:ascii="Arial" w:hAnsi="Arial" w:cs="Arial"/>
                <w:lang w:val="en-US"/>
              </w:rPr>
              <w:t>11.5</w:t>
            </w:r>
            <w:r w:rsidR="00785641" w:rsidRPr="00C224CD">
              <w:rPr>
                <w:rFonts w:ascii="Arial" w:hAnsi="Arial" w:cs="Arial"/>
                <w:lang w:val="en-US"/>
              </w:rPr>
              <w:t>)</w:t>
            </w:r>
          </w:p>
        </w:tc>
        <w:tc>
          <w:tcPr>
            <w:tcW w:w="1495" w:type="pct"/>
            <w:tcBorders>
              <w:top w:val="nil"/>
              <w:bottom w:val="single" w:sz="4" w:space="0" w:color="auto"/>
            </w:tcBorders>
            <w:shd w:val="clear" w:color="auto" w:fill="auto"/>
          </w:tcPr>
          <w:p w:rsidR="00785641" w:rsidRPr="00C224CD" w:rsidRDefault="005D1137" w:rsidP="005D1137">
            <w:pPr>
              <w:keepNext/>
              <w:jc w:val="center"/>
              <w:rPr>
                <w:rFonts w:ascii="Arial" w:hAnsi="Arial" w:cs="Arial"/>
              </w:rPr>
            </w:pPr>
            <w:r>
              <w:rPr>
                <w:rFonts w:ascii="Arial" w:hAnsi="Arial" w:cs="Arial"/>
              </w:rPr>
              <w:t>7.6</w:t>
            </w:r>
            <w:r w:rsidRPr="00C224CD">
              <w:rPr>
                <w:rFonts w:ascii="Arial" w:hAnsi="Arial" w:cs="Arial"/>
              </w:rPr>
              <w:t xml:space="preserve"> </w:t>
            </w:r>
            <w:r w:rsidR="00785641" w:rsidRPr="00C224CD">
              <w:rPr>
                <w:rFonts w:ascii="Arial" w:hAnsi="Arial" w:cs="Arial"/>
              </w:rPr>
              <w:t xml:space="preserve">(5.0, </w:t>
            </w:r>
            <w:r>
              <w:rPr>
                <w:rFonts w:ascii="Arial" w:hAnsi="Arial" w:cs="Arial"/>
              </w:rPr>
              <w:t>9.7</w:t>
            </w:r>
            <w:r w:rsidR="00785641" w:rsidRPr="00C224CD">
              <w:rPr>
                <w:rFonts w:ascii="Arial" w:hAnsi="Arial" w:cs="Arial"/>
              </w:rPr>
              <w:t>)</w:t>
            </w:r>
          </w:p>
        </w:tc>
      </w:tr>
      <w:tr w:rsidR="00785641" w:rsidRPr="00254BEF" w:rsidTr="00785641">
        <w:tc>
          <w:tcPr>
            <w:tcW w:w="5000" w:type="pct"/>
            <w:gridSpan w:val="3"/>
            <w:tcBorders>
              <w:top w:val="single" w:sz="4" w:space="0" w:color="auto"/>
              <w:left w:val="nil"/>
              <w:bottom w:val="nil"/>
              <w:right w:val="nil"/>
            </w:tcBorders>
            <w:shd w:val="clear" w:color="auto" w:fill="auto"/>
          </w:tcPr>
          <w:p w:rsidR="00785641" w:rsidRPr="00C224CD" w:rsidRDefault="00785641" w:rsidP="00785641">
            <w:pPr>
              <w:keepNext/>
              <w:adjustRightInd w:val="0"/>
              <w:textAlignment w:val="baseline"/>
              <w:rPr>
                <w:rFonts w:ascii="Arial" w:eastAsia="MS Mincho" w:hAnsi="Arial" w:cs="Arial"/>
                <w:sz w:val="18"/>
                <w:szCs w:val="18"/>
                <w:lang w:val="en-US"/>
              </w:rPr>
            </w:pPr>
            <w:r w:rsidRPr="00C224CD">
              <w:rPr>
                <w:rFonts w:ascii="Arial" w:eastAsia="MS Mincho" w:hAnsi="Arial" w:cs="Arial"/>
                <w:sz w:val="18"/>
                <w:szCs w:val="18"/>
                <w:lang w:val="en-US"/>
              </w:rPr>
              <w:t xml:space="preserve">Abbreviations:  CI: confidence interval; DTIC: </w:t>
            </w:r>
            <w:proofErr w:type="spellStart"/>
            <w:r w:rsidRPr="00C224CD">
              <w:rPr>
                <w:rFonts w:ascii="Arial" w:eastAsia="MS Mincho" w:hAnsi="Arial" w:cs="Arial"/>
                <w:sz w:val="18"/>
                <w:szCs w:val="18"/>
                <w:lang w:val="en-US"/>
              </w:rPr>
              <w:t>dacarbazine</w:t>
            </w:r>
            <w:proofErr w:type="spellEnd"/>
            <w:r w:rsidRPr="00C224CD">
              <w:rPr>
                <w:rFonts w:ascii="Arial" w:eastAsia="MS Mincho" w:hAnsi="Arial" w:cs="Arial"/>
                <w:sz w:val="18"/>
                <w:szCs w:val="18"/>
                <w:lang w:val="en-US"/>
              </w:rPr>
              <w:t xml:space="preserve">; HR: hazard ratio; NR-not reached </w:t>
            </w:r>
          </w:p>
          <w:p w:rsidR="00785641" w:rsidRPr="00C224CD" w:rsidRDefault="00785641" w:rsidP="00785641">
            <w:pPr>
              <w:keepNext/>
              <w:numPr>
                <w:ilvl w:val="0"/>
                <w:numId w:val="24"/>
              </w:numPr>
              <w:adjustRightInd w:val="0"/>
              <w:textAlignment w:val="baseline"/>
              <w:rPr>
                <w:rFonts w:ascii="Arial" w:hAnsi="Arial" w:cs="Arial"/>
                <w:sz w:val="18"/>
                <w:szCs w:val="18"/>
              </w:rPr>
            </w:pPr>
            <w:r w:rsidRPr="00C224CD">
              <w:rPr>
                <w:rFonts w:ascii="Arial" w:hAnsi="Arial" w:cs="Arial"/>
                <w:sz w:val="18"/>
                <w:szCs w:val="18"/>
              </w:rPr>
              <w:t xml:space="preserve">Defined as complete </w:t>
            </w:r>
            <w:proofErr w:type="spellStart"/>
            <w:r w:rsidRPr="00C224CD">
              <w:rPr>
                <w:rFonts w:ascii="Arial" w:hAnsi="Arial" w:cs="Arial"/>
                <w:sz w:val="18"/>
                <w:szCs w:val="18"/>
              </w:rPr>
              <w:t>response+partial</w:t>
            </w:r>
            <w:proofErr w:type="spellEnd"/>
            <w:r w:rsidRPr="00C224CD">
              <w:rPr>
                <w:rFonts w:ascii="Arial" w:hAnsi="Arial" w:cs="Arial"/>
                <w:sz w:val="18"/>
                <w:szCs w:val="18"/>
              </w:rPr>
              <w:t xml:space="preserve"> response.</w:t>
            </w:r>
          </w:p>
          <w:p w:rsidR="00785641" w:rsidRPr="00254BEF" w:rsidRDefault="00785641" w:rsidP="00B94D46">
            <w:pPr>
              <w:keepNext/>
              <w:numPr>
                <w:ilvl w:val="0"/>
                <w:numId w:val="24"/>
              </w:numPr>
              <w:adjustRightInd w:val="0"/>
              <w:textAlignment w:val="baseline"/>
              <w:rPr>
                <w:rFonts w:ascii="Arial" w:hAnsi="Arial" w:cs="Arial"/>
                <w:sz w:val="18"/>
                <w:szCs w:val="18"/>
              </w:rPr>
            </w:pPr>
            <w:r w:rsidRPr="00C224CD">
              <w:rPr>
                <w:rFonts w:ascii="Arial" w:hAnsi="Arial" w:cs="Arial"/>
                <w:sz w:val="18"/>
                <w:szCs w:val="18"/>
              </w:rPr>
              <w:t>Confirmed response.</w:t>
            </w:r>
          </w:p>
        </w:tc>
      </w:tr>
    </w:tbl>
    <w:p w:rsidR="00B94D46" w:rsidRDefault="00B94D46" w:rsidP="00B94D46">
      <w:pPr>
        <w:pStyle w:val="ListParagraph"/>
      </w:pPr>
    </w:p>
    <w:p w:rsidR="00785641" w:rsidRPr="00254BEF" w:rsidRDefault="005D1137" w:rsidP="00B94D46">
      <w:pPr>
        <w:pStyle w:val="ListParagraph"/>
      </w:pPr>
      <w:r>
        <w:t>As of 25 June 2012, thirty-five</w:t>
      </w:r>
      <w:r w:rsidR="00785641" w:rsidRPr="00254BEF">
        <w:t xml:space="preserve"> subjects</w:t>
      </w:r>
      <w:r w:rsidR="005D5DF9">
        <w:t xml:space="preserve"> </w:t>
      </w:r>
      <w:r w:rsidR="005D5DF9" w:rsidRPr="00254BEF">
        <w:t>(</w:t>
      </w:r>
      <w:r>
        <w:t>55.6</w:t>
      </w:r>
      <w:r w:rsidR="005D5DF9" w:rsidRPr="00254BEF">
        <w:t>%)</w:t>
      </w:r>
      <w:r w:rsidR="00785641" w:rsidRPr="00254BEF">
        <w:t xml:space="preserve"> </w:t>
      </w:r>
      <w:r>
        <w:t xml:space="preserve">of the 63 </w:t>
      </w:r>
      <w:r w:rsidR="00785641" w:rsidRPr="00254BEF">
        <w:t>randomi</w:t>
      </w:r>
      <w:r w:rsidR="005D7273">
        <w:t>s</w:t>
      </w:r>
      <w:r w:rsidR="00785641" w:rsidRPr="00254BEF">
        <w:t xml:space="preserve">ed to DTIC crossed over to </w:t>
      </w:r>
      <w:r>
        <w:t>T</w:t>
      </w:r>
      <w:r w:rsidRPr="00254BEF">
        <w:t>AFINLAR</w:t>
      </w:r>
      <w:r w:rsidR="00785641" w:rsidRPr="00254BEF">
        <w:t xml:space="preserve">. Median </w:t>
      </w:r>
      <w:r>
        <w:t>PFS</w:t>
      </w:r>
      <w:r w:rsidRPr="00254BEF">
        <w:t xml:space="preserve"> </w:t>
      </w:r>
      <w:r w:rsidR="00785641" w:rsidRPr="00254BEF">
        <w:t xml:space="preserve">after cross-over was </w:t>
      </w:r>
      <w:r>
        <w:t>4.4</w:t>
      </w:r>
      <w:r w:rsidR="00785641" w:rsidRPr="00254BEF">
        <w:t xml:space="preserve"> months. </w:t>
      </w:r>
    </w:p>
    <w:p w:rsidR="0070730F" w:rsidRDefault="0070730F" w:rsidP="0070730F">
      <w:pPr>
        <w:pStyle w:val="Caption"/>
      </w:pPr>
      <w:bookmarkStart w:id="0" w:name="_Ref354736444"/>
      <w:r>
        <w:lastRenderedPageBreak/>
        <w:t xml:space="preserve">Figure </w:t>
      </w:r>
      <w:fldSimple w:instr=" SEQ Figure \* ARABIC ">
        <w:r w:rsidR="00D86F61">
          <w:rPr>
            <w:noProof/>
          </w:rPr>
          <w:t>1</w:t>
        </w:r>
      </w:fldSimple>
      <w:bookmarkEnd w:id="0"/>
      <w:r>
        <w:t>:</w:t>
      </w:r>
      <w:r w:rsidRPr="0070730F">
        <w:rPr>
          <w:rFonts w:cs="Arial"/>
          <w:szCs w:val="22"/>
        </w:rPr>
        <w:t xml:space="preserve"> </w:t>
      </w:r>
      <w:r w:rsidRPr="00254BEF">
        <w:rPr>
          <w:rFonts w:cs="Arial"/>
          <w:szCs w:val="22"/>
        </w:rPr>
        <w:t>Progression-Free Survival</w:t>
      </w:r>
      <w:r>
        <w:rPr>
          <w:rFonts w:cs="Arial"/>
          <w:szCs w:val="22"/>
        </w:rPr>
        <w:t xml:space="preserve"> - previously untreated patients</w:t>
      </w:r>
      <w:r w:rsidRPr="00254BEF">
        <w:rPr>
          <w:rFonts w:cs="Arial"/>
          <w:szCs w:val="22"/>
        </w:rPr>
        <w:t xml:space="preserve"> (</w:t>
      </w:r>
      <w:r w:rsidR="00B94D46">
        <w:rPr>
          <w:rFonts w:cs="Arial"/>
          <w:szCs w:val="22"/>
        </w:rPr>
        <w:t xml:space="preserve">BREAK 3 </w:t>
      </w:r>
      <w:r w:rsidRPr="00254BEF">
        <w:rPr>
          <w:rFonts w:cs="Arial"/>
          <w:szCs w:val="22"/>
        </w:rPr>
        <w:t>ITT population</w:t>
      </w:r>
      <w:r w:rsidR="00B94D46">
        <w:rPr>
          <w:rFonts w:cs="Arial"/>
          <w:szCs w:val="22"/>
        </w:rPr>
        <w:t>, 19 December 2011</w:t>
      </w:r>
      <w:r w:rsidRPr="00254BEF">
        <w:rPr>
          <w:rFonts w:cs="Arial"/>
          <w:szCs w:val="22"/>
        </w:rPr>
        <w:t>)</w:t>
      </w:r>
    </w:p>
    <w:p w:rsidR="00A70A0A" w:rsidRDefault="00C03073" w:rsidP="00D86F61">
      <w:pPr>
        <w:pStyle w:val="ListParagraph"/>
        <w:rPr>
          <w:b/>
          <w:i/>
        </w:rPr>
      </w:pPr>
      <w:r>
        <w:rPr>
          <w:noProof/>
        </w:rPr>
        <w:drawing>
          <wp:inline distT="0" distB="0" distL="0" distR="0">
            <wp:extent cx="5486400" cy="4152900"/>
            <wp:effectExtent l="19050" t="0" r="0" b="0"/>
            <wp:docPr id="2" name="Picture 3" descr="f_pfs_grayscale_g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_pfs_grayscale_gds"/>
                    <pic:cNvPicPr>
                      <a:picLocks noChangeAspect="1" noChangeArrowheads="1"/>
                    </pic:cNvPicPr>
                  </pic:nvPicPr>
                  <pic:blipFill>
                    <a:blip r:embed="rId11" cstate="print"/>
                    <a:srcRect/>
                    <a:stretch>
                      <a:fillRect/>
                    </a:stretch>
                  </pic:blipFill>
                  <pic:spPr bwMode="auto">
                    <a:xfrm>
                      <a:off x="0" y="0"/>
                      <a:ext cx="5486400" cy="4152900"/>
                    </a:xfrm>
                    <a:prstGeom prst="rect">
                      <a:avLst/>
                    </a:prstGeom>
                    <a:noFill/>
                    <a:ln w="9525">
                      <a:noFill/>
                      <a:miter lim="800000"/>
                      <a:headEnd/>
                      <a:tailEnd/>
                    </a:ln>
                  </pic:spPr>
                </pic:pic>
              </a:graphicData>
            </a:graphic>
          </wp:inline>
        </w:drawing>
      </w:r>
    </w:p>
    <w:p w:rsidR="000A6D13" w:rsidRPr="00254BEF" w:rsidRDefault="000A6D13" w:rsidP="00D86F61">
      <w:pPr>
        <w:pStyle w:val="ListParagraph"/>
      </w:pPr>
    </w:p>
    <w:p w:rsidR="00005F48" w:rsidRDefault="00005F48" w:rsidP="00005F48">
      <w:pPr>
        <w:pStyle w:val="Caption"/>
      </w:pPr>
      <w:r>
        <w:t xml:space="preserve">Table </w:t>
      </w:r>
      <w:fldSimple w:instr=" SEQ Table \* ARABIC ">
        <w:r w:rsidR="00A36833">
          <w:rPr>
            <w:noProof/>
          </w:rPr>
          <w:t>2</w:t>
        </w:r>
      </w:fldSimple>
      <w:r w:rsidRPr="00D86F61">
        <w:t>: Survival data from a post-hoc analysis (18 December 2012).</w:t>
      </w:r>
    </w:p>
    <w:tbl>
      <w:tblPr>
        <w:tblW w:w="7786" w:type="dxa"/>
        <w:tblInd w:w="105" w:type="dxa"/>
        <w:tblLayout w:type="fixed"/>
        <w:tblCellMar>
          <w:left w:w="0" w:type="dxa"/>
          <w:right w:w="0" w:type="dxa"/>
        </w:tblCellMar>
        <w:tblLook w:val="0000"/>
      </w:tblPr>
      <w:tblGrid>
        <w:gridCol w:w="1275"/>
        <w:gridCol w:w="2333"/>
        <w:gridCol w:w="2089"/>
        <w:gridCol w:w="2089"/>
      </w:tblGrid>
      <w:tr w:rsidR="005D1137" w:rsidRPr="005D1137" w:rsidTr="005D1137">
        <w:trPr>
          <w:trHeight w:hRule="exact" w:val="516"/>
        </w:trPr>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D1137" w:rsidRPr="005D1137" w:rsidRDefault="005D1137" w:rsidP="00A70A0A">
            <w:pPr>
              <w:jc w:val="center"/>
              <w:rPr>
                <w:rFonts w:ascii="Arial" w:hAnsi="Arial" w:cs="Arial"/>
                <w:b/>
                <w:sz w:val="22"/>
                <w:szCs w:val="22"/>
              </w:rPr>
            </w:pPr>
            <w:r w:rsidRPr="005D1137">
              <w:rPr>
                <w:rFonts w:ascii="Arial" w:hAnsi="Arial" w:cs="Arial"/>
                <w:b/>
                <w:sz w:val="22"/>
                <w:szCs w:val="22"/>
              </w:rPr>
              <w:t>Treatment</w:t>
            </w: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rsidR="005D1137" w:rsidRPr="005D1137" w:rsidRDefault="005D1137" w:rsidP="00A70A0A">
            <w:pPr>
              <w:jc w:val="center"/>
              <w:rPr>
                <w:rFonts w:ascii="Arial" w:hAnsi="Arial" w:cs="Arial"/>
                <w:b/>
                <w:sz w:val="22"/>
                <w:szCs w:val="22"/>
              </w:rPr>
            </w:pPr>
            <w:r w:rsidRPr="005D1137">
              <w:rPr>
                <w:rFonts w:ascii="Arial" w:hAnsi="Arial" w:cs="Arial"/>
                <w:b/>
                <w:sz w:val="22"/>
                <w:szCs w:val="22"/>
              </w:rPr>
              <w:t>Number of deaths (%)</w:t>
            </w: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5D1137" w:rsidRPr="005D1137" w:rsidRDefault="005D1137" w:rsidP="00A70A0A">
            <w:pPr>
              <w:jc w:val="center"/>
              <w:rPr>
                <w:rFonts w:ascii="Arial" w:hAnsi="Arial" w:cs="Arial"/>
                <w:b/>
                <w:sz w:val="22"/>
                <w:szCs w:val="22"/>
              </w:rPr>
            </w:pPr>
            <w:r w:rsidRPr="005D1137">
              <w:rPr>
                <w:rFonts w:ascii="Arial" w:hAnsi="Arial" w:cs="Arial"/>
                <w:b/>
                <w:sz w:val="22"/>
                <w:szCs w:val="22"/>
              </w:rPr>
              <w:t>12-month OS rate</w:t>
            </w:r>
          </w:p>
        </w:tc>
        <w:tc>
          <w:tcPr>
            <w:tcW w:w="2089" w:type="dxa"/>
            <w:tcBorders>
              <w:top w:val="single" w:sz="4" w:space="0" w:color="000000"/>
              <w:left w:val="single" w:sz="4" w:space="0" w:color="000000"/>
              <w:bottom w:val="single" w:sz="4" w:space="0" w:color="000000"/>
              <w:right w:val="single" w:sz="4" w:space="0" w:color="000000"/>
            </w:tcBorders>
          </w:tcPr>
          <w:p w:rsidR="005D1137" w:rsidRPr="005D1137" w:rsidRDefault="005D1137" w:rsidP="00A70A0A">
            <w:pPr>
              <w:jc w:val="center"/>
              <w:rPr>
                <w:rFonts w:ascii="Arial" w:hAnsi="Arial" w:cs="Arial"/>
                <w:b/>
                <w:sz w:val="22"/>
                <w:szCs w:val="22"/>
              </w:rPr>
            </w:pPr>
            <w:r w:rsidRPr="005D1137">
              <w:rPr>
                <w:rFonts w:ascii="Arial" w:hAnsi="Arial" w:cs="Arial"/>
                <w:b/>
                <w:sz w:val="22"/>
                <w:szCs w:val="22"/>
              </w:rPr>
              <w:t>Hazard Ratio</w:t>
            </w:r>
          </w:p>
          <w:p w:rsidR="005D1137" w:rsidRPr="005D1137" w:rsidRDefault="005D1137" w:rsidP="00A70A0A">
            <w:pPr>
              <w:jc w:val="center"/>
              <w:rPr>
                <w:rFonts w:ascii="Arial" w:hAnsi="Arial" w:cs="Arial"/>
                <w:b/>
                <w:sz w:val="22"/>
                <w:szCs w:val="22"/>
              </w:rPr>
            </w:pPr>
            <w:r w:rsidRPr="005D1137">
              <w:rPr>
                <w:rFonts w:ascii="Arial" w:hAnsi="Arial" w:cs="Arial"/>
                <w:b/>
                <w:sz w:val="22"/>
                <w:szCs w:val="22"/>
              </w:rPr>
              <w:t>(95</w:t>
            </w:r>
            <w:r w:rsidR="00D25A0C">
              <w:rPr>
                <w:rFonts w:ascii="Arial" w:hAnsi="Arial" w:cs="Arial"/>
                <w:b/>
                <w:sz w:val="22"/>
                <w:szCs w:val="22"/>
              </w:rPr>
              <w:t>%</w:t>
            </w:r>
            <w:r w:rsidRPr="005D1137">
              <w:rPr>
                <w:rFonts w:ascii="Arial" w:hAnsi="Arial" w:cs="Arial"/>
                <w:b/>
                <w:sz w:val="22"/>
                <w:szCs w:val="22"/>
              </w:rPr>
              <w:t xml:space="preserve"> CI)</w:t>
            </w:r>
          </w:p>
        </w:tc>
      </w:tr>
      <w:tr w:rsidR="005D1137" w:rsidRPr="005D1137" w:rsidTr="005D1137">
        <w:trPr>
          <w:trHeight w:hRule="exact" w:val="264"/>
        </w:trPr>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D1137" w:rsidRPr="005D1137" w:rsidRDefault="005D1137" w:rsidP="00A70A0A">
            <w:pPr>
              <w:jc w:val="center"/>
              <w:rPr>
                <w:rFonts w:ascii="Arial" w:hAnsi="Arial" w:cs="Arial"/>
                <w:sz w:val="22"/>
                <w:szCs w:val="22"/>
              </w:rPr>
            </w:pPr>
            <w:r w:rsidRPr="005D1137">
              <w:rPr>
                <w:rFonts w:ascii="Arial" w:hAnsi="Arial" w:cs="Arial"/>
                <w:sz w:val="22"/>
                <w:szCs w:val="22"/>
              </w:rPr>
              <w:t>DTIC</w:t>
            </w: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rsidR="005D1137" w:rsidRPr="005D1137" w:rsidRDefault="005D1137" w:rsidP="00A70A0A">
            <w:pPr>
              <w:jc w:val="center"/>
              <w:rPr>
                <w:rFonts w:ascii="Arial" w:hAnsi="Arial" w:cs="Arial"/>
                <w:sz w:val="22"/>
                <w:szCs w:val="22"/>
              </w:rPr>
            </w:pPr>
            <w:r w:rsidRPr="005D1137">
              <w:rPr>
                <w:rFonts w:ascii="Arial" w:hAnsi="Arial" w:cs="Arial"/>
                <w:sz w:val="22"/>
                <w:szCs w:val="22"/>
              </w:rPr>
              <w:t>28 (44</w:t>
            </w:r>
            <w:r w:rsidR="00D25A0C">
              <w:rPr>
                <w:rFonts w:ascii="Arial" w:hAnsi="Arial" w:cs="Arial"/>
                <w:sz w:val="22"/>
                <w:szCs w:val="22"/>
              </w:rPr>
              <w:t>%</w:t>
            </w:r>
            <w:r w:rsidRPr="005D1137">
              <w:rPr>
                <w:rFonts w:ascii="Arial" w:hAnsi="Arial" w:cs="Arial"/>
                <w:sz w:val="22"/>
                <w:szCs w:val="22"/>
              </w:rPr>
              <w:t>)</w:t>
            </w: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5D1137" w:rsidRPr="005D1137" w:rsidRDefault="005D1137" w:rsidP="00A70A0A">
            <w:pPr>
              <w:jc w:val="center"/>
              <w:rPr>
                <w:rFonts w:ascii="Arial" w:hAnsi="Arial" w:cs="Arial"/>
                <w:sz w:val="22"/>
                <w:szCs w:val="22"/>
              </w:rPr>
            </w:pPr>
            <w:r w:rsidRPr="005D1137">
              <w:rPr>
                <w:rFonts w:ascii="Arial" w:hAnsi="Arial" w:cs="Arial"/>
                <w:sz w:val="22"/>
                <w:szCs w:val="22"/>
              </w:rPr>
              <w:t>63</w:t>
            </w:r>
            <w:r w:rsidR="00D25A0C">
              <w:rPr>
                <w:rFonts w:ascii="Arial" w:hAnsi="Arial" w:cs="Arial"/>
                <w:sz w:val="22"/>
                <w:szCs w:val="22"/>
              </w:rPr>
              <w:t>%</w:t>
            </w:r>
          </w:p>
        </w:tc>
        <w:tc>
          <w:tcPr>
            <w:tcW w:w="2089" w:type="dxa"/>
            <w:vMerge w:val="restart"/>
            <w:tcBorders>
              <w:top w:val="single" w:sz="4" w:space="0" w:color="000000"/>
              <w:left w:val="single" w:sz="4" w:space="0" w:color="000000"/>
              <w:bottom w:val="single" w:sz="4" w:space="0" w:color="000000"/>
              <w:right w:val="single" w:sz="4" w:space="0" w:color="000000"/>
            </w:tcBorders>
          </w:tcPr>
          <w:p w:rsidR="005D1137" w:rsidRPr="005D1137" w:rsidRDefault="005D1137" w:rsidP="00A70A0A">
            <w:pPr>
              <w:jc w:val="center"/>
              <w:rPr>
                <w:rFonts w:ascii="Arial" w:hAnsi="Arial" w:cs="Arial"/>
                <w:sz w:val="22"/>
                <w:szCs w:val="22"/>
              </w:rPr>
            </w:pPr>
            <w:r w:rsidRPr="005D1137">
              <w:rPr>
                <w:rFonts w:ascii="Arial" w:hAnsi="Arial" w:cs="Arial"/>
                <w:sz w:val="22"/>
                <w:szCs w:val="22"/>
              </w:rPr>
              <w:t>0.76 (0.48, 1.21) </w:t>
            </w:r>
            <w:r w:rsidRPr="005D1137">
              <w:rPr>
                <w:rFonts w:ascii="Arial" w:hAnsi="Arial" w:cs="Arial"/>
                <w:sz w:val="22"/>
                <w:szCs w:val="22"/>
                <w:vertAlign w:val="superscript"/>
              </w:rPr>
              <w:t>(a)</w:t>
            </w:r>
          </w:p>
        </w:tc>
      </w:tr>
      <w:tr w:rsidR="005D1137" w:rsidRPr="005D1137" w:rsidTr="005D1137">
        <w:trPr>
          <w:trHeight w:hRule="exact" w:val="263"/>
        </w:trPr>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D1137" w:rsidRPr="005D1137" w:rsidRDefault="005D1137" w:rsidP="00A70A0A">
            <w:pPr>
              <w:jc w:val="center"/>
              <w:rPr>
                <w:rFonts w:ascii="Arial" w:hAnsi="Arial" w:cs="Arial"/>
                <w:sz w:val="22"/>
                <w:szCs w:val="22"/>
              </w:rPr>
            </w:pPr>
            <w:proofErr w:type="spellStart"/>
            <w:r w:rsidRPr="005D1137">
              <w:rPr>
                <w:rFonts w:ascii="Arial" w:hAnsi="Arial" w:cs="Arial"/>
                <w:sz w:val="22"/>
                <w:szCs w:val="22"/>
              </w:rPr>
              <w:t>dabrafenib</w:t>
            </w:r>
            <w:proofErr w:type="spellEnd"/>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rsidR="005D1137" w:rsidRPr="005D1137" w:rsidRDefault="005D1137" w:rsidP="00A70A0A">
            <w:pPr>
              <w:jc w:val="center"/>
              <w:rPr>
                <w:rFonts w:ascii="Arial" w:hAnsi="Arial" w:cs="Arial"/>
                <w:sz w:val="22"/>
                <w:szCs w:val="22"/>
              </w:rPr>
            </w:pPr>
            <w:r w:rsidRPr="005D1137">
              <w:rPr>
                <w:rFonts w:ascii="Arial" w:hAnsi="Arial" w:cs="Arial"/>
                <w:sz w:val="22"/>
                <w:szCs w:val="22"/>
              </w:rPr>
              <w:t>78 (42</w:t>
            </w:r>
            <w:r w:rsidR="00D25A0C">
              <w:rPr>
                <w:rFonts w:ascii="Arial" w:hAnsi="Arial" w:cs="Arial"/>
                <w:sz w:val="22"/>
                <w:szCs w:val="22"/>
              </w:rPr>
              <w:t>%</w:t>
            </w:r>
            <w:r w:rsidRPr="005D1137">
              <w:rPr>
                <w:rFonts w:ascii="Arial" w:hAnsi="Arial" w:cs="Arial"/>
                <w:sz w:val="22"/>
                <w:szCs w:val="22"/>
              </w:rPr>
              <w:t>)</w:t>
            </w: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rsidR="005D1137" w:rsidRPr="005D1137" w:rsidRDefault="005D1137" w:rsidP="00A70A0A">
            <w:pPr>
              <w:jc w:val="center"/>
              <w:rPr>
                <w:rFonts w:ascii="Arial" w:hAnsi="Arial" w:cs="Arial"/>
                <w:sz w:val="22"/>
                <w:szCs w:val="22"/>
              </w:rPr>
            </w:pPr>
            <w:r w:rsidRPr="005D1137">
              <w:rPr>
                <w:rFonts w:ascii="Arial" w:hAnsi="Arial" w:cs="Arial"/>
                <w:sz w:val="22"/>
                <w:szCs w:val="22"/>
              </w:rPr>
              <w:t>70</w:t>
            </w:r>
            <w:r w:rsidR="00D25A0C">
              <w:rPr>
                <w:rFonts w:ascii="Arial" w:hAnsi="Arial" w:cs="Arial"/>
                <w:sz w:val="22"/>
                <w:szCs w:val="22"/>
              </w:rPr>
              <w:t>%</w:t>
            </w:r>
          </w:p>
        </w:tc>
        <w:tc>
          <w:tcPr>
            <w:tcW w:w="2089" w:type="dxa"/>
            <w:vMerge/>
            <w:tcBorders>
              <w:top w:val="single" w:sz="4" w:space="0" w:color="000000"/>
              <w:left w:val="single" w:sz="4" w:space="0" w:color="000000"/>
              <w:bottom w:val="single" w:sz="4" w:space="0" w:color="000000"/>
              <w:right w:val="single" w:sz="4" w:space="0" w:color="000000"/>
            </w:tcBorders>
          </w:tcPr>
          <w:p w:rsidR="005D1137" w:rsidRPr="005D1137" w:rsidRDefault="005D1137" w:rsidP="00A70A0A">
            <w:pPr>
              <w:rPr>
                <w:rFonts w:ascii="Arial" w:hAnsi="Arial" w:cs="Arial"/>
                <w:sz w:val="22"/>
                <w:szCs w:val="22"/>
              </w:rPr>
            </w:pPr>
          </w:p>
        </w:tc>
      </w:tr>
    </w:tbl>
    <w:p w:rsidR="005D1137" w:rsidRPr="005D1137" w:rsidRDefault="005D1137" w:rsidP="00EF55A1">
      <w:pPr>
        <w:pStyle w:val="ListParagraph"/>
      </w:pPr>
      <w:r w:rsidRPr="005D1137">
        <w:t>Patients were not censored at the time of cross-over</w:t>
      </w:r>
      <w:r w:rsidR="000379CC">
        <w:t>.</w:t>
      </w:r>
    </w:p>
    <w:p w:rsidR="00A70A0A" w:rsidRDefault="00A70A0A" w:rsidP="00D86F61">
      <w:pPr>
        <w:pStyle w:val="ListParagraph"/>
      </w:pPr>
    </w:p>
    <w:p w:rsidR="00D86F61" w:rsidRDefault="00D86F61" w:rsidP="00D86F61">
      <w:pPr>
        <w:pStyle w:val="Caption"/>
      </w:pPr>
      <w:bookmarkStart w:id="1" w:name="_Ref354736621"/>
      <w:r>
        <w:lastRenderedPageBreak/>
        <w:t xml:space="preserve">Figure </w:t>
      </w:r>
      <w:fldSimple w:instr=" SEQ Figure \* ARABIC ">
        <w:r>
          <w:rPr>
            <w:noProof/>
          </w:rPr>
          <w:t>2</w:t>
        </w:r>
      </w:fldSimple>
      <w:bookmarkEnd w:id="1"/>
      <w:r w:rsidRPr="00D86F61">
        <w:t>: Kaplan-Meier curves of overall survival (BREAK-3) (18 December 2012)</w:t>
      </w:r>
      <w:r w:rsidR="00C03073">
        <w:rPr>
          <w:rFonts w:cs="Arial"/>
          <w:b w:val="0"/>
          <w:i/>
          <w:noProof/>
          <w:szCs w:val="22"/>
          <w:lang w:val="en-AU" w:eastAsia="en-AU"/>
        </w:rPr>
        <w:drawing>
          <wp:anchor distT="0" distB="0" distL="114300" distR="114300" simplePos="0" relativeHeight="251657728" behindDoc="0" locked="0" layoutInCell="1" allowOverlap="1">
            <wp:simplePos x="0" y="0"/>
            <wp:positionH relativeFrom="column">
              <wp:posOffset>-257810</wp:posOffset>
            </wp:positionH>
            <wp:positionV relativeFrom="paragraph">
              <wp:posOffset>300990</wp:posOffset>
            </wp:positionV>
            <wp:extent cx="6110605" cy="3475990"/>
            <wp:effectExtent l="19050" t="0" r="4445" b="0"/>
            <wp:wrapSquare wrapText="bothSides"/>
            <wp:docPr id="1" name="Picture 2" descr="f_os_graysca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_os_grayscale1"/>
                    <pic:cNvPicPr>
                      <a:picLocks noChangeAspect="1" noChangeArrowheads="1"/>
                    </pic:cNvPicPr>
                  </pic:nvPicPr>
                  <pic:blipFill>
                    <a:blip r:embed="rId12" cstate="print"/>
                    <a:srcRect/>
                    <a:stretch>
                      <a:fillRect/>
                    </a:stretch>
                  </pic:blipFill>
                  <pic:spPr bwMode="auto">
                    <a:xfrm>
                      <a:off x="0" y="0"/>
                      <a:ext cx="6110605" cy="3475990"/>
                    </a:xfrm>
                    <a:prstGeom prst="rect">
                      <a:avLst/>
                    </a:prstGeom>
                    <a:noFill/>
                  </pic:spPr>
                </pic:pic>
              </a:graphicData>
            </a:graphic>
          </wp:anchor>
        </w:drawing>
      </w:r>
    </w:p>
    <w:p w:rsidR="005D1137" w:rsidRDefault="005D1137" w:rsidP="00785641">
      <w:pPr>
        <w:rPr>
          <w:rFonts w:ascii="Arial" w:hAnsi="Arial" w:cs="Arial"/>
          <w:b/>
          <w:i/>
          <w:sz w:val="22"/>
          <w:szCs w:val="22"/>
        </w:rPr>
      </w:pPr>
    </w:p>
    <w:p w:rsidR="00785641" w:rsidRPr="00254BEF" w:rsidRDefault="00785641" w:rsidP="00EF55A1">
      <w:pPr>
        <w:pStyle w:val="Heading3"/>
      </w:pPr>
      <w:r w:rsidRPr="00254BEF">
        <w:t>Patients with brain metastases</w:t>
      </w:r>
      <w:r w:rsidR="0066416F">
        <w:t xml:space="preserve"> (Results from the </w:t>
      </w:r>
      <w:r w:rsidR="009E041D">
        <w:t>p</w:t>
      </w:r>
      <w:r w:rsidR="0066416F">
        <w:t>hase II study BREAK-MB)</w:t>
      </w:r>
    </w:p>
    <w:p w:rsidR="000A6D13" w:rsidRPr="00254BEF" w:rsidRDefault="000A6D13" w:rsidP="00697EF8">
      <w:pPr>
        <w:pStyle w:val="ListParagraph"/>
        <w:rPr>
          <w:highlight w:val="lightGray"/>
        </w:rPr>
      </w:pPr>
      <w:r w:rsidRPr="00254BEF">
        <w:rPr>
          <w:lang w:val="en-US"/>
        </w:rPr>
        <w:t>BREAK-MB was a multi-cent</w:t>
      </w:r>
      <w:r w:rsidR="005D7273">
        <w:rPr>
          <w:lang w:val="en-US"/>
        </w:rPr>
        <w:t>r</w:t>
      </w:r>
      <w:r w:rsidRPr="00254BEF">
        <w:rPr>
          <w:lang w:val="en-US"/>
        </w:rPr>
        <w:t xml:space="preserve">e, open-label, two-cohort, Phase II study designed to evaluate the </w:t>
      </w:r>
      <w:r w:rsidR="005D5DF9" w:rsidRPr="00D74C63">
        <w:rPr>
          <w:lang w:val="en-US"/>
        </w:rPr>
        <w:t>intracranial response</w:t>
      </w:r>
      <w:r w:rsidR="005D5DF9">
        <w:rPr>
          <w:lang w:val="en-US"/>
        </w:rPr>
        <w:t xml:space="preserve"> </w:t>
      </w:r>
      <w:r w:rsidRPr="00254BEF">
        <w:rPr>
          <w:lang w:val="en-US"/>
        </w:rPr>
        <w:t xml:space="preserve">of </w:t>
      </w:r>
      <w:proofErr w:type="spellStart"/>
      <w:r w:rsidRPr="00254BEF">
        <w:rPr>
          <w:lang w:val="en-US"/>
        </w:rPr>
        <w:t>dabrafenib</w:t>
      </w:r>
      <w:proofErr w:type="spellEnd"/>
      <w:r w:rsidRPr="00254BEF">
        <w:rPr>
          <w:lang w:val="en-US"/>
        </w:rPr>
        <w:t xml:space="preserve"> in subjects with </w:t>
      </w:r>
      <w:proofErr w:type="spellStart"/>
      <w:r w:rsidRPr="00254BEF">
        <w:rPr>
          <w:lang w:val="en-US"/>
        </w:rPr>
        <w:t>histologically</w:t>
      </w:r>
      <w:proofErr w:type="spellEnd"/>
      <w:r w:rsidRPr="00254BEF">
        <w:rPr>
          <w:lang w:val="en-US"/>
        </w:rPr>
        <w:t xml:space="preserve"> confirmed (Stage IV) BRAF-mutation positive (V600E or V600K) melanoma metastatic to the brain. Subjects were enrolled into Cohort A (subjects with no prior local therapy for brain metastasis) or Cohort B (subjects who received prior local therapy for brain metastasis).</w:t>
      </w:r>
      <w:r w:rsidR="00697EF8">
        <w:rPr>
          <w:lang w:val="en-US"/>
        </w:rPr>
        <w:t xml:space="preserve"> </w:t>
      </w:r>
      <w:r w:rsidR="001342C0" w:rsidRPr="001342C0">
        <w:rPr>
          <w:lang w:val="en-US"/>
        </w:rPr>
        <w:t xml:space="preserve">The primary endpoint of the study was overall intracranial response rate (OIRR), </w:t>
      </w:r>
      <w:r w:rsidR="00697EF8">
        <w:rPr>
          <w:lang w:val="en-US"/>
        </w:rPr>
        <w:t xml:space="preserve">which </w:t>
      </w:r>
      <w:r w:rsidR="00697EF8" w:rsidRPr="00697EF8">
        <w:rPr>
          <w:lang w:val="en-US"/>
        </w:rPr>
        <w:t>is a measure of response (CR+PR) of intracranial lesions using modified RECIST criteria</w:t>
      </w:r>
      <w:r w:rsidR="00697EF8">
        <w:rPr>
          <w:lang w:val="en-US"/>
        </w:rPr>
        <w:t xml:space="preserve"> </w:t>
      </w:r>
      <w:r w:rsidR="001342C0" w:rsidRPr="001342C0">
        <w:rPr>
          <w:lang w:val="en-US"/>
        </w:rPr>
        <w:t xml:space="preserve">as assessed by investigators. </w:t>
      </w:r>
      <w:r w:rsidRPr="00254BEF">
        <w:rPr>
          <w:lang w:val="en-US"/>
        </w:rPr>
        <w:t xml:space="preserve">The results are </w:t>
      </w:r>
      <w:proofErr w:type="spellStart"/>
      <w:r w:rsidRPr="00254BEF">
        <w:rPr>
          <w:lang w:val="en-US"/>
        </w:rPr>
        <w:t>summari</w:t>
      </w:r>
      <w:r w:rsidR="005D7273">
        <w:rPr>
          <w:lang w:val="en-US"/>
        </w:rPr>
        <w:t>s</w:t>
      </w:r>
      <w:r w:rsidRPr="00254BEF">
        <w:rPr>
          <w:lang w:val="en-US"/>
        </w:rPr>
        <w:t>ed</w:t>
      </w:r>
      <w:proofErr w:type="spellEnd"/>
      <w:r w:rsidRPr="00254BEF">
        <w:rPr>
          <w:lang w:val="en-US"/>
        </w:rPr>
        <w:t xml:space="preserve"> in </w:t>
      </w:r>
      <w:r w:rsidR="00F57809">
        <w:rPr>
          <w:lang w:val="en-US"/>
        </w:rPr>
        <w:fldChar w:fldCharType="begin"/>
      </w:r>
      <w:r w:rsidR="00750FA9">
        <w:rPr>
          <w:lang w:val="en-US"/>
        </w:rPr>
        <w:instrText xml:space="preserve"> REF _Ref355107360 \h </w:instrText>
      </w:r>
      <w:r w:rsidR="00F57809">
        <w:rPr>
          <w:lang w:val="en-US"/>
        </w:rPr>
      </w:r>
      <w:r w:rsidR="00F57809">
        <w:rPr>
          <w:lang w:val="en-US"/>
        </w:rPr>
        <w:fldChar w:fldCharType="separate"/>
      </w:r>
      <w:r w:rsidR="00750FA9">
        <w:t xml:space="preserve">Table </w:t>
      </w:r>
      <w:r w:rsidR="00750FA9">
        <w:rPr>
          <w:noProof/>
        </w:rPr>
        <w:t>3</w:t>
      </w:r>
      <w:r w:rsidR="00F57809">
        <w:rPr>
          <w:lang w:val="en-US"/>
        </w:rPr>
        <w:fldChar w:fldCharType="end"/>
      </w:r>
      <w:r w:rsidR="00697EF8">
        <w:rPr>
          <w:lang w:val="en-US"/>
        </w:rPr>
        <w:t>. Of note, the</w:t>
      </w:r>
      <w:r w:rsidR="00697EF8" w:rsidRPr="00697EF8">
        <w:rPr>
          <w:lang w:val="en-US"/>
        </w:rPr>
        <w:t xml:space="preserve"> benefit risk, in terms of intracranial response, relative to surgery or stereotactic radio</w:t>
      </w:r>
      <w:r w:rsidR="00697EF8">
        <w:rPr>
          <w:lang w:val="en-US"/>
        </w:rPr>
        <w:t>-</w:t>
      </w:r>
      <w:r w:rsidR="00697EF8" w:rsidRPr="00697EF8">
        <w:rPr>
          <w:lang w:val="en-US"/>
        </w:rPr>
        <w:t xml:space="preserve">surgery has not been studied directly however evidence from cohort B </w:t>
      </w:r>
      <w:r w:rsidR="00177398">
        <w:rPr>
          <w:lang w:val="en-US"/>
        </w:rPr>
        <w:t xml:space="preserve">below </w:t>
      </w:r>
      <w:r w:rsidR="00697EF8" w:rsidRPr="00697EF8">
        <w:rPr>
          <w:lang w:val="en-US"/>
        </w:rPr>
        <w:t>suggests that prior local treatment does not preclude subsequent benefit from BRAF inhibition.</w:t>
      </w:r>
    </w:p>
    <w:p w:rsidR="00EF55A1" w:rsidRDefault="00EF55A1" w:rsidP="00EF55A1">
      <w:pPr>
        <w:pStyle w:val="captiontable"/>
        <w:keepLines/>
        <w:tabs>
          <w:tab w:val="left" w:pos="8789"/>
        </w:tabs>
      </w:pPr>
      <w:bookmarkStart w:id="2" w:name="_Ref355107360"/>
      <w:r>
        <w:lastRenderedPageBreak/>
        <w:t xml:space="preserve">Table </w:t>
      </w:r>
      <w:fldSimple w:instr=" SEQ Table \* ARABIC ">
        <w:r w:rsidR="00A36833">
          <w:rPr>
            <w:noProof/>
          </w:rPr>
          <w:t>3</w:t>
        </w:r>
      </w:fldSimple>
      <w:bookmarkEnd w:id="2"/>
      <w:r w:rsidRPr="00EF55A1">
        <w:rPr>
          <w:rFonts w:eastAsia="MS Mincho"/>
        </w:rPr>
        <w:t>: Efficacy Data in Patients with Brain Metastases (BREAK-MB study)</w:t>
      </w:r>
    </w:p>
    <w:tbl>
      <w:tblPr>
        <w:tblW w:w="5183" w:type="pct"/>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2039"/>
        <w:gridCol w:w="2068"/>
        <w:gridCol w:w="1770"/>
        <w:gridCol w:w="1556"/>
        <w:gridCol w:w="1940"/>
      </w:tblGrid>
      <w:tr w:rsidR="00785641" w:rsidRPr="00254BEF" w:rsidTr="00785641">
        <w:tc>
          <w:tcPr>
            <w:tcW w:w="1088" w:type="pct"/>
            <w:tcBorders>
              <w:top w:val="single" w:sz="4" w:space="0" w:color="auto"/>
              <w:bottom w:val="single" w:sz="4" w:space="0" w:color="auto"/>
            </w:tcBorders>
            <w:shd w:val="clear" w:color="auto" w:fill="auto"/>
          </w:tcPr>
          <w:p w:rsidR="00785641" w:rsidRPr="00254BEF" w:rsidRDefault="00785641" w:rsidP="00785641">
            <w:pPr>
              <w:keepNext/>
              <w:keepLines/>
              <w:tabs>
                <w:tab w:val="left" w:pos="8789"/>
              </w:tabs>
              <w:rPr>
                <w:rFonts w:ascii="Arial" w:hAnsi="Arial" w:cs="Arial"/>
                <w:b/>
              </w:rPr>
            </w:pPr>
          </w:p>
        </w:tc>
        <w:tc>
          <w:tcPr>
            <w:tcW w:w="3912" w:type="pct"/>
            <w:gridSpan w:val="4"/>
            <w:tcBorders>
              <w:top w:val="single" w:sz="4" w:space="0" w:color="auto"/>
              <w:bottom w:val="single" w:sz="4" w:space="0" w:color="auto"/>
            </w:tcBorders>
            <w:shd w:val="clear" w:color="auto" w:fill="auto"/>
            <w:vAlign w:val="center"/>
          </w:tcPr>
          <w:p w:rsidR="00785641" w:rsidRPr="00254BEF" w:rsidRDefault="00785641" w:rsidP="00785641">
            <w:pPr>
              <w:keepNext/>
              <w:keepLines/>
              <w:tabs>
                <w:tab w:val="left" w:pos="8789"/>
              </w:tabs>
              <w:jc w:val="center"/>
              <w:rPr>
                <w:rFonts w:ascii="Arial" w:eastAsia="MS Mincho" w:hAnsi="Arial" w:cs="Arial"/>
                <w:b/>
                <w:lang w:val="en-US"/>
              </w:rPr>
            </w:pPr>
            <w:r w:rsidRPr="00254BEF">
              <w:rPr>
                <w:rFonts w:ascii="Arial" w:eastAsia="MS Mincho" w:hAnsi="Arial" w:cs="Arial"/>
                <w:b/>
                <w:lang w:val="en-US"/>
              </w:rPr>
              <w:t>All Treated Subjects Population</w:t>
            </w:r>
          </w:p>
        </w:tc>
      </w:tr>
      <w:tr w:rsidR="00785641" w:rsidRPr="00254BEF" w:rsidTr="00785641">
        <w:tc>
          <w:tcPr>
            <w:tcW w:w="1088" w:type="pct"/>
            <w:tcBorders>
              <w:top w:val="single" w:sz="4" w:space="0" w:color="auto"/>
              <w:bottom w:val="single" w:sz="4" w:space="0" w:color="auto"/>
            </w:tcBorders>
            <w:shd w:val="clear" w:color="auto" w:fill="auto"/>
          </w:tcPr>
          <w:p w:rsidR="00785641" w:rsidRPr="00254BEF" w:rsidRDefault="00785641" w:rsidP="00785641">
            <w:pPr>
              <w:keepNext/>
              <w:keepLines/>
              <w:tabs>
                <w:tab w:val="left" w:pos="8789"/>
              </w:tabs>
              <w:rPr>
                <w:rFonts w:ascii="Arial" w:hAnsi="Arial" w:cs="Arial"/>
                <w:b/>
              </w:rPr>
            </w:pPr>
          </w:p>
        </w:tc>
        <w:tc>
          <w:tcPr>
            <w:tcW w:w="2047" w:type="pct"/>
            <w:gridSpan w:val="2"/>
            <w:tcBorders>
              <w:top w:val="single" w:sz="4" w:space="0" w:color="auto"/>
              <w:bottom w:val="single" w:sz="4" w:space="0" w:color="auto"/>
            </w:tcBorders>
            <w:shd w:val="clear" w:color="auto" w:fill="auto"/>
            <w:vAlign w:val="center"/>
          </w:tcPr>
          <w:p w:rsidR="005D5DF9" w:rsidRDefault="005D5DF9" w:rsidP="00785641">
            <w:pPr>
              <w:keepNext/>
              <w:keepLines/>
              <w:tabs>
                <w:tab w:val="left" w:pos="8789"/>
              </w:tabs>
              <w:jc w:val="center"/>
              <w:rPr>
                <w:rFonts w:ascii="Arial" w:eastAsia="MS Mincho" w:hAnsi="Arial" w:cs="Arial"/>
                <w:b/>
                <w:lang w:val="en-US"/>
              </w:rPr>
            </w:pPr>
          </w:p>
          <w:p w:rsidR="00785641" w:rsidRPr="00254BEF" w:rsidRDefault="00815E4A" w:rsidP="00785641">
            <w:pPr>
              <w:keepNext/>
              <w:keepLines/>
              <w:tabs>
                <w:tab w:val="left" w:pos="8789"/>
              </w:tabs>
              <w:jc w:val="center"/>
              <w:rPr>
                <w:rFonts w:ascii="Arial" w:eastAsia="MS Mincho" w:hAnsi="Arial" w:cs="Arial"/>
                <w:b/>
                <w:lang w:val="en-US"/>
              </w:rPr>
            </w:pPr>
            <w:r w:rsidRPr="00254BEF">
              <w:rPr>
                <w:rFonts w:ascii="Arial" w:eastAsia="MS Mincho" w:hAnsi="Arial" w:cs="Arial"/>
                <w:b/>
                <w:lang w:val="en-US"/>
              </w:rPr>
              <w:t>BRAF</w:t>
            </w:r>
            <w:r w:rsidR="00785641" w:rsidRPr="00254BEF">
              <w:rPr>
                <w:rFonts w:ascii="Arial" w:eastAsia="MS Mincho" w:hAnsi="Arial" w:cs="Arial"/>
                <w:b/>
                <w:vertAlign w:val="superscript"/>
                <w:lang w:val="en-US"/>
              </w:rPr>
              <w:t>V600E</w:t>
            </w:r>
            <w:r w:rsidR="00785641" w:rsidRPr="00254BEF">
              <w:rPr>
                <w:rFonts w:ascii="Arial" w:eastAsia="MS Mincho" w:hAnsi="Arial" w:cs="Arial"/>
                <w:b/>
                <w:lang w:val="en-US"/>
              </w:rPr>
              <w:t xml:space="preserve"> (Primary)</w:t>
            </w:r>
          </w:p>
        </w:tc>
        <w:tc>
          <w:tcPr>
            <w:tcW w:w="1865" w:type="pct"/>
            <w:gridSpan w:val="2"/>
            <w:tcBorders>
              <w:top w:val="single" w:sz="4" w:space="0" w:color="auto"/>
              <w:bottom w:val="single" w:sz="4" w:space="0" w:color="auto"/>
            </w:tcBorders>
            <w:vAlign w:val="center"/>
          </w:tcPr>
          <w:p w:rsidR="005D5DF9" w:rsidRDefault="005D5DF9" w:rsidP="00785641">
            <w:pPr>
              <w:keepNext/>
              <w:keepLines/>
              <w:tabs>
                <w:tab w:val="left" w:pos="8789"/>
              </w:tabs>
              <w:jc w:val="center"/>
              <w:rPr>
                <w:rFonts w:ascii="Arial" w:eastAsia="MS Mincho" w:hAnsi="Arial" w:cs="Arial"/>
                <w:b/>
                <w:lang w:val="en-US"/>
              </w:rPr>
            </w:pPr>
          </w:p>
          <w:p w:rsidR="00785641" w:rsidRPr="00254BEF" w:rsidRDefault="00815E4A" w:rsidP="00785641">
            <w:pPr>
              <w:keepNext/>
              <w:keepLines/>
              <w:tabs>
                <w:tab w:val="left" w:pos="8789"/>
              </w:tabs>
              <w:jc w:val="center"/>
              <w:rPr>
                <w:rFonts w:ascii="Arial" w:eastAsia="MS Mincho" w:hAnsi="Arial" w:cs="Arial"/>
                <w:b/>
                <w:lang w:val="en-US"/>
              </w:rPr>
            </w:pPr>
            <w:r w:rsidRPr="00254BEF">
              <w:rPr>
                <w:rFonts w:ascii="Arial" w:eastAsia="MS Mincho" w:hAnsi="Arial" w:cs="Arial"/>
                <w:b/>
                <w:lang w:val="en-US"/>
              </w:rPr>
              <w:t>BRAF</w:t>
            </w:r>
            <w:r w:rsidR="00785641" w:rsidRPr="00254BEF">
              <w:rPr>
                <w:rFonts w:ascii="Arial" w:eastAsia="MS Mincho" w:hAnsi="Arial" w:cs="Arial"/>
                <w:b/>
                <w:vertAlign w:val="superscript"/>
                <w:lang w:val="en-US"/>
              </w:rPr>
              <w:t>V600K</w:t>
            </w:r>
          </w:p>
        </w:tc>
      </w:tr>
      <w:tr w:rsidR="00785641" w:rsidRPr="00254BEF" w:rsidTr="00785641">
        <w:tc>
          <w:tcPr>
            <w:tcW w:w="1088" w:type="pct"/>
            <w:tcBorders>
              <w:top w:val="single" w:sz="4" w:space="0" w:color="auto"/>
              <w:bottom w:val="single" w:sz="4" w:space="0" w:color="auto"/>
            </w:tcBorders>
            <w:shd w:val="clear" w:color="auto" w:fill="auto"/>
            <w:hideMark/>
          </w:tcPr>
          <w:p w:rsidR="00785641" w:rsidRPr="00254BEF" w:rsidRDefault="00785641" w:rsidP="00785641">
            <w:pPr>
              <w:keepNext/>
              <w:keepLines/>
              <w:tabs>
                <w:tab w:val="left" w:pos="8789"/>
              </w:tabs>
              <w:rPr>
                <w:rFonts w:ascii="Arial" w:hAnsi="Arial" w:cs="Arial"/>
                <w:b/>
              </w:rPr>
            </w:pPr>
            <w:r w:rsidRPr="00254BEF">
              <w:rPr>
                <w:rFonts w:ascii="Arial" w:eastAsia="MS Mincho" w:hAnsi="Arial" w:cs="Arial"/>
                <w:b/>
                <w:lang w:val="en-US"/>
              </w:rPr>
              <w:t>Endpoints/ Assessment</w:t>
            </w:r>
          </w:p>
        </w:tc>
        <w:tc>
          <w:tcPr>
            <w:tcW w:w="1103" w:type="pct"/>
            <w:tcBorders>
              <w:top w:val="single" w:sz="4" w:space="0" w:color="auto"/>
              <w:bottom w:val="single" w:sz="4" w:space="0" w:color="auto"/>
            </w:tcBorders>
            <w:shd w:val="clear" w:color="auto" w:fill="auto"/>
            <w:vAlign w:val="center"/>
          </w:tcPr>
          <w:p w:rsidR="00785641" w:rsidRPr="00254BEF" w:rsidRDefault="00785641" w:rsidP="00785641">
            <w:pPr>
              <w:keepNext/>
              <w:keepLines/>
              <w:tabs>
                <w:tab w:val="left" w:pos="8789"/>
              </w:tabs>
              <w:jc w:val="center"/>
              <w:rPr>
                <w:rFonts w:ascii="Arial" w:eastAsia="MS Mincho" w:hAnsi="Arial" w:cs="Arial"/>
                <w:b/>
                <w:lang w:val="en-US"/>
              </w:rPr>
            </w:pPr>
            <w:r w:rsidRPr="00254BEF">
              <w:rPr>
                <w:rFonts w:ascii="Arial" w:eastAsia="MS Mincho" w:hAnsi="Arial" w:cs="Arial"/>
                <w:b/>
                <w:lang w:val="en-US"/>
              </w:rPr>
              <w:t>Cohort A</w:t>
            </w:r>
          </w:p>
          <w:p w:rsidR="00785641" w:rsidRPr="00254BEF" w:rsidRDefault="00785641" w:rsidP="00785641">
            <w:pPr>
              <w:keepNext/>
              <w:keepLines/>
              <w:tabs>
                <w:tab w:val="left" w:pos="8789"/>
              </w:tabs>
              <w:jc w:val="center"/>
              <w:rPr>
                <w:rFonts w:ascii="Arial" w:eastAsia="MS Mincho" w:hAnsi="Arial" w:cs="Arial"/>
                <w:b/>
                <w:lang w:val="en-US"/>
              </w:rPr>
            </w:pPr>
            <w:r w:rsidRPr="00254BEF">
              <w:rPr>
                <w:rFonts w:ascii="Arial" w:eastAsia="MS Mincho" w:hAnsi="Arial" w:cs="Arial"/>
                <w:b/>
                <w:lang w:val="en-US"/>
              </w:rPr>
              <w:t>N=74</w:t>
            </w:r>
          </w:p>
        </w:tc>
        <w:tc>
          <w:tcPr>
            <w:tcW w:w="944" w:type="pct"/>
            <w:tcBorders>
              <w:top w:val="single" w:sz="4" w:space="0" w:color="auto"/>
              <w:bottom w:val="single" w:sz="4" w:space="0" w:color="auto"/>
            </w:tcBorders>
            <w:shd w:val="clear" w:color="auto" w:fill="auto"/>
            <w:vAlign w:val="center"/>
          </w:tcPr>
          <w:p w:rsidR="00785641" w:rsidRPr="00254BEF" w:rsidRDefault="00785641" w:rsidP="00785641">
            <w:pPr>
              <w:keepNext/>
              <w:keepLines/>
              <w:tabs>
                <w:tab w:val="left" w:pos="8789"/>
              </w:tabs>
              <w:jc w:val="center"/>
              <w:rPr>
                <w:rFonts w:ascii="Arial" w:eastAsia="MS Mincho" w:hAnsi="Arial" w:cs="Arial"/>
                <w:b/>
                <w:lang w:val="en-US"/>
              </w:rPr>
            </w:pPr>
            <w:r w:rsidRPr="00254BEF">
              <w:rPr>
                <w:rFonts w:ascii="Arial" w:eastAsia="MS Mincho" w:hAnsi="Arial" w:cs="Arial"/>
                <w:b/>
                <w:lang w:val="en-US"/>
              </w:rPr>
              <w:t>Cohort B</w:t>
            </w:r>
          </w:p>
          <w:p w:rsidR="00785641" w:rsidRPr="00254BEF" w:rsidRDefault="00785641" w:rsidP="00785641">
            <w:pPr>
              <w:keepNext/>
              <w:keepLines/>
              <w:tabs>
                <w:tab w:val="left" w:pos="8789"/>
              </w:tabs>
              <w:jc w:val="center"/>
              <w:rPr>
                <w:rFonts w:ascii="Arial" w:eastAsia="MS Mincho" w:hAnsi="Arial" w:cs="Arial"/>
                <w:b/>
                <w:lang w:val="en-US"/>
              </w:rPr>
            </w:pPr>
            <w:r w:rsidRPr="00254BEF">
              <w:rPr>
                <w:rFonts w:ascii="Arial" w:eastAsia="MS Mincho" w:hAnsi="Arial" w:cs="Arial"/>
                <w:b/>
                <w:lang w:val="en-US"/>
              </w:rPr>
              <w:t>N=65</w:t>
            </w:r>
          </w:p>
        </w:tc>
        <w:tc>
          <w:tcPr>
            <w:tcW w:w="830" w:type="pct"/>
            <w:tcBorders>
              <w:top w:val="single" w:sz="4" w:space="0" w:color="auto"/>
              <w:bottom w:val="single" w:sz="4" w:space="0" w:color="auto"/>
            </w:tcBorders>
            <w:vAlign w:val="center"/>
          </w:tcPr>
          <w:p w:rsidR="00785641" w:rsidRPr="00254BEF" w:rsidRDefault="00785641" w:rsidP="00785641">
            <w:pPr>
              <w:keepNext/>
              <w:keepLines/>
              <w:tabs>
                <w:tab w:val="left" w:pos="8789"/>
              </w:tabs>
              <w:jc w:val="center"/>
              <w:rPr>
                <w:rFonts w:ascii="Arial" w:eastAsia="MS Mincho" w:hAnsi="Arial" w:cs="Arial"/>
                <w:b/>
                <w:lang w:val="en-US"/>
              </w:rPr>
            </w:pPr>
            <w:r w:rsidRPr="00254BEF">
              <w:rPr>
                <w:rFonts w:ascii="Arial" w:eastAsia="MS Mincho" w:hAnsi="Arial" w:cs="Arial"/>
                <w:b/>
                <w:lang w:val="en-US"/>
              </w:rPr>
              <w:t>Cohort A</w:t>
            </w:r>
          </w:p>
          <w:p w:rsidR="00785641" w:rsidRPr="00254BEF" w:rsidRDefault="00785641" w:rsidP="00785641">
            <w:pPr>
              <w:keepNext/>
              <w:keepLines/>
              <w:tabs>
                <w:tab w:val="left" w:pos="8789"/>
              </w:tabs>
              <w:jc w:val="center"/>
              <w:rPr>
                <w:rFonts w:ascii="Arial" w:eastAsia="MS Mincho" w:hAnsi="Arial" w:cs="Arial"/>
                <w:b/>
                <w:lang w:val="en-US"/>
              </w:rPr>
            </w:pPr>
            <w:r w:rsidRPr="00254BEF">
              <w:rPr>
                <w:rFonts w:ascii="Arial" w:eastAsia="MS Mincho" w:hAnsi="Arial" w:cs="Arial"/>
                <w:b/>
                <w:lang w:val="en-US"/>
              </w:rPr>
              <w:t>N=15</w:t>
            </w:r>
          </w:p>
        </w:tc>
        <w:tc>
          <w:tcPr>
            <w:tcW w:w="1035" w:type="pct"/>
            <w:tcBorders>
              <w:top w:val="single" w:sz="4" w:space="0" w:color="auto"/>
              <w:bottom w:val="single" w:sz="4" w:space="0" w:color="auto"/>
            </w:tcBorders>
            <w:vAlign w:val="center"/>
          </w:tcPr>
          <w:p w:rsidR="00785641" w:rsidRPr="00254BEF" w:rsidRDefault="00785641" w:rsidP="00785641">
            <w:pPr>
              <w:keepNext/>
              <w:keepLines/>
              <w:tabs>
                <w:tab w:val="left" w:pos="8789"/>
              </w:tabs>
              <w:jc w:val="center"/>
              <w:rPr>
                <w:rFonts w:ascii="Arial" w:eastAsia="MS Mincho" w:hAnsi="Arial" w:cs="Arial"/>
                <w:b/>
                <w:lang w:val="en-US"/>
              </w:rPr>
            </w:pPr>
            <w:r w:rsidRPr="00254BEF">
              <w:rPr>
                <w:rFonts w:ascii="Arial" w:eastAsia="MS Mincho" w:hAnsi="Arial" w:cs="Arial"/>
                <w:b/>
                <w:lang w:val="en-US"/>
              </w:rPr>
              <w:t>Cohort B</w:t>
            </w:r>
          </w:p>
          <w:p w:rsidR="00785641" w:rsidRPr="00254BEF" w:rsidRDefault="00785641" w:rsidP="00785641">
            <w:pPr>
              <w:keepNext/>
              <w:keepLines/>
              <w:tabs>
                <w:tab w:val="left" w:pos="8789"/>
              </w:tabs>
              <w:jc w:val="center"/>
              <w:rPr>
                <w:rFonts w:ascii="Arial" w:eastAsia="MS Mincho" w:hAnsi="Arial" w:cs="Arial"/>
                <w:b/>
                <w:lang w:val="en-US"/>
              </w:rPr>
            </w:pPr>
            <w:r w:rsidRPr="00254BEF">
              <w:rPr>
                <w:rFonts w:ascii="Arial" w:eastAsia="MS Mincho" w:hAnsi="Arial" w:cs="Arial"/>
                <w:b/>
                <w:lang w:val="en-US"/>
              </w:rPr>
              <w:t>N=18</w:t>
            </w:r>
          </w:p>
        </w:tc>
      </w:tr>
      <w:tr w:rsidR="00785641" w:rsidRPr="00254BEF" w:rsidTr="00785641">
        <w:tc>
          <w:tcPr>
            <w:tcW w:w="3965" w:type="pct"/>
            <w:gridSpan w:val="4"/>
            <w:tcBorders>
              <w:top w:val="single" w:sz="4" w:space="0" w:color="auto"/>
              <w:bottom w:val="single" w:sz="4" w:space="0" w:color="auto"/>
            </w:tcBorders>
            <w:shd w:val="clear" w:color="auto" w:fill="auto"/>
          </w:tcPr>
          <w:p w:rsidR="005D5DF9" w:rsidRDefault="005D5DF9" w:rsidP="00785641">
            <w:pPr>
              <w:keepNext/>
              <w:keepLines/>
              <w:tabs>
                <w:tab w:val="left" w:pos="8789"/>
              </w:tabs>
              <w:rPr>
                <w:rFonts w:ascii="Arial" w:hAnsi="Arial" w:cs="Arial"/>
                <w:b/>
              </w:rPr>
            </w:pPr>
          </w:p>
          <w:p w:rsidR="00785641" w:rsidRPr="00254BEF" w:rsidRDefault="00785641" w:rsidP="00785641">
            <w:pPr>
              <w:keepNext/>
              <w:keepLines/>
              <w:tabs>
                <w:tab w:val="left" w:pos="8789"/>
              </w:tabs>
              <w:rPr>
                <w:rFonts w:ascii="Arial" w:hAnsi="Arial" w:cs="Arial"/>
              </w:rPr>
            </w:pPr>
            <w:r w:rsidRPr="00254BEF">
              <w:rPr>
                <w:rFonts w:ascii="Arial" w:hAnsi="Arial" w:cs="Arial"/>
                <w:b/>
              </w:rPr>
              <w:t>Overall intracranial response rate,</w:t>
            </w:r>
            <w:r w:rsidR="00D25A0C">
              <w:rPr>
                <w:rFonts w:ascii="Arial" w:hAnsi="Arial" w:cs="Arial"/>
                <w:b/>
              </w:rPr>
              <w:t>%</w:t>
            </w:r>
            <w:r w:rsidRPr="00254BEF">
              <w:rPr>
                <w:rFonts w:ascii="Arial" w:hAnsi="Arial" w:cs="Arial"/>
              </w:rPr>
              <w:t xml:space="preserve"> (95% CI)</w:t>
            </w:r>
            <w:r w:rsidR="005D5DF9" w:rsidRPr="00254BEF">
              <w:rPr>
                <w:rFonts w:ascii="Arial" w:eastAsia="MS Mincho" w:hAnsi="Arial" w:cs="Arial"/>
                <w:b/>
                <w:vertAlign w:val="superscript"/>
                <w:lang w:val="en-US"/>
              </w:rPr>
              <w:t xml:space="preserve"> a</w:t>
            </w:r>
          </w:p>
        </w:tc>
        <w:tc>
          <w:tcPr>
            <w:tcW w:w="1035" w:type="pct"/>
            <w:tcBorders>
              <w:top w:val="single" w:sz="4" w:space="0" w:color="auto"/>
              <w:bottom w:val="single" w:sz="4" w:space="0" w:color="auto"/>
            </w:tcBorders>
          </w:tcPr>
          <w:p w:rsidR="00785641" w:rsidRPr="00254BEF" w:rsidRDefault="00785641" w:rsidP="00785641">
            <w:pPr>
              <w:keepNext/>
              <w:keepLines/>
              <w:tabs>
                <w:tab w:val="left" w:pos="8789"/>
              </w:tabs>
              <w:jc w:val="center"/>
              <w:rPr>
                <w:rFonts w:ascii="Arial" w:hAnsi="Arial" w:cs="Arial"/>
              </w:rPr>
            </w:pPr>
          </w:p>
        </w:tc>
      </w:tr>
      <w:tr w:rsidR="00785641" w:rsidRPr="00254BEF" w:rsidTr="00785641">
        <w:tc>
          <w:tcPr>
            <w:tcW w:w="1088" w:type="pct"/>
            <w:tcBorders>
              <w:top w:val="single" w:sz="4" w:space="0" w:color="auto"/>
              <w:bottom w:val="single" w:sz="4" w:space="0" w:color="auto"/>
            </w:tcBorders>
            <w:shd w:val="clear" w:color="auto" w:fill="auto"/>
          </w:tcPr>
          <w:p w:rsidR="00785641" w:rsidRPr="00254BEF" w:rsidRDefault="00785641" w:rsidP="00785641">
            <w:pPr>
              <w:keepNext/>
              <w:keepLines/>
              <w:tabs>
                <w:tab w:val="left" w:pos="8789"/>
              </w:tabs>
              <w:ind w:left="180"/>
              <w:rPr>
                <w:rFonts w:ascii="Arial" w:eastAsia="MS Mincho" w:hAnsi="Arial" w:cs="Arial"/>
                <w:b/>
                <w:lang w:val="en-US"/>
              </w:rPr>
            </w:pPr>
          </w:p>
        </w:tc>
        <w:tc>
          <w:tcPr>
            <w:tcW w:w="1103" w:type="pct"/>
            <w:tcBorders>
              <w:top w:val="single" w:sz="4" w:space="0" w:color="auto"/>
              <w:bottom w:val="single" w:sz="4" w:space="0" w:color="auto"/>
            </w:tcBorders>
            <w:shd w:val="clear" w:color="auto" w:fill="auto"/>
          </w:tcPr>
          <w:p w:rsidR="00785641" w:rsidRPr="00254BEF" w:rsidRDefault="00785641" w:rsidP="00785641">
            <w:pPr>
              <w:keepNext/>
              <w:keepLines/>
              <w:tabs>
                <w:tab w:val="left" w:pos="8789"/>
              </w:tabs>
              <w:jc w:val="center"/>
              <w:rPr>
                <w:rFonts w:ascii="Arial" w:hAnsi="Arial" w:cs="Arial"/>
              </w:rPr>
            </w:pPr>
            <w:r w:rsidRPr="00254BEF">
              <w:rPr>
                <w:rFonts w:ascii="Arial" w:hAnsi="Arial" w:cs="Arial"/>
              </w:rPr>
              <w:t>39% (28.0, 51.2)</w:t>
            </w:r>
          </w:p>
          <w:p w:rsidR="00785641" w:rsidRPr="00254BEF" w:rsidRDefault="00785641" w:rsidP="00785641">
            <w:pPr>
              <w:keepNext/>
              <w:keepLines/>
              <w:tabs>
                <w:tab w:val="left" w:pos="8789"/>
              </w:tabs>
              <w:jc w:val="center"/>
              <w:rPr>
                <w:rFonts w:ascii="Arial" w:hAnsi="Arial" w:cs="Arial"/>
              </w:rPr>
            </w:pPr>
            <w:r w:rsidRPr="00254BEF">
              <w:rPr>
                <w:rFonts w:ascii="Arial" w:hAnsi="Arial" w:cs="Arial"/>
              </w:rPr>
              <w:t>P&lt;0.001</w:t>
            </w:r>
          </w:p>
        </w:tc>
        <w:tc>
          <w:tcPr>
            <w:tcW w:w="944" w:type="pct"/>
            <w:tcBorders>
              <w:top w:val="single" w:sz="4" w:space="0" w:color="auto"/>
              <w:bottom w:val="single" w:sz="4" w:space="0" w:color="auto"/>
            </w:tcBorders>
            <w:shd w:val="clear" w:color="auto" w:fill="auto"/>
          </w:tcPr>
          <w:p w:rsidR="00785641" w:rsidRPr="00254BEF" w:rsidRDefault="00785641" w:rsidP="00785641">
            <w:pPr>
              <w:keepNext/>
              <w:keepLines/>
              <w:tabs>
                <w:tab w:val="left" w:pos="8789"/>
              </w:tabs>
              <w:jc w:val="center"/>
              <w:rPr>
                <w:rFonts w:ascii="Arial" w:hAnsi="Arial" w:cs="Arial"/>
              </w:rPr>
            </w:pPr>
            <w:r w:rsidRPr="00254BEF">
              <w:rPr>
                <w:rFonts w:ascii="Arial" w:hAnsi="Arial" w:cs="Arial"/>
              </w:rPr>
              <w:t>31% (19.9, 43.4)</w:t>
            </w:r>
          </w:p>
          <w:p w:rsidR="00785641" w:rsidRPr="00254BEF" w:rsidRDefault="00785641" w:rsidP="00785641">
            <w:pPr>
              <w:keepNext/>
              <w:keepLines/>
              <w:tabs>
                <w:tab w:val="left" w:pos="8789"/>
              </w:tabs>
              <w:jc w:val="center"/>
              <w:rPr>
                <w:rFonts w:ascii="Arial" w:hAnsi="Arial" w:cs="Arial"/>
              </w:rPr>
            </w:pPr>
            <w:r w:rsidRPr="00254BEF">
              <w:rPr>
                <w:rFonts w:ascii="Arial" w:hAnsi="Arial" w:cs="Arial"/>
              </w:rPr>
              <w:t>P&lt;0.001</w:t>
            </w:r>
            <w:r w:rsidR="005E7888" w:rsidRPr="005E7888">
              <w:rPr>
                <w:rFonts w:ascii="Arial" w:hAnsi="Arial" w:cs="Arial"/>
                <w:vertAlign w:val="superscript"/>
              </w:rPr>
              <w:t>b</w:t>
            </w:r>
          </w:p>
        </w:tc>
        <w:tc>
          <w:tcPr>
            <w:tcW w:w="830" w:type="pct"/>
            <w:tcBorders>
              <w:top w:val="single" w:sz="4" w:space="0" w:color="auto"/>
              <w:bottom w:val="single" w:sz="4" w:space="0" w:color="auto"/>
            </w:tcBorders>
          </w:tcPr>
          <w:p w:rsidR="00785641" w:rsidRPr="00254BEF" w:rsidRDefault="00785641" w:rsidP="00785641">
            <w:pPr>
              <w:keepNext/>
              <w:keepLines/>
              <w:tabs>
                <w:tab w:val="left" w:pos="8789"/>
              </w:tabs>
              <w:jc w:val="center"/>
              <w:rPr>
                <w:rFonts w:ascii="Arial" w:hAnsi="Arial" w:cs="Arial"/>
              </w:rPr>
            </w:pPr>
            <w:r w:rsidRPr="00254BEF">
              <w:rPr>
                <w:rFonts w:ascii="Arial" w:hAnsi="Arial" w:cs="Arial"/>
              </w:rPr>
              <w:t>7% (0.2, 31.9)</w:t>
            </w:r>
          </w:p>
        </w:tc>
        <w:tc>
          <w:tcPr>
            <w:tcW w:w="1035" w:type="pct"/>
            <w:tcBorders>
              <w:top w:val="single" w:sz="4" w:space="0" w:color="auto"/>
              <w:bottom w:val="single" w:sz="4" w:space="0" w:color="auto"/>
            </w:tcBorders>
          </w:tcPr>
          <w:p w:rsidR="00785641" w:rsidRPr="00254BEF" w:rsidRDefault="00785641" w:rsidP="00785641">
            <w:pPr>
              <w:keepNext/>
              <w:keepLines/>
              <w:tabs>
                <w:tab w:val="left" w:pos="8789"/>
              </w:tabs>
              <w:jc w:val="center"/>
              <w:rPr>
                <w:rFonts w:ascii="Arial" w:hAnsi="Arial" w:cs="Arial"/>
              </w:rPr>
            </w:pPr>
            <w:r w:rsidRPr="00254BEF">
              <w:rPr>
                <w:rFonts w:ascii="Arial" w:hAnsi="Arial" w:cs="Arial"/>
              </w:rPr>
              <w:t>22% (6.4, 47.6)</w:t>
            </w:r>
          </w:p>
        </w:tc>
      </w:tr>
      <w:tr w:rsidR="00785641" w:rsidRPr="00254BEF" w:rsidTr="00785641">
        <w:tc>
          <w:tcPr>
            <w:tcW w:w="5000" w:type="pct"/>
            <w:gridSpan w:val="5"/>
            <w:tcBorders>
              <w:top w:val="single" w:sz="4" w:space="0" w:color="auto"/>
              <w:bottom w:val="single" w:sz="4" w:space="0" w:color="auto"/>
            </w:tcBorders>
            <w:shd w:val="clear" w:color="auto" w:fill="auto"/>
          </w:tcPr>
          <w:p w:rsidR="005D5DF9" w:rsidRDefault="005D5DF9" w:rsidP="00785641">
            <w:pPr>
              <w:keepNext/>
              <w:keepLines/>
              <w:tabs>
                <w:tab w:val="left" w:pos="8789"/>
              </w:tabs>
              <w:rPr>
                <w:rFonts w:ascii="Arial" w:hAnsi="Arial" w:cs="Arial"/>
                <w:b/>
              </w:rPr>
            </w:pPr>
          </w:p>
          <w:p w:rsidR="00785641" w:rsidRPr="00254BEF" w:rsidRDefault="00785641" w:rsidP="00785641">
            <w:pPr>
              <w:keepNext/>
              <w:keepLines/>
              <w:tabs>
                <w:tab w:val="left" w:pos="8789"/>
              </w:tabs>
              <w:rPr>
                <w:rFonts w:ascii="Arial" w:hAnsi="Arial" w:cs="Arial"/>
              </w:rPr>
            </w:pPr>
            <w:r w:rsidRPr="00254BEF">
              <w:rPr>
                <w:rFonts w:ascii="Arial" w:hAnsi="Arial" w:cs="Arial"/>
                <w:b/>
              </w:rPr>
              <w:t>Duration of intracranial response</w:t>
            </w:r>
            <w:r w:rsidR="00814A3F">
              <w:rPr>
                <w:rFonts w:ascii="Arial" w:hAnsi="Arial" w:cs="Arial"/>
                <w:b/>
              </w:rPr>
              <w:t xml:space="preserve">, median </w:t>
            </w:r>
            <w:r w:rsidRPr="005D5DF9">
              <w:rPr>
                <w:rFonts w:ascii="Arial" w:hAnsi="Arial" w:cs="Arial"/>
                <w:b/>
              </w:rPr>
              <w:t>months (95% CI)</w:t>
            </w:r>
          </w:p>
        </w:tc>
      </w:tr>
      <w:tr w:rsidR="00785641" w:rsidRPr="00254BEF" w:rsidTr="00785641">
        <w:tc>
          <w:tcPr>
            <w:tcW w:w="1088" w:type="pct"/>
            <w:tcBorders>
              <w:top w:val="single" w:sz="4" w:space="0" w:color="auto"/>
              <w:bottom w:val="single" w:sz="4" w:space="0" w:color="auto"/>
            </w:tcBorders>
            <w:shd w:val="clear" w:color="auto" w:fill="auto"/>
          </w:tcPr>
          <w:p w:rsidR="00785641" w:rsidRPr="00254BEF" w:rsidRDefault="00785641" w:rsidP="00785641">
            <w:pPr>
              <w:keepNext/>
              <w:keepLines/>
              <w:tabs>
                <w:tab w:val="left" w:pos="8789"/>
              </w:tabs>
              <w:ind w:left="180"/>
              <w:rPr>
                <w:rFonts w:ascii="Arial" w:eastAsia="MS Mincho" w:hAnsi="Arial" w:cs="Arial"/>
                <w:b/>
                <w:lang w:val="en-US"/>
              </w:rPr>
            </w:pPr>
          </w:p>
        </w:tc>
        <w:tc>
          <w:tcPr>
            <w:tcW w:w="1103" w:type="pct"/>
            <w:tcBorders>
              <w:top w:val="single" w:sz="4" w:space="0" w:color="auto"/>
              <w:bottom w:val="single" w:sz="4" w:space="0" w:color="auto"/>
            </w:tcBorders>
            <w:shd w:val="clear" w:color="auto" w:fill="auto"/>
          </w:tcPr>
          <w:p w:rsidR="00785641" w:rsidRPr="00254BEF" w:rsidRDefault="00785641" w:rsidP="00785641">
            <w:pPr>
              <w:keepNext/>
              <w:keepLines/>
              <w:tabs>
                <w:tab w:val="left" w:pos="8789"/>
              </w:tabs>
              <w:jc w:val="center"/>
              <w:rPr>
                <w:rFonts w:ascii="Arial" w:hAnsi="Arial" w:cs="Arial"/>
              </w:rPr>
            </w:pPr>
            <w:r w:rsidRPr="00254BEF">
              <w:rPr>
                <w:rFonts w:ascii="Arial" w:hAnsi="Arial" w:cs="Arial"/>
                <w:lang w:val="en-US"/>
              </w:rPr>
              <w:t>N=29</w:t>
            </w:r>
          </w:p>
          <w:p w:rsidR="00785641" w:rsidRPr="00254BEF" w:rsidRDefault="00785641" w:rsidP="00785641">
            <w:pPr>
              <w:keepNext/>
              <w:keepLines/>
              <w:tabs>
                <w:tab w:val="left" w:pos="8789"/>
              </w:tabs>
              <w:jc w:val="center"/>
              <w:rPr>
                <w:rFonts w:ascii="Arial" w:hAnsi="Arial" w:cs="Arial"/>
              </w:rPr>
            </w:pPr>
            <w:r w:rsidRPr="00254BEF">
              <w:rPr>
                <w:rFonts w:ascii="Arial" w:hAnsi="Arial" w:cs="Arial"/>
              </w:rPr>
              <w:t>4.6 (2.8, NR)</w:t>
            </w:r>
          </w:p>
        </w:tc>
        <w:tc>
          <w:tcPr>
            <w:tcW w:w="944" w:type="pct"/>
            <w:tcBorders>
              <w:top w:val="single" w:sz="4" w:space="0" w:color="auto"/>
              <w:bottom w:val="single" w:sz="4" w:space="0" w:color="auto"/>
            </w:tcBorders>
            <w:shd w:val="clear" w:color="auto" w:fill="auto"/>
          </w:tcPr>
          <w:p w:rsidR="00785641" w:rsidRPr="00254BEF" w:rsidRDefault="00785641" w:rsidP="00785641">
            <w:pPr>
              <w:keepNext/>
              <w:keepLines/>
              <w:tabs>
                <w:tab w:val="left" w:pos="8789"/>
              </w:tabs>
              <w:jc w:val="center"/>
              <w:rPr>
                <w:rFonts w:ascii="Arial" w:hAnsi="Arial" w:cs="Arial"/>
              </w:rPr>
            </w:pPr>
            <w:r w:rsidRPr="00254BEF">
              <w:rPr>
                <w:rFonts w:ascii="Arial" w:hAnsi="Arial" w:cs="Arial"/>
                <w:lang w:val="en-US"/>
              </w:rPr>
              <w:t>N=20</w:t>
            </w:r>
          </w:p>
          <w:p w:rsidR="00785641" w:rsidRPr="00254BEF" w:rsidRDefault="00785641" w:rsidP="00785641">
            <w:pPr>
              <w:keepNext/>
              <w:keepLines/>
              <w:tabs>
                <w:tab w:val="left" w:pos="8789"/>
              </w:tabs>
              <w:jc w:val="center"/>
              <w:rPr>
                <w:rFonts w:ascii="Arial" w:hAnsi="Arial" w:cs="Arial"/>
              </w:rPr>
            </w:pPr>
            <w:r w:rsidRPr="00254BEF">
              <w:rPr>
                <w:rFonts w:ascii="Arial" w:hAnsi="Arial" w:cs="Arial"/>
              </w:rPr>
              <w:t>6.5 (4.6, 6.5)</w:t>
            </w:r>
          </w:p>
        </w:tc>
        <w:tc>
          <w:tcPr>
            <w:tcW w:w="830" w:type="pct"/>
            <w:tcBorders>
              <w:top w:val="single" w:sz="4" w:space="0" w:color="auto"/>
              <w:bottom w:val="single" w:sz="4" w:space="0" w:color="auto"/>
            </w:tcBorders>
          </w:tcPr>
          <w:p w:rsidR="00785641" w:rsidRPr="00254BEF" w:rsidRDefault="00785641" w:rsidP="00785641">
            <w:pPr>
              <w:keepNext/>
              <w:keepLines/>
              <w:tabs>
                <w:tab w:val="left" w:pos="8789"/>
              </w:tabs>
              <w:jc w:val="center"/>
              <w:rPr>
                <w:rFonts w:ascii="Arial" w:hAnsi="Arial" w:cs="Arial"/>
              </w:rPr>
            </w:pPr>
            <w:r w:rsidRPr="00254BEF">
              <w:rPr>
                <w:rFonts w:ascii="Arial" w:hAnsi="Arial" w:cs="Arial"/>
                <w:lang w:val="en-US"/>
              </w:rPr>
              <w:t>N=1</w:t>
            </w:r>
          </w:p>
          <w:p w:rsidR="00785641" w:rsidRPr="00254BEF" w:rsidRDefault="00785641" w:rsidP="00785641">
            <w:pPr>
              <w:keepNext/>
              <w:keepLines/>
              <w:tabs>
                <w:tab w:val="left" w:pos="8789"/>
              </w:tabs>
              <w:jc w:val="center"/>
              <w:rPr>
                <w:rFonts w:ascii="Arial" w:hAnsi="Arial" w:cs="Arial"/>
              </w:rPr>
            </w:pPr>
            <w:r w:rsidRPr="00254BEF">
              <w:rPr>
                <w:rFonts w:ascii="Arial" w:hAnsi="Arial" w:cs="Arial"/>
              </w:rPr>
              <w:t>2.9 (NR, NR)</w:t>
            </w:r>
          </w:p>
        </w:tc>
        <w:tc>
          <w:tcPr>
            <w:tcW w:w="1035" w:type="pct"/>
            <w:tcBorders>
              <w:top w:val="single" w:sz="4" w:space="0" w:color="auto"/>
              <w:bottom w:val="single" w:sz="4" w:space="0" w:color="auto"/>
            </w:tcBorders>
          </w:tcPr>
          <w:p w:rsidR="00785641" w:rsidRPr="00254BEF" w:rsidRDefault="00785641" w:rsidP="00785641">
            <w:pPr>
              <w:keepNext/>
              <w:keepLines/>
              <w:tabs>
                <w:tab w:val="left" w:pos="8789"/>
              </w:tabs>
              <w:jc w:val="center"/>
              <w:rPr>
                <w:rFonts w:ascii="Arial" w:hAnsi="Arial" w:cs="Arial"/>
              </w:rPr>
            </w:pPr>
            <w:r w:rsidRPr="00254BEF">
              <w:rPr>
                <w:rFonts w:ascii="Arial" w:hAnsi="Arial" w:cs="Arial"/>
                <w:lang w:val="en-US"/>
              </w:rPr>
              <w:t>N=4</w:t>
            </w:r>
          </w:p>
          <w:p w:rsidR="00785641" w:rsidRPr="00254BEF" w:rsidRDefault="00785641" w:rsidP="00785641">
            <w:pPr>
              <w:keepNext/>
              <w:keepLines/>
              <w:tabs>
                <w:tab w:val="left" w:pos="8789"/>
              </w:tabs>
              <w:jc w:val="center"/>
              <w:rPr>
                <w:rFonts w:ascii="Arial" w:hAnsi="Arial" w:cs="Arial"/>
              </w:rPr>
            </w:pPr>
            <w:r w:rsidRPr="00254BEF">
              <w:rPr>
                <w:rFonts w:ascii="Arial" w:hAnsi="Arial" w:cs="Arial"/>
              </w:rPr>
              <w:t>3.8 (NR, NR)</w:t>
            </w:r>
          </w:p>
        </w:tc>
      </w:tr>
      <w:tr w:rsidR="00785641" w:rsidRPr="00254BEF" w:rsidTr="00785641">
        <w:tc>
          <w:tcPr>
            <w:tcW w:w="5000" w:type="pct"/>
            <w:gridSpan w:val="5"/>
            <w:tcBorders>
              <w:top w:val="single" w:sz="4" w:space="0" w:color="auto"/>
              <w:bottom w:val="single" w:sz="4" w:space="0" w:color="auto"/>
            </w:tcBorders>
            <w:shd w:val="clear" w:color="auto" w:fill="auto"/>
          </w:tcPr>
          <w:p w:rsidR="005D5DF9" w:rsidRDefault="005D5DF9" w:rsidP="00785641">
            <w:pPr>
              <w:keepNext/>
              <w:keepLines/>
              <w:tabs>
                <w:tab w:val="left" w:pos="8789"/>
              </w:tabs>
              <w:rPr>
                <w:rFonts w:ascii="Arial" w:hAnsi="Arial" w:cs="Arial"/>
                <w:b/>
              </w:rPr>
            </w:pPr>
          </w:p>
          <w:p w:rsidR="00785641" w:rsidRPr="00254BEF" w:rsidRDefault="00785641" w:rsidP="00785641">
            <w:pPr>
              <w:keepNext/>
              <w:keepLines/>
              <w:tabs>
                <w:tab w:val="left" w:pos="8789"/>
              </w:tabs>
              <w:rPr>
                <w:rFonts w:ascii="Arial" w:hAnsi="Arial" w:cs="Arial"/>
                <w:lang w:val="en-US"/>
              </w:rPr>
            </w:pPr>
            <w:r w:rsidRPr="00254BEF">
              <w:rPr>
                <w:rFonts w:ascii="Arial" w:hAnsi="Arial" w:cs="Arial"/>
                <w:b/>
              </w:rPr>
              <w:t>Overall response,</w:t>
            </w:r>
            <w:r w:rsidR="00D25A0C">
              <w:rPr>
                <w:rFonts w:ascii="Arial" w:hAnsi="Arial" w:cs="Arial"/>
                <w:b/>
              </w:rPr>
              <w:t>%</w:t>
            </w:r>
            <w:r w:rsidRPr="005D5DF9">
              <w:rPr>
                <w:rFonts w:ascii="Arial" w:hAnsi="Arial" w:cs="Arial"/>
                <w:b/>
              </w:rPr>
              <w:t xml:space="preserve"> (95% CI)</w:t>
            </w:r>
            <w:r w:rsidR="005D5DF9" w:rsidRPr="00254BEF">
              <w:rPr>
                <w:rFonts w:ascii="Arial" w:eastAsia="MS Mincho" w:hAnsi="Arial" w:cs="Arial"/>
                <w:b/>
                <w:vertAlign w:val="superscript"/>
                <w:lang w:val="en-US"/>
              </w:rPr>
              <w:t xml:space="preserve"> a</w:t>
            </w:r>
          </w:p>
        </w:tc>
      </w:tr>
      <w:tr w:rsidR="00785641" w:rsidRPr="00254BEF" w:rsidTr="00785641">
        <w:tc>
          <w:tcPr>
            <w:tcW w:w="1088" w:type="pct"/>
            <w:tcBorders>
              <w:top w:val="single" w:sz="4" w:space="0" w:color="auto"/>
              <w:bottom w:val="single" w:sz="4" w:space="0" w:color="auto"/>
            </w:tcBorders>
            <w:shd w:val="clear" w:color="auto" w:fill="auto"/>
          </w:tcPr>
          <w:p w:rsidR="00785641" w:rsidRPr="00254BEF" w:rsidRDefault="00785641" w:rsidP="00785641">
            <w:pPr>
              <w:keepNext/>
              <w:keepLines/>
              <w:tabs>
                <w:tab w:val="left" w:pos="8789"/>
              </w:tabs>
              <w:ind w:left="180"/>
              <w:rPr>
                <w:rFonts w:ascii="Arial" w:eastAsia="MS Mincho" w:hAnsi="Arial" w:cs="Arial"/>
                <w:b/>
                <w:lang w:val="en-US"/>
              </w:rPr>
            </w:pPr>
          </w:p>
        </w:tc>
        <w:tc>
          <w:tcPr>
            <w:tcW w:w="1103" w:type="pct"/>
            <w:tcBorders>
              <w:top w:val="single" w:sz="4" w:space="0" w:color="auto"/>
              <w:bottom w:val="single" w:sz="4" w:space="0" w:color="auto"/>
            </w:tcBorders>
            <w:shd w:val="clear" w:color="auto" w:fill="auto"/>
          </w:tcPr>
          <w:p w:rsidR="00785641" w:rsidRPr="00254BEF" w:rsidRDefault="00785641" w:rsidP="00785641">
            <w:pPr>
              <w:keepNext/>
              <w:keepLines/>
              <w:tabs>
                <w:tab w:val="left" w:pos="8789"/>
              </w:tabs>
              <w:jc w:val="center"/>
              <w:rPr>
                <w:rFonts w:ascii="Arial" w:hAnsi="Arial" w:cs="Arial"/>
              </w:rPr>
            </w:pPr>
            <w:r w:rsidRPr="00254BEF">
              <w:rPr>
                <w:rFonts w:ascii="Arial" w:hAnsi="Arial" w:cs="Arial"/>
              </w:rPr>
              <w:t>38% (26.8, 49.9)</w:t>
            </w:r>
          </w:p>
        </w:tc>
        <w:tc>
          <w:tcPr>
            <w:tcW w:w="944" w:type="pct"/>
            <w:tcBorders>
              <w:top w:val="single" w:sz="4" w:space="0" w:color="auto"/>
              <w:bottom w:val="single" w:sz="4" w:space="0" w:color="auto"/>
            </w:tcBorders>
            <w:shd w:val="clear" w:color="auto" w:fill="auto"/>
          </w:tcPr>
          <w:p w:rsidR="00785641" w:rsidRPr="00254BEF" w:rsidRDefault="00785641" w:rsidP="00785641">
            <w:pPr>
              <w:keepNext/>
              <w:keepLines/>
              <w:tabs>
                <w:tab w:val="left" w:pos="8789"/>
              </w:tabs>
              <w:jc w:val="center"/>
              <w:rPr>
                <w:rFonts w:ascii="Arial" w:hAnsi="Arial" w:cs="Arial"/>
              </w:rPr>
            </w:pPr>
            <w:r w:rsidRPr="00254BEF">
              <w:rPr>
                <w:rFonts w:ascii="Arial" w:hAnsi="Arial" w:cs="Arial"/>
              </w:rPr>
              <w:t>31% (19.9, 43.4)</w:t>
            </w:r>
          </w:p>
        </w:tc>
        <w:tc>
          <w:tcPr>
            <w:tcW w:w="830" w:type="pct"/>
            <w:tcBorders>
              <w:top w:val="single" w:sz="4" w:space="0" w:color="auto"/>
              <w:bottom w:val="single" w:sz="4" w:space="0" w:color="auto"/>
            </w:tcBorders>
          </w:tcPr>
          <w:p w:rsidR="00785641" w:rsidRPr="00254BEF" w:rsidRDefault="00785641" w:rsidP="00785641">
            <w:pPr>
              <w:keepNext/>
              <w:keepLines/>
              <w:tabs>
                <w:tab w:val="left" w:pos="8789"/>
              </w:tabs>
              <w:jc w:val="center"/>
              <w:rPr>
                <w:rFonts w:ascii="Arial" w:hAnsi="Arial" w:cs="Arial"/>
              </w:rPr>
            </w:pPr>
            <w:r w:rsidRPr="00254BEF">
              <w:rPr>
                <w:rFonts w:ascii="Arial" w:hAnsi="Arial" w:cs="Arial"/>
              </w:rPr>
              <w:t>0 (0, 21.8)</w:t>
            </w:r>
          </w:p>
        </w:tc>
        <w:tc>
          <w:tcPr>
            <w:tcW w:w="1035" w:type="pct"/>
            <w:tcBorders>
              <w:top w:val="single" w:sz="4" w:space="0" w:color="auto"/>
              <w:bottom w:val="single" w:sz="4" w:space="0" w:color="auto"/>
            </w:tcBorders>
          </w:tcPr>
          <w:p w:rsidR="00785641" w:rsidRPr="00254BEF" w:rsidRDefault="00785641" w:rsidP="00785641">
            <w:pPr>
              <w:keepNext/>
              <w:keepLines/>
              <w:tabs>
                <w:tab w:val="left" w:pos="8789"/>
              </w:tabs>
              <w:jc w:val="center"/>
              <w:rPr>
                <w:rFonts w:ascii="Arial" w:hAnsi="Arial" w:cs="Arial"/>
              </w:rPr>
            </w:pPr>
            <w:r w:rsidRPr="00254BEF">
              <w:rPr>
                <w:rFonts w:ascii="Arial" w:hAnsi="Arial" w:cs="Arial"/>
              </w:rPr>
              <w:t>28% (9.7, 53.5)</w:t>
            </w:r>
          </w:p>
        </w:tc>
      </w:tr>
      <w:tr w:rsidR="00785641" w:rsidRPr="00254BEF" w:rsidTr="00785641">
        <w:tc>
          <w:tcPr>
            <w:tcW w:w="5000" w:type="pct"/>
            <w:gridSpan w:val="5"/>
            <w:tcBorders>
              <w:top w:val="single" w:sz="4" w:space="0" w:color="auto"/>
              <w:bottom w:val="single" w:sz="4" w:space="0" w:color="auto"/>
            </w:tcBorders>
            <w:shd w:val="clear" w:color="auto" w:fill="auto"/>
          </w:tcPr>
          <w:p w:rsidR="005D5DF9" w:rsidRDefault="005D5DF9" w:rsidP="00785641">
            <w:pPr>
              <w:keepNext/>
              <w:keepLines/>
              <w:tabs>
                <w:tab w:val="left" w:pos="8789"/>
              </w:tabs>
              <w:rPr>
                <w:rFonts w:ascii="Arial" w:hAnsi="Arial" w:cs="Arial"/>
                <w:b/>
              </w:rPr>
            </w:pPr>
          </w:p>
          <w:p w:rsidR="00785641" w:rsidRPr="00254BEF" w:rsidRDefault="00785641" w:rsidP="00785641">
            <w:pPr>
              <w:keepNext/>
              <w:keepLines/>
              <w:tabs>
                <w:tab w:val="left" w:pos="8789"/>
              </w:tabs>
              <w:rPr>
                <w:rFonts w:ascii="Arial" w:hAnsi="Arial" w:cs="Arial"/>
              </w:rPr>
            </w:pPr>
            <w:r w:rsidRPr="00254BEF">
              <w:rPr>
                <w:rFonts w:ascii="Arial" w:hAnsi="Arial" w:cs="Arial"/>
                <w:b/>
              </w:rPr>
              <w:t xml:space="preserve">Duration of response, </w:t>
            </w:r>
            <w:r w:rsidR="00814A3F">
              <w:rPr>
                <w:rFonts w:ascii="Arial" w:hAnsi="Arial" w:cs="Arial"/>
                <w:b/>
              </w:rPr>
              <w:t xml:space="preserve">median </w:t>
            </w:r>
            <w:r w:rsidRPr="00814A3F">
              <w:rPr>
                <w:rFonts w:ascii="Arial" w:hAnsi="Arial" w:cs="Arial"/>
                <w:b/>
              </w:rPr>
              <w:t>months (95% CI)</w:t>
            </w:r>
          </w:p>
        </w:tc>
      </w:tr>
      <w:tr w:rsidR="00785641" w:rsidRPr="00254BEF" w:rsidTr="00785641">
        <w:tc>
          <w:tcPr>
            <w:tcW w:w="1088" w:type="pct"/>
            <w:tcBorders>
              <w:top w:val="single" w:sz="4" w:space="0" w:color="auto"/>
              <w:bottom w:val="single" w:sz="4" w:space="0" w:color="auto"/>
            </w:tcBorders>
            <w:shd w:val="clear" w:color="auto" w:fill="auto"/>
          </w:tcPr>
          <w:p w:rsidR="00785641" w:rsidRPr="00254BEF" w:rsidRDefault="00785641" w:rsidP="00785641">
            <w:pPr>
              <w:keepNext/>
              <w:keepLines/>
              <w:tabs>
                <w:tab w:val="left" w:pos="8789"/>
              </w:tabs>
              <w:ind w:left="180"/>
              <w:rPr>
                <w:rFonts w:ascii="Arial" w:eastAsia="MS Mincho" w:hAnsi="Arial" w:cs="Arial"/>
                <w:b/>
                <w:lang w:val="en-US"/>
              </w:rPr>
            </w:pPr>
          </w:p>
        </w:tc>
        <w:tc>
          <w:tcPr>
            <w:tcW w:w="1103" w:type="pct"/>
            <w:tcBorders>
              <w:top w:val="single" w:sz="4" w:space="0" w:color="auto"/>
              <w:bottom w:val="single" w:sz="4" w:space="0" w:color="auto"/>
            </w:tcBorders>
            <w:shd w:val="clear" w:color="auto" w:fill="auto"/>
          </w:tcPr>
          <w:p w:rsidR="00785641" w:rsidRPr="00254BEF" w:rsidRDefault="00785641" w:rsidP="00785641">
            <w:pPr>
              <w:keepNext/>
              <w:keepLines/>
              <w:tabs>
                <w:tab w:val="left" w:pos="8789"/>
              </w:tabs>
              <w:jc w:val="center"/>
              <w:rPr>
                <w:rFonts w:ascii="Arial" w:hAnsi="Arial" w:cs="Arial"/>
              </w:rPr>
            </w:pPr>
            <w:r w:rsidRPr="00254BEF">
              <w:rPr>
                <w:rFonts w:ascii="Arial" w:hAnsi="Arial" w:cs="Arial"/>
                <w:lang w:val="en-US"/>
              </w:rPr>
              <w:t>N=28</w:t>
            </w:r>
          </w:p>
          <w:p w:rsidR="00785641" w:rsidRPr="00254BEF" w:rsidRDefault="00785641" w:rsidP="00785641">
            <w:pPr>
              <w:keepNext/>
              <w:keepLines/>
              <w:tabs>
                <w:tab w:val="left" w:pos="8789"/>
              </w:tabs>
              <w:jc w:val="center"/>
              <w:rPr>
                <w:rFonts w:ascii="Arial" w:hAnsi="Arial" w:cs="Arial"/>
              </w:rPr>
            </w:pPr>
            <w:r w:rsidRPr="00254BEF">
              <w:rPr>
                <w:rFonts w:ascii="Arial" w:hAnsi="Arial" w:cs="Arial"/>
                <w:lang w:val="en-US"/>
              </w:rPr>
              <w:t>5.1 (3.7, NR)</w:t>
            </w:r>
          </w:p>
        </w:tc>
        <w:tc>
          <w:tcPr>
            <w:tcW w:w="944" w:type="pct"/>
            <w:tcBorders>
              <w:top w:val="single" w:sz="4" w:space="0" w:color="auto"/>
              <w:bottom w:val="single" w:sz="4" w:space="0" w:color="auto"/>
            </w:tcBorders>
            <w:shd w:val="clear" w:color="auto" w:fill="auto"/>
          </w:tcPr>
          <w:p w:rsidR="00785641" w:rsidRPr="00254BEF" w:rsidRDefault="00785641" w:rsidP="00785641">
            <w:pPr>
              <w:keepNext/>
              <w:keepLines/>
              <w:tabs>
                <w:tab w:val="left" w:pos="8789"/>
              </w:tabs>
              <w:jc w:val="center"/>
              <w:rPr>
                <w:rFonts w:ascii="Arial" w:hAnsi="Arial" w:cs="Arial"/>
              </w:rPr>
            </w:pPr>
            <w:r w:rsidRPr="00254BEF">
              <w:rPr>
                <w:rFonts w:ascii="Arial" w:hAnsi="Arial" w:cs="Arial"/>
                <w:lang w:val="en-US"/>
              </w:rPr>
              <w:t>N=20</w:t>
            </w:r>
          </w:p>
          <w:p w:rsidR="00785641" w:rsidRPr="00254BEF" w:rsidRDefault="00785641" w:rsidP="00785641">
            <w:pPr>
              <w:keepNext/>
              <w:keepLines/>
              <w:tabs>
                <w:tab w:val="left" w:pos="8789"/>
              </w:tabs>
              <w:jc w:val="center"/>
              <w:rPr>
                <w:rFonts w:ascii="Arial" w:hAnsi="Arial" w:cs="Arial"/>
              </w:rPr>
            </w:pPr>
            <w:r w:rsidRPr="00254BEF">
              <w:rPr>
                <w:rFonts w:ascii="Arial" w:hAnsi="Arial" w:cs="Arial"/>
                <w:lang w:val="en-US"/>
              </w:rPr>
              <w:t>4.6 (4.6, 6.5)</w:t>
            </w:r>
          </w:p>
        </w:tc>
        <w:tc>
          <w:tcPr>
            <w:tcW w:w="830" w:type="pct"/>
            <w:tcBorders>
              <w:top w:val="single" w:sz="4" w:space="0" w:color="auto"/>
              <w:bottom w:val="single" w:sz="4" w:space="0" w:color="auto"/>
            </w:tcBorders>
          </w:tcPr>
          <w:p w:rsidR="00785641" w:rsidRPr="00254BEF" w:rsidRDefault="00785641" w:rsidP="00785641">
            <w:pPr>
              <w:keepNext/>
              <w:keepLines/>
              <w:tabs>
                <w:tab w:val="left" w:pos="8789"/>
              </w:tabs>
              <w:jc w:val="center"/>
              <w:rPr>
                <w:rFonts w:ascii="Arial" w:hAnsi="Arial" w:cs="Arial"/>
              </w:rPr>
            </w:pPr>
            <w:r w:rsidRPr="00254BEF">
              <w:rPr>
                <w:rFonts w:ascii="Arial" w:hAnsi="Arial" w:cs="Arial"/>
                <w:lang w:val="en-US"/>
              </w:rPr>
              <w:t>NA</w:t>
            </w:r>
          </w:p>
        </w:tc>
        <w:tc>
          <w:tcPr>
            <w:tcW w:w="1035" w:type="pct"/>
            <w:tcBorders>
              <w:top w:val="single" w:sz="4" w:space="0" w:color="auto"/>
              <w:bottom w:val="single" w:sz="4" w:space="0" w:color="auto"/>
            </w:tcBorders>
          </w:tcPr>
          <w:p w:rsidR="00785641" w:rsidRPr="00254BEF" w:rsidRDefault="00785641" w:rsidP="00785641">
            <w:pPr>
              <w:keepNext/>
              <w:keepLines/>
              <w:tabs>
                <w:tab w:val="left" w:pos="8789"/>
              </w:tabs>
              <w:jc w:val="center"/>
              <w:rPr>
                <w:rFonts w:ascii="Arial" w:hAnsi="Arial" w:cs="Arial"/>
              </w:rPr>
            </w:pPr>
            <w:r w:rsidRPr="00254BEF">
              <w:rPr>
                <w:rFonts w:ascii="Arial" w:hAnsi="Arial" w:cs="Arial"/>
                <w:lang w:val="en-US"/>
              </w:rPr>
              <w:t>N=5</w:t>
            </w:r>
          </w:p>
          <w:p w:rsidR="00785641" w:rsidRPr="00254BEF" w:rsidRDefault="00785641" w:rsidP="00785641">
            <w:pPr>
              <w:keepNext/>
              <w:keepLines/>
              <w:tabs>
                <w:tab w:val="left" w:pos="8789"/>
              </w:tabs>
              <w:jc w:val="center"/>
              <w:rPr>
                <w:rFonts w:ascii="Arial" w:hAnsi="Arial" w:cs="Arial"/>
              </w:rPr>
            </w:pPr>
            <w:r w:rsidRPr="00254BEF">
              <w:rPr>
                <w:rFonts w:ascii="Arial" w:hAnsi="Arial" w:cs="Arial"/>
                <w:lang w:val="en-US"/>
              </w:rPr>
              <w:t>3.1 (2.8, NR)</w:t>
            </w:r>
          </w:p>
        </w:tc>
      </w:tr>
      <w:tr w:rsidR="00785641" w:rsidRPr="00254BEF" w:rsidTr="00785641">
        <w:tc>
          <w:tcPr>
            <w:tcW w:w="5000" w:type="pct"/>
            <w:gridSpan w:val="5"/>
            <w:tcBorders>
              <w:top w:val="single" w:sz="4" w:space="0" w:color="auto"/>
              <w:bottom w:val="single" w:sz="4" w:space="0" w:color="auto"/>
            </w:tcBorders>
            <w:shd w:val="clear" w:color="auto" w:fill="auto"/>
          </w:tcPr>
          <w:p w:rsidR="00814A3F" w:rsidRDefault="00814A3F" w:rsidP="00785641">
            <w:pPr>
              <w:keepNext/>
              <w:keepLines/>
              <w:tabs>
                <w:tab w:val="left" w:pos="8789"/>
              </w:tabs>
              <w:rPr>
                <w:rFonts w:ascii="Arial" w:eastAsia="MS Mincho" w:hAnsi="Arial" w:cs="Arial"/>
                <w:b/>
                <w:lang w:val="en-US"/>
              </w:rPr>
            </w:pPr>
          </w:p>
          <w:p w:rsidR="00785641" w:rsidRPr="00254BEF" w:rsidRDefault="00785641" w:rsidP="00785641">
            <w:pPr>
              <w:keepNext/>
              <w:keepLines/>
              <w:tabs>
                <w:tab w:val="left" w:pos="8789"/>
              </w:tabs>
              <w:rPr>
                <w:rFonts w:ascii="Arial" w:hAnsi="Arial" w:cs="Arial"/>
                <w:b/>
              </w:rPr>
            </w:pPr>
            <w:r w:rsidRPr="00254BEF">
              <w:rPr>
                <w:rFonts w:ascii="Arial" w:eastAsia="MS Mincho" w:hAnsi="Arial" w:cs="Arial"/>
                <w:b/>
                <w:lang w:val="en-US"/>
              </w:rPr>
              <w:t xml:space="preserve">Progression-free survival, </w:t>
            </w:r>
            <w:r w:rsidRPr="00814A3F">
              <w:rPr>
                <w:rFonts w:ascii="Arial" w:eastAsia="MS Mincho" w:hAnsi="Arial" w:cs="Arial"/>
                <w:b/>
                <w:lang w:val="en-US"/>
              </w:rPr>
              <w:t>m</w:t>
            </w:r>
            <w:proofErr w:type="spellStart"/>
            <w:r w:rsidR="00814A3F">
              <w:rPr>
                <w:rFonts w:ascii="Arial" w:hAnsi="Arial" w:cs="Arial"/>
                <w:b/>
              </w:rPr>
              <w:t>edian</w:t>
            </w:r>
            <w:proofErr w:type="spellEnd"/>
            <w:r w:rsidR="00814A3F">
              <w:rPr>
                <w:rFonts w:ascii="Arial" w:hAnsi="Arial" w:cs="Arial"/>
                <w:b/>
              </w:rPr>
              <w:t xml:space="preserve"> </w:t>
            </w:r>
            <w:r w:rsidRPr="00814A3F">
              <w:rPr>
                <w:rFonts w:ascii="Arial" w:hAnsi="Arial" w:cs="Arial"/>
                <w:b/>
              </w:rPr>
              <w:t>months (95% CI)</w:t>
            </w:r>
          </w:p>
        </w:tc>
      </w:tr>
      <w:tr w:rsidR="00785641" w:rsidRPr="00254BEF" w:rsidTr="00785641">
        <w:tc>
          <w:tcPr>
            <w:tcW w:w="1088" w:type="pct"/>
            <w:tcBorders>
              <w:top w:val="single" w:sz="4" w:space="0" w:color="auto"/>
              <w:bottom w:val="single" w:sz="4" w:space="0" w:color="auto"/>
            </w:tcBorders>
            <w:shd w:val="clear" w:color="auto" w:fill="auto"/>
          </w:tcPr>
          <w:p w:rsidR="00785641" w:rsidRPr="00254BEF" w:rsidRDefault="00785641" w:rsidP="00785641">
            <w:pPr>
              <w:keepNext/>
              <w:keepLines/>
              <w:tabs>
                <w:tab w:val="left" w:pos="8789"/>
              </w:tabs>
              <w:ind w:left="180"/>
              <w:rPr>
                <w:rFonts w:ascii="Arial" w:eastAsia="MS Mincho" w:hAnsi="Arial" w:cs="Arial"/>
                <w:b/>
                <w:lang w:val="en-US"/>
              </w:rPr>
            </w:pPr>
          </w:p>
        </w:tc>
        <w:tc>
          <w:tcPr>
            <w:tcW w:w="1103" w:type="pct"/>
            <w:tcBorders>
              <w:top w:val="single" w:sz="4" w:space="0" w:color="auto"/>
              <w:bottom w:val="single" w:sz="4" w:space="0" w:color="auto"/>
            </w:tcBorders>
            <w:shd w:val="clear" w:color="auto" w:fill="auto"/>
          </w:tcPr>
          <w:p w:rsidR="00785641" w:rsidRPr="00254BEF" w:rsidRDefault="00785641" w:rsidP="00785641">
            <w:pPr>
              <w:keepNext/>
              <w:keepLines/>
              <w:tabs>
                <w:tab w:val="left" w:pos="8789"/>
              </w:tabs>
              <w:jc w:val="center"/>
              <w:rPr>
                <w:rFonts w:ascii="Arial" w:hAnsi="Arial" w:cs="Arial"/>
              </w:rPr>
            </w:pPr>
            <w:r w:rsidRPr="00254BEF">
              <w:rPr>
                <w:rFonts w:ascii="Arial" w:hAnsi="Arial" w:cs="Arial"/>
              </w:rPr>
              <w:t>3.7 (3.6, 5.0)</w:t>
            </w:r>
          </w:p>
        </w:tc>
        <w:tc>
          <w:tcPr>
            <w:tcW w:w="944" w:type="pct"/>
            <w:tcBorders>
              <w:top w:val="single" w:sz="4" w:space="0" w:color="auto"/>
              <w:bottom w:val="single" w:sz="4" w:space="0" w:color="auto"/>
            </w:tcBorders>
            <w:shd w:val="clear" w:color="auto" w:fill="auto"/>
          </w:tcPr>
          <w:p w:rsidR="00785641" w:rsidRPr="00254BEF" w:rsidRDefault="00785641" w:rsidP="00785641">
            <w:pPr>
              <w:keepNext/>
              <w:keepLines/>
              <w:tabs>
                <w:tab w:val="left" w:pos="8789"/>
              </w:tabs>
              <w:jc w:val="center"/>
              <w:rPr>
                <w:rFonts w:ascii="Arial" w:hAnsi="Arial" w:cs="Arial"/>
              </w:rPr>
            </w:pPr>
            <w:r w:rsidRPr="00254BEF">
              <w:rPr>
                <w:rFonts w:ascii="Arial" w:hAnsi="Arial" w:cs="Arial"/>
              </w:rPr>
              <w:t>3.8 (3.6, 5.5)</w:t>
            </w:r>
          </w:p>
        </w:tc>
        <w:tc>
          <w:tcPr>
            <w:tcW w:w="830" w:type="pct"/>
            <w:tcBorders>
              <w:top w:val="single" w:sz="4" w:space="0" w:color="auto"/>
              <w:bottom w:val="single" w:sz="4" w:space="0" w:color="auto"/>
            </w:tcBorders>
          </w:tcPr>
          <w:p w:rsidR="00785641" w:rsidRPr="00254BEF" w:rsidRDefault="00785641" w:rsidP="00785641">
            <w:pPr>
              <w:keepNext/>
              <w:keepLines/>
              <w:tabs>
                <w:tab w:val="left" w:pos="8789"/>
              </w:tabs>
              <w:jc w:val="center"/>
              <w:rPr>
                <w:rFonts w:ascii="Arial" w:hAnsi="Arial" w:cs="Arial"/>
              </w:rPr>
            </w:pPr>
            <w:r w:rsidRPr="00254BEF">
              <w:rPr>
                <w:rFonts w:ascii="Arial" w:hAnsi="Arial" w:cs="Arial"/>
              </w:rPr>
              <w:t>1.9 (0.7, 3.7)</w:t>
            </w:r>
          </w:p>
        </w:tc>
        <w:tc>
          <w:tcPr>
            <w:tcW w:w="1035" w:type="pct"/>
            <w:tcBorders>
              <w:top w:val="single" w:sz="4" w:space="0" w:color="auto"/>
              <w:bottom w:val="single" w:sz="4" w:space="0" w:color="auto"/>
            </w:tcBorders>
          </w:tcPr>
          <w:p w:rsidR="00785641" w:rsidRPr="00254BEF" w:rsidRDefault="00785641" w:rsidP="00785641">
            <w:pPr>
              <w:keepNext/>
              <w:keepLines/>
              <w:tabs>
                <w:tab w:val="left" w:pos="8789"/>
              </w:tabs>
              <w:jc w:val="center"/>
              <w:rPr>
                <w:rFonts w:ascii="Arial" w:hAnsi="Arial" w:cs="Arial"/>
              </w:rPr>
            </w:pPr>
            <w:r w:rsidRPr="00254BEF">
              <w:rPr>
                <w:rFonts w:ascii="Arial" w:hAnsi="Arial" w:cs="Arial"/>
              </w:rPr>
              <w:t>3.6 (1.8, 5.2)</w:t>
            </w:r>
          </w:p>
        </w:tc>
      </w:tr>
      <w:tr w:rsidR="00785641" w:rsidRPr="00254BEF" w:rsidTr="00785641">
        <w:tc>
          <w:tcPr>
            <w:tcW w:w="5000" w:type="pct"/>
            <w:gridSpan w:val="5"/>
            <w:tcBorders>
              <w:top w:val="single" w:sz="4" w:space="0" w:color="auto"/>
              <w:bottom w:val="single" w:sz="4" w:space="0" w:color="auto"/>
            </w:tcBorders>
            <w:shd w:val="clear" w:color="auto" w:fill="auto"/>
          </w:tcPr>
          <w:p w:rsidR="00814A3F" w:rsidRDefault="00814A3F" w:rsidP="00785641">
            <w:pPr>
              <w:keepNext/>
              <w:keepLines/>
              <w:tabs>
                <w:tab w:val="left" w:pos="8789"/>
              </w:tabs>
              <w:rPr>
                <w:rFonts w:ascii="Arial" w:hAnsi="Arial" w:cs="Arial"/>
                <w:b/>
              </w:rPr>
            </w:pPr>
          </w:p>
          <w:p w:rsidR="00785641" w:rsidRPr="00254BEF" w:rsidRDefault="00785641" w:rsidP="00785641">
            <w:pPr>
              <w:keepNext/>
              <w:keepLines/>
              <w:tabs>
                <w:tab w:val="left" w:pos="8789"/>
              </w:tabs>
              <w:rPr>
                <w:rFonts w:ascii="Arial" w:hAnsi="Arial" w:cs="Arial"/>
              </w:rPr>
            </w:pPr>
            <w:r w:rsidRPr="00254BEF">
              <w:rPr>
                <w:rFonts w:ascii="Arial" w:hAnsi="Arial" w:cs="Arial"/>
                <w:b/>
              </w:rPr>
              <w:t>Overall survival</w:t>
            </w:r>
            <w:r w:rsidR="00814A3F">
              <w:rPr>
                <w:rFonts w:ascii="Arial" w:hAnsi="Arial" w:cs="Arial"/>
                <w:b/>
              </w:rPr>
              <w:t xml:space="preserve">, </w:t>
            </w:r>
            <w:r w:rsidR="00814A3F" w:rsidRPr="00814A3F">
              <w:rPr>
                <w:rFonts w:ascii="Arial" w:eastAsia="MS Mincho" w:hAnsi="Arial" w:cs="Arial"/>
                <w:b/>
                <w:lang w:val="en-US"/>
              </w:rPr>
              <w:t>m</w:t>
            </w:r>
            <w:proofErr w:type="spellStart"/>
            <w:r w:rsidR="00814A3F">
              <w:rPr>
                <w:rFonts w:ascii="Arial" w:hAnsi="Arial" w:cs="Arial"/>
                <w:b/>
              </w:rPr>
              <w:t>edian</w:t>
            </w:r>
            <w:proofErr w:type="spellEnd"/>
            <w:r w:rsidR="00814A3F" w:rsidRPr="00814A3F">
              <w:rPr>
                <w:rFonts w:ascii="Arial" w:hAnsi="Arial" w:cs="Arial"/>
                <w:b/>
              </w:rPr>
              <w:t xml:space="preserve"> months (95% CI)</w:t>
            </w:r>
          </w:p>
        </w:tc>
      </w:tr>
      <w:tr w:rsidR="00785641" w:rsidRPr="00254BEF" w:rsidTr="00785641">
        <w:tc>
          <w:tcPr>
            <w:tcW w:w="1088" w:type="pct"/>
            <w:tcBorders>
              <w:top w:val="single" w:sz="4" w:space="0" w:color="auto"/>
              <w:bottom w:val="single" w:sz="4" w:space="0" w:color="auto"/>
            </w:tcBorders>
            <w:shd w:val="clear" w:color="auto" w:fill="auto"/>
          </w:tcPr>
          <w:p w:rsidR="00785641" w:rsidRPr="00254BEF" w:rsidRDefault="00785641" w:rsidP="00814A3F">
            <w:pPr>
              <w:keepNext/>
              <w:keepLines/>
              <w:tabs>
                <w:tab w:val="left" w:pos="8789"/>
              </w:tabs>
              <w:ind w:left="180"/>
              <w:rPr>
                <w:rFonts w:ascii="Arial" w:eastAsia="MS Mincho" w:hAnsi="Arial" w:cs="Arial"/>
                <w:lang w:val="en-US"/>
              </w:rPr>
            </w:pPr>
          </w:p>
        </w:tc>
        <w:tc>
          <w:tcPr>
            <w:tcW w:w="1103" w:type="pct"/>
            <w:tcBorders>
              <w:top w:val="single" w:sz="4" w:space="0" w:color="auto"/>
              <w:bottom w:val="single" w:sz="4" w:space="0" w:color="auto"/>
            </w:tcBorders>
            <w:shd w:val="clear" w:color="auto" w:fill="auto"/>
          </w:tcPr>
          <w:p w:rsidR="00785641" w:rsidRPr="00254BEF" w:rsidRDefault="00785641" w:rsidP="00785641">
            <w:pPr>
              <w:keepNext/>
              <w:keepLines/>
              <w:tabs>
                <w:tab w:val="left" w:pos="8789"/>
              </w:tabs>
              <w:jc w:val="center"/>
              <w:rPr>
                <w:rFonts w:ascii="Arial" w:hAnsi="Arial" w:cs="Arial"/>
              </w:rPr>
            </w:pPr>
            <w:r w:rsidRPr="00254BEF">
              <w:rPr>
                <w:rFonts w:ascii="Arial" w:hAnsi="Arial" w:cs="Arial"/>
              </w:rPr>
              <w:t>7.6 (5.9, NR)</w:t>
            </w:r>
          </w:p>
        </w:tc>
        <w:tc>
          <w:tcPr>
            <w:tcW w:w="944" w:type="pct"/>
            <w:tcBorders>
              <w:top w:val="single" w:sz="4" w:space="0" w:color="auto"/>
              <w:bottom w:val="single" w:sz="4" w:space="0" w:color="auto"/>
            </w:tcBorders>
            <w:shd w:val="clear" w:color="auto" w:fill="auto"/>
          </w:tcPr>
          <w:p w:rsidR="00785641" w:rsidRPr="00254BEF" w:rsidRDefault="00785641" w:rsidP="00785641">
            <w:pPr>
              <w:keepNext/>
              <w:keepLines/>
              <w:tabs>
                <w:tab w:val="left" w:pos="8789"/>
              </w:tabs>
              <w:jc w:val="center"/>
              <w:rPr>
                <w:rFonts w:ascii="Arial" w:hAnsi="Arial" w:cs="Arial"/>
              </w:rPr>
            </w:pPr>
            <w:r w:rsidRPr="00254BEF">
              <w:rPr>
                <w:rFonts w:ascii="Arial" w:hAnsi="Arial" w:cs="Arial"/>
              </w:rPr>
              <w:t>7.2 (5.9, NR)</w:t>
            </w:r>
          </w:p>
        </w:tc>
        <w:tc>
          <w:tcPr>
            <w:tcW w:w="830" w:type="pct"/>
            <w:tcBorders>
              <w:top w:val="single" w:sz="4" w:space="0" w:color="auto"/>
              <w:bottom w:val="single" w:sz="4" w:space="0" w:color="auto"/>
            </w:tcBorders>
          </w:tcPr>
          <w:p w:rsidR="00785641" w:rsidRPr="00254BEF" w:rsidRDefault="00785641" w:rsidP="00785641">
            <w:pPr>
              <w:keepNext/>
              <w:keepLines/>
              <w:tabs>
                <w:tab w:val="left" w:pos="8789"/>
              </w:tabs>
              <w:jc w:val="center"/>
              <w:rPr>
                <w:rFonts w:ascii="Arial" w:hAnsi="Arial" w:cs="Arial"/>
              </w:rPr>
            </w:pPr>
            <w:r w:rsidRPr="00254BEF">
              <w:rPr>
                <w:rFonts w:ascii="Arial" w:hAnsi="Arial" w:cs="Arial"/>
              </w:rPr>
              <w:t>3.7 (1.6, 5.2)</w:t>
            </w:r>
          </w:p>
        </w:tc>
        <w:tc>
          <w:tcPr>
            <w:tcW w:w="1035" w:type="pct"/>
            <w:tcBorders>
              <w:top w:val="single" w:sz="4" w:space="0" w:color="auto"/>
              <w:bottom w:val="single" w:sz="4" w:space="0" w:color="auto"/>
            </w:tcBorders>
          </w:tcPr>
          <w:p w:rsidR="00785641" w:rsidRPr="00254BEF" w:rsidRDefault="00785641" w:rsidP="00785641">
            <w:pPr>
              <w:keepNext/>
              <w:keepLines/>
              <w:tabs>
                <w:tab w:val="left" w:pos="8789"/>
              </w:tabs>
              <w:jc w:val="center"/>
              <w:rPr>
                <w:rFonts w:ascii="Arial" w:hAnsi="Arial" w:cs="Arial"/>
              </w:rPr>
            </w:pPr>
            <w:r w:rsidRPr="00254BEF">
              <w:rPr>
                <w:rFonts w:ascii="Arial" w:hAnsi="Arial" w:cs="Arial"/>
              </w:rPr>
              <w:t>5.0 (3.5, NR)</w:t>
            </w:r>
          </w:p>
        </w:tc>
      </w:tr>
      <w:tr w:rsidR="00785641" w:rsidRPr="00254BEF" w:rsidTr="00785641">
        <w:tc>
          <w:tcPr>
            <w:tcW w:w="5000" w:type="pct"/>
            <w:gridSpan w:val="5"/>
            <w:tcBorders>
              <w:top w:val="single" w:sz="4" w:space="0" w:color="auto"/>
              <w:left w:val="nil"/>
              <w:bottom w:val="nil"/>
              <w:right w:val="nil"/>
            </w:tcBorders>
            <w:shd w:val="clear" w:color="auto" w:fill="auto"/>
          </w:tcPr>
          <w:p w:rsidR="000A6D13" w:rsidRPr="00254BEF" w:rsidRDefault="000A6D13" w:rsidP="000A6D13">
            <w:pPr>
              <w:keepNext/>
              <w:keepLines/>
              <w:tabs>
                <w:tab w:val="left" w:pos="8789"/>
              </w:tabs>
              <w:adjustRightInd w:val="0"/>
              <w:textAlignment w:val="baseline"/>
              <w:rPr>
                <w:rFonts w:ascii="Arial" w:eastAsia="MS Mincho" w:hAnsi="Arial" w:cs="Arial"/>
                <w:sz w:val="18"/>
                <w:szCs w:val="18"/>
                <w:lang w:val="en-US"/>
              </w:rPr>
            </w:pPr>
            <w:r w:rsidRPr="00254BEF">
              <w:rPr>
                <w:rFonts w:ascii="Arial" w:eastAsia="MS Mincho" w:hAnsi="Arial" w:cs="Arial"/>
                <w:sz w:val="18"/>
                <w:szCs w:val="18"/>
                <w:lang w:val="en-US"/>
              </w:rPr>
              <w:t>Abbreviations:  CI: confidence interval; NR: not reached; NA: not applicable</w:t>
            </w:r>
          </w:p>
          <w:p w:rsidR="000A6D13" w:rsidRPr="00254BEF" w:rsidRDefault="000A6D13" w:rsidP="000A6D13">
            <w:pPr>
              <w:keepNext/>
              <w:keepLines/>
              <w:tabs>
                <w:tab w:val="left" w:pos="8789"/>
              </w:tabs>
              <w:adjustRightInd w:val="0"/>
              <w:textAlignment w:val="baseline"/>
              <w:rPr>
                <w:rFonts w:ascii="Arial" w:eastAsia="MS Mincho" w:hAnsi="Arial" w:cs="Arial"/>
                <w:sz w:val="18"/>
                <w:szCs w:val="18"/>
                <w:lang w:val="en-US"/>
              </w:rPr>
            </w:pPr>
            <w:r w:rsidRPr="00254BEF">
              <w:rPr>
                <w:rFonts w:ascii="Arial" w:eastAsia="MS Mincho" w:hAnsi="Arial" w:cs="Arial"/>
                <w:sz w:val="18"/>
                <w:szCs w:val="18"/>
                <w:lang w:val="en-US"/>
              </w:rPr>
              <w:t>a - Confirmed response.</w:t>
            </w:r>
          </w:p>
          <w:p w:rsidR="00785641" w:rsidRPr="00254BEF" w:rsidRDefault="000A6D13" w:rsidP="00B94D46">
            <w:pPr>
              <w:rPr>
                <w:rFonts w:ascii="Arial" w:eastAsia="MS Mincho" w:hAnsi="Arial" w:cs="Arial"/>
                <w:sz w:val="18"/>
                <w:szCs w:val="18"/>
                <w:lang w:val="en-US"/>
              </w:rPr>
            </w:pPr>
            <w:r w:rsidRPr="00254BEF">
              <w:rPr>
                <w:rFonts w:ascii="Arial" w:eastAsia="MS Mincho" w:hAnsi="Arial" w:cs="Arial"/>
                <w:sz w:val="18"/>
                <w:szCs w:val="18"/>
                <w:lang w:val="en-US"/>
              </w:rPr>
              <w:t>b –</w:t>
            </w:r>
            <w:r w:rsidRPr="00254BEF">
              <w:rPr>
                <w:rFonts w:ascii="Arial" w:hAnsi="Arial" w:cs="Arial"/>
                <w:sz w:val="18"/>
                <w:szCs w:val="18"/>
              </w:rPr>
              <w:t>This study was designed to support or reject the null hypothesis of OIRR ≤10% (based on historical results) in favour of the alternative h</w:t>
            </w:r>
            <w:r w:rsidR="00815E4A" w:rsidRPr="00254BEF">
              <w:rPr>
                <w:rFonts w:ascii="Arial" w:hAnsi="Arial" w:cs="Arial"/>
                <w:sz w:val="18"/>
                <w:szCs w:val="18"/>
              </w:rPr>
              <w:t>ypothesis of OIRR ≥ 30% in BRAF</w:t>
            </w:r>
            <w:r w:rsidRPr="00254BEF">
              <w:rPr>
                <w:rFonts w:ascii="Arial" w:hAnsi="Arial" w:cs="Arial"/>
                <w:sz w:val="18"/>
                <w:szCs w:val="18"/>
                <w:vertAlign w:val="superscript"/>
              </w:rPr>
              <w:t>V600E</w:t>
            </w:r>
            <w:r w:rsidRPr="00254BEF">
              <w:rPr>
                <w:rFonts w:ascii="Arial" w:hAnsi="Arial" w:cs="Arial"/>
                <w:sz w:val="18"/>
                <w:szCs w:val="18"/>
              </w:rPr>
              <w:t xml:space="preserve"> positive subjects.</w:t>
            </w:r>
          </w:p>
        </w:tc>
      </w:tr>
    </w:tbl>
    <w:p w:rsidR="00B94D46" w:rsidRPr="00B94D46" w:rsidRDefault="00B94D46" w:rsidP="00B94D46">
      <w:pPr>
        <w:pStyle w:val="ListParagraph"/>
      </w:pPr>
    </w:p>
    <w:p w:rsidR="00E8156F" w:rsidRPr="00254BEF" w:rsidRDefault="00E8156F" w:rsidP="00EF55A1">
      <w:pPr>
        <w:pStyle w:val="Heading3"/>
      </w:pPr>
      <w:r w:rsidRPr="00254BEF">
        <w:t xml:space="preserve">Patients who were </w:t>
      </w:r>
      <w:r w:rsidR="00F30E06" w:rsidRPr="00254BEF">
        <w:t>p</w:t>
      </w:r>
      <w:r w:rsidR="00E4356E" w:rsidRPr="00254BEF">
        <w:t>reviously untreated or failed</w:t>
      </w:r>
      <w:r w:rsidR="00F30E06" w:rsidRPr="00254BEF">
        <w:t xml:space="preserve"> at least one</w:t>
      </w:r>
      <w:r w:rsidRPr="00254BEF">
        <w:t xml:space="preserve"> prior systemic therapy</w:t>
      </w:r>
      <w:r w:rsidR="009E041D">
        <w:t xml:space="preserve"> (Results from the phase II study BREAK-2)</w:t>
      </w:r>
    </w:p>
    <w:p w:rsidR="00F30E06" w:rsidRPr="00254BEF" w:rsidRDefault="00F30E06" w:rsidP="00EF55A1">
      <w:pPr>
        <w:pStyle w:val="ListParagraph"/>
      </w:pPr>
      <w:r w:rsidRPr="00254BEF">
        <w:t xml:space="preserve">BRF113710 (BREAK-2) was a multi-centre, global, open-label, single-arm, Phase II study that enrolled 92 subjects with </w:t>
      </w:r>
      <w:proofErr w:type="spellStart"/>
      <w:r w:rsidRPr="00254BEF">
        <w:t>histologically</w:t>
      </w:r>
      <w:proofErr w:type="spellEnd"/>
      <w:r w:rsidRPr="00254BEF">
        <w:t xml:space="preserve"> confirmed metastatic melanoma (Stage IV) with confirmed BRAF</w:t>
      </w:r>
      <w:r w:rsidRPr="00254BEF">
        <w:rPr>
          <w:vertAlign w:val="superscript"/>
        </w:rPr>
        <w:t xml:space="preserve">V600E or V600K </w:t>
      </w:r>
      <w:r w:rsidRPr="00254BEF">
        <w:t>mutation-positive melanoma. Subjects were treatment-naïve</w:t>
      </w:r>
      <w:r w:rsidR="00814A3F">
        <w:t xml:space="preserve"> </w:t>
      </w:r>
      <w:r w:rsidR="00814A3F" w:rsidRPr="00D74C63">
        <w:t>(n=15)</w:t>
      </w:r>
      <w:r w:rsidRPr="00D74C63">
        <w:t xml:space="preserve"> or received prior treatment </w:t>
      </w:r>
      <w:r w:rsidR="00814A3F" w:rsidRPr="00D74C63">
        <w:t>(n=77)</w:t>
      </w:r>
      <w:r w:rsidR="00814A3F">
        <w:t xml:space="preserve"> </w:t>
      </w:r>
      <w:r w:rsidRPr="00254BEF">
        <w:t>in the metastatic setting (i.e., chemotherapy, immunotherapy, prior targeted therapy, etc.).</w:t>
      </w:r>
    </w:p>
    <w:p w:rsidR="00F30E06" w:rsidRPr="00254BEF" w:rsidRDefault="00F30E06" w:rsidP="00EF55A1">
      <w:pPr>
        <w:pStyle w:val="ListParagraph"/>
      </w:pPr>
      <w:r w:rsidRPr="00254BEF">
        <w:t xml:space="preserve">The investigator assessed confirmed response rate in the primary efficacy population of patients with BRAF </w:t>
      </w:r>
      <w:r w:rsidRPr="00254BEF">
        <w:rPr>
          <w:vertAlign w:val="superscript"/>
        </w:rPr>
        <w:t>V600E</w:t>
      </w:r>
      <w:r w:rsidRPr="00254BEF">
        <w:t xml:space="preserve"> metastatic melanoma (n=76) was 59</w:t>
      </w:r>
      <w:r w:rsidR="00D25A0C">
        <w:t>%</w:t>
      </w:r>
      <w:r w:rsidRPr="00254BEF">
        <w:t xml:space="preserve"> (95% CI: 48.2, 70.3) including 7% complete response. Median PFS was 6.3 months (95% CI: 4.6, 7.7) and the median duration of response was 5.2 months (95</w:t>
      </w:r>
      <w:r w:rsidR="00D25A0C">
        <w:t>%</w:t>
      </w:r>
      <w:r w:rsidRPr="00254BEF">
        <w:t xml:space="preserve"> CI: 3.9, not calculable).</w:t>
      </w:r>
      <w:r w:rsidR="005E7888">
        <w:t xml:space="preserve"> </w:t>
      </w:r>
      <w:r w:rsidR="005E7888" w:rsidRPr="005E7888">
        <w:t xml:space="preserve">Prior systemic therapy did not appear to significantly impact response. </w:t>
      </w:r>
      <w:r w:rsidRPr="005E7888">
        <w:t xml:space="preserve"> </w:t>
      </w:r>
      <w:r w:rsidRPr="00254BEF">
        <w:t xml:space="preserve">The investigator assessed confirmed response rate in a secondary efficacy population of patients with BRAF </w:t>
      </w:r>
      <w:r w:rsidRPr="00254BEF">
        <w:rPr>
          <w:vertAlign w:val="superscript"/>
        </w:rPr>
        <w:t>V600K</w:t>
      </w:r>
      <w:r w:rsidRPr="00254BEF">
        <w:t xml:space="preserve"> mutation positive metastatic melanoma (n=16) was 13</w:t>
      </w:r>
      <w:r w:rsidR="00D25A0C">
        <w:t>%</w:t>
      </w:r>
      <w:r w:rsidRPr="00254BEF">
        <w:t xml:space="preserve"> (95% CI: 0.0, 28.7) with a median duration of response of 5.3 months (95</w:t>
      </w:r>
      <w:r w:rsidR="00D25A0C">
        <w:t>%</w:t>
      </w:r>
      <w:r w:rsidRPr="00254BEF">
        <w:t xml:space="preserve"> CI: 3.7, 6.8). There were no complete responses in the V600K patient population.</w:t>
      </w:r>
      <w:r w:rsidR="005D1137" w:rsidRPr="005D1137">
        <w:t xml:space="preserve"> </w:t>
      </w:r>
      <w:r w:rsidR="00F96F90" w:rsidRPr="00F96F90">
        <w:t xml:space="preserve">Although the evidence for the efficacy of </w:t>
      </w:r>
      <w:proofErr w:type="spellStart"/>
      <w:r w:rsidR="00F96F90" w:rsidRPr="00F96F90">
        <w:t>dabrafenib</w:t>
      </w:r>
      <w:proofErr w:type="spellEnd"/>
      <w:r w:rsidR="00F96F90" w:rsidRPr="00F96F90">
        <w:t xml:space="preserve"> is limited by the low number of patients, median OS appeared consistent with data in patients with BRAF V600E positive tumours.</w:t>
      </w:r>
    </w:p>
    <w:p w:rsidR="007E215A" w:rsidRDefault="007E215A" w:rsidP="00EF55A1">
      <w:pPr>
        <w:pStyle w:val="ListParagraph"/>
      </w:pPr>
    </w:p>
    <w:p w:rsidR="0077380F" w:rsidRPr="00254BEF" w:rsidRDefault="0077380F" w:rsidP="0070730F">
      <w:pPr>
        <w:pStyle w:val="Heading1"/>
      </w:pPr>
      <w:r w:rsidRPr="00254BEF">
        <w:lastRenderedPageBreak/>
        <w:t>INDICATIONS</w:t>
      </w:r>
    </w:p>
    <w:p w:rsidR="000A0809" w:rsidRPr="00254BEF" w:rsidRDefault="005D1137" w:rsidP="00EF55A1">
      <w:pPr>
        <w:pStyle w:val="ListParagraph"/>
        <w:rPr>
          <w:noProof/>
        </w:rPr>
      </w:pPr>
      <w:r>
        <w:rPr>
          <w:noProof/>
        </w:rPr>
        <w:t>T</w:t>
      </w:r>
      <w:r w:rsidRPr="00254BEF">
        <w:rPr>
          <w:noProof/>
        </w:rPr>
        <w:t xml:space="preserve">AFINLAR </w:t>
      </w:r>
      <w:r w:rsidR="000A0809" w:rsidRPr="00254BEF">
        <w:rPr>
          <w:noProof/>
        </w:rPr>
        <w:t>is indicated for the treatment of patients with BRAF V600 mutation positive unresectable</w:t>
      </w:r>
      <w:r w:rsidR="00112554">
        <w:rPr>
          <w:noProof/>
        </w:rPr>
        <w:t xml:space="preserve"> Stage III</w:t>
      </w:r>
      <w:r w:rsidR="000A0809" w:rsidRPr="00254BEF">
        <w:rPr>
          <w:noProof/>
        </w:rPr>
        <w:t xml:space="preserve"> or metastatic (Stage IV) melanoma.</w:t>
      </w:r>
    </w:p>
    <w:p w:rsidR="004F640B" w:rsidRPr="00254BEF" w:rsidRDefault="004F640B" w:rsidP="00B94D46">
      <w:pPr>
        <w:pStyle w:val="ListParagraph"/>
      </w:pPr>
    </w:p>
    <w:p w:rsidR="0077380F" w:rsidRPr="00254BEF" w:rsidRDefault="0077380F" w:rsidP="0070730F">
      <w:pPr>
        <w:pStyle w:val="Heading1"/>
      </w:pPr>
      <w:r w:rsidRPr="00254BEF">
        <w:t>CONTRAINDICATIONS</w:t>
      </w:r>
    </w:p>
    <w:p w:rsidR="00E47BEA" w:rsidRDefault="005D1137" w:rsidP="00EF55A1">
      <w:pPr>
        <w:pStyle w:val="ListParagraph"/>
        <w:rPr>
          <w:lang w:val="en-GB"/>
        </w:rPr>
      </w:pPr>
      <w:r>
        <w:rPr>
          <w:lang w:val="en-GB"/>
        </w:rPr>
        <w:t>T</w:t>
      </w:r>
      <w:r w:rsidRPr="005E7888">
        <w:rPr>
          <w:lang w:val="en-GB"/>
        </w:rPr>
        <w:t xml:space="preserve">AFINLAR </w:t>
      </w:r>
      <w:r w:rsidR="00E47BEA" w:rsidRPr="005E7888">
        <w:rPr>
          <w:lang w:val="en-GB"/>
        </w:rPr>
        <w:t xml:space="preserve">is contraindicated in patients with hypersensitivity to the active substance </w:t>
      </w:r>
      <w:proofErr w:type="spellStart"/>
      <w:r w:rsidR="00E47BEA" w:rsidRPr="005E7888">
        <w:rPr>
          <w:lang w:val="en-GB"/>
        </w:rPr>
        <w:t>dabrafenib</w:t>
      </w:r>
      <w:proofErr w:type="spellEnd"/>
      <w:r w:rsidR="00E47BEA" w:rsidRPr="005E7888">
        <w:rPr>
          <w:lang w:val="en-GB"/>
        </w:rPr>
        <w:t xml:space="preserve"> </w:t>
      </w:r>
      <w:proofErr w:type="spellStart"/>
      <w:r w:rsidR="00E47BEA" w:rsidRPr="005E7888">
        <w:rPr>
          <w:lang w:val="en-GB"/>
        </w:rPr>
        <w:t>mesilate</w:t>
      </w:r>
      <w:proofErr w:type="spellEnd"/>
      <w:r w:rsidR="00E47BEA" w:rsidRPr="005E7888">
        <w:rPr>
          <w:lang w:val="en-GB"/>
        </w:rPr>
        <w:t xml:space="preserve"> or any of the </w:t>
      </w:r>
      <w:proofErr w:type="spellStart"/>
      <w:r w:rsidR="00E47BEA" w:rsidRPr="005E7888">
        <w:rPr>
          <w:lang w:val="en-GB"/>
        </w:rPr>
        <w:t>excipients</w:t>
      </w:r>
      <w:proofErr w:type="spellEnd"/>
      <w:r w:rsidR="00E47BEA" w:rsidRPr="005E7888">
        <w:rPr>
          <w:lang w:val="en-GB"/>
        </w:rPr>
        <w:t xml:space="preserve"> (</w:t>
      </w:r>
      <w:r w:rsidR="003E212D">
        <w:rPr>
          <w:lang w:val="en-GB"/>
        </w:rPr>
        <w:t>s</w:t>
      </w:r>
      <w:r w:rsidR="00E47BEA" w:rsidRPr="005E7888">
        <w:rPr>
          <w:lang w:val="en-GB"/>
        </w:rPr>
        <w:t>ee DESCRIPTION).</w:t>
      </w:r>
    </w:p>
    <w:p w:rsidR="007E215A" w:rsidRPr="00E47BEA" w:rsidRDefault="007E215A" w:rsidP="00B94D46">
      <w:pPr>
        <w:pStyle w:val="ListParagraph"/>
      </w:pPr>
    </w:p>
    <w:p w:rsidR="0077380F" w:rsidRPr="00254BEF" w:rsidRDefault="0077380F" w:rsidP="0070730F">
      <w:pPr>
        <w:pStyle w:val="Heading1"/>
      </w:pPr>
      <w:r w:rsidRPr="00254BEF">
        <w:t>PRECAUTIONS</w:t>
      </w:r>
    </w:p>
    <w:p w:rsidR="00DE63EC" w:rsidRDefault="00DE63EC" w:rsidP="00EF55A1">
      <w:pPr>
        <w:pStyle w:val="ListParagraph"/>
      </w:pPr>
      <w:r w:rsidRPr="00DE63EC">
        <w:t xml:space="preserve">Before taking </w:t>
      </w:r>
      <w:proofErr w:type="spellStart"/>
      <w:r w:rsidRPr="00DE63EC">
        <w:t>dabrafenib</w:t>
      </w:r>
      <w:proofErr w:type="spellEnd"/>
      <w:r w:rsidRPr="00DE63EC">
        <w:t>, patients must have BRAF V600 mutation-positive tumour status confirmed by a</w:t>
      </w:r>
      <w:r>
        <w:t xml:space="preserve"> </w:t>
      </w:r>
      <w:r w:rsidRPr="00DE63EC">
        <w:t xml:space="preserve">validated test. The efficacy and safety of </w:t>
      </w:r>
      <w:proofErr w:type="spellStart"/>
      <w:r w:rsidRPr="00DE63EC">
        <w:t>dabrafenib</w:t>
      </w:r>
      <w:proofErr w:type="spellEnd"/>
      <w:r w:rsidRPr="00DE63EC">
        <w:t xml:space="preserve"> have not been established in patients with wild-type BRAF melanoma</w:t>
      </w:r>
      <w:r w:rsidR="006C591E">
        <w:t xml:space="preserve"> (see </w:t>
      </w:r>
      <w:r w:rsidR="003E212D">
        <w:t>CLINICAL TRIALS</w:t>
      </w:r>
      <w:r w:rsidR="006C591E">
        <w:t>)</w:t>
      </w:r>
      <w:r w:rsidR="00697EF8">
        <w:t xml:space="preserve">. </w:t>
      </w:r>
      <w:r w:rsidR="00697EF8" w:rsidRPr="00697EF8">
        <w:t xml:space="preserve">Further around 40% of BRAF wild-type metastatic melanomas have </w:t>
      </w:r>
      <w:proofErr w:type="spellStart"/>
      <w:r w:rsidR="00697EF8" w:rsidRPr="00697EF8">
        <w:t>oncogenic</w:t>
      </w:r>
      <w:proofErr w:type="spellEnd"/>
      <w:r w:rsidR="00697EF8" w:rsidRPr="00697EF8">
        <w:t xml:space="preserve"> NRAS mutations</w:t>
      </w:r>
      <w:r w:rsidR="00DD27E7">
        <w:t xml:space="preserve"> </w:t>
      </w:r>
      <w:r w:rsidR="00DD27E7" w:rsidRPr="00DD27E7">
        <w:t>which may result in paradoxical activation of MAP-</w:t>
      </w:r>
      <w:proofErr w:type="spellStart"/>
      <w:r w:rsidR="00DD27E7" w:rsidRPr="00DD27E7">
        <w:t>kinase</w:t>
      </w:r>
      <w:proofErr w:type="spellEnd"/>
      <w:r w:rsidR="00DD27E7" w:rsidRPr="00DD27E7">
        <w:t xml:space="preserve"> signalling in the presence </w:t>
      </w:r>
      <w:r w:rsidR="00697EF8" w:rsidRPr="00697EF8">
        <w:t xml:space="preserve">of BRAF inhibitors such as </w:t>
      </w:r>
      <w:proofErr w:type="spellStart"/>
      <w:r w:rsidR="00697EF8" w:rsidRPr="00697EF8">
        <w:t>dabrafenib</w:t>
      </w:r>
      <w:proofErr w:type="spellEnd"/>
      <w:r w:rsidR="00697EF8" w:rsidRPr="00697EF8">
        <w:t xml:space="preserve"> </w:t>
      </w:r>
      <w:r w:rsidR="00DD27E7">
        <w:t>and</w:t>
      </w:r>
      <w:r w:rsidR="00697EF8" w:rsidRPr="00697EF8">
        <w:t xml:space="preserve"> may lead to accelerated tumour growth.  </w:t>
      </w:r>
      <w:proofErr w:type="spellStart"/>
      <w:r w:rsidR="00697EF8">
        <w:t>D</w:t>
      </w:r>
      <w:r w:rsidRPr="00DE63EC">
        <w:t>abrafenib</w:t>
      </w:r>
      <w:proofErr w:type="spellEnd"/>
      <w:r w:rsidRPr="00DE63EC">
        <w:t xml:space="preserve"> should not be used in patients with BRAF wild-type melanoma</w:t>
      </w:r>
      <w:r>
        <w:t>.</w:t>
      </w:r>
    </w:p>
    <w:p w:rsidR="00E47BEA" w:rsidRPr="005E7888" w:rsidRDefault="00E47BEA" w:rsidP="00EF55A1">
      <w:pPr>
        <w:pStyle w:val="Heading2"/>
      </w:pPr>
      <w:r w:rsidRPr="005E7888">
        <w:t>Pyrexia and seriou</w:t>
      </w:r>
      <w:r w:rsidR="007F01F4" w:rsidRPr="005E7888">
        <w:t>s non-infectious febrile events</w:t>
      </w:r>
    </w:p>
    <w:p w:rsidR="00E47BEA" w:rsidRPr="005E7888" w:rsidRDefault="00E47BEA" w:rsidP="00EF55A1">
      <w:pPr>
        <w:pStyle w:val="ListParagraph"/>
      </w:pPr>
      <w:r w:rsidRPr="005E7888">
        <w:t xml:space="preserve">Fever </w:t>
      </w:r>
      <w:r w:rsidR="00A650BF">
        <w:t>has been</w:t>
      </w:r>
      <w:r w:rsidR="00A650BF" w:rsidRPr="005E7888">
        <w:t xml:space="preserve"> </w:t>
      </w:r>
      <w:r w:rsidRPr="005E7888">
        <w:t xml:space="preserve">reported in clinical trials. </w:t>
      </w:r>
      <w:r w:rsidR="00A650BF" w:rsidRPr="00A650BF">
        <w:t>In 1</w:t>
      </w:r>
      <w:r w:rsidR="00D25A0C">
        <w:t>%</w:t>
      </w:r>
      <w:r w:rsidR="00A650BF" w:rsidRPr="00A650BF">
        <w:t xml:space="preserve"> of</w:t>
      </w:r>
      <w:r w:rsidR="00A650BF">
        <w:t xml:space="preserve"> </w:t>
      </w:r>
      <w:r w:rsidR="00A650BF" w:rsidRPr="00A650BF">
        <w:t>patients in clinical trials, serious non-infectious</w:t>
      </w:r>
      <w:r w:rsidR="00A650BF">
        <w:t xml:space="preserve"> </w:t>
      </w:r>
      <w:r w:rsidR="00A650BF" w:rsidRPr="00A650BF">
        <w:t>febrile events were identified defined as fever</w:t>
      </w:r>
      <w:r w:rsidR="00A650BF">
        <w:t xml:space="preserve"> </w:t>
      </w:r>
      <w:r w:rsidR="00A650BF" w:rsidRPr="00A650BF">
        <w:t>accompanied by severe rigors, dehydration,</w:t>
      </w:r>
      <w:r w:rsidR="00A650BF">
        <w:t xml:space="preserve"> </w:t>
      </w:r>
      <w:r w:rsidR="00A650BF" w:rsidRPr="00A650BF">
        <w:t>hypotension and/or acute renal insufficiency</w:t>
      </w:r>
      <w:r w:rsidR="00A650BF">
        <w:t xml:space="preserve"> (See ADVERSE EFFECTS)</w:t>
      </w:r>
      <w:r w:rsidRPr="005E7888">
        <w:t xml:space="preserve">. The onset of these serious non-infectious febrile events was typically within the first month of therapy. </w:t>
      </w:r>
      <w:r w:rsidR="00A650BF">
        <w:t>Patients with s</w:t>
      </w:r>
      <w:r w:rsidRPr="005E7888">
        <w:t>erious non-infectious febrile events responded well to dose interruption and/or dose reduction and supportive care.</w:t>
      </w:r>
    </w:p>
    <w:p w:rsidR="00E47BEA" w:rsidRPr="005E7888" w:rsidRDefault="00E47BEA" w:rsidP="00EF55A1">
      <w:pPr>
        <w:pStyle w:val="ListParagraph"/>
      </w:pPr>
      <w:r w:rsidRPr="005E7888">
        <w:t xml:space="preserve">Therapy with </w:t>
      </w:r>
      <w:proofErr w:type="spellStart"/>
      <w:r w:rsidRPr="005E7888">
        <w:t>dabrafenib</w:t>
      </w:r>
      <w:proofErr w:type="spellEnd"/>
      <w:r w:rsidRPr="005E7888">
        <w:t xml:space="preserve"> should be interrupted if the patient’s temperature is ≥ 38.5ºC. Patients should be evaluated for signs and symptoms of infection. </w:t>
      </w:r>
      <w:r w:rsidR="005D1137">
        <w:rPr>
          <w:noProof/>
        </w:rPr>
        <w:t>T</w:t>
      </w:r>
      <w:r w:rsidR="005D1137" w:rsidRPr="005E7888">
        <w:rPr>
          <w:noProof/>
        </w:rPr>
        <w:t>AFINLAR</w:t>
      </w:r>
      <w:r w:rsidR="005D1137" w:rsidRPr="005E7888">
        <w:t xml:space="preserve"> </w:t>
      </w:r>
      <w:r w:rsidRPr="005E7888">
        <w:t xml:space="preserve">can be restarted once the fever resolves with appropriate prophylaxis using non-steroidal anti-inflammatory medicinal products or </w:t>
      </w:r>
      <w:r w:rsidR="00653B34">
        <w:t>paracetamol</w:t>
      </w:r>
      <w:r w:rsidRPr="005E7888">
        <w:t xml:space="preserve">. If fever is associated with other severe signs or symptoms, </w:t>
      </w:r>
      <w:r w:rsidR="005D1137">
        <w:rPr>
          <w:noProof/>
        </w:rPr>
        <w:t>T</w:t>
      </w:r>
      <w:r w:rsidR="005D1137" w:rsidRPr="005E7888">
        <w:rPr>
          <w:noProof/>
        </w:rPr>
        <w:t>AFINLAR</w:t>
      </w:r>
      <w:r w:rsidR="005D1137" w:rsidRPr="005E7888">
        <w:t xml:space="preserve"> </w:t>
      </w:r>
      <w:r w:rsidRPr="005E7888">
        <w:t>should be restarted at a reduced dose once fever resolves and as clinically appropriate.</w:t>
      </w:r>
    </w:p>
    <w:p w:rsidR="00E47BEA" w:rsidRPr="005E7888" w:rsidRDefault="00E47BEA" w:rsidP="00EF55A1">
      <w:pPr>
        <w:pStyle w:val="Heading2"/>
      </w:pPr>
      <w:proofErr w:type="spellStart"/>
      <w:r w:rsidRPr="005E7888">
        <w:t>Cutaneous</w:t>
      </w:r>
      <w:proofErr w:type="spellEnd"/>
      <w:r w:rsidRPr="005E7888">
        <w:t xml:space="preserve"> </w:t>
      </w:r>
      <w:proofErr w:type="spellStart"/>
      <w:r w:rsidRPr="005E7888">
        <w:t>Squamous</w:t>
      </w:r>
      <w:proofErr w:type="spellEnd"/>
      <w:r w:rsidRPr="005E7888">
        <w:t xml:space="preserve"> Cell Carcinoma (</w:t>
      </w:r>
      <w:proofErr w:type="spellStart"/>
      <w:r w:rsidRPr="005E7888">
        <w:t>cuSCC</w:t>
      </w:r>
      <w:proofErr w:type="spellEnd"/>
      <w:r w:rsidRPr="005E7888">
        <w:t>)</w:t>
      </w:r>
    </w:p>
    <w:p w:rsidR="00E47BEA" w:rsidRPr="005E7888" w:rsidRDefault="00E47BEA" w:rsidP="00EF55A1">
      <w:pPr>
        <w:pStyle w:val="ListParagraph"/>
      </w:pPr>
      <w:r w:rsidRPr="005E7888">
        <w:t xml:space="preserve">Cases of </w:t>
      </w:r>
      <w:proofErr w:type="spellStart"/>
      <w:r w:rsidRPr="005E7888">
        <w:t>cuSCC</w:t>
      </w:r>
      <w:proofErr w:type="spellEnd"/>
      <w:r w:rsidRPr="005E7888">
        <w:t xml:space="preserve"> (which include those classified as </w:t>
      </w:r>
      <w:proofErr w:type="spellStart"/>
      <w:r w:rsidRPr="005E7888">
        <w:t>keratoacanthoma</w:t>
      </w:r>
      <w:proofErr w:type="spellEnd"/>
      <w:r w:rsidRPr="005E7888">
        <w:t xml:space="preserve"> or mixed </w:t>
      </w:r>
      <w:proofErr w:type="spellStart"/>
      <w:r w:rsidRPr="005E7888">
        <w:t>keratoacanthoma</w:t>
      </w:r>
      <w:proofErr w:type="spellEnd"/>
      <w:r w:rsidRPr="005E7888">
        <w:t xml:space="preserve"> subtype) have been reported in patients treated with </w:t>
      </w:r>
      <w:r w:rsidR="005D1137">
        <w:rPr>
          <w:noProof/>
        </w:rPr>
        <w:t>T</w:t>
      </w:r>
      <w:r w:rsidR="005D1137" w:rsidRPr="005E7888">
        <w:rPr>
          <w:noProof/>
        </w:rPr>
        <w:t>AFINLAR</w:t>
      </w:r>
      <w:r w:rsidR="005D1137" w:rsidRPr="005E7888">
        <w:t xml:space="preserve"> </w:t>
      </w:r>
      <w:r w:rsidRPr="005E7888">
        <w:t xml:space="preserve">(see </w:t>
      </w:r>
      <w:r w:rsidR="003E212D" w:rsidRPr="003E212D">
        <w:t>ADVERSE EFFECTS</w:t>
      </w:r>
      <w:r w:rsidRPr="005E7888">
        <w:t xml:space="preserve">). </w:t>
      </w:r>
      <w:r w:rsidR="00697EF8" w:rsidRPr="00697EF8">
        <w:t>Approximately 70</w:t>
      </w:r>
      <w:r w:rsidR="00B212FD">
        <w:t>%</w:t>
      </w:r>
      <w:r w:rsidR="00697EF8" w:rsidRPr="00697EF8">
        <w:t xml:space="preserve"> of events occurred within the first 12 weeks of treatment with a median time to onset of 8 weeks. </w:t>
      </w:r>
      <w:r w:rsidR="00253DD7">
        <w:t>It is recommended that s</w:t>
      </w:r>
      <w:r w:rsidRPr="005E7888">
        <w:t xml:space="preserve">kin examination be performed prior to initiation of </w:t>
      </w:r>
      <w:r w:rsidR="005D1137">
        <w:rPr>
          <w:noProof/>
        </w:rPr>
        <w:t>T</w:t>
      </w:r>
      <w:r w:rsidR="005D1137" w:rsidRPr="005E7888">
        <w:rPr>
          <w:noProof/>
        </w:rPr>
        <w:t>AFINLAR</w:t>
      </w:r>
      <w:r w:rsidR="005D1137" w:rsidRPr="005E7888">
        <w:t xml:space="preserve"> </w:t>
      </w:r>
      <w:r w:rsidRPr="005E7888">
        <w:t xml:space="preserve">and </w:t>
      </w:r>
      <w:r w:rsidR="00253DD7" w:rsidRPr="005E7888">
        <w:t>every month</w:t>
      </w:r>
      <w:r w:rsidR="00253DD7" w:rsidRPr="005E7888" w:rsidDel="00253DD7">
        <w:t xml:space="preserve"> </w:t>
      </w:r>
      <w:r w:rsidR="00253DD7">
        <w:t xml:space="preserve">throughout </w:t>
      </w:r>
      <w:r w:rsidRPr="005E7888">
        <w:t xml:space="preserve">treatment with </w:t>
      </w:r>
      <w:r w:rsidR="005D1137">
        <w:rPr>
          <w:noProof/>
        </w:rPr>
        <w:t>T</w:t>
      </w:r>
      <w:r w:rsidR="005D1137" w:rsidRPr="005E7888">
        <w:rPr>
          <w:noProof/>
        </w:rPr>
        <w:t>AFINLAR</w:t>
      </w:r>
      <w:r w:rsidR="00FD075C">
        <w:rPr>
          <w:noProof/>
        </w:rPr>
        <w:t xml:space="preserve"> and</w:t>
      </w:r>
      <w:r w:rsidR="00AE49B1">
        <w:rPr>
          <w:noProof/>
        </w:rPr>
        <w:t xml:space="preserve"> for up to 6 months after treat</w:t>
      </w:r>
      <w:r w:rsidR="00FD075C">
        <w:rPr>
          <w:noProof/>
        </w:rPr>
        <w:t>ment for cuSCC</w:t>
      </w:r>
      <w:r w:rsidRPr="005E7888">
        <w:t xml:space="preserve">.  </w:t>
      </w:r>
      <w:r w:rsidR="00AE49B1" w:rsidRPr="00AE49B1">
        <w:t xml:space="preserve">Monitoring should continue for 6 months following discontinuation of </w:t>
      </w:r>
      <w:proofErr w:type="spellStart"/>
      <w:r w:rsidR="00AE49B1" w:rsidRPr="00AE49B1">
        <w:t>dabrafenib</w:t>
      </w:r>
      <w:proofErr w:type="spellEnd"/>
      <w:r w:rsidR="00AE49B1" w:rsidRPr="00AE49B1">
        <w:t xml:space="preserve"> or until initiation of another anti-</w:t>
      </w:r>
      <w:proofErr w:type="spellStart"/>
      <w:r w:rsidR="00AE49B1" w:rsidRPr="00AE49B1">
        <w:t>neoplastic</w:t>
      </w:r>
      <w:proofErr w:type="spellEnd"/>
      <w:r w:rsidR="00AE49B1" w:rsidRPr="00AE49B1">
        <w:t xml:space="preserve"> therapy.</w:t>
      </w:r>
      <w:r w:rsidRPr="005E7888">
        <w:t>.</w:t>
      </w:r>
    </w:p>
    <w:p w:rsidR="00E47BEA" w:rsidRPr="005E7888" w:rsidRDefault="00E47BEA" w:rsidP="00EF55A1">
      <w:pPr>
        <w:pStyle w:val="ListParagraph"/>
      </w:pPr>
      <w:r w:rsidRPr="005E7888">
        <w:t xml:space="preserve">Cases of </w:t>
      </w:r>
      <w:proofErr w:type="spellStart"/>
      <w:r w:rsidRPr="005E7888">
        <w:t>cuSCC</w:t>
      </w:r>
      <w:proofErr w:type="spellEnd"/>
      <w:r w:rsidRPr="005E7888">
        <w:t xml:space="preserve"> should be managed by dermatological excision and </w:t>
      </w:r>
      <w:r w:rsidR="005D1137">
        <w:rPr>
          <w:noProof/>
        </w:rPr>
        <w:t>T</w:t>
      </w:r>
      <w:r w:rsidR="005D1137" w:rsidRPr="005E7888">
        <w:rPr>
          <w:noProof/>
        </w:rPr>
        <w:t>AFINLAR</w:t>
      </w:r>
      <w:r w:rsidR="005D1137" w:rsidRPr="005E7888">
        <w:t xml:space="preserve"> </w:t>
      </w:r>
      <w:r w:rsidRPr="005E7888">
        <w:t>treatment should be continued without any dose adjustment. Patients should be instructed to immediately inform their physician if new lesions develop.</w:t>
      </w:r>
    </w:p>
    <w:p w:rsidR="00E47BEA" w:rsidRPr="00091CA9" w:rsidRDefault="00E47BEA" w:rsidP="00091CA9">
      <w:pPr>
        <w:pStyle w:val="Heading2"/>
      </w:pPr>
      <w:r w:rsidRPr="00091CA9">
        <w:t>New primary melanoma</w:t>
      </w:r>
    </w:p>
    <w:p w:rsidR="00E47BEA" w:rsidRPr="005E7888" w:rsidRDefault="00E47BEA" w:rsidP="00EF55A1">
      <w:pPr>
        <w:pStyle w:val="ListParagraph"/>
      </w:pPr>
      <w:r w:rsidRPr="005E7888">
        <w:t xml:space="preserve">New primary melanomas have been reported in </w:t>
      </w:r>
      <w:r w:rsidR="00253DD7">
        <w:t>clinical trials</w:t>
      </w:r>
      <w:r w:rsidRPr="005E7888">
        <w:t>. These were identified within the first 5 months of therapy</w:t>
      </w:r>
      <w:r w:rsidR="00253DD7">
        <w:t>, were managed with excision</w:t>
      </w:r>
      <w:r w:rsidRPr="005E7888">
        <w:t xml:space="preserve"> and did not require treatment modification. Monitoring for skin lesions should occur as described for </w:t>
      </w:r>
      <w:proofErr w:type="spellStart"/>
      <w:r w:rsidRPr="005E7888">
        <w:t>cuSCC</w:t>
      </w:r>
      <w:proofErr w:type="spellEnd"/>
      <w:r w:rsidRPr="005E7888">
        <w:t>.</w:t>
      </w:r>
    </w:p>
    <w:p w:rsidR="007F01F4" w:rsidRPr="005E7888" w:rsidRDefault="00E47BEA" w:rsidP="00EF55A1">
      <w:pPr>
        <w:pStyle w:val="Heading2"/>
      </w:pPr>
      <w:r w:rsidRPr="005E7888">
        <w:lastRenderedPageBreak/>
        <w:t>Non-</w:t>
      </w:r>
      <w:proofErr w:type="spellStart"/>
      <w:r w:rsidRPr="005E7888">
        <w:t>cutaneous</w:t>
      </w:r>
      <w:proofErr w:type="spellEnd"/>
      <w:r w:rsidRPr="005E7888">
        <w:t xml:space="preserve"> malignancy</w:t>
      </w:r>
    </w:p>
    <w:p w:rsidR="00E47BEA" w:rsidRPr="005E7888" w:rsidRDefault="00E47BEA" w:rsidP="00EF55A1">
      <w:pPr>
        <w:pStyle w:val="ListParagraph"/>
      </w:pPr>
      <w:r w:rsidRPr="005E7888">
        <w:t>In vitro experiments have demonstrated paradoxical activation of MAP-</w:t>
      </w:r>
      <w:proofErr w:type="spellStart"/>
      <w:r w:rsidRPr="005E7888">
        <w:t>kinase</w:t>
      </w:r>
      <w:proofErr w:type="spellEnd"/>
      <w:r w:rsidRPr="005E7888">
        <w:t xml:space="preserve"> signalling in BRAF wild type cells </w:t>
      </w:r>
      <w:r w:rsidR="005D1137">
        <w:t>with RAS mutations when</w:t>
      </w:r>
      <w:r w:rsidRPr="005E7888">
        <w:t xml:space="preserve"> exposed to BRAF inhibitors</w:t>
      </w:r>
      <w:r w:rsidR="00253DD7">
        <w:t>. This</w:t>
      </w:r>
      <w:r w:rsidRPr="005E7888">
        <w:t xml:space="preserve"> may lead to increased risk of non-</w:t>
      </w:r>
      <w:proofErr w:type="spellStart"/>
      <w:r w:rsidRPr="005E7888">
        <w:t>cutaneous</w:t>
      </w:r>
      <w:proofErr w:type="spellEnd"/>
      <w:r w:rsidRPr="005E7888">
        <w:t xml:space="preserve"> malignancies </w:t>
      </w:r>
      <w:r w:rsidR="00A650BF">
        <w:t xml:space="preserve">with TAFINLAR exposure, </w:t>
      </w:r>
      <w:r w:rsidR="00697EF8">
        <w:t xml:space="preserve">when </w:t>
      </w:r>
      <w:r w:rsidR="00A650BF">
        <w:t>RAS mutations</w:t>
      </w:r>
      <w:r w:rsidR="00697EF8">
        <w:t xml:space="preserve"> are present</w:t>
      </w:r>
      <w:r w:rsidRPr="005E7888">
        <w:t xml:space="preserve">. </w:t>
      </w:r>
      <w:r w:rsidR="005D1137">
        <w:t>Cases of RAS-</w:t>
      </w:r>
      <w:r w:rsidR="00697EF8">
        <w:t xml:space="preserve">associated </w:t>
      </w:r>
      <w:r w:rsidR="005D1137">
        <w:t xml:space="preserve">malignancies have been </w:t>
      </w:r>
      <w:r w:rsidR="00697EF8">
        <w:t xml:space="preserve">reported, both with another BRAF inhibitor </w:t>
      </w:r>
      <w:r w:rsidR="00697EF8" w:rsidRPr="00697EF8">
        <w:t xml:space="preserve">(Chronic </w:t>
      </w:r>
      <w:proofErr w:type="spellStart"/>
      <w:r w:rsidR="00697EF8" w:rsidRPr="00697EF8">
        <w:t>myelomonocytic</w:t>
      </w:r>
      <w:proofErr w:type="spellEnd"/>
      <w:r w:rsidR="00697EF8" w:rsidRPr="00697EF8">
        <w:t xml:space="preserve"> </w:t>
      </w:r>
      <w:proofErr w:type="spellStart"/>
      <w:r w:rsidR="00697EF8" w:rsidRPr="00697EF8">
        <w:t>leukemia</w:t>
      </w:r>
      <w:proofErr w:type="spellEnd"/>
      <w:r w:rsidR="00697EF8" w:rsidRPr="00697EF8">
        <w:t xml:space="preserve"> and non-</w:t>
      </w:r>
      <w:proofErr w:type="spellStart"/>
      <w:r w:rsidR="00697EF8" w:rsidRPr="00697EF8">
        <w:t>cutaneous</w:t>
      </w:r>
      <w:proofErr w:type="spellEnd"/>
      <w:r w:rsidR="00697EF8" w:rsidRPr="00697EF8">
        <w:t xml:space="preserve"> SCC of the head and neck) </w:t>
      </w:r>
      <w:r w:rsidR="00697EF8">
        <w:t xml:space="preserve">and </w:t>
      </w:r>
      <w:r w:rsidR="005D1137">
        <w:t xml:space="preserve">with </w:t>
      </w:r>
      <w:r w:rsidR="00A650BF">
        <w:t>TAFINLAR</w:t>
      </w:r>
      <w:r w:rsidR="00697EF8">
        <w:t xml:space="preserve"> when administered in combination with the MEK inhibitor</w:t>
      </w:r>
      <w:r w:rsidR="005B0493">
        <w:t xml:space="preserve"> </w:t>
      </w:r>
      <w:proofErr w:type="spellStart"/>
      <w:r w:rsidR="005B0493">
        <w:t>trametinib</w:t>
      </w:r>
      <w:proofErr w:type="spellEnd"/>
      <w:r w:rsidR="00697EF8">
        <w:t xml:space="preserve"> (colorectal cancer, pancreatic cancer)</w:t>
      </w:r>
      <w:r w:rsidR="005D1137">
        <w:t xml:space="preserve">. </w:t>
      </w:r>
      <w:r w:rsidRPr="005E7888">
        <w:t>Patients should be monitored as clinically appropriate</w:t>
      </w:r>
      <w:r w:rsidR="0081688D">
        <w:t xml:space="preserve"> for up to 6 months after discontinuation of TAFINLAR or </w:t>
      </w:r>
      <w:r w:rsidR="0081688D" w:rsidRPr="0081688D">
        <w:t>until initiation of another anti-</w:t>
      </w:r>
      <w:proofErr w:type="spellStart"/>
      <w:r w:rsidR="0081688D" w:rsidRPr="0081688D">
        <w:t>neoplastic</w:t>
      </w:r>
      <w:proofErr w:type="spellEnd"/>
      <w:r w:rsidR="0081688D" w:rsidRPr="0081688D">
        <w:t xml:space="preserve"> therapy</w:t>
      </w:r>
      <w:r w:rsidRPr="005E7888">
        <w:t>.</w:t>
      </w:r>
    </w:p>
    <w:p w:rsidR="007F01F4" w:rsidRPr="005E7888" w:rsidRDefault="007F01F4" w:rsidP="00EF55A1">
      <w:pPr>
        <w:pStyle w:val="Heading2"/>
      </w:pPr>
      <w:proofErr w:type="spellStart"/>
      <w:r w:rsidRPr="005E7888">
        <w:t>Uveitis</w:t>
      </w:r>
      <w:proofErr w:type="spellEnd"/>
    </w:p>
    <w:p w:rsidR="00E47BEA" w:rsidRPr="005E7888" w:rsidRDefault="00A650BF" w:rsidP="00EF55A1">
      <w:pPr>
        <w:pStyle w:val="ListParagraph"/>
      </w:pPr>
      <w:r w:rsidRPr="00A650BF">
        <w:t xml:space="preserve">Ophthalmologic reactions, including </w:t>
      </w:r>
      <w:proofErr w:type="spellStart"/>
      <w:r w:rsidRPr="00A650BF">
        <w:t>uveitis</w:t>
      </w:r>
      <w:proofErr w:type="spellEnd"/>
      <w:r w:rsidRPr="00A650BF">
        <w:t xml:space="preserve"> and </w:t>
      </w:r>
      <w:proofErr w:type="spellStart"/>
      <w:r w:rsidRPr="00A650BF">
        <w:t>iritis</w:t>
      </w:r>
      <w:proofErr w:type="spellEnd"/>
      <w:r w:rsidRPr="00A650BF">
        <w:t xml:space="preserve"> have been reported.</w:t>
      </w:r>
      <w:r w:rsidR="00E47BEA" w:rsidRPr="005E7888">
        <w:t xml:space="preserve">. </w:t>
      </w:r>
      <w:r>
        <w:t>P</w:t>
      </w:r>
      <w:r w:rsidR="00E47BEA" w:rsidRPr="005E7888">
        <w:t xml:space="preserve">atients </w:t>
      </w:r>
      <w:r>
        <w:t xml:space="preserve">should be routinely monitored </w:t>
      </w:r>
      <w:r w:rsidR="00E47BEA" w:rsidRPr="005E7888">
        <w:t>for visual signs and symptoms (such as, change in vision, photophobia and eye pain) during therapy.</w:t>
      </w:r>
    </w:p>
    <w:p w:rsidR="00A650BF" w:rsidRPr="00A650BF" w:rsidRDefault="00A650BF" w:rsidP="0049066C">
      <w:pPr>
        <w:pStyle w:val="Heading2"/>
      </w:pPr>
      <w:r w:rsidRPr="00A650BF">
        <w:t xml:space="preserve">Pancreatitis </w:t>
      </w:r>
    </w:p>
    <w:p w:rsidR="005D1137" w:rsidRPr="00A650BF" w:rsidRDefault="00A650BF" w:rsidP="0049066C">
      <w:pPr>
        <w:pStyle w:val="ListParagraph"/>
      </w:pPr>
      <w:r w:rsidRPr="00A650BF">
        <w:t>Pancreatitis has been reported in &lt; 1</w:t>
      </w:r>
      <w:r w:rsidR="00D25A0C">
        <w:t>%</w:t>
      </w:r>
      <w:r w:rsidRPr="00A650BF">
        <w:t xml:space="preserve"> of </w:t>
      </w:r>
      <w:proofErr w:type="spellStart"/>
      <w:r w:rsidRPr="00A650BF">
        <w:t>dabrafenib</w:t>
      </w:r>
      <w:proofErr w:type="spellEnd"/>
      <w:r w:rsidRPr="00A650BF">
        <w:t xml:space="preserve">-treated subjects. Unexplained abdominal pain should be promptly investigated to include measurement of serum amylase and lipase. Patients should be closely monitored when re-starting </w:t>
      </w:r>
      <w:proofErr w:type="spellStart"/>
      <w:r w:rsidRPr="00A650BF">
        <w:t>dabrafenib</w:t>
      </w:r>
      <w:proofErr w:type="spellEnd"/>
      <w:r w:rsidRPr="00A650BF">
        <w:t xml:space="preserve"> after an episode of pancreatitis.</w:t>
      </w:r>
    </w:p>
    <w:p w:rsidR="00B1292F" w:rsidRDefault="00B1292F" w:rsidP="00B1292F">
      <w:pPr>
        <w:pStyle w:val="Heading2"/>
      </w:pPr>
      <w:r>
        <w:t>Hyperglycaemia</w:t>
      </w:r>
    </w:p>
    <w:p w:rsidR="00B1292F" w:rsidRDefault="00B1292F" w:rsidP="0049066C">
      <w:pPr>
        <w:pStyle w:val="ListParagraph"/>
      </w:pPr>
      <w:r w:rsidRPr="00B1292F">
        <w:t xml:space="preserve">Hyperglycaemia requiring an increase in the dose of, or initiation of insulin or oral hypoglycaemic 68 agent therapy can occur with TAFINLAR. In the pivotal study, five of 12 patients with a history of diabetes required more intensive hypoglycaemic therapy while taking TAFINLAR. The incidence of Grade 3 hyperglycaemia based on laboratory values was 6% (12/187) in patients treated with TAFINLAR compared to none of the </w:t>
      </w:r>
      <w:proofErr w:type="spellStart"/>
      <w:r w:rsidRPr="00B1292F">
        <w:t>dacarbazine</w:t>
      </w:r>
      <w:proofErr w:type="spellEnd"/>
      <w:r w:rsidRPr="00B1292F">
        <w:t>-treated patients. Monitor serum glucose levels as clinically appropriate during treatment with TAFINLAR in patients with pre-existing diabetes or hyperglycaemia. Advise patients to report symptoms of severe hyperglycaemia such as excessive thirst or any increase in the volume or frequency of urination.</w:t>
      </w:r>
    </w:p>
    <w:p w:rsidR="0081688D" w:rsidRPr="001B2BCA" w:rsidRDefault="0081688D" w:rsidP="001B2BCA">
      <w:pPr>
        <w:pStyle w:val="Heading2"/>
      </w:pPr>
      <w:r w:rsidRPr="001B2BCA">
        <w:t>Renal failure</w:t>
      </w:r>
    </w:p>
    <w:p w:rsidR="0081688D" w:rsidRPr="00A650BF" w:rsidRDefault="0081688D" w:rsidP="0081688D">
      <w:pPr>
        <w:pStyle w:val="ListParagraph"/>
      </w:pPr>
      <w:r>
        <w:t>Renal failure has been identified in &lt;1</w:t>
      </w:r>
      <w:r w:rsidR="00B212FD">
        <w:t>%</w:t>
      </w:r>
      <w:r>
        <w:t xml:space="preserve"> of patients treated with TAFINLAR. Observed cases were generally associated with pyrexia and dehydration and responded well to dose interruption and general supportive measures. </w:t>
      </w:r>
      <w:proofErr w:type="spellStart"/>
      <w:r>
        <w:t>Granulomatous</w:t>
      </w:r>
      <w:proofErr w:type="spellEnd"/>
      <w:r>
        <w:t xml:space="preserve"> nephritis has been reported. Patients should be routinely monitored for serum </w:t>
      </w:r>
      <w:proofErr w:type="spellStart"/>
      <w:r>
        <w:t>creatinine</w:t>
      </w:r>
      <w:proofErr w:type="spellEnd"/>
      <w:r>
        <w:t xml:space="preserve"> while on therapy. If </w:t>
      </w:r>
      <w:proofErr w:type="spellStart"/>
      <w:r>
        <w:t>creatinine</w:t>
      </w:r>
      <w:proofErr w:type="spellEnd"/>
      <w:r>
        <w:t xml:space="preserve"> increases, </w:t>
      </w:r>
      <w:proofErr w:type="spellStart"/>
      <w:r>
        <w:t>dabrafenib</w:t>
      </w:r>
      <w:proofErr w:type="spellEnd"/>
      <w:r>
        <w:t xml:space="preserve"> may need to be interrupted as clinically appropriate. </w:t>
      </w:r>
      <w:proofErr w:type="spellStart"/>
      <w:r>
        <w:t>Dabrafenib</w:t>
      </w:r>
      <w:proofErr w:type="spellEnd"/>
      <w:r>
        <w:t xml:space="preserve"> has not been studied in patients with renal insufficiency (defined as </w:t>
      </w:r>
      <w:proofErr w:type="spellStart"/>
      <w:r>
        <w:t>creatinine</w:t>
      </w:r>
      <w:proofErr w:type="spellEnd"/>
      <w:r>
        <w:t xml:space="preserve"> &gt;1.5 x ULN) therefore caution should be used in this setting.</w:t>
      </w:r>
    </w:p>
    <w:p w:rsidR="00C63332" w:rsidRPr="005E7888" w:rsidRDefault="00242B97" w:rsidP="0049066C">
      <w:pPr>
        <w:pStyle w:val="Heading2"/>
      </w:pPr>
      <w:r w:rsidRPr="005E7888">
        <w:t xml:space="preserve">Effects on </w:t>
      </w:r>
      <w:r w:rsidR="00C63332" w:rsidRPr="005E7888">
        <w:t>Fertility</w:t>
      </w:r>
    </w:p>
    <w:p w:rsidR="006C1643" w:rsidRPr="005E7888" w:rsidRDefault="006C1643" w:rsidP="0049066C">
      <w:pPr>
        <w:pStyle w:val="ListParagraph"/>
        <w:rPr>
          <w:rFonts w:eastAsia="MS Mincho"/>
        </w:rPr>
      </w:pPr>
      <w:r w:rsidRPr="005E7888">
        <w:t xml:space="preserve">There are no data in humans. </w:t>
      </w:r>
      <w:proofErr w:type="spellStart"/>
      <w:r w:rsidR="00A112EC" w:rsidRPr="00A112EC">
        <w:t>Dabrafenib</w:t>
      </w:r>
      <w:proofErr w:type="spellEnd"/>
      <w:r w:rsidR="00A112EC" w:rsidRPr="00A112EC">
        <w:t xml:space="preserve"> may impair male and female fertility as</w:t>
      </w:r>
      <w:r w:rsidR="00A112EC">
        <w:t xml:space="preserve"> a</w:t>
      </w:r>
      <w:r w:rsidRPr="005E7888">
        <w:t xml:space="preserve">dverse effects on male </w:t>
      </w:r>
      <w:r w:rsidR="00A112EC">
        <w:t xml:space="preserve">and female </w:t>
      </w:r>
      <w:r w:rsidRPr="005E7888">
        <w:t xml:space="preserve">reproductive organs have been seen in animals. </w:t>
      </w:r>
      <w:r w:rsidRPr="005E7888">
        <w:rPr>
          <w:rFonts w:eastAsia="MS Mincho"/>
        </w:rPr>
        <w:t>Male patients should be informed of the potential risk for impaired spermatogenesis, which may be irreversible.</w:t>
      </w:r>
    </w:p>
    <w:p w:rsidR="006C1643" w:rsidRPr="007F01C3" w:rsidRDefault="006C1643" w:rsidP="00A70A0A">
      <w:pPr>
        <w:pStyle w:val="ListParagraph"/>
      </w:pPr>
      <w:r w:rsidRPr="007F01C3">
        <w:t xml:space="preserve">In combined female fertility, early embryonic and </w:t>
      </w:r>
      <w:proofErr w:type="spellStart"/>
      <w:r w:rsidRPr="007F01C3">
        <w:t>embryofetal</w:t>
      </w:r>
      <w:proofErr w:type="spellEnd"/>
      <w:r w:rsidRPr="007F01C3">
        <w:t xml:space="preserve"> development studies in rats numbers of ovarian corpora </w:t>
      </w:r>
      <w:proofErr w:type="spellStart"/>
      <w:r w:rsidRPr="007F01C3">
        <w:t>lutea</w:t>
      </w:r>
      <w:proofErr w:type="spellEnd"/>
      <w:r w:rsidRPr="007F01C3">
        <w:t xml:space="preserve"> were reduced in pregnant females at 300 mg/kg/day (approximately 3 times human clinical exposure based on AUC), but there were no effects on </w:t>
      </w:r>
      <w:proofErr w:type="spellStart"/>
      <w:r w:rsidRPr="007F01C3">
        <w:t>estrous</w:t>
      </w:r>
      <w:proofErr w:type="spellEnd"/>
      <w:r w:rsidRPr="007F01C3">
        <w:t xml:space="preserve"> cycle, mating or fertility.</w:t>
      </w:r>
    </w:p>
    <w:p w:rsidR="006C1643" w:rsidRPr="00B94D46" w:rsidRDefault="006C1643" w:rsidP="00B94D46">
      <w:pPr>
        <w:pStyle w:val="ListParagraph"/>
      </w:pPr>
      <w:r w:rsidRPr="007F01C3">
        <w:lastRenderedPageBreak/>
        <w:t xml:space="preserve">Male fertility studies with </w:t>
      </w:r>
      <w:proofErr w:type="spellStart"/>
      <w:r w:rsidRPr="007F01C3">
        <w:t>dabrafenib</w:t>
      </w:r>
      <w:proofErr w:type="spellEnd"/>
      <w:r w:rsidRPr="007F01C3">
        <w:t xml:space="preserve"> have not been conducted. However, in repeat dose studies, testicular degeneration/depletion </w:t>
      </w:r>
      <w:r w:rsidR="00B1292F">
        <w:t xml:space="preserve">or </w:t>
      </w:r>
      <w:proofErr w:type="spellStart"/>
      <w:r w:rsidR="00B1292F">
        <w:t>spermatid</w:t>
      </w:r>
      <w:proofErr w:type="spellEnd"/>
      <w:r w:rsidR="00B1292F">
        <w:t xml:space="preserve"> retention</w:t>
      </w:r>
      <w:r w:rsidRPr="007F01C3">
        <w:t xml:space="preserve"> was seen in </w:t>
      </w:r>
      <w:r w:rsidR="00B1292F">
        <w:t xml:space="preserve">mice, </w:t>
      </w:r>
      <w:r w:rsidRPr="007F01C3">
        <w:t>rats and dogs (≥ 0.2 times the human clinical exposure based on AUC). Testicular changes in rat</w:t>
      </w:r>
      <w:r w:rsidR="00B1292F">
        <w:t>s</w:t>
      </w:r>
      <w:r w:rsidRPr="007F01C3">
        <w:t xml:space="preserve"> and dog</w:t>
      </w:r>
      <w:r w:rsidR="00B1292F">
        <w:t>s</w:t>
      </w:r>
      <w:r w:rsidRPr="007F01C3">
        <w:t xml:space="preserve"> were still present following a 4-week recovery period.</w:t>
      </w:r>
    </w:p>
    <w:p w:rsidR="00F96F90" w:rsidRDefault="00242B97" w:rsidP="00B94D46">
      <w:pPr>
        <w:pStyle w:val="Heading2"/>
      </w:pPr>
      <w:r w:rsidRPr="00254BEF">
        <w:t xml:space="preserve">Use in </w:t>
      </w:r>
      <w:r w:rsidR="00C63332" w:rsidRPr="00254BEF">
        <w:t>Pregnancy</w:t>
      </w:r>
      <w:r w:rsidRPr="00254BEF">
        <w:t xml:space="preserve"> (Category</w:t>
      </w:r>
      <w:r w:rsidR="004F640B" w:rsidRPr="00254BEF">
        <w:t xml:space="preserve"> </w:t>
      </w:r>
      <w:r w:rsidR="002771DC" w:rsidRPr="00254BEF">
        <w:t>D</w:t>
      </w:r>
      <w:r w:rsidRPr="00254BEF">
        <w:t>)</w:t>
      </w:r>
    </w:p>
    <w:p w:rsidR="006C1643" w:rsidRPr="00BF1F9D" w:rsidRDefault="006C1643" w:rsidP="0049066C">
      <w:pPr>
        <w:pStyle w:val="ListParagraph"/>
      </w:pPr>
      <w:r w:rsidRPr="00BF1F9D">
        <w:t xml:space="preserve">There are no adequate and well-controlled studies of </w:t>
      </w:r>
      <w:r w:rsidR="005D1137">
        <w:t>T</w:t>
      </w:r>
      <w:r w:rsidR="005D1137" w:rsidRPr="00BF1F9D">
        <w:t xml:space="preserve">AFINLAR </w:t>
      </w:r>
      <w:r w:rsidRPr="00BF1F9D">
        <w:t xml:space="preserve">in pregnant women. Animal studies have shown </w:t>
      </w:r>
      <w:proofErr w:type="spellStart"/>
      <w:r w:rsidR="00B1292F">
        <w:t>embryofetal</w:t>
      </w:r>
      <w:proofErr w:type="spellEnd"/>
      <w:r w:rsidR="00B1292F">
        <w:t xml:space="preserve"> development</w:t>
      </w:r>
      <w:r w:rsidR="00481F60" w:rsidRPr="00481F60">
        <w:t xml:space="preserve"> toxicit</w:t>
      </w:r>
      <w:r w:rsidR="00B1292F">
        <w:t>y</w:t>
      </w:r>
      <w:r w:rsidR="00481F60" w:rsidRPr="00481F60">
        <w:t xml:space="preserve">, including </w:t>
      </w:r>
      <w:proofErr w:type="spellStart"/>
      <w:r w:rsidR="00481F60" w:rsidRPr="00481F60">
        <w:t>teratogenic</w:t>
      </w:r>
      <w:proofErr w:type="spellEnd"/>
      <w:r w:rsidR="00481F60" w:rsidRPr="00481F60">
        <w:t xml:space="preserve"> effects.</w:t>
      </w:r>
      <w:r w:rsidR="00B1292F">
        <w:t xml:space="preserve"> </w:t>
      </w:r>
      <w:r w:rsidR="00B1292F" w:rsidRPr="00B1292F">
        <w:t xml:space="preserve">In adult female rats dosed with </w:t>
      </w:r>
      <w:proofErr w:type="spellStart"/>
      <w:r w:rsidR="00B1292F" w:rsidRPr="00B1292F">
        <w:t>dabrafenib</w:t>
      </w:r>
      <w:proofErr w:type="spellEnd"/>
      <w:r w:rsidR="00B1292F" w:rsidRPr="00B1292F">
        <w:t xml:space="preserve"> before mating and during gestation </w:t>
      </w:r>
      <w:proofErr w:type="spellStart"/>
      <w:r w:rsidR="00B1292F" w:rsidRPr="00B1292F">
        <w:t>embryofetal</w:t>
      </w:r>
      <w:proofErr w:type="spellEnd"/>
      <w:r w:rsidR="00B1292F" w:rsidRPr="00B1292F">
        <w:t xml:space="preserve"> toxicities included embryo-lethality and </w:t>
      </w:r>
      <w:proofErr w:type="spellStart"/>
      <w:r w:rsidR="00B1292F" w:rsidRPr="00B1292F">
        <w:t>fetal</w:t>
      </w:r>
      <w:proofErr w:type="spellEnd"/>
      <w:r w:rsidR="00B1292F" w:rsidRPr="00B1292F">
        <w:t xml:space="preserve"> ventricular </w:t>
      </w:r>
      <w:proofErr w:type="spellStart"/>
      <w:r w:rsidR="00B1292F" w:rsidRPr="00B1292F">
        <w:t>septal</w:t>
      </w:r>
      <w:proofErr w:type="spellEnd"/>
      <w:r w:rsidR="00B1292F" w:rsidRPr="00B1292F">
        <w:t xml:space="preserve"> defects at 300 mg/kg/day, and delayed skeletal development and reduced </w:t>
      </w:r>
      <w:proofErr w:type="spellStart"/>
      <w:r w:rsidR="00B1292F" w:rsidRPr="00B1292F">
        <w:t>fetal</w:t>
      </w:r>
      <w:proofErr w:type="spellEnd"/>
      <w:r w:rsidR="00B1292F" w:rsidRPr="00B1292F">
        <w:t xml:space="preserve"> body weight at ≥ 20 mg/kg/day (≥ 0.5 times human clinical exposure based on AUC)</w:t>
      </w:r>
      <w:r w:rsidR="00481F60" w:rsidRPr="00481F60">
        <w:t xml:space="preserve"> </w:t>
      </w:r>
      <w:r w:rsidR="00481F60">
        <w:t>TAFINLAR</w:t>
      </w:r>
      <w:r w:rsidR="00481F60" w:rsidRPr="00481F60">
        <w:t xml:space="preserve"> should not be administered to pregnant women unless the potential benefit to the mother outweighs the possible risk to the foetus. If the patient becomes pregnant while taking </w:t>
      </w:r>
      <w:r w:rsidR="00481F60">
        <w:t>TAFINLAR</w:t>
      </w:r>
      <w:r w:rsidR="00481F60" w:rsidRPr="00481F60">
        <w:t xml:space="preserve">, the patient should be informed of the potential hazard to the </w:t>
      </w:r>
      <w:proofErr w:type="spellStart"/>
      <w:r w:rsidR="00481F60" w:rsidRPr="00481F60">
        <w:t>fetus</w:t>
      </w:r>
      <w:proofErr w:type="spellEnd"/>
      <w:r w:rsidR="00481F60" w:rsidRPr="00481F60">
        <w:t>.</w:t>
      </w:r>
    </w:p>
    <w:p w:rsidR="00C63332" w:rsidRPr="00BF1F9D" w:rsidRDefault="00242B97" w:rsidP="00B94D46">
      <w:pPr>
        <w:pStyle w:val="Heading2"/>
      </w:pPr>
      <w:r w:rsidRPr="00BF1F9D">
        <w:t xml:space="preserve">Use in </w:t>
      </w:r>
      <w:r w:rsidR="00C63332" w:rsidRPr="00BF1F9D">
        <w:t>Lactation</w:t>
      </w:r>
    </w:p>
    <w:p w:rsidR="00162AA0" w:rsidRPr="00254BEF" w:rsidRDefault="007D4E4A" w:rsidP="0049066C">
      <w:pPr>
        <w:pStyle w:val="ListParagraph"/>
        <w:rPr>
          <w:b/>
        </w:rPr>
      </w:pPr>
      <w:r w:rsidRPr="00BF1F9D">
        <w:t xml:space="preserve">It is not known whether </w:t>
      </w:r>
      <w:r w:rsidR="005D1137">
        <w:t>T</w:t>
      </w:r>
      <w:r w:rsidR="005D1137" w:rsidRPr="00BF1F9D">
        <w:t xml:space="preserve">AFINLAR </w:t>
      </w:r>
      <w:r w:rsidRPr="00BF1F9D">
        <w:t xml:space="preserve">is excreted in human milk. Because many medicinal products are excreted in human milk, a risk to the suckling child cannot be excluded. A decision should be made whether to discontinue breastfeeding or discontinue </w:t>
      </w:r>
      <w:r w:rsidR="005D1137">
        <w:t>T</w:t>
      </w:r>
      <w:r w:rsidR="005D1137" w:rsidRPr="00BF1F9D">
        <w:t>AFINLAR</w:t>
      </w:r>
      <w:r w:rsidRPr="00BF1F9D">
        <w:t xml:space="preserve">, </w:t>
      </w:r>
      <w:r w:rsidR="00736F6C" w:rsidRPr="00736F6C">
        <w:t>taking into account the benefit of breastfeeding for the child and the benefit of therapy for the woman.</w:t>
      </w:r>
    </w:p>
    <w:p w:rsidR="00242B97" w:rsidRPr="00254BEF" w:rsidRDefault="00242B97" w:rsidP="0049066C">
      <w:pPr>
        <w:pStyle w:val="Heading2"/>
      </w:pPr>
      <w:r w:rsidRPr="00254BEF">
        <w:t>Paediatric Use</w:t>
      </w:r>
    </w:p>
    <w:p w:rsidR="00066E44" w:rsidRPr="00254BEF" w:rsidRDefault="00066E44" w:rsidP="0049066C">
      <w:pPr>
        <w:pStyle w:val="ListParagraph"/>
      </w:pPr>
      <w:r w:rsidRPr="00254BEF">
        <w:t xml:space="preserve">The safety and efficacy of </w:t>
      </w:r>
      <w:r w:rsidR="005D1137">
        <w:t>T</w:t>
      </w:r>
      <w:r w:rsidR="005D1137" w:rsidRPr="00254BEF">
        <w:t xml:space="preserve">AFINLAR </w:t>
      </w:r>
      <w:r w:rsidRPr="00254BEF">
        <w:t>has not been yet established in children and adolescents (&lt; 18 years).</w:t>
      </w:r>
      <w:r w:rsidR="00A112EC">
        <w:t xml:space="preserve"> </w:t>
      </w:r>
      <w:r w:rsidR="00A112EC" w:rsidRPr="00A112EC">
        <w:t xml:space="preserve">In juvenile toxicity studies in rats, effects on growth (shorter long bone length), renal toxicity (tubular deposits, increased incidence of cortical cysts and tubular </w:t>
      </w:r>
      <w:proofErr w:type="spellStart"/>
      <w:r w:rsidR="00A112EC" w:rsidRPr="00A112EC">
        <w:t>basophilia</w:t>
      </w:r>
      <w:proofErr w:type="spellEnd"/>
      <w:r w:rsidR="00A112EC" w:rsidRPr="00A112EC">
        <w:t xml:space="preserve"> and reversible increases in urea and/or </w:t>
      </w:r>
      <w:proofErr w:type="spellStart"/>
      <w:r w:rsidR="00A112EC" w:rsidRPr="00A112EC">
        <w:t>creatinine</w:t>
      </w:r>
      <w:proofErr w:type="spellEnd"/>
      <w:r w:rsidR="00A112EC" w:rsidRPr="00A112EC">
        <w:t xml:space="preserve"> concentrations), testicular toxicity (degeneration and tubular dilation) and earlier vaginal opening (with no associated effects on ovarian weights or morphologic changes in female reproductive tissues) were observed.</w:t>
      </w:r>
    </w:p>
    <w:p w:rsidR="00242B97" w:rsidRPr="00254BEF" w:rsidRDefault="00242B97" w:rsidP="00B94D46">
      <w:pPr>
        <w:pStyle w:val="Heading2"/>
      </w:pPr>
      <w:r w:rsidRPr="00DB20C0">
        <w:t xml:space="preserve">Use in </w:t>
      </w:r>
      <w:r w:rsidR="00A93928" w:rsidRPr="00DB20C0">
        <w:t xml:space="preserve">the </w:t>
      </w:r>
      <w:r w:rsidRPr="00DB20C0">
        <w:t>Elderly</w:t>
      </w:r>
    </w:p>
    <w:p w:rsidR="00BA5AA5" w:rsidRPr="00B94D46" w:rsidRDefault="00C73C07" w:rsidP="00B94D46">
      <w:pPr>
        <w:pStyle w:val="ListParagraph"/>
      </w:pPr>
      <w:r w:rsidRPr="00254BEF">
        <w:t>No dose adjustment is required in patients over 65 years (see</w:t>
      </w:r>
      <w:r w:rsidR="003A0356">
        <w:t xml:space="preserve"> DOSAGE AND ADMINISTRATION and </w:t>
      </w:r>
      <w:r w:rsidRPr="00254BEF">
        <w:t xml:space="preserve"> </w:t>
      </w:r>
      <w:r w:rsidR="003E212D" w:rsidRPr="00254BEF">
        <w:t>PHARMACOKINETICS</w:t>
      </w:r>
      <w:r w:rsidRPr="00254BEF">
        <w:t>)</w:t>
      </w:r>
      <w:r w:rsidR="00697EF8">
        <w:t>.</w:t>
      </w:r>
      <w:r w:rsidR="00697EF8" w:rsidRPr="00697EF8">
        <w:t xml:space="preserve"> Compared with younger subjects (&lt; 65), more subjects </w:t>
      </w:r>
      <w:r w:rsidR="00697EF8">
        <w:t>over</w:t>
      </w:r>
      <w:r w:rsidR="00697EF8" w:rsidRPr="00697EF8">
        <w:t xml:space="preserve"> 65 years old had adverse reactions that led to study drug dose reductions (22</w:t>
      </w:r>
      <w:r w:rsidR="00B212FD">
        <w:t>%</w:t>
      </w:r>
      <w:r w:rsidR="00697EF8" w:rsidRPr="00697EF8">
        <w:t xml:space="preserve"> versus 12</w:t>
      </w:r>
      <w:r w:rsidR="00B212FD">
        <w:t>%</w:t>
      </w:r>
      <w:r w:rsidR="00697EF8" w:rsidRPr="00697EF8">
        <w:t>) or interruptions (39</w:t>
      </w:r>
      <w:r w:rsidR="00B212FD">
        <w:t>%</w:t>
      </w:r>
      <w:r w:rsidR="00697EF8" w:rsidRPr="00697EF8">
        <w:t xml:space="preserve"> versus 27</w:t>
      </w:r>
      <w:r w:rsidR="00B212FD">
        <w:t>%</w:t>
      </w:r>
      <w:r w:rsidR="00697EF8" w:rsidRPr="00697EF8">
        <w:t>). In addition, older patients experienced more serious adverse reactions compared to younger patients (41</w:t>
      </w:r>
      <w:r w:rsidR="00B212FD">
        <w:t>%</w:t>
      </w:r>
      <w:r w:rsidR="00697EF8" w:rsidRPr="00697EF8">
        <w:t xml:space="preserve"> versus 22</w:t>
      </w:r>
      <w:r w:rsidR="00B212FD">
        <w:t>%</w:t>
      </w:r>
      <w:r w:rsidR="00697EF8" w:rsidRPr="00697EF8">
        <w:t>). No overall differences in efficacy were observed between these subjects and younger subjects.</w:t>
      </w:r>
      <w:r w:rsidR="00697EF8">
        <w:t xml:space="preserve"> </w:t>
      </w:r>
    </w:p>
    <w:p w:rsidR="00E81E59" w:rsidRPr="00254BEF" w:rsidRDefault="00E81E59" w:rsidP="00B94D46">
      <w:pPr>
        <w:pStyle w:val="Heading2"/>
      </w:pPr>
      <w:proofErr w:type="spellStart"/>
      <w:r w:rsidRPr="00254BEF">
        <w:t>Genotoxicity</w:t>
      </w:r>
      <w:proofErr w:type="spellEnd"/>
    </w:p>
    <w:p w:rsidR="002771DC" w:rsidRPr="00254BEF" w:rsidRDefault="002771DC" w:rsidP="0049066C">
      <w:pPr>
        <w:pStyle w:val="ListParagraph"/>
      </w:pPr>
      <w:proofErr w:type="spellStart"/>
      <w:r w:rsidRPr="00254BEF">
        <w:t>Dabrafenib</w:t>
      </w:r>
      <w:proofErr w:type="spellEnd"/>
      <w:r w:rsidRPr="00254BEF">
        <w:t xml:space="preserve"> was not mutagenic or </w:t>
      </w:r>
      <w:proofErr w:type="spellStart"/>
      <w:r w:rsidRPr="00254BEF">
        <w:t>clastogenic</w:t>
      </w:r>
      <w:proofErr w:type="spellEnd"/>
      <w:r w:rsidRPr="00254BEF">
        <w:t xml:space="preserve"> using </w:t>
      </w:r>
      <w:r w:rsidRPr="00A70A0A">
        <w:rPr>
          <w:i/>
        </w:rPr>
        <w:t>in vitro</w:t>
      </w:r>
      <w:r w:rsidRPr="00254BEF">
        <w:t xml:space="preserve"> tests in bacteria and cultured mammalian cells, and an </w:t>
      </w:r>
      <w:r w:rsidRPr="00A70A0A">
        <w:rPr>
          <w:i/>
        </w:rPr>
        <w:t>in vivo</w:t>
      </w:r>
      <w:r w:rsidRPr="00254BEF">
        <w:t xml:space="preserve"> rodent micronucleus assay.</w:t>
      </w:r>
    </w:p>
    <w:p w:rsidR="00242B97" w:rsidRPr="00254BEF" w:rsidRDefault="00242B97" w:rsidP="00B94D46">
      <w:pPr>
        <w:pStyle w:val="Heading2"/>
      </w:pPr>
      <w:r w:rsidRPr="00254BEF">
        <w:t>Carcinogenicity</w:t>
      </w:r>
    </w:p>
    <w:p w:rsidR="002771DC" w:rsidRPr="00A70A0A" w:rsidRDefault="002771DC" w:rsidP="00A70A0A">
      <w:pPr>
        <w:pStyle w:val="ListParagraph"/>
      </w:pPr>
      <w:r w:rsidRPr="00254BEF">
        <w:t xml:space="preserve">Carcinogenicity studies with </w:t>
      </w:r>
      <w:proofErr w:type="spellStart"/>
      <w:r w:rsidRPr="00254BEF">
        <w:t>dabrafenib</w:t>
      </w:r>
      <w:proofErr w:type="spellEnd"/>
      <w:r w:rsidRPr="00254BEF">
        <w:t xml:space="preserve"> have not been conducted. </w:t>
      </w:r>
      <w:r w:rsidR="00023418" w:rsidRPr="00023418">
        <w:t xml:space="preserve">An increase in </w:t>
      </w:r>
      <w:proofErr w:type="spellStart"/>
      <w:r w:rsidR="00023418" w:rsidRPr="00023418">
        <w:t>cutaneous</w:t>
      </w:r>
      <w:proofErr w:type="spellEnd"/>
      <w:r w:rsidR="00023418" w:rsidRPr="00023418">
        <w:t xml:space="preserve"> malignancies has been observed with BRAF inhibitors with preliminary evidence suggesting this occurs in patients harbouring other MAPK pathway mutations, including RAS, in skin</w:t>
      </w:r>
      <w:r w:rsidR="00697EF8">
        <w:t xml:space="preserve"> (see PRECAUTIONS for </w:t>
      </w:r>
      <w:proofErr w:type="spellStart"/>
      <w:r w:rsidR="00697EF8">
        <w:t>cuSCC</w:t>
      </w:r>
      <w:proofErr w:type="spellEnd"/>
      <w:r w:rsidR="00697EF8">
        <w:t>, new</w:t>
      </w:r>
      <w:r w:rsidR="00FE626C">
        <w:t xml:space="preserve"> </w:t>
      </w:r>
      <w:r w:rsidR="00697EF8">
        <w:t>primary melanoma and n</w:t>
      </w:r>
      <w:r w:rsidR="00697EF8" w:rsidRPr="00697EF8">
        <w:t>on-</w:t>
      </w:r>
      <w:proofErr w:type="spellStart"/>
      <w:r w:rsidR="00697EF8" w:rsidRPr="00697EF8">
        <w:t>cutaneous</w:t>
      </w:r>
      <w:proofErr w:type="spellEnd"/>
      <w:r w:rsidR="00697EF8" w:rsidRPr="00697EF8">
        <w:t xml:space="preserve"> malignancy</w:t>
      </w:r>
      <w:r w:rsidR="00697EF8">
        <w:t xml:space="preserve"> )</w:t>
      </w:r>
      <w:r w:rsidR="00023418" w:rsidRPr="00023418">
        <w:t>.</w:t>
      </w:r>
    </w:p>
    <w:p w:rsidR="007D4E4A" w:rsidRPr="00BF1F9D" w:rsidRDefault="007D4E4A" w:rsidP="00091CA9">
      <w:pPr>
        <w:pStyle w:val="Heading2"/>
      </w:pPr>
      <w:r w:rsidRPr="00BF1F9D">
        <w:lastRenderedPageBreak/>
        <w:t>Ability to perform tasks that require judgement, motor or cognitive skills</w:t>
      </w:r>
    </w:p>
    <w:p w:rsidR="007D4E4A" w:rsidRPr="007D4E4A" w:rsidRDefault="007D4E4A" w:rsidP="0049066C">
      <w:pPr>
        <w:pStyle w:val="ListParagraph"/>
      </w:pPr>
      <w:r w:rsidRPr="00BF1F9D">
        <w:t xml:space="preserve">There have been no studies to investigate the effect of </w:t>
      </w:r>
      <w:proofErr w:type="spellStart"/>
      <w:r w:rsidRPr="00BF1F9D">
        <w:t>dabrafenib</w:t>
      </w:r>
      <w:proofErr w:type="spellEnd"/>
      <w:r w:rsidRPr="00BF1F9D">
        <w:t xml:space="preserve"> on driving performance or the ability to operate machinery. A detrimental effect on such activities would not be anticipated from the pharmacology of </w:t>
      </w:r>
      <w:proofErr w:type="spellStart"/>
      <w:r w:rsidRPr="00BF1F9D">
        <w:t>dabrafenib</w:t>
      </w:r>
      <w:proofErr w:type="spellEnd"/>
      <w:r w:rsidRPr="00BF1F9D">
        <w:t xml:space="preserve">. The clinical status of the patient and the adverse event profile of </w:t>
      </w:r>
      <w:proofErr w:type="spellStart"/>
      <w:r w:rsidRPr="00BF1F9D">
        <w:t>dabrafenib</w:t>
      </w:r>
      <w:proofErr w:type="spellEnd"/>
      <w:r w:rsidRPr="00BF1F9D">
        <w:t xml:space="preserve"> should be borne in mind when considering the patient’s ability to perform tasks that require judgment, motor and cognitive skills.</w:t>
      </w:r>
    </w:p>
    <w:p w:rsidR="00E8070F" w:rsidRPr="00254BEF" w:rsidRDefault="00E8070F" w:rsidP="0049066C">
      <w:pPr>
        <w:pStyle w:val="ListParagraph"/>
      </w:pPr>
    </w:p>
    <w:p w:rsidR="00E81E59" w:rsidRPr="00254BEF" w:rsidRDefault="00E81E59" w:rsidP="0070730F">
      <w:pPr>
        <w:pStyle w:val="Heading1"/>
      </w:pPr>
      <w:r w:rsidRPr="00254BEF">
        <w:t xml:space="preserve">INTERACTIONS WITH </w:t>
      </w:r>
      <w:r w:rsidR="004F640B" w:rsidRPr="00254BEF">
        <w:t>OTHER MEDICINES</w:t>
      </w:r>
    </w:p>
    <w:p w:rsidR="009051B8" w:rsidRPr="00254BEF" w:rsidRDefault="009051B8" w:rsidP="0049066C">
      <w:pPr>
        <w:pStyle w:val="Heading2"/>
      </w:pPr>
      <w:r w:rsidRPr="00254BEF">
        <w:t xml:space="preserve">Effect of Other </w:t>
      </w:r>
      <w:r w:rsidR="00397520">
        <w:t>Medicines</w:t>
      </w:r>
      <w:r w:rsidRPr="00254BEF">
        <w:t xml:space="preserve"> on </w:t>
      </w:r>
      <w:r w:rsidR="005D1137">
        <w:t>TAFINLAR</w:t>
      </w:r>
      <w:r w:rsidRPr="00254BEF">
        <w:t xml:space="preserve"> </w:t>
      </w:r>
    </w:p>
    <w:p w:rsidR="00694F9B" w:rsidRDefault="00726E86" w:rsidP="00726E86">
      <w:pPr>
        <w:pStyle w:val="ListParagraph"/>
      </w:pPr>
      <w:proofErr w:type="spellStart"/>
      <w:r>
        <w:t>D</w:t>
      </w:r>
      <w:r w:rsidR="00694F9B" w:rsidRPr="00254BEF">
        <w:t>abrafenib</w:t>
      </w:r>
      <w:proofErr w:type="spellEnd"/>
      <w:r w:rsidR="00694F9B" w:rsidRPr="00254BEF">
        <w:t xml:space="preserve"> </w:t>
      </w:r>
      <w:r>
        <w:t xml:space="preserve">is a substrate of </w:t>
      </w:r>
      <w:r w:rsidR="00694F9B" w:rsidRPr="00254BEF">
        <w:t>CYP2C8 and CYP3A4</w:t>
      </w:r>
      <w:r w:rsidR="00561EE1">
        <w:t xml:space="preserve">, </w:t>
      </w:r>
      <w:r w:rsidR="00694F9B" w:rsidRPr="00254BEF">
        <w:t xml:space="preserve"> </w:t>
      </w:r>
      <w:r w:rsidR="00561EE1" w:rsidRPr="00561EE1">
        <w:t xml:space="preserve">while </w:t>
      </w:r>
      <w:proofErr w:type="spellStart"/>
      <w:r w:rsidR="00561EE1" w:rsidRPr="00561EE1">
        <w:t>hydroxy-dabrafenib</w:t>
      </w:r>
      <w:proofErr w:type="spellEnd"/>
      <w:r w:rsidR="00561EE1" w:rsidRPr="00561EE1">
        <w:t xml:space="preserve"> and </w:t>
      </w:r>
      <w:proofErr w:type="spellStart"/>
      <w:r w:rsidR="00561EE1" w:rsidRPr="00561EE1">
        <w:t>desmethyl-dabrafenib</w:t>
      </w:r>
      <w:proofErr w:type="spellEnd"/>
      <w:r w:rsidR="00561EE1" w:rsidRPr="00561EE1">
        <w:t xml:space="preserve"> are CYP3A4 substrates. </w:t>
      </w:r>
      <w:r w:rsidR="00694F9B" w:rsidRPr="00254BEF">
        <w:t xml:space="preserve">Co-administration of </w:t>
      </w:r>
      <w:proofErr w:type="spellStart"/>
      <w:r w:rsidR="00694F9B" w:rsidRPr="00254BEF">
        <w:t>ketoconazole</w:t>
      </w:r>
      <w:proofErr w:type="spellEnd"/>
      <w:r w:rsidR="00694F9B" w:rsidRPr="00254BEF">
        <w:t xml:space="preserve"> (CYP3A4 inhibitor) </w:t>
      </w:r>
      <w:r w:rsidR="00E47C91" w:rsidRPr="00E47C91">
        <w:t xml:space="preserve">and </w:t>
      </w:r>
      <w:proofErr w:type="spellStart"/>
      <w:r w:rsidR="00E47C91" w:rsidRPr="00E47C91">
        <w:t>gemfibrozil</w:t>
      </w:r>
      <w:proofErr w:type="spellEnd"/>
      <w:r w:rsidR="00E47C91" w:rsidRPr="00E47C91">
        <w:t xml:space="preserve"> (CYP2C8 inhibitor) </w:t>
      </w:r>
      <w:r w:rsidR="00694F9B" w:rsidRPr="00254BEF">
        <w:t xml:space="preserve">increased the AUC of </w:t>
      </w:r>
      <w:proofErr w:type="spellStart"/>
      <w:r w:rsidR="00694F9B" w:rsidRPr="00254BEF">
        <w:t>dabrafenib</w:t>
      </w:r>
      <w:proofErr w:type="spellEnd"/>
      <w:r w:rsidR="00694F9B" w:rsidRPr="00254BEF">
        <w:t xml:space="preserve"> by </w:t>
      </w:r>
      <w:r w:rsidR="00E47C91">
        <w:t>71</w:t>
      </w:r>
      <w:r w:rsidR="00E47C91" w:rsidRPr="00E47C91">
        <w:t xml:space="preserve"> and 47%, respectively</w:t>
      </w:r>
      <w:r w:rsidR="00694F9B" w:rsidRPr="00254BEF">
        <w:t xml:space="preserve">. </w:t>
      </w:r>
      <w:r w:rsidR="00561EE1" w:rsidRPr="00561EE1">
        <w:t xml:space="preserve">Pharmacokinetic data </w:t>
      </w:r>
      <w:r w:rsidR="00561EE1">
        <w:t>showed</w:t>
      </w:r>
      <w:r w:rsidR="00561EE1" w:rsidRPr="00561EE1">
        <w:t xml:space="preserve"> increases in </w:t>
      </w:r>
      <w:proofErr w:type="spellStart"/>
      <w:r w:rsidR="00561EE1" w:rsidRPr="00561EE1">
        <w:t>hydroxy</w:t>
      </w:r>
      <w:proofErr w:type="spellEnd"/>
      <w:r w:rsidR="00561EE1" w:rsidRPr="00561EE1">
        <w:t xml:space="preserve">- and </w:t>
      </w:r>
      <w:proofErr w:type="spellStart"/>
      <w:r w:rsidR="00561EE1" w:rsidRPr="00561EE1">
        <w:t>desmethyl-dabrafenib</w:t>
      </w:r>
      <w:proofErr w:type="spellEnd"/>
      <w:r w:rsidR="00561EE1" w:rsidRPr="00561EE1">
        <w:t xml:space="preserve"> AUC </w:t>
      </w:r>
      <w:r w:rsidR="00561EE1">
        <w:t xml:space="preserve">with </w:t>
      </w:r>
      <w:proofErr w:type="spellStart"/>
      <w:r w:rsidR="00561EE1">
        <w:t>ketokonazole</w:t>
      </w:r>
      <w:proofErr w:type="spellEnd"/>
      <w:r w:rsidR="00561EE1">
        <w:t xml:space="preserve"> </w:t>
      </w:r>
      <w:r w:rsidR="00561EE1" w:rsidRPr="00561EE1">
        <w:t>(increases of 82 and 68% respectively</w:t>
      </w:r>
      <w:r w:rsidR="00561EE1">
        <w:t xml:space="preserve"> while a </w:t>
      </w:r>
      <w:r w:rsidR="00561EE1" w:rsidRPr="00561EE1">
        <w:t xml:space="preserve">decrease in AUC was noted for </w:t>
      </w:r>
      <w:proofErr w:type="spellStart"/>
      <w:r w:rsidR="00561EE1" w:rsidRPr="00561EE1">
        <w:t>carboxy-dabrafenib</w:t>
      </w:r>
      <w:proofErr w:type="spellEnd"/>
      <w:r w:rsidR="00561EE1" w:rsidRPr="00561EE1">
        <w:t xml:space="preserve"> (decrease of 16%).</w:t>
      </w:r>
      <w:r w:rsidR="00561EE1">
        <w:t xml:space="preserve"> No </w:t>
      </w:r>
      <w:r w:rsidR="00561EE1" w:rsidRPr="00561EE1">
        <w:t xml:space="preserve">clinically relevant changes </w:t>
      </w:r>
      <w:r w:rsidR="00561EE1">
        <w:t xml:space="preserve">were noted </w:t>
      </w:r>
      <w:r w:rsidR="00561EE1" w:rsidRPr="00561EE1">
        <w:t>in the AUC of the metabolites</w:t>
      </w:r>
      <w:r w:rsidR="00561EE1">
        <w:t xml:space="preserve"> during co-administration with </w:t>
      </w:r>
      <w:proofErr w:type="spellStart"/>
      <w:r w:rsidR="00561EE1">
        <w:t>gemfibrozil</w:t>
      </w:r>
      <w:proofErr w:type="spellEnd"/>
      <w:r w:rsidR="00561EE1">
        <w:t xml:space="preserve">. </w:t>
      </w:r>
      <w:r w:rsidR="00694F9B" w:rsidRPr="00254BEF">
        <w:t xml:space="preserve">Medicinal products that </w:t>
      </w:r>
      <w:r w:rsidR="00694F9B" w:rsidRPr="00BF1F9D">
        <w:t xml:space="preserve">are strong inhibitors or inducers of CYP2C8 or CYP3A4 </w:t>
      </w:r>
      <w:r w:rsidR="007F01F4" w:rsidRPr="00BF1F9D">
        <w:t xml:space="preserve">are likely to </w:t>
      </w:r>
      <w:r w:rsidR="00694F9B" w:rsidRPr="00BF1F9D">
        <w:t xml:space="preserve">increase or decrease, respectively, </w:t>
      </w:r>
      <w:proofErr w:type="spellStart"/>
      <w:r w:rsidR="00694F9B" w:rsidRPr="00BF1F9D">
        <w:t>dabrafenib</w:t>
      </w:r>
      <w:proofErr w:type="spellEnd"/>
      <w:r w:rsidR="00694F9B" w:rsidRPr="00BF1F9D">
        <w:t xml:space="preserve"> concentrations. Alternative agents should be considered during administration with </w:t>
      </w:r>
      <w:proofErr w:type="spellStart"/>
      <w:r w:rsidR="00694F9B" w:rsidRPr="00BF1F9D">
        <w:t>dabrafenib</w:t>
      </w:r>
      <w:proofErr w:type="spellEnd"/>
      <w:r w:rsidR="00694F9B" w:rsidRPr="00BF1F9D">
        <w:t xml:space="preserve"> when possible. Use caution if strong inhibitors (e.g. </w:t>
      </w:r>
      <w:proofErr w:type="spellStart"/>
      <w:r w:rsidR="00694F9B" w:rsidRPr="00BF1F9D">
        <w:t>ketoconazole</w:t>
      </w:r>
      <w:proofErr w:type="spellEnd"/>
      <w:r w:rsidR="00694F9B" w:rsidRPr="00BF1F9D">
        <w:t xml:space="preserve">, </w:t>
      </w:r>
      <w:proofErr w:type="spellStart"/>
      <w:r w:rsidR="00694F9B" w:rsidRPr="00BF1F9D">
        <w:t>nefazodone</w:t>
      </w:r>
      <w:proofErr w:type="spellEnd"/>
      <w:r w:rsidR="00694F9B" w:rsidRPr="00BF1F9D">
        <w:t xml:space="preserve">, </w:t>
      </w:r>
      <w:proofErr w:type="spellStart"/>
      <w:r w:rsidR="00694F9B" w:rsidRPr="00BF1F9D">
        <w:t>clarithromycin</w:t>
      </w:r>
      <w:proofErr w:type="spellEnd"/>
      <w:r w:rsidR="00694F9B" w:rsidRPr="00BF1F9D">
        <w:t xml:space="preserve">, </w:t>
      </w:r>
      <w:proofErr w:type="spellStart"/>
      <w:r w:rsidR="007F01F4" w:rsidRPr="00BF1F9D">
        <w:t>ritonavir</w:t>
      </w:r>
      <w:proofErr w:type="spellEnd"/>
      <w:r w:rsidR="00DE0839">
        <w:t xml:space="preserve">, </w:t>
      </w:r>
      <w:proofErr w:type="spellStart"/>
      <w:r w:rsidR="00DE0839" w:rsidRPr="00DE0839">
        <w:t>saquinavir</w:t>
      </w:r>
      <w:proofErr w:type="spellEnd"/>
      <w:r w:rsidR="00DE0839" w:rsidRPr="00DE0839">
        <w:t xml:space="preserve">, </w:t>
      </w:r>
      <w:proofErr w:type="spellStart"/>
      <w:r w:rsidR="00DE0839" w:rsidRPr="00DE0839">
        <w:t>telithromycin</w:t>
      </w:r>
      <w:proofErr w:type="spellEnd"/>
      <w:r w:rsidR="00DE0839" w:rsidRPr="00DE0839">
        <w:t xml:space="preserve">, </w:t>
      </w:r>
      <w:proofErr w:type="spellStart"/>
      <w:r w:rsidR="00DE0839" w:rsidRPr="00DE0839">
        <w:t>itraconazole</w:t>
      </w:r>
      <w:proofErr w:type="spellEnd"/>
      <w:r w:rsidR="00DE0839" w:rsidRPr="00DE0839">
        <w:t xml:space="preserve">, </w:t>
      </w:r>
      <w:proofErr w:type="spellStart"/>
      <w:r w:rsidR="00DE0839" w:rsidRPr="00DE0839">
        <w:t>voriconazole</w:t>
      </w:r>
      <w:proofErr w:type="spellEnd"/>
      <w:r w:rsidR="00DE0839" w:rsidRPr="00DE0839">
        <w:t xml:space="preserve">, </w:t>
      </w:r>
      <w:proofErr w:type="spellStart"/>
      <w:r w:rsidR="00DE0839" w:rsidRPr="00DE0839">
        <w:t>posaconazole</w:t>
      </w:r>
      <w:proofErr w:type="spellEnd"/>
      <w:r w:rsidR="00DE0839" w:rsidRPr="00DE0839">
        <w:t xml:space="preserve">, </w:t>
      </w:r>
      <w:proofErr w:type="spellStart"/>
      <w:r w:rsidR="00DE0839" w:rsidRPr="00DE0839">
        <w:t>atazanavir</w:t>
      </w:r>
      <w:proofErr w:type="spellEnd"/>
      <w:r w:rsidR="00694F9B" w:rsidRPr="00BF1F9D">
        <w:t xml:space="preserve">) </w:t>
      </w:r>
      <w:r w:rsidR="00694F9B" w:rsidRPr="00254BEF">
        <w:t xml:space="preserve">are </w:t>
      </w:r>
      <w:proofErr w:type="spellStart"/>
      <w:r w:rsidR="00694F9B" w:rsidRPr="00254BEF">
        <w:t>coadministered</w:t>
      </w:r>
      <w:proofErr w:type="spellEnd"/>
      <w:r w:rsidR="00694F9B" w:rsidRPr="00254BEF">
        <w:t xml:space="preserve"> with </w:t>
      </w:r>
      <w:proofErr w:type="spellStart"/>
      <w:r w:rsidR="00694F9B" w:rsidRPr="00254BEF">
        <w:t>dabrafenib</w:t>
      </w:r>
      <w:proofErr w:type="spellEnd"/>
      <w:r w:rsidR="00694F9B" w:rsidRPr="00254BEF">
        <w:t>.</w:t>
      </w:r>
      <w:r w:rsidR="00B1292F">
        <w:t xml:space="preserve"> </w:t>
      </w:r>
      <w:r w:rsidR="00DE0839">
        <w:t xml:space="preserve">Avoid </w:t>
      </w:r>
      <w:proofErr w:type="spellStart"/>
      <w:r w:rsidR="00DE0839">
        <w:t>coadministration</w:t>
      </w:r>
      <w:proofErr w:type="spellEnd"/>
      <w:r w:rsidR="00DE0839">
        <w:t xml:space="preserve"> of TAFINLAR with potent</w:t>
      </w:r>
      <w:r w:rsidR="00DE0839" w:rsidRPr="00DE0839">
        <w:t xml:space="preserve"> </w:t>
      </w:r>
      <w:r w:rsidR="00DE0839" w:rsidRPr="00BF1F9D">
        <w:t xml:space="preserve">inducers </w:t>
      </w:r>
      <w:r w:rsidRPr="00254BEF">
        <w:t>of CYP2C8 or CYP3A4</w:t>
      </w:r>
      <w:r>
        <w:t xml:space="preserve"> </w:t>
      </w:r>
      <w:r w:rsidR="00DE0839" w:rsidRPr="00BF1F9D">
        <w:t xml:space="preserve">(e.g. </w:t>
      </w:r>
      <w:proofErr w:type="spellStart"/>
      <w:r w:rsidR="00DE0839" w:rsidRPr="00BF1F9D">
        <w:t>rifampin</w:t>
      </w:r>
      <w:proofErr w:type="spellEnd"/>
      <w:r w:rsidR="00DE0839" w:rsidRPr="00BF1F9D">
        <w:t xml:space="preserve">, </w:t>
      </w:r>
      <w:proofErr w:type="spellStart"/>
      <w:r w:rsidR="00DE0839" w:rsidRPr="00BF1F9D">
        <w:t>phenytoin</w:t>
      </w:r>
      <w:proofErr w:type="spellEnd"/>
      <w:r w:rsidR="00DE0839" w:rsidRPr="00BF1F9D">
        <w:t>,</w:t>
      </w:r>
      <w:r w:rsidR="00DE0839" w:rsidRPr="00254BEF">
        <w:t xml:space="preserve"> </w:t>
      </w:r>
      <w:proofErr w:type="spellStart"/>
      <w:r w:rsidR="00DE0839" w:rsidRPr="00254BEF">
        <w:t>carbamazepine</w:t>
      </w:r>
      <w:proofErr w:type="spellEnd"/>
      <w:r w:rsidR="00DE0839" w:rsidRPr="00254BEF">
        <w:t xml:space="preserve">, </w:t>
      </w:r>
      <w:proofErr w:type="spellStart"/>
      <w:r>
        <w:t>phenobarbital</w:t>
      </w:r>
      <w:proofErr w:type="spellEnd"/>
      <w:r w:rsidR="00DE0839">
        <w:t xml:space="preserve">, St. John’s </w:t>
      </w:r>
      <w:proofErr w:type="spellStart"/>
      <w:r w:rsidR="00DE0839">
        <w:t>wort</w:t>
      </w:r>
      <w:proofErr w:type="spellEnd"/>
      <w:r>
        <w:t xml:space="preserve"> (</w:t>
      </w:r>
      <w:proofErr w:type="spellStart"/>
      <w:r w:rsidRPr="00726E86">
        <w:t>Hypericum</w:t>
      </w:r>
      <w:proofErr w:type="spellEnd"/>
      <w:r w:rsidRPr="00726E86">
        <w:t xml:space="preserve"> </w:t>
      </w:r>
      <w:proofErr w:type="spellStart"/>
      <w:r w:rsidRPr="00726E86">
        <w:t>perforatum</w:t>
      </w:r>
      <w:proofErr w:type="spellEnd"/>
      <w:r w:rsidRPr="00726E86">
        <w:t>)</w:t>
      </w:r>
      <w:r w:rsidR="00DE0839" w:rsidRPr="00254BEF">
        <w:t>)</w:t>
      </w:r>
      <w:r>
        <w:t>.</w:t>
      </w:r>
      <w:r w:rsidR="00DE0839" w:rsidRPr="00254BEF">
        <w:t xml:space="preserve"> </w:t>
      </w:r>
    </w:p>
    <w:p w:rsidR="00561EE1" w:rsidRPr="00254BEF" w:rsidRDefault="00561EE1" w:rsidP="00561EE1">
      <w:pPr>
        <w:pStyle w:val="ListParagraph"/>
      </w:pPr>
      <w:proofErr w:type="spellStart"/>
      <w:r>
        <w:t>Dabrafenib</w:t>
      </w:r>
      <w:proofErr w:type="spellEnd"/>
      <w:r>
        <w:t xml:space="preserve"> solubility is pH-dependent with decreased solubility at higher </w:t>
      </w:r>
      <w:proofErr w:type="spellStart"/>
      <w:r>
        <w:t>pH.</w:t>
      </w:r>
      <w:proofErr w:type="spellEnd"/>
      <w:r>
        <w:t xml:space="preserve"> Medicinal products such as proton pump inhibitors that inhibit gastric acid secretion to elevate gastric pH may decrease the solubility of </w:t>
      </w:r>
      <w:proofErr w:type="spellStart"/>
      <w:r>
        <w:t>dabrafenib</w:t>
      </w:r>
      <w:proofErr w:type="spellEnd"/>
      <w:r>
        <w:t xml:space="preserve"> and reduce its bioavailability. No clinical study has been conducted to evaluate the effect of pH on </w:t>
      </w:r>
      <w:proofErr w:type="spellStart"/>
      <w:r>
        <w:t>dabrafenib</w:t>
      </w:r>
      <w:proofErr w:type="spellEnd"/>
      <w:r>
        <w:t xml:space="preserve"> pharmacokinetics. Due to the theoretical risk that pH-elevating agents may decrease oral bioavailability and exposure to </w:t>
      </w:r>
      <w:proofErr w:type="spellStart"/>
      <w:r>
        <w:t>dabrafenib</w:t>
      </w:r>
      <w:proofErr w:type="spellEnd"/>
      <w:r>
        <w:t xml:space="preserve">, these medicinal products that increase gastric pH should be used with caution when administered with </w:t>
      </w:r>
      <w:proofErr w:type="spellStart"/>
      <w:r>
        <w:t>dabrafenib</w:t>
      </w:r>
      <w:proofErr w:type="spellEnd"/>
      <w:r>
        <w:t>.</w:t>
      </w:r>
    </w:p>
    <w:p w:rsidR="009051B8" w:rsidRPr="00254BEF" w:rsidRDefault="009051B8" w:rsidP="00B94D46">
      <w:pPr>
        <w:pStyle w:val="Heading2"/>
      </w:pPr>
      <w:r w:rsidRPr="00254BEF">
        <w:t xml:space="preserve">Effect of </w:t>
      </w:r>
      <w:r w:rsidR="005D1137">
        <w:t>TAFINLAR</w:t>
      </w:r>
      <w:r w:rsidRPr="00254BEF">
        <w:t xml:space="preserve"> on Other </w:t>
      </w:r>
      <w:r w:rsidR="00397520">
        <w:t>Medicines</w:t>
      </w:r>
    </w:p>
    <w:p w:rsidR="00694F9B" w:rsidRPr="00177398" w:rsidRDefault="00694F9B" w:rsidP="0049066C">
      <w:pPr>
        <w:pStyle w:val="ListParagraph"/>
        <w:rPr>
          <w:lang w:val="en-GB"/>
        </w:rPr>
      </w:pPr>
      <w:proofErr w:type="spellStart"/>
      <w:r w:rsidRPr="00254BEF">
        <w:t>Dabrafenib</w:t>
      </w:r>
      <w:proofErr w:type="spellEnd"/>
      <w:r w:rsidRPr="00254BEF">
        <w:t xml:space="preserve"> induces CYP3A4-</w:t>
      </w:r>
      <w:r w:rsidR="00E47C91" w:rsidRPr="00E47C91">
        <w:t xml:space="preserve"> and CYP2C9-</w:t>
      </w:r>
      <w:r w:rsidRPr="00254BEF">
        <w:t>mediated metabolism and may induce other enzymes including CYP2B6, CYP2C8, CYP2C19</w:t>
      </w:r>
      <w:r w:rsidR="005D1137">
        <w:t xml:space="preserve">, UDP </w:t>
      </w:r>
      <w:proofErr w:type="spellStart"/>
      <w:r w:rsidR="005D1137">
        <w:t>glucuronosyl</w:t>
      </w:r>
      <w:proofErr w:type="spellEnd"/>
      <w:r w:rsidR="005D1137">
        <w:t xml:space="preserve"> </w:t>
      </w:r>
      <w:proofErr w:type="spellStart"/>
      <w:r w:rsidR="005D1137">
        <w:t>transferase</w:t>
      </w:r>
      <w:proofErr w:type="spellEnd"/>
      <w:r w:rsidR="005D1137">
        <w:t xml:space="preserve"> (UGT) and transporters</w:t>
      </w:r>
      <w:r w:rsidRPr="00254BEF">
        <w:t xml:space="preserve">. </w:t>
      </w:r>
      <w:r w:rsidR="00726E86">
        <w:t xml:space="preserve">The single dose </w:t>
      </w:r>
      <w:r w:rsidRPr="00254BEF">
        <w:t xml:space="preserve">AUC of </w:t>
      </w:r>
      <w:proofErr w:type="spellStart"/>
      <w:r w:rsidRPr="00254BEF">
        <w:t>midazolam</w:t>
      </w:r>
      <w:proofErr w:type="spellEnd"/>
      <w:r w:rsidRPr="00254BEF">
        <w:t xml:space="preserve"> (CYP3A4 substrate) </w:t>
      </w:r>
      <w:r w:rsidR="00E47C91" w:rsidRPr="00E47C91">
        <w:t>and S-</w:t>
      </w:r>
      <w:proofErr w:type="spellStart"/>
      <w:r w:rsidR="00E47C91" w:rsidRPr="00E47C91">
        <w:t>warfarin</w:t>
      </w:r>
      <w:proofErr w:type="spellEnd"/>
      <w:r w:rsidR="00E47C91" w:rsidRPr="00E47C91">
        <w:t xml:space="preserve"> (CYP2C9 substrate)</w:t>
      </w:r>
      <w:r w:rsidR="00E47C91">
        <w:t xml:space="preserve"> </w:t>
      </w:r>
      <w:r w:rsidR="00726E86" w:rsidRPr="00254BEF">
        <w:t>w</w:t>
      </w:r>
      <w:r w:rsidR="00726E86">
        <w:t>as</w:t>
      </w:r>
      <w:r w:rsidR="00726E86" w:rsidRPr="00254BEF">
        <w:t xml:space="preserve"> </w:t>
      </w:r>
      <w:r w:rsidRPr="00254BEF">
        <w:t xml:space="preserve">decreased </w:t>
      </w:r>
      <w:r w:rsidR="00726E86" w:rsidRPr="00726E86">
        <w:t>by 74 and 37%, respectively</w:t>
      </w:r>
      <w:r w:rsidR="00177398">
        <w:t xml:space="preserve"> </w:t>
      </w:r>
      <w:r w:rsidRPr="00254BEF">
        <w:t xml:space="preserve">with co-administration of </w:t>
      </w:r>
      <w:proofErr w:type="spellStart"/>
      <w:r w:rsidRPr="00254BEF">
        <w:t>dabrafenib</w:t>
      </w:r>
      <w:proofErr w:type="spellEnd"/>
      <w:r w:rsidRPr="00254BEF">
        <w:t xml:space="preserve">.  Co-administration of </w:t>
      </w:r>
      <w:proofErr w:type="spellStart"/>
      <w:r w:rsidRPr="00254BEF">
        <w:t>dabrafenib</w:t>
      </w:r>
      <w:proofErr w:type="spellEnd"/>
      <w:r w:rsidRPr="00254BEF">
        <w:t xml:space="preserve"> and medicinal products which are affected by the induction of these enzymes </w:t>
      </w:r>
      <w:r w:rsidR="00726E86" w:rsidRPr="00726E86">
        <w:t xml:space="preserve">or transporters </w:t>
      </w:r>
      <w:r w:rsidRPr="00254BEF">
        <w:t xml:space="preserve">such as </w:t>
      </w:r>
      <w:r w:rsidR="00E03E39" w:rsidRPr="00BF1F9D">
        <w:t xml:space="preserve">hormonal </w:t>
      </w:r>
      <w:r w:rsidRPr="00BF1F9D">
        <w:t xml:space="preserve">contraceptives (see </w:t>
      </w:r>
      <w:r w:rsidR="003E212D" w:rsidRPr="003E212D">
        <w:t>PRECAUTIONS -PREGNANCY AND LACTATION</w:t>
      </w:r>
      <w:r w:rsidRPr="00E03E39">
        <w:rPr>
          <w:i/>
        </w:rPr>
        <w:t>)</w:t>
      </w:r>
      <w:r w:rsidRPr="00254BEF">
        <w:t xml:space="preserve">, </w:t>
      </w:r>
      <w:proofErr w:type="spellStart"/>
      <w:r w:rsidRPr="00254BEF">
        <w:t>dexamethasone</w:t>
      </w:r>
      <w:proofErr w:type="spellEnd"/>
      <w:r w:rsidR="005D1137">
        <w:t xml:space="preserve">, </w:t>
      </w:r>
      <w:r w:rsidR="00B1292F">
        <w:t>a</w:t>
      </w:r>
      <w:r w:rsidR="005D1137">
        <w:t>nt</w:t>
      </w:r>
      <w:r w:rsidR="00B1292F">
        <w:t>i</w:t>
      </w:r>
      <w:r w:rsidR="005D1137">
        <w:t xml:space="preserve">retroviral agents, or </w:t>
      </w:r>
      <w:proofErr w:type="spellStart"/>
      <w:r w:rsidR="005D1137">
        <w:t>immunosup</w:t>
      </w:r>
      <w:r w:rsidR="00B1292F">
        <w:t>p</w:t>
      </w:r>
      <w:r w:rsidR="005D1137">
        <w:t>ressants</w:t>
      </w:r>
      <w:proofErr w:type="spellEnd"/>
      <w:r w:rsidRPr="00254BEF">
        <w:t xml:space="preserve"> may result in decreased concentrations and loss of efficacy. </w:t>
      </w:r>
      <w:r w:rsidR="00726E86" w:rsidRPr="00726E86">
        <w:rPr>
          <w:color w:val="000000"/>
        </w:rPr>
        <w:t xml:space="preserve"> </w:t>
      </w:r>
      <w:r w:rsidR="00726E86" w:rsidRPr="00177398">
        <w:rPr>
          <w:lang w:val="en-GB"/>
        </w:rPr>
        <w:t xml:space="preserve">Concomitant use of </w:t>
      </w:r>
      <w:proofErr w:type="spellStart"/>
      <w:r w:rsidR="00726E86" w:rsidRPr="00177398">
        <w:rPr>
          <w:lang w:val="en-GB"/>
        </w:rPr>
        <w:t>dabrafenib</w:t>
      </w:r>
      <w:proofErr w:type="spellEnd"/>
      <w:r w:rsidR="00726E86" w:rsidRPr="00177398">
        <w:rPr>
          <w:lang w:val="en-GB"/>
        </w:rPr>
        <w:t xml:space="preserve"> with these medicinal products should generally be avoided if monitoring for efficacy and dose adjustment is not possible.  </w:t>
      </w:r>
    </w:p>
    <w:p w:rsidR="00005F48" w:rsidRDefault="00DE0839" w:rsidP="00005F48">
      <w:pPr>
        <w:pStyle w:val="ListParagraph"/>
        <w:rPr>
          <w:lang w:val="en-GB"/>
        </w:rPr>
      </w:pPr>
      <w:r w:rsidRPr="00DE0839">
        <w:rPr>
          <w:lang w:val="en-GB"/>
        </w:rPr>
        <w:t xml:space="preserve">Onset of induction is likely to occur after 3 days of repeat dosing with </w:t>
      </w:r>
      <w:proofErr w:type="spellStart"/>
      <w:r w:rsidRPr="00DE0839">
        <w:rPr>
          <w:lang w:val="en-GB"/>
        </w:rPr>
        <w:t>dabrafenib</w:t>
      </w:r>
      <w:proofErr w:type="spellEnd"/>
      <w:r w:rsidRPr="00DE0839">
        <w:rPr>
          <w:lang w:val="en-GB"/>
        </w:rPr>
        <w:t xml:space="preserve">. Transient inhibition of CYP3A4 may be observed during the first few days of treatment. Upon discontinuation of </w:t>
      </w:r>
      <w:proofErr w:type="spellStart"/>
      <w:r w:rsidRPr="00DE0839">
        <w:rPr>
          <w:lang w:val="en-GB"/>
        </w:rPr>
        <w:t>dabrafenib</w:t>
      </w:r>
      <w:proofErr w:type="spellEnd"/>
      <w:r w:rsidRPr="00DE0839">
        <w:rPr>
          <w:lang w:val="en-GB"/>
        </w:rPr>
        <w:t>, concentrations of sensitive CYP3A4 substrates may increase and subjects should be monitored for toxicity and dosage of these agents may need to be adjusted.</w:t>
      </w:r>
    </w:p>
    <w:p w:rsidR="000F30C7" w:rsidRPr="00A70A0A" w:rsidRDefault="000F30C7" w:rsidP="00005F48">
      <w:pPr>
        <w:pStyle w:val="ListParagraph"/>
        <w:rPr>
          <w:lang w:val="en-GB"/>
        </w:rPr>
      </w:pPr>
      <w:r w:rsidRPr="00DE0839">
        <w:rPr>
          <w:lang w:val="en-GB"/>
        </w:rPr>
        <w:lastRenderedPageBreak/>
        <w:t xml:space="preserve">Exercise caution and consider additional INR (International Normalized Ratio) monitoring when </w:t>
      </w:r>
      <w:proofErr w:type="spellStart"/>
      <w:r w:rsidRPr="00DE0839">
        <w:rPr>
          <w:lang w:val="en-GB"/>
        </w:rPr>
        <w:t>dabrafenib</w:t>
      </w:r>
      <w:proofErr w:type="spellEnd"/>
      <w:r w:rsidRPr="00DE0839">
        <w:rPr>
          <w:lang w:val="en-GB"/>
        </w:rPr>
        <w:t xml:space="preserve"> is used concomitantly with </w:t>
      </w:r>
      <w:proofErr w:type="spellStart"/>
      <w:r w:rsidRPr="00DE0839">
        <w:rPr>
          <w:lang w:val="en-GB"/>
        </w:rPr>
        <w:t>warfarin</w:t>
      </w:r>
      <w:proofErr w:type="spellEnd"/>
      <w:r w:rsidRPr="00DE0839">
        <w:rPr>
          <w:lang w:val="en-GB"/>
        </w:rPr>
        <w:t>.</w:t>
      </w:r>
    </w:p>
    <w:p w:rsidR="00561EE1" w:rsidRDefault="00561EE1" w:rsidP="00561EE1">
      <w:pPr>
        <w:pStyle w:val="Heading2"/>
      </w:pPr>
      <w:r>
        <w:t xml:space="preserve">Effects of </w:t>
      </w:r>
      <w:proofErr w:type="spellStart"/>
      <w:r>
        <w:t>dabrafenib</w:t>
      </w:r>
      <w:proofErr w:type="spellEnd"/>
      <w:r>
        <w:t xml:space="preserve"> on substance transport systems</w:t>
      </w:r>
    </w:p>
    <w:p w:rsidR="00726E86" w:rsidRDefault="00726E86" w:rsidP="00561EE1">
      <w:pPr>
        <w:pStyle w:val="ListParagraph"/>
      </w:pPr>
      <w:proofErr w:type="spellStart"/>
      <w:r w:rsidRPr="00726E86">
        <w:t>Dabrafenib</w:t>
      </w:r>
      <w:proofErr w:type="spellEnd"/>
      <w:r w:rsidRPr="00726E86">
        <w:t xml:space="preserve"> is an in vitro inhibitor of </w:t>
      </w:r>
      <w:proofErr w:type="spellStart"/>
      <w:r w:rsidRPr="00726E86">
        <w:t>of</w:t>
      </w:r>
      <w:proofErr w:type="spellEnd"/>
      <w:r w:rsidRPr="00726E86">
        <w:t xml:space="preserve"> human organic anion transporting polypeptide (OATP) 1B1 (OATP1B1) and OAT</w:t>
      </w:r>
      <w:r>
        <w:t>P1B3 and clinical relevance can</w:t>
      </w:r>
      <w:r w:rsidRPr="00726E86">
        <w:t xml:space="preserve">not be excluded. Therefore caution is recommended at co-administration of </w:t>
      </w:r>
      <w:proofErr w:type="spellStart"/>
      <w:r w:rsidRPr="00726E86">
        <w:t>dabrafenib</w:t>
      </w:r>
      <w:proofErr w:type="spellEnd"/>
      <w:r w:rsidRPr="00726E86">
        <w:t xml:space="preserve"> and OATB1B1 or OATP1B3 substrates such as </w:t>
      </w:r>
      <w:proofErr w:type="spellStart"/>
      <w:r w:rsidRPr="00726E86">
        <w:t>statins</w:t>
      </w:r>
      <w:proofErr w:type="spellEnd"/>
      <w:r w:rsidRPr="00726E86">
        <w:t xml:space="preserve">.  </w:t>
      </w:r>
    </w:p>
    <w:p w:rsidR="00561EE1" w:rsidRDefault="00561EE1" w:rsidP="00561EE1">
      <w:pPr>
        <w:pStyle w:val="ListParagraph"/>
      </w:pPr>
      <w:r>
        <w:t xml:space="preserve">Although </w:t>
      </w:r>
      <w:proofErr w:type="spellStart"/>
      <w:r>
        <w:t>dabrafenib</w:t>
      </w:r>
      <w:proofErr w:type="spellEnd"/>
      <w:r>
        <w:t xml:space="preserve"> and its metabolites, </w:t>
      </w:r>
      <w:proofErr w:type="spellStart"/>
      <w:r>
        <w:t>hydroxy-dabrafenib</w:t>
      </w:r>
      <w:proofErr w:type="spellEnd"/>
      <w:r>
        <w:t xml:space="preserve">, </w:t>
      </w:r>
      <w:proofErr w:type="spellStart"/>
      <w:r>
        <w:t>carboxy-dabrafenib</w:t>
      </w:r>
      <w:proofErr w:type="spellEnd"/>
      <w:r>
        <w:t xml:space="preserve"> and </w:t>
      </w:r>
      <w:proofErr w:type="spellStart"/>
      <w:r>
        <w:t>desmethyl-dabrafenib</w:t>
      </w:r>
      <w:proofErr w:type="spellEnd"/>
      <w:r>
        <w:t xml:space="preserve">, were inhibitors of human organic anion transporter (OAT) 1 and OAT3 in vitro, the risk of a drug-drug interaction is minimal based on clinical exposure.  </w:t>
      </w:r>
    </w:p>
    <w:p w:rsidR="00561EE1" w:rsidRDefault="00561EE1" w:rsidP="00561EE1">
      <w:pPr>
        <w:pStyle w:val="ListParagraph"/>
      </w:pPr>
      <w:proofErr w:type="spellStart"/>
      <w:r>
        <w:t>Dabrafenib</w:t>
      </w:r>
      <w:proofErr w:type="spellEnd"/>
      <w:r>
        <w:t xml:space="preserve"> and </w:t>
      </w:r>
      <w:proofErr w:type="spellStart"/>
      <w:r>
        <w:t>desmethyl-dabrafenib</w:t>
      </w:r>
      <w:proofErr w:type="spellEnd"/>
      <w:r>
        <w:t xml:space="preserve"> were also shown to be moderate inhibitors of human breast cancer resistance protein (BCRP); however, based on clinical exposure, the risk of a drug-drug interaction is minimal.</w:t>
      </w:r>
    </w:p>
    <w:p w:rsidR="007E215A" w:rsidRPr="00005F48" w:rsidRDefault="00561EE1" w:rsidP="00561EE1">
      <w:pPr>
        <w:pStyle w:val="ListParagraph"/>
      </w:pPr>
      <w:r>
        <w:t xml:space="preserve">Neither </w:t>
      </w:r>
      <w:proofErr w:type="spellStart"/>
      <w:r>
        <w:t>dabrafenib</w:t>
      </w:r>
      <w:proofErr w:type="spellEnd"/>
      <w:r>
        <w:t xml:space="preserve"> nor its 3 metabolites were demonstrated to be inhibitors of P-glycoprotein (</w:t>
      </w:r>
      <w:proofErr w:type="spellStart"/>
      <w:r>
        <w:t>Pgp</w:t>
      </w:r>
      <w:proofErr w:type="spellEnd"/>
      <w:r>
        <w:t>) in vitro.</w:t>
      </w:r>
    </w:p>
    <w:p w:rsidR="0077380F" w:rsidRPr="00BF1F9D" w:rsidRDefault="0077380F" w:rsidP="0070730F">
      <w:pPr>
        <w:pStyle w:val="Heading1"/>
      </w:pPr>
      <w:r w:rsidRPr="00BF1F9D">
        <w:t>AD</w:t>
      </w:r>
      <w:smartTag w:uri="schemas-GSKSiteLocations-com/fourthcoffee" w:element="flavor">
        <w:r w:rsidRPr="00BF1F9D">
          <w:t>VER</w:t>
        </w:r>
      </w:smartTag>
      <w:r w:rsidRPr="00BF1F9D">
        <w:t>SE EFFECTS</w:t>
      </w:r>
    </w:p>
    <w:p w:rsidR="009602E1" w:rsidRPr="00BF1F9D" w:rsidRDefault="009602E1" w:rsidP="0049066C">
      <w:pPr>
        <w:pStyle w:val="Heading2"/>
      </w:pPr>
      <w:bookmarkStart w:id="3" w:name="_Toc156109959"/>
      <w:bookmarkStart w:id="4" w:name="_Toc157906094"/>
      <w:r w:rsidRPr="00BF1F9D">
        <w:t>Clinical Trial Data</w:t>
      </w:r>
    </w:p>
    <w:p w:rsidR="009602E1" w:rsidRPr="00BF1F9D" w:rsidRDefault="009602E1" w:rsidP="0049066C">
      <w:pPr>
        <w:pStyle w:val="ListParagraph"/>
      </w:pPr>
      <w:r w:rsidRPr="00BF1F9D">
        <w:t>Safety data w</w:t>
      </w:r>
      <w:r w:rsidR="005D7273" w:rsidRPr="00BF1F9D">
        <w:t>ere</w:t>
      </w:r>
      <w:r w:rsidRPr="00BF1F9D">
        <w:t xml:space="preserve"> integrated from five clinical </w:t>
      </w:r>
      <w:proofErr w:type="spellStart"/>
      <w:r w:rsidRPr="00BF1F9D">
        <w:t>monotherapy</w:t>
      </w:r>
      <w:proofErr w:type="spellEnd"/>
      <w:r w:rsidRPr="00BF1F9D">
        <w:t xml:space="preserve"> studies and included 578 patients with melanoma. Approximately 30</w:t>
      </w:r>
      <w:r w:rsidR="00D25A0C">
        <w:t>%</w:t>
      </w:r>
      <w:r w:rsidRPr="00BF1F9D">
        <w:t xml:space="preserve"> of patients received treatment with </w:t>
      </w:r>
      <w:proofErr w:type="spellStart"/>
      <w:r w:rsidRPr="00BF1F9D">
        <w:t>dabrafenib</w:t>
      </w:r>
      <w:proofErr w:type="spellEnd"/>
      <w:r w:rsidRPr="00BF1F9D">
        <w:t xml:space="preserve"> for more than 6 months. </w:t>
      </w:r>
    </w:p>
    <w:p w:rsidR="009602E1" w:rsidRPr="00BF1F9D" w:rsidRDefault="009602E1" w:rsidP="0049066C">
      <w:pPr>
        <w:pStyle w:val="ListParagraph"/>
      </w:pPr>
      <w:r w:rsidRPr="00BF1F9D">
        <w:t xml:space="preserve">In the integrated </w:t>
      </w:r>
      <w:proofErr w:type="spellStart"/>
      <w:r w:rsidRPr="00BF1F9D">
        <w:t>dabrafenib</w:t>
      </w:r>
      <w:proofErr w:type="spellEnd"/>
      <w:r w:rsidRPr="00BF1F9D">
        <w:t xml:space="preserve"> safety population, the most common (</w:t>
      </w:r>
      <w:r w:rsidRPr="00BF1F9D">
        <w:sym w:font="Symbol" w:char="F0B3"/>
      </w:r>
      <w:r w:rsidRPr="00BF1F9D">
        <w:t> 15</w:t>
      </w:r>
      <w:r w:rsidR="00D25A0C">
        <w:t>%</w:t>
      </w:r>
      <w:r w:rsidRPr="00BF1F9D">
        <w:t xml:space="preserve">) adverse reactions were hyperkeratosis, </w:t>
      </w:r>
      <w:r w:rsidR="002C1495" w:rsidRPr="00BF1F9D">
        <w:t xml:space="preserve">headache, pyrexia, </w:t>
      </w:r>
      <w:proofErr w:type="spellStart"/>
      <w:r w:rsidRPr="00BF1F9D">
        <w:t>arthralgia</w:t>
      </w:r>
      <w:proofErr w:type="spellEnd"/>
      <w:r w:rsidRPr="00BF1F9D">
        <w:t xml:space="preserve">, </w:t>
      </w:r>
      <w:r w:rsidR="002C1495" w:rsidRPr="00BF1F9D">
        <w:t xml:space="preserve">fatigue, nausea, skin </w:t>
      </w:r>
      <w:proofErr w:type="spellStart"/>
      <w:r w:rsidR="002C1495" w:rsidRPr="00BF1F9D">
        <w:t>papilloma</w:t>
      </w:r>
      <w:proofErr w:type="spellEnd"/>
      <w:r w:rsidR="002C1495" w:rsidRPr="00BF1F9D">
        <w:t xml:space="preserve">, </w:t>
      </w:r>
      <w:r w:rsidRPr="00BF1F9D">
        <w:t>alopecia</w:t>
      </w:r>
      <w:r w:rsidR="002C1495" w:rsidRPr="00BF1F9D">
        <w:t>, rash and vomiting</w:t>
      </w:r>
      <w:r w:rsidRPr="00BF1F9D">
        <w:t>.</w:t>
      </w:r>
    </w:p>
    <w:p w:rsidR="009602E1" w:rsidRPr="00BF1F9D" w:rsidRDefault="009602E1" w:rsidP="0049066C">
      <w:pPr>
        <w:pStyle w:val="ListParagraph"/>
      </w:pPr>
      <w:r w:rsidRPr="00BF1F9D">
        <w:t xml:space="preserve">Adverse reactions are listed below by </w:t>
      </w:r>
      <w:proofErr w:type="spellStart"/>
      <w:r w:rsidRPr="00BF1F9D">
        <w:t>MedDRA</w:t>
      </w:r>
      <w:proofErr w:type="spellEnd"/>
      <w:r w:rsidRPr="00BF1F9D">
        <w:t xml:space="preserve"> body system organ class.</w:t>
      </w:r>
    </w:p>
    <w:p w:rsidR="009602E1" w:rsidRPr="00BF1F9D" w:rsidRDefault="009602E1" w:rsidP="0049066C">
      <w:pPr>
        <w:pStyle w:val="ListParagraph"/>
      </w:pPr>
      <w:r w:rsidRPr="00BF1F9D">
        <w:t xml:space="preserve">The following convention has been utilised for the classification of frequency: </w:t>
      </w:r>
    </w:p>
    <w:p w:rsidR="009602E1" w:rsidRPr="00BF1F9D" w:rsidRDefault="009602E1" w:rsidP="0049066C">
      <w:pPr>
        <w:pStyle w:val="ListParagraph"/>
      </w:pPr>
      <w:r w:rsidRPr="00BF1F9D">
        <w:t>Very common</w:t>
      </w:r>
      <w:r w:rsidRPr="00BF1F9D">
        <w:tab/>
      </w:r>
      <w:r w:rsidRPr="00BF1F9D">
        <w:tab/>
      </w:r>
      <w:r w:rsidRPr="00BF1F9D">
        <w:sym w:font="Symbol" w:char="F0B3"/>
      </w:r>
      <w:r w:rsidRPr="00BF1F9D">
        <w:t xml:space="preserve"> 1 in 10</w:t>
      </w:r>
    </w:p>
    <w:p w:rsidR="009602E1" w:rsidRPr="00BF1F9D" w:rsidRDefault="009602E1" w:rsidP="0049066C">
      <w:pPr>
        <w:pStyle w:val="ListParagraph"/>
      </w:pPr>
      <w:r w:rsidRPr="00BF1F9D">
        <w:t>Common</w:t>
      </w:r>
      <w:r w:rsidRPr="00BF1F9D">
        <w:tab/>
      </w:r>
      <w:r w:rsidRPr="00BF1F9D">
        <w:tab/>
      </w:r>
      <w:r w:rsidRPr="00BF1F9D">
        <w:sym w:font="Symbol" w:char="F0B3"/>
      </w:r>
      <w:r w:rsidRPr="00BF1F9D">
        <w:t xml:space="preserve"> 1 in 100</w:t>
      </w:r>
      <w:r w:rsidR="00091CA9">
        <w:t xml:space="preserve"> to</w:t>
      </w:r>
      <w:r w:rsidRPr="00BF1F9D">
        <w:t xml:space="preserve"> &lt; 1 in 10</w:t>
      </w:r>
    </w:p>
    <w:p w:rsidR="009602E1" w:rsidRPr="00BF1F9D" w:rsidRDefault="009602E1" w:rsidP="0049066C">
      <w:pPr>
        <w:pStyle w:val="ListParagraph"/>
      </w:pPr>
      <w:r w:rsidRPr="00BF1F9D">
        <w:t>Uncommon</w:t>
      </w:r>
      <w:r w:rsidRPr="00BF1F9D">
        <w:tab/>
      </w:r>
      <w:r w:rsidRPr="00BF1F9D">
        <w:tab/>
      </w:r>
      <w:r w:rsidRPr="00BF1F9D">
        <w:sym w:font="Symbol" w:char="F0B3"/>
      </w:r>
      <w:r w:rsidRPr="00BF1F9D">
        <w:t xml:space="preserve"> 1 in 1,000 </w:t>
      </w:r>
      <w:r w:rsidR="00091CA9">
        <w:t xml:space="preserve">to </w:t>
      </w:r>
      <w:r w:rsidRPr="00BF1F9D">
        <w:t>&lt; 1 in 100</w:t>
      </w:r>
    </w:p>
    <w:p w:rsidR="009602E1" w:rsidRPr="00BF1F9D" w:rsidRDefault="009602E1" w:rsidP="0049066C">
      <w:pPr>
        <w:pStyle w:val="ListParagraph"/>
      </w:pPr>
      <w:r w:rsidRPr="00BF1F9D">
        <w:t>Rare</w:t>
      </w:r>
      <w:r w:rsidRPr="00BF1F9D">
        <w:tab/>
      </w:r>
      <w:r w:rsidRPr="00BF1F9D">
        <w:tab/>
      </w:r>
      <w:r w:rsidRPr="00BF1F9D">
        <w:tab/>
      </w:r>
      <w:r w:rsidRPr="00BF1F9D">
        <w:sym w:font="Symbol" w:char="F0B3"/>
      </w:r>
      <w:r w:rsidRPr="00BF1F9D">
        <w:t xml:space="preserve"> 1 in 10,000 </w:t>
      </w:r>
      <w:r w:rsidR="00091CA9">
        <w:t>to</w:t>
      </w:r>
      <w:r w:rsidR="00091CA9" w:rsidRPr="00BF1F9D">
        <w:t xml:space="preserve"> </w:t>
      </w:r>
      <w:r w:rsidRPr="00BF1F9D">
        <w:t>&lt; 1 in 1,000</w:t>
      </w:r>
    </w:p>
    <w:p w:rsidR="002C1495" w:rsidRPr="00BF1F9D" w:rsidRDefault="002C1495" w:rsidP="0049066C">
      <w:pPr>
        <w:pStyle w:val="ListParagraph"/>
      </w:pPr>
      <w:r w:rsidRPr="00BF1F9D">
        <w:t>Very rare</w:t>
      </w:r>
      <w:r w:rsidRPr="00BF1F9D">
        <w:tab/>
      </w:r>
      <w:r w:rsidRPr="00BF1F9D">
        <w:tab/>
        <w:t>&lt; 1 in 10,000</w:t>
      </w:r>
    </w:p>
    <w:p w:rsidR="002C1495" w:rsidRPr="00BF1F9D" w:rsidRDefault="002C1495" w:rsidP="00091CA9">
      <w:pPr>
        <w:pStyle w:val="ListParagraph"/>
      </w:pPr>
    </w:p>
    <w:tbl>
      <w:tblPr>
        <w:tblW w:w="0" w:type="auto"/>
        <w:tblInd w:w="108" w:type="dxa"/>
        <w:tblLayout w:type="fixed"/>
        <w:tblLook w:val="0000"/>
      </w:tblPr>
      <w:tblGrid>
        <w:gridCol w:w="1791"/>
        <w:gridCol w:w="6147"/>
      </w:tblGrid>
      <w:tr w:rsidR="009602E1" w:rsidRPr="00BF1F9D" w:rsidTr="00697EF8">
        <w:trPr>
          <w:cantSplit/>
        </w:trPr>
        <w:tc>
          <w:tcPr>
            <w:tcW w:w="7938" w:type="dxa"/>
            <w:gridSpan w:val="2"/>
            <w:shd w:val="clear" w:color="auto" w:fill="auto"/>
          </w:tcPr>
          <w:p w:rsidR="009602E1" w:rsidRPr="00BF1F9D" w:rsidRDefault="009602E1" w:rsidP="0049066C">
            <w:pPr>
              <w:pStyle w:val="Heading3"/>
            </w:pPr>
            <w:proofErr w:type="spellStart"/>
            <w:r w:rsidRPr="00BF1F9D">
              <w:t>Neoplasms</w:t>
            </w:r>
            <w:proofErr w:type="spellEnd"/>
            <w:r w:rsidRPr="00BF1F9D">
              <w:t xml:space="preserve"> benign and malignant (including cysts and polyps)</w:t>
            </w:r>
          </w:p>
        </w:tc>
      </w:tr>
      <w:tr w:rsidR="009602E1" w:rsidRPr="00BF1F9D" w:rsidTr="00697EF8">
        <w:trPr>
          <w:cantSplit/>
        </w:trPr>
        <w:tc>
          <w:tcPr>
            <w:tcW w:w="1791" w:type="dxa"/>
            <w:shd w:val="clear" w:color="auto" w:fill="auto"/>
          </w:tcPr>
          <w:p w:rsidR="009602E1" w:rsidRPr="00BF1F9D" w:rsidRDefault="009602E1" w:rsidP="0049066C">
            <w:pPr>
              <w:pStyle w:val="ListParagraph"/>
            </w:pPr>
            <w:r w:rsidRPr="00BF1F9D">
              <w:t>Very common</w:t>
            </w:r>
          </w:p>
        </w:tc>
        <w:tc>
          <w:tcPr>
            <w:tcW w:w="6147" w:type="dxa"/>
            <w:shd w:val="clear" w:color="auto" w:fill="auto"/>
          </w:tcPr>
          <w:p w:rsidR="009602E1" w:rsidRPr="00BF1F9D" w:rsidRDefault="009602E1" w:rsidP="0049066C">
            <w:pPr>
              <w:pStyle w:val="ListParagraph"/>
            </w:pPr>
            <w:proofErr w:type="spellStart"/>
            <w:r w:rsidRPr="00BF1F9D">
              <w:t>Papilloma</w:t>
            </w:r>
            <w:proofErr w:type="spellEnd"/>
          </w:p>
        </w:tc>
      </w:tr>
      <w:tr w:rsidR="009602E1" w:rsidRPr="00BF1F9D" w:rsidTr="00697EF8">
        <w:trPr>
          <w:cantSplit/>
        </w:trPr>
        <w:tc>
          <w:tcPr>
            <w:tcW w:w="1791" w:type="dxa"/>
            <w:shd w:val="clear" w:color="auto" w:fill="auto"/>
          </w:tcPr>
          <w:p w:rsidR="009602E1" w:rsidRPr="00BF1F9D" w:rsidRDefault="009602E1" w:rsidP="0049066C">
            <w:pPr>
              <w:pStyle w:val="ListParagraph"/>
            </w:pPr>
            <w:r w:rsidRPr="00BF1F9D">
              <w:t>Common</w:t>
            </w:r>
          </w:p>
        </w:tc>
        <w:tc>
          <w:tcPr>
            <w:tcW w:w="6147" w:type="dxa"/>
            <w:shd w:val="clear" w:color="auto" w:fill="auto"/>
          </w:tcPr>
          <w:p w:rsidR="009602E1" w:rsidRPr="00BF1F9D" w:rsidRDefault="009602E1" w:rsidP="0049066C">
            <w:pPr>
              <w:pStyle w:val="ListParagraph"/>
            </w:pPr>
            <w:proofErr w:type="spellStart"/>
            <w:r w:rsidRPr="00BF1F9D">
              <w:t>Acrochordon</w:t>
            </w:r>
            <w:proofErr w:type="spellEnd"/>
            <w:r w:rsidRPr="00BF1F9D">
              <w:t xml:space="preserve"> (skin tags), </w:t>
            </w:r>
            <w:proofErr w:type="spellStart"/>
            <w:r w:rsidRPr="00BF1F9D">
              <w:t>cutaneous</w:t>
            </w:r>
            <w:proofErr w:type="spellEnd"/>
            <w:r w:rsidRPr="00BF1F9D">
              <w:t xml:space="preserve"> </w:t>
            </w:r>
            <w:proofErr w:type="spellStart"/>
            <w:r w:rsidRPr="00BF1F9D">
              <w:t>squamous</w:t>
            </w:r>
            <w:proofErr w:type="spellEnd"/>
            <w:r w:rsidRPr="00BF1F9D">
              <w:t xml:space="preserve"> cell carcinoma (SCC) including SCC of the skin, SCC in situ (Bowen’s disease) and </w:t>
            </w:r>
            <w:proofErr w:type="spellStart"/>
            <w:r w:rsidRPr="00BF1F9D">
              <w:t>keratoacanthoma</w:t>
            </w:r>
            <w:proofErr w:type="spellEnd"/>
            <w:r w:rsidRPr="00BF1F9D">
              <w:t xml:space="preserve">, </w:t>
            </w:r>
            <w:proofErr w:type="spellStart"/>
            <w:r w:rsidRPr="00BF1F9D">
              <w:t>seborrhoeic</w:t>
            </w:r>
            <w:proofErr w:type="spellEnd"/>
            <w:r w:rsidRPr="00BF1F9D">
              <w:t xml:space="preserve"> </w:t>
            </w:r>
            <w:proofErr w:type="spellStart"/>
            <w:r w:rsidRPr="00BF1F9D">
              <w:t>keratosis</w:t>
            </w:r>
            <w:proofErr w:type="spellEnd"/>
            <w:r w:rsidR="00177398">
              <w:t>, basal cell carcinoma</w:t>
            </w:r>
          </w:p>
        </w:tc>
      </w:tr>
      <w:tr w:rsidR="009602E1" w:rsidRPr="00BF1F9D" w:rsidTr="00697EF8">
        <w:trPr>
          <w:cantSplit/>
        </w:trPr>
        <w:tc>
          <w:tcPr>
            <w:tcW w:w="1791" w:type="dxa"/>
            <w:shd w:val="clear" w:color="auto" w:fill="auto"/>
          </w:tcPr>
          <w:p w:rsidR="009602E1" w:rsidRPr="00BF1F9D" w:rsidRDefault="009602E1" w:rsidP="0049066C">
            <w:pPr>
              <w:pStyle w:val="ListParagraph"/>
            </w:pPr>
            <w:r w:rsidRPr="00BF1F9D">
              <w:t>Uncommon</w:t>
            </w:r>
          </w:p>
        </w:tc>
        <w:tc>
          <w:tcPr>
            <w:tcW w:w="6147" w:type="dxa"/>
            <w:shd w:val="clear" w:color="auto" w:fill="auto"/>
          </w:tcPr>
          <w:p w:rsidR="009602E1" w:rsidRPr="00BF1F9D" w:rsidRDefault="009602E1" w:rsidP="0049066C">
            <w:pPr>
              <w:pStyle w:val="ListParagraph"/>
            </w:pPr>
            <w:r w:rsidRPr="00BF1F9D">
              <w:t>New primary melanoma</w:t>
            </w:r>
          </w:p>
        </w:tc>
      </w:tr>
      <w:tr w:rsidR="009602E1" w:rsidRPr="00BF1F9D" w:rsidTr="00697EF8">
        <w:trPr>
          <w:cantSplit/>
        </w:trPr>
        <w:tc>
          <w:tcPr>
            <w:tcW w:w="7938" w:type="dxa"/>
            <w:gridSpan w:val="2"/>
            <w:shd w:val="clear" w:color="auto" w:fill="auto"/>
          </w:tcPr>
          <w:p w:rsidR="009602E1" w:rsidRPr="00BF1F9D" w:rsidRDefault="009602E1" w:rsidP="0049066C">
            <w:pPr>
              <w:pStyle w:val="ListParagraph"/>
            </w:pPr>
          </w:p>
          <w:p w:rsidR="009602E1" w:rsidRPr="00BF1F9D" w:rsidRDefault="009602E1" w:rsidP="0049066C">
            <w:pPr>
              <w:pStyle w:val="Heading3"/>
            </w:pPr>
            <w:r w:rsidRPr="00BF1F9D">
              <w:t>Immune System Disorders</w:t>
            </w:r>
          </w:p>
        </w:tc>
      </w:tr>
      <w:tr w:rsidR="009602E1" w:rsidRPr="00BF1F9D" w:rsidTr="00697EF8">
        <w:trPr>
          <w:cantSplit/>
        </w:trPr>
        <w:tc>
          <w:tcPr>
            <w:tcW w:w="1791" w:type="dxa"/>
            <w:shd w:val="clear" w:color="auto" w:fill="auto"/>
          </w:tcPr>
          <w:p w:rsidR="009602E1" w:rsidRPr="00BF1F9D" w:rsidRDefault="009602E1" w:rsidP="0049066C">
            <w:pPr>
              <w:pStyle w:val="ListParagraph"/>
            </w:pPr>
            <w:r w:rsidRPr="00BF1F9D">
              <w:t>Uncommon</w:t>
            </w:r>
          </w:p>
        </w:tc>
        <w:tc>
          <w:tcPr>
            <w:tcW w:w="6147" w:type="dxa"/>
            <w:shd w:val="clear" w:color="auto" w:fill="auto"/>
          </w:tcPr>
          <w:p w:rsidR="005D1137" w:rsidRPr="00BF1F9D" w:rsidRDefault="009602E1" w:rsidP="0049066C">
            <w:pPr>
              <w:pStyle w:val="ListParagraph"/>
            </w:pPr>
            <w:r w:rsidRPr="00BF1F9D">
              <w:t>Hypersensitivity</w:t>
            </w:r>
            <w:r w:rsidR="00B16327">
              <w:t xml:space="preserve">, </w:t>
            </w:r>
            <w:proofErr w:type="spellStart"/>
            <w:r w:rsidR="00B16327">
              <w:t>panniculitis</w:t>
            </w:r>
            <w:proofErr w:type="spellEnd"/>
          </w:p>
        </w:tc>
      </w:tr>
      <w:tr w:rsidR="009602E1" w:rsidRPr="00BF1F9D" w:rsidTr="00697EF8">
        <w:trPr>
          <w:cantSplit/>
        </w:trPr>
        <w:tc>
          <w:tcPr>
            <w:tcW w:w="7938" w:type="dxa"/>
            <w:gridSpan w:val="2"/>
            <w:shd w:val="clear" w:color="auto" w:fill="auto"/>
          </w:tcPr>
          <w:p w:rsidR="009602E1" w:rsidRPr="00BF1F9D" w:rsidRDefault="009602E1" w:rsidP="0049066C">
            <w:pPr>
              <w:pStyle w:val="ListParagraph"/>
            </w:pPr>
          </w:p>
          <w:p w:rsidR="009602E1" w:rsidRPr="00BF1F9D" w:rsidRDefault="009602E1" w:rsidP="0049066C">
            <w:pPr>
              <w:pStyle w:val="Heading3"/>
            </w:pPr>
            <w:r w:rsidRPr="00BF1F9D">
              <w:t>Metabolism and nutrition disorders</w:t>
            </w:r>
          </w:p>
        </w:tc>
      </w:tr>
      <w:tr w:rsidR="009602E1" w:rsidRPr="00BF1F9D" w:rsidTr="00697EF8">
        <w:trPr>
          <w:cantSplit/>
        </w:trPr>
        <w:tc>
          <w:tcPr>
            <w:tcW w:w="1791" w:type="dxa"/>
            <w:shd w:val="clear" w:color="auto" w:fill="auto"/>
          </w:tcPr>
          <w:p w:rsidR="009602E1" w:rsidRPr="00BF1F9D" w:rsidRDefault="009602E1" w:rsidP="0049066C">
            <w:pPr>
              <w:pStyle w:val="ListParagraph"/>
            </w:pPr>
            <w:r w:rsidRPr="00BF1F9D">
              <w:t>Very common</w:t>
            </w:r>
          </w:p>
        </w:tc>
        <w:tc>
          <w:tcPr>
            <w:tcW w:w="6147" w:type="dxa"/>
            <w:shd w:val="clear" w:color="auto" w:fill="auto"/>
          </w:tcPr>
          <w:p w:rsidR="009602E1" w:rsidRPr="00BF1F9D" w:rsidRDefault="009602E1" w:rsidP="0049066C">
            <w:pPr>
              <w:pStyle w:val="ListParagraph"/>
            </w:pPr>
            <w:r w:rsidRPr="00BF1F9D">
              <w:t>Decreased appetite</w:t>
            </w:r>
          </w:p>
        </w:tc>
      </w:tr>
      <w:tr w:rsidR="009602E1" w:rsidRPr="00BF1F9D" w:rsidTr="00697EF8">
        <w:trPr>
          <w:cantSplit/>
        </w:trPr>
        <w:tc>
          <w:tcPr>
            <w:tcW w:w="1791" w:type="dxa"/>
            <w:shd w:val="clear" w:color="auto" w:fill="auto"/>
          </w:tcPr>
          <w:p w:rsidR="009602E1" w:rsidRPr="00BF1F9D" w:rsidRDefault="009602E1" w:rsidP="0049066C">
            <w:pPr>
              <w:pStyle w:val="ListParagraph"/>
            </w:pPr>
            <w:r w:rsidRPr="00BF1F9D">
              <w:t>Common</w:t>
            </w:r>
          </w:p>
        </w:tc>
        <w:tc>
          <w:tcPr>
            <w:tcW w:w="6147" w:type="dxa"/>
            <w:shd w:val="clear" w:color="auto" w:fill="auto"/>
          </w:tcPr>
          <w:p w:rsidR="009602E1" w:rsidRPr="00BF1F9D" w:rsidRDefault="009602E1" w:rsidP="0049066C">
            <w:pPr>
              <w:pStyle w:val="ListParagraph"/>
            </w:pPr>
            <w:proofErr w:type="spellStart"/>
            <w:r w:rsidRPr="00BF1F9D">
              <w:t>Hypophosphataemia</w:t>
            </w:r>
            <w:proofErr w:type="spellEnd"/>
            <w:r w:rsidR="00177398">
              <w:t>, hyperglycaemia</w:t>
            </w:r>
          </w:p>
        </w:tc>
      </w:tr>
      <w:tr w:rsidR="009602E1" w:rsidRPr="00BF1F9D" w:rsidTr="00697EF8">
        <w:trPr>
          <w:cantSplit/>
        </w:trPr>
        <w:tc>
          <w:tcPr>
            <w:tcW w:w="7938" w:type="dxa"/>
            <w:gridSpan w:val="2"/>
            <w:shd w:val="clear" w:color="auto" w:fill="auto"/>
          </w:tcPr>
          <w:p w:rsidR="009602E1" w:rsidRPr="00BF1F9D" w:rsidRDefault="009602E1" w:rsidP="0049066C">
            <w:pPr>
              <w:pStyle w:val="ListParagraph"/>
            </w:pPr>
          </w:p>
          <w:p w:rsidR="009602E1" w:rsidRPr="00BF1F9D" w:rsidRDefault="009602E1" w:rsidP="0049066C">
            <w:pPr>
              <w:pStyle w:val="Heading3"/>
            </w:pPr>
            <w:r w:rsidRPr="00BF1F9D">
              <w:t>Nervous system disorders</w:t>
            </w:r>
          </w:p>
        </w:tc>
      </w:tr>
      <w:tr w:rsidR="009602E1" w:rsidRPr="00BF1F9D" w:rsidTr="00697EF8">
        <w:trPr>
          <w:cantSplit/>
        </w:trPr>
        <w:tc>
          <w:tcPr>
            <w:tcW w:w="1791" w:type="dxa"/>
            <w:shd w:val="clear" w:color="auto" w:fill="auto"/>
          </w:tcPr>
          <w:p w:rsidR="009602E1" w:rsidRPr="00BF1F9D" w:rsidRDefault="009602E1" w:rsidP="0049066C">
            <w:pPr>
              <w:pStyle w:val="ListParagraph"/>
            </w:pPr>
            <w:r w:rsidRPr="00BF1F9D">
              <w:t>Very common</w:t>
            </w:r>
          </w:p>
        </w:tc>
        <w:tc>
          <w:tcPr>
            <w:tcW w:w="6147" w:type="dxa"/>
            <w:shd w:val="clear" w:color="auto" w:fill="auto"/>
          </w:tcPr>
          <w:p w:rsidR="009602E1" w:rsidRPr="00BF1F9D" w:rsidRDefault="009602E1" w:rsidP="0049066C">
            <w:pPr>
              <w:pStyle w:val="ListParagraph"/>
            </w:pPr>
            <w:r w:rsidRPr="00BF1F9D">
              <w:t>Headache</w:t>
            </w:r>
          </w:p>
        </w:tc>
      </w:tr>
      <w:tr w:rsidR="009602E1" w:rsidRPr="00BF1F9D" w:rsidTr="00697EF8">
        <w:trPr>
          <w:cantSplit/>
        </w:trPr>
        <w:tc>
          <w:tcPr>
            <w:tcW w:w="7938" w:type="dxa"/>
            <w:gridSpan w:val="2"/>
            <w:shd w:val="clear" w:color="auto" w:fill="auto"/>
          </w:tcPr>
          <w:p w:rsidR="009602E1" w:rsidRPr="00BF1F9D" w:rsidRDefault="009602E1" w:rsidP="0049066C">
            <w:pPr>
              <w:pStyle w:val="ListParagraph"/>
            </w:pPr>
          </w:p>
          <w:p w:rsidR="009602E1" w:rsidRPr="00BF1F9D" w:rsidRDefault="009602E1" w:rsidP="0049066C">
            <w:pPr>
              <w:pStyle w:val="Heading3"/>
            </w:pPr>
            <w:r w:rsidRPr="00BF1F9D">
              <w:t>Eye disorders</w:t>
            </w:r>
          </w:p>
        </w:tc>
      </w:tr>
      <w:tr w:rsidR="009602E1" w:rsidRPr="00BF1F9D" w:rsidTr="00697EF8">
        <w:trPr>
          <w:cantSplit/>
        </w:trPr>
        <w:tc>
          <w:tcPr>
            <w:tcW w:w="1791" w:type="dxa"/>
            <w:shd w:val="clear" w:color="auto" w:fill="auto"/>
          </w:tcPr>
          <w:p w:rsidR="009602E1" w:rsidRPr="00BF1F9D" w:rsidRDefault="009602E1" w:rsidP="0049066C">
            <w:pPr>
              <w:pStyle w:val="ListParagraph"/>
            </w:pPr>
            <w:r w:rsidRPr="00BF1F9D">
              <w:t>Uncommon</w:t>
            </w:r>
          </w:p>
        </w:tc>
        <w:tc>
          <w:tcPr>
            <w:tcW w:w="6147" w:type="dxa"/>
            <w:shd w:val="clear" w:color="auto" w:fill="auto"/>
          </w:tcPr>
          <w:p w:rsidR="009602E1" w:rsidRPr="00BF1F9D" w:rsidRDefault="009602E1" w:rsidP="0049066C">
            <w:pPr>
              <w:pStyle w:val="ListParagraph"/>
            </w:pPr>
            <w:proofErr w:type="spellStart"/>
            <w:r w:rsidRPr="00BF1F9D">
              <w:t>Uveitis</w:t>
            </w:r>
            <w:proofErr w:type="spellEnd"/>
          </w:p>
        </w:tc>
      </w:tr>
      <w:tr w:rsidR="009602E1" w:rsidRPr="00BF1F9D" w:rsidTr="00697EF8">
        <w:trPr>
          <w:cantSplit/>
        </w:trPr>
        <w:tc>
          <w:tcPr>
            <w:tcW w:w="7938" w:type="dxa"/>
            <w:gridSpan w:val="2"/>
            <w:shd w:val="clear" w:color="auto" w:fill="auto"/>
          </w:tcPr>
          <w:p w:rsidR="009602E1" w:rsidRPr="00BF1F9D" w:rsidRDefault="009602E1" w:rsidP="0049066C">
            <w:pPr>
              <w:pStyle w:val="ListParagraph"/>
            </w:pPr>
          </w:p>
          <w:p w:rsidR="009602E1" w:rsidRPr="00BF1F9D" w:rsidRDefault="009602E1" w:rsidP="0049066C">
            <w:pPr>
              <w:pStyle w:val="Heading3"/>
            </w:pPr>
            <w:r w:rsidRPr="00BF1F9D">
              <w:t xml:space="preserve">Respiratory, thoracic and </w:t>
            </w:r>
            <w:proofErr w:type="spellStart"/>
            <w:r w:rsidRPr="00BF1F9D">
              <w:t>mediastinal</w:t>
            </w:r>
            <w:proofErr w:type="spellEnd"/>
            <w:r w:rsidRPr="00BF1F9D">
              <w:t xml:space="preserve"> disorders</w:t>
            </w:r>
          </w:p>
        </w:tc>
      </w:tr>
      <w:tr w:rsidR="009602E1" w:rsidRPr="00BF1F9D" w:rsidTr="00697EF8">
        <w:trPr>
          <w:cantSplit/>
        </w:trPr>
        <w:tc>
          <w:tcPr>
            <w:tcW w:w="1791" w:type="dxa"/>
            <w:shd w:val="clear" w:color="auto" w:fill="auto"/>
          </w:tcPr>
          <w:p w:rsidR="009602E1" w:rsidRPr="00BF1F9D" w:rsidRDefault="009602E1" w:rsidP="0049066C">
            <w:pPr>
              <w:pStyle w:val="ListParagraph"/>
            </w:pPr>
            <w:r w:rsidRPr="00BF1F9D">
              <w:t>Very common</w:t>
            </w:r>
          </w:p>
        </w:tc>
        <w:tc>
          <w:tcPr>
            <w:tcW w:w="6147" w:type="dxa"/>
            <w:shd w:val="clear" w:color="auto" w:fill="auto"/>
          </w:tcPr>
          <w:p w:rsidR="009602E1" w:rsidRPr="00BF1F9D" w:rsidRDefault="009602E1" w:rsidP="0049066C">
            <w:pPr>
              <w:pStyle w:val="ListParagraph"/>
            </w:pPr>
            <w:r w:rsidRPr="00BF1F9D">
              <w:t>Cough</w:t>
            </w:r>
          </w:p>
        </w:tc>
      </w:tr>
      <w:tr w:rsidR="009602E1" w:rsidRPr="00BF1F9D" w:rsidTr="00697EF8">
        <w:trPr>
          <w:cantSplit/>
        </w:trPr>
        <w:tc>
          <w:tcPr>
            <w:tcW w:w="7938" w:type="dxa"/>
            <w:gridSpan w:val="2"/>
            <w:shd w:val="clear" w:color="auto" w:fill="auto"/>
          </w:tcPr>
          <w:p w:rsidR="009602E1" w:rsidRPr="00BF1F9D" w:rsidRDefault="009602E1" w:rsidP="0049066C">
            <w:pPr>
              <w:pStyle w:val="ListParagraph"/>
            </w:pPr>
          </w:p>
          <w:p w:rsidR="009602E1" w:rsidRPr="00BF1F9D" w:rsidRDefault="009602E1" w:rsidP="0049066C">
            <w:pPr>
              <w:pStyle w:val="Heading3"/>
            </w:pPr>
            <w:r w:rsidRPr="00BF1F9D">
              <w:t>Gastrointestinal disorders</w:t>
            </w:r>
          </w:p>
        </w:tc>
      </w:tr>
      <w:tr w:rsidR="009602E1" w:rsidRPr="00BF1F9D" w:rsidTr="00697EF8">
        <w:trPr>
          <w:cantSplit/>
        </w:trPr>
        <w:tc>
          <w:tcPr>
            <w:tcW w:w="1791" w:type="dxa"/>
            <w:shd w:val="clear" w:color="auto" w:fill="auto"/>
          </w:tcPr>
          <w:p w:rsidR="009602E1" w:rsidRPr="00BF1F9D" w:rsidRDefault="009602E1" w:rsidP="0049066C">
            <w:pPr>
              <w:pStyle w:val="ListParagraph"/>
            </w:pPr>
            <w:r w:rsidRPr="00BF1F9D">
              <w:t>Very common</w:t>
            </w:r>
          </w:p>
        </w:tc>
        <w:tc>
          <w:tcPr>
            <w:tcW w:w="6147" w:type="dxa"/>
            <w:shd w:val="clear" w:color="auto" w:fill="auto"/>
          </w:tcPr>
          <w:p w:rsidR="009602E1" w:rsidRPr="00BF1F9D" w:rsidRDefault="009602E1" w:rsidP="0049066C">
            <w:pPr>
              <w:pStyle w:val="ListParagraph"/>
            </w:pPr>
            <w:r w:rsidRPr="00BF1F9D">
              <w:t>Nausea, vomiting, diarrhoea</w:t>
            </w:r>
          </w:p>
        </w:tc>
      </w:tr>
      <w:tr w:rsidR="009602E1" w:rsidRPr="00BF1F9D" w:rsidTr="00697EF8">
        <w:trPr>
          <w:cantSplit/>
        </w:trPr>
        <w:tc>
          <w:tcPr>
            <w:tcW w:w="1791" w:type="dxa"/>
            <w:shd w:val="clear" w:color="auto" w:fill="auto"/>
          </w:tcPr>
          <w:p w:rsidR="009602E1" w:rsidRPr="00BF1F9D" w:rsidRDefault="009602E1" w:rsidP="0049066C">
            <w:pPr>
              <w:pStyle w:val="ListParagraph"/>
            </w:pPr>
            <w:r w:rsidRPr="00BF1F9D">
              <w:t>Common</w:t>
            </w:r>
          </w:p>
        </w:tc>
        <w:tc>
          <w:tcPr>
            <w:tcW w:w="6147" w:type="dxa"/>
            <w:shd w:val="clear" w:color="auto" w:fill="auto"/>
          </w:tcPr>
          <w:p w:rsidR="009602E1" w:rsidRPr="00BF1F9D" w:rsidRDefault="009602E1" w:rsidP="0049066C">
            <w:pPr>
              <w:pStyle w:val="ListParagraph"/>
            </w:pPr>
            <w:r w:rsidRPr="00BF1F9D">
              <w:t>Constipation</w:t>
            </w:r>
          </w:p>
        </w:tc>
      </w:tr>
      <w:tr w:rsidR="009602E1" w:rsidRPr="00BF1F9D" w:rsidTr="00697EF8">
        <w:trPr>
          <w:cantSplit/>
        </w:trPr>
        <w:tc>
          <w:tcPr>
            <w:tcW w:w="1791" w:type="dxa"/>
            <w:shd w:val="clear" w:color="auto" w:fill="auto"/>
          </w:tcPr>
          <w:p w:rsidR="009602E1" w:rsidRPr="00BF1F9D" w:rsidRDefault="009602E1" w:rsidP="0049066C">
            <w:pPr>
              <w:pStyle w:val="ListParagraph"/>
            </w:pPr>
            <w:r w:rsidRPr="00BF1F9D">
              <w:t>Uncommon</w:t>
            </w:r>
          </w:p>
        </w:tc>
        <w:tc>
          <w:tcPr>
            <w:tcW w:w="6147" w:type="dxa"/>
            <w:shd w:val="clear" w:color="auto" w:fill="auto"/>
          </w:tcPr>
          <w:p w:rsidR="009602E1" w:rsidRPr="00BF1F9D" w:rsidRDefault="009602E1" w:rsidP="0049066C">
            <w:pPr>
              <w:pStyle w:val="ListParagraph"/>
            </w:pPr>
            <w:r w:rsidRPr="00BF1F9D">
              <w:t>Pancreatitis</w:t>
            </w:r>
          </w:p>
        </w:tc>
      </w:tr>
      <w:tr w:rsidR="009602E1" w:rsidRPr="00BF1F9D" w:rsidTr="00697EF8">
        <w:trPr>
          <w:cantSplit/>
        </w:trPr>
        <w:tc>
          <w:tcPr>
            <w:tcW w:w="7938" w:type="dxa"/>
            <w:gridSpan w:val="2"/>
            <w:shd w:val="clear" w:color="auto" w:fill="auto"/>
          </w:tcPr>
          <w:p w:rsidR="009602E1" w:rsidRPr="00BF1F9D" w:rsidRDefault="009602E1" w:rsidP="0049066C">
            <w:pPr>
              <w:pStyle w:val="ListParagraph"/>
            </w:pPr>
          </w:p>
          <w:p w:rsidR="009602E1" w:rsidRPr="00BF1F9D" w:rsidRDefault="009602E1" w:rsidP="0049066C">
            <w:pPr>
              <w:pStyle w:val="Heading3"/>
            </w:pPr>
            <w:r w:rsidRPr="00BF1F9D">
              <w:t>Skin and subcutaneous tissue disorders</w:t>
            </w:r>
          </w:p>
        </w:tc>
      </w:tr>
      <w:tr w:rsidR="009602E1" w:rsidRPr="00BF1F9D" w:rsidTr="00697EF8">
        <w:trPr>
          <w:cantSplit/>
        </w:trPr>
        <w:tc>
          <w:tcPr>
            <w:tcW w:w="1791" w:type="dxa"/>
            <w:shd w:val="clear" w:color="auto" w:fill="auto"/>
          </w:tcPr>
          <w:p w:rsidR="009602E1" w:rsidRPr="00BF1F9D" w:rsidRDefault="009602E1" w:rsidP="0049066C">
            <w:pPr>
              <w:pStyle w:val="ListParagraph"/>
            </w:pPr>
            <w:r w:rsidRPr="00BF1F9D">
              <w:t>Very common</w:t>
            </w:r>
          </w:p>
        </w:tc>
        <w:tc>
          <w:tcPr>
            <w:tcW w:w="6147" w:type="dxa"/>
            <w:shd w:val="clear" w:color="auto" w:fill="auto"/>
          </w:tcPr>
          <w:p w:rsidR="009602E1" w:rsidRPr="00BF1F9D" w:rsidRDefault="009602E1" w:rsidP="0049066C">
            <w:pPr>
              <w:pStyle w:val="ListParagraph"/>
            </w:pPr>
            <w:r w:rsidRPr="00BF1F9D">
              <w:t>Skin effects (rash, hyperkeratosis), alopecia,</w:t>
            </w:r>
          </w:p>
          <w:p w:rsidR="009602E1" w:rsidRPr="00BF1F9D" w:rsidRDefault="009602E1" w:rsidP="0049066C">
            <w:pPr>
              <w:pStyle w:val="ListParagraph"/>
            </w:pPr>
            <w:proofErr w:type="spellStart"/>
            <w:r w:rsidRPr="00BF1F9D">
              <w:t>palmar</w:t>
            </w:r>
            <w:proofErr w:type="spellEnd"/>
            <w:r w:rsidRPr="00BF1F9D">
              <w:t xml:space="preserve">-plantar </w:t>
            </w:r>
            <w:proofErr w:type="spellStart"/>
            <w:r w:rsidRPr="00BF1F9D">
              <w:t>erythrodysaesthesia</w:t>
            </w:r>
            <w:proofErr w:type="spellEnd"/>
            <w:r w:rsidRPr="00BF1F9D">
              <w:t xml:space="preserve"> syndrome</w:t>
            </w:r>
          </w:p>
        </w:tc>
      </w:tr>
      <w:tr w:rsidR="009602E1" w:rsidRPr="00BF1F9D" w:rsidTr="00697EF8">
        <w:trPr>
          <w:cantSplit/>
        </w:trPr>
        <w:tc>
          <w:tcPr>
            <w:tcW w:w="1791" w:type="dxa"/>
            <w:shd w:val="clear" w:color="auto" w:fill="auto"/>
          </w:tcPr>
          <w:p w:rsidR="009602E1" w:rsidRPr="00BF1F9D" w:rsidRDefault="009602E1" w:rsidP="0049066C">
            <w:pPr>
              <w:pStyle w:val="ListParagraph"/>
            </w:pPr>
            <w:r w:rsidRPr="00BF1F9D">
              <w:t>Common</w:t>
            </w:r>
          </w:p>
        </w:tc>
        <w:tc>
          <w:tcPr>
            <w:tcW w:w="6147" w:type="dxa"/>
            <w:shd w:val="clear" w:color="auto" w:fill="auto"/>
          </w:tcPr>
          <w:p w:rsidR="009602E1" w:rsidRPr="00BF1F9D" w:rsidRDefault="009602E1" w:rsidP="0049066C">
            <w:pPr>
              <w:pStyle w:val="ListParagraph"/>
            </w:pPr>
            <w:r w:rsidRPr="00BF1F9D">
              <w:t xml:space="preserve">Skin effects (actinic </w:t>
            </w:r>
            <w:proofErr w:type="spellStart"/>
            <w:r w:rsidRPr="00BF1F9D">
              <w:t>keratosis</w:t>
            </w:r>
            <w:proofErr w:type="spellEnd"/>
            <w:r w:rsidRPr="00BF1F9D">
              <w:t xml:space="preserve">, skin lesion, dry skin, </w:t>
            </w:r>
            <w:proofErr w:type="spellStart"/>
            <w:r w:rsidRPr="00BF1F9D">
              <w:t>erythema</w:t>
            </w:r>
            <w:proofErr w:type="spellEnd"/>
            <w:r w:rsidRPr="00BF1F9D">
              <w:t>)</w:t>
            </w:r>
          </w:p>
        </w:tc>
      </w:tr>
      <w:tr w:rsidR="009602E1" w:rsidRPr="00BF1F9D" w:rsidTr="00697EF8">
        <w:trPr>
          <w:cantSplit/>
        </w:trPr>
        <w:tc>
          <w:tcPr>
            <w:tcW w:w="7938" w:type="dxa"/>
            <w:gridSpan w:val="2"/>
            <w:shd w:val="clear" w:color="auto" w:fill="auto"/>
          </w:tcPr>
          <w:p w:rsidR="009602E1" w:rsidRPr="00BF1F9D" w:rsidRDefault="009602E1" w:rsidP="00091CA9">
            <w:pPr>
              <w:pStyle w:val="ListParagraph"/>
            </w:pPr>
          </w:p>
          <w:p w:rsidR="009602E1" w:rsidRPr="00BF1F9D" w:rsidRDefault="009602E1" w:rsidP="0049066C">
            <w:pPr>
              <w:pStyle w:val="Heading3"/>
            </w:pPr>
            <w:r w:rsidRPr="00BF1F9D">
              <w:t>Musculoskeletal and connective tissue disorders</w:t>
            </w:r>
          </w:p>
        </w:tc>
      </w:tr>
      <w:tr w:rsidR="009602E1" w:rsidRPr="00BF1F9D" w:rsidTr="00697EF8">
        <w:trPr>
          <w:cantSplit/>
        </w:trPr>
        <w:tc>
          <w:tcPr>
            <w:tcW w:w="1791" w:type="dxa"/>
            <w:shd w:val="clear" w:color="auto" w:fill="auto"/>
          </w:tcPr>
          <w:p w:rsidR="009602E1" w:rsidRPr="00BF1F9D" w:rsidRDefault="009602E1" w:rsidP="0049066C">
            <w:pPr>
              <w:pStyle w:val="ListParagraph"/>
            </w:pPr>
            <w:r w:rsidRPr="00BF1F9D">
              <w:t>Very common</w:t>
            </w:r>
          </w:p>
        </w:tc>
        <w:tc>
          <w:tcPr>
            <w:tcW w:w="6147" w:type="dxa"/>
            <w:shd w:val="clear" w:color="auto" w:fill="auto"/>
          </w:tcPr>
          <w:p w:rsidR="009602E1" w:rsidRPr="00BF1F9D" w:rsidRDefault="009602E1" w:rsidP="0049066C">
            <w:pPr>
              <w:pStyle w:val="ListParagraph"/>
            </w:pPr>
            <w:proofErr w:type="spellStart"/>
            <w:r w:rsidRPr="00BF1F9D">
              <w:t>Arthralgia</w:t>
            </w:r>
            <w:proofErr w:type="spellEnd"/>
            <w:r w:rsidRPr="00BF1F9D">
              <w:t xml:space="preserve">, </w:t>
            </w:r>
            <w:proofErr w:type="spellStart"/>
            <w:r w:rsidRPr="00BF1F9D">
              <w:t>myalgia</w:t>
            </w:r>
            <w:proofErr w:type="spellEnd"/>
            <w:r w:rsidRPr="00BF1F9D">
              <w:t>, pain in extremity</w:t>
            </w:r>
          </w:p>
        </w:tc>
      </w:tr>
      <w:tr w:rsidR="009602E1" w:rsidRPr="00BF1F9D" w:rsidTr="00697EF8">
        <w:trPr>
          <w:cantSplit/>
        </w:trPr>
        <w:tc>
          <w:tcPr>
            <w:tcW w:w="7938" w:type="dxa"/>
            <w:gridSpan w:val="2"/>
            <w:shd w:val="clear" w:color="auto" w:fill="auto"/>
          </w:tcPr>
          <w:p w:rsidR="009602E1" w:rsidRPr="00BF1F9D" w:rsidRDefault="009602E1" w:rsidP="00091CA9">
            <w:pPr>
              <w:pStyle w:val="ListParagraph"/>
            </w:pPr>
          </w:p>
          <w:p w:rsidR="009602E1" w:rsidRPr="00BF1F9D" w:rsidRDefault="009602E1" w:rsidP="0049066C">
            <w:pPr>
              <w:pStyle w:val="Heading3"/>
            </w:pPr>
            <w:r w:rsidRPr="00BF1F9D">
              <w:t>Renal disorders</w:t>
            </w:r>
          </w:p>
        </w:tc>
      </w:tr>
      <w:tr w:rsidR="009602E1" w:rsidRPr="00697EF8" w:rsidTr="00697EF8">
        <w:trPr>
          <w:cantSplit/>
        </w:trPr>
        <w:tc>
          <w:tcPr>
            <w:tcW w:w="1791" w:type="dxa"/>
            <w:shd w:val="clear" w:color="auto" w:fill="auto"/>
          </w:tcPr>
          <w:p w:rsidR="009602E1" w:rsidRPr="00BF1F9D" w:rsidRDefault="009602E1" w:rsidP="0049066C">
            <w:pPr>
              <w:pStyle w:val="ListParagraph"/>
            </w:pPr>
            <w:r w:rsidRPr="00BF1F9D">
              <w:t>Uncommon</w:t>
            </w:r>
          </w:p>
        </w:tc>
        <w:tc>
          <w:tcPr>
            <w:tcW w:w="6147" w:type="dxa"/>
            <w:shd w:val="clear" w:color="auto" w:fill="auto"/>
          </w:tcPr>
          <w:p w:rsidR="009602E1" w:rsidRPr="00DB4E63" w:rsidRDefault="001342C0" w:rsidP="0049066C">
            <w:pPr>
              <w:pStyle w:val="ListParagraph"/>
              <w:rPr>
                <w:lang w:val="fr-FR"/>
              </w:rPr>
            </w:pPr>
            <w:r w:rsidRPr="001342C0">
              <w:rPr>
                <w:lang w:val="fr-FR"/>
              </w:rPr>
              <w:t>Renal failure, acute renal failure</w:t>
            </w:r>
            <w:r w:rsidR="00177398">
              <w:rPr>
                <w:lang w:val="fr-FR"/>
              </w:rPr>
              <w:t>, nephritis</w:t>
            </w:r>
          </w:p>
        </w:tc>
      </w:tr>
      <w:tr w:rsidR="009602E1" w:rsidRPr="00BF1F9D" w:rsidTr="00697EF8">
        <w:trPr>
          <w:cantSplit/>
          <w:trHeight w:val="598"/>
        </w:trPr>
        <w:tc>
          <w:tcPr>
            <w:tcW w:w="7938" w:type="dxa"/>
            <w:gridSpan w:val="2"/>
            <w:shd w:val="clear" w:color="auto" w:fill="auto"/>
          </w:tcPr>
          <w:p w:rsidR="009602E1" w:rsidRPr="00DB4E63" w:rsidRDefault="009602E1" w:rsidP="00091CA9">
            <w:pPr>
              <w:pStyle w:val="ListParagraph"/>
              <w:rPr>
                <w:lang w:val="fr-FR"/>
              </w:rPr>
            </w:pPr>
          </w:p>
          <w:p w:rsidR="009602E1" w:rsidRPr="00BF1F9D" w:rsidRDefault="009602E1" w:rsidP="0049066C">
            <w:pPr>
              <w:pStyle w:val="Heading3"/>
            </w:pPr>
            <w:r w:rsidRPr="00BF1F9D">
              <w:t>General disorders and administration site conditions</w:t>
            </w:r>
          </w:p>
        </w:tc>
      </w:tr>
      <w:tr w:rsidR="009602E1" w:rsidRPr="00BF1F9D" w:rsidTr="00697EF8">
        <w:trPr>
          <w:cantSplit/>
        </w:trPr>
        <w:tc>
          <w:tcPr>
            <w:tcW w:w="1791" w:type="dxa"/>
            <w:shd w:val="clear" w:color="auto" w:fill="auto"/>
          </w:tcPr>
          <w:p w:rsidR="009602E1" w:rsidRPr="00BF1F9D" w:rsidRDefault="009602E1" w:rsidP="0049066C">
            <w:pPr>
              <w:pStyle w:val="ListParagraph"/>
            </w:pPr>
            <w:r w:rsidRPr="00BF1F9D">
              <w:t>Very common</w:t>
            </w:r>
          </w:p>
        </w:tc>
        <w:tc>
          <w:tcPr>
            <w:tcW w:w="6147" w:type="dxa"/>
            <w:shd w:val="clear" w:color="auto" w:fill="auto"/>
          </w:tcPr>
          <w:p w:rsidR="009602E1" w:rsidRPr="00BF1F9D" w:rsidRDefault="009602E1" w:rsidP="0049066C">
            <w:pPr>
              <w:pStyle w:val="ListParagraph"/>
            </w:pPr>
            <w:r w:rsidRPr="00BF1F9D">
              <w:t>Asthenia, chills, fatigue, pyrexia</w:t>
            </w:r>
          </w:p>
        </w:tc>
      </w:tr>
      <w:tr w:rsidR="009602E1" w:rsidRPr="002C1495" w:rsidTr="00697EF8">
        <w:trPr>
          <w:cantSplit/>
        </w:trPr>
        <w:tc>
          <w:tcPr>
            <w:tcW w:w="1791" w:type="dxa"/>
            <w:shd w:val="clear" w:color="auto" w:fill="auto"/>
          </w:tcPr>
          <w:p w:rsidR="009602E1" w:rsidRPr="00BF1F9D" w:rsidRDefault="009602E1" w:rsidP="0049066C">
            <w:pPr>
              <w:pStyle w:val="ListParagraph"/>
            </w:pPr>
            <w:r w:rsidRPr="00BF1F9D">
              <w:t>Common</w:t>
            </w:r>
          </w:p>
        </w:tc>
        <w:tc>
          <w:tcPr>
            <w:tcW w:w="6147" w:type="dxa"/>
            <w:shd w:val="clear" w:color="auto" w:fill="auto"/>
          </w:tcPr>
          <w:p w:rsidR="009602E1" w:rsidRPr="00BF1F9D" w:rsidRDefault="009602E1" w:rsidP="0049066C">
            <w:pPr>
              <w:pStyle w:val="ListParagraph"/>
            </w:pPr>
            <w:r w:rsidRPr="00BF1F9D">
              <w:t>Influenza-like illness</w:t>
            </w:r>
          </w:p>
        </w:tc>
      </w:tr>
      <w:tr w:rsidR="00697EF8" w:rsidRPr="002C1495" w:rsidTr="00697EF8">
        <w:trPr>
          <w:cantSplit/>
        </w:trPr>
        <w:tc>
          <w:tcPr>
            <w:tcW w:w="1791" w:type="dxa"/>
            <w:shd w:val="clear" w:color="auto" w:fill="auto"/>
          </w:tcPr>
          <w:p w:rsidR="00697EF8" w:rsidRPr="00BF1F9D" w:rsidRDefault="00697EF8" w:rsidP="0049066C">
            <w:pPr>
              <w:pStyle w:val="ListParagraph"/>
            </w:pPr>
          </w:p>
        </w:tc>
        <w:tc>
          <w:tcPr>
            <w:tcW w:w="6147" w:type="dxa"/>
            <w:shd w:val="clear" w:color="auto" w:fill="auto"/>
          </w:tcPr>
          <w:p w:rsidR="00697EF8" w:rsidRPr="00BF1F9D" w:rsidRDefault="00697EF8" w:rsidP="0049066C">
            <w:pPr>
              <w:pStyle w:val="ListParagraph"/>
            </w:pPr>
          </w:p>
        </w:tc>
      </w:tr>
      <w:tr w:rsidR="00697EF8" w:rsidRPr="002C1495" w:rsidTr="00F9335A">
        <w:trPr>
          <w:cantSplit/>
        </w:trPr>
        <w:tc>
          <w:tcPr>
            <w:tcW w:w="7938" w:type="dxa"/>
            <w:gridSpan w:val="2"/>
            <w:shd w:val="clear" w:color="auto" w:fill="auto"/>
          </w:tcPr>
          <w:p w:rsidR="00697EF8" w:rsidRPr="00BF1F9D" w:rsidRDefault="00697EF8" w:rsidP="00697EF8">
            <w:pPr>
              <w:pStyle w:val="Heading3"/>
            </w:pPr>
            <w:r w:rsidRPr="00697EF8">
              <w:lastRenderedPageBreak/>
              <w:t>Investigations</w:t>
            </w:r>
          </w:p>
        </w:tc>
      </w:tr>
      <w:tr w:rsidR="00697EF8" w:rsidRPr="002C1495" w:rsidTr="00697EF8">
        <w:trPr>
          <w:cantSplit/>
        </w:trPr>
        <w:tc>
          <w:tcPr>
            <w:tcW w:w="1791" w:type="dxa"/>
            <w:shd w:val="clear" w:color="auto" w:fill="auto"/>
          </w:tcPr>
          <w:p w:rsidR="00697EF8" w:rsidRPr="00BF1F9D" w:rsidRDefault="00697EF8" w:rsidP="0049066C">
            <w:pPr>
              <w:pStyle w:val="ListParagraph"/>
            </w:pPr>
            <w:r w:rsidRPr="00697EF8">
              <w:t>Common</w:t>
            </w:r>
          </w:p>
        </w:tc>
        <w:tc>
          <w:tcPr>
            <w:tcW w:w="6147" w:type="dxa"/>
            <w:shd w:val="clear" w:color="auto" w:fill="auto"/>
          </w:tcPr>
          <w:p w:rsidR="00697EF8" w:rsidRPr="00BF1F9D" w:rsidRDefault="00697EF8" w:rsidP="0049066C">
            <w:pPr>
              <w:pStyle w:val="ListParagraph"/>
            </w:pPr>
            <w:r>
              <w:t>LVEF decrease</w:t>
            </w:r>
          </w:p>
        </w:tc>
      </w:tr>
      <w:tr w:rsidR="00697EF8" w:rsidRPr="002C1495" w:rsidTr="00697EF8">
        <w:trPr>
          <w:cantSplit/>
        </w:trPr>
        <w:tc>
          <w:tcPr>
            <w:tcW w:w="1791" w:type="dxa"/>
            <w:shd w:val="clear" w:color="auto" w:fill="auto"/>
          </w:tcPr>
          <w:p w:rsidR="00697EF8" w:rsidRPr="00BF1F9D" w:rsidRDefault="00697EF8" w:rsidP="0049066C">
            <w:pPr>
              <w:pStyle w:val="ListParagraph"/>
            </w:pPr>
            <w:r>
              <w:t>Uncommon</w:t>
            </w:r>
          </w:p>
        </w:tc>
        <w:tc>
          <w:tcPr>
            <w:tcW w:w="6147" w:type="dxa"/>
            <w:shd w:val="clear" w:color="auto" w:fill="auto"/>
          </w:tcPr>
          <w:p w:rsidR="00697EF8" w:rsidRPr="00BF1F9D" w:rsidRDefault="00697EF8" w:rsidP="0049066C">
            <w:pPr>
              <w:pStyle w:val="ListParagraph"/>
            </w:pPr>
            <w:r>
              <w:t>QT prolongation</w:t>
            </w:r>
          </w:p>
        </w:tc>
      </w:tr>
    </w:tbl>
    <w:bookmarkEnd w:id="3"/>
    <w:bookmarkEnd w:id="4"/>
    <w:p w:rsidR="009602E1" w:rsidRPr="007F01C3" w:rsidRDefault="00F57809" w:rsidP="0049066C">
      <w:pPr>
        <w:pStyle w:val="ListParagraph"/>
      </w:pPr>
      <w:r>
        <w:fldChar w:fldCharType="begin"/>
      </w:r>
      <w:r w:rsidR="0049066C">
        <w:instrText xml:space="preserve"> REF _Ref354737588 \h  \* MERGEFORMAT </w:instrText>
      </w:r>
      <w:r>
        <w:fldChar w:fldCharType="separate"/>
      </w:r>
      <w:r w:rsidR="0049066C">
        <w:t xml:space="preserve">Table </w:t>
      </w:r>
      <w:r w:rsidR="0049066C">
        <w:rPr>
          <w:noProof/>
        </w:rPr>
        <w:t>4</w:t>
      </w:r>
      <w:r>
        <w:fldChar w:fldCharType="end"/>
      </w:r>
      <w:r w:rsidR="0093449D" w:rsidRPr="007F01C3">
        <w:t xml:space="preserve"> lists the very common (</w:t>
      </w:r>
      <w:r w:rsidR="0093449D" w:rsidRPr="007F01C3">
        <w:sym w:font="Symbol" w:char="F0B3"/>
      </w:r>
      <w:r w:rsidR="0093449D" w:rsidRPr="007F01C3">
        <w:t xml:space="preserve">10% of subjects) adverse events reported in </w:t>
      </w:r>
      <w:r w:rsidR="009602E1" w:rsidRPr="007F01C3">
        <w:t>the Phase III randomi</w:t>
      </w:r>
      <w:r w:rsidR="005D7273" w:rsidRPr="007F01C3">
        <w:t>s</w:t>
      </w:r>
      <w:r w:rsidR="002C1495" w:rsidRPr="007F01C3">
        <w:t xml:space="preserve">ed, </w:t>
      </w:r>
      <w:r w:rsidR="009602E1" w:rsidRPr="007F01C3">
        <w:t>open-label study [BREAK-3]</w:t>
      </w:r>
      <w:r w:rsidR="0093449D" w:rsidRPr="007F01C3">
        <w:t>.</w:t>
      </w:r>
    </w:p>
    <w:p w:rsidR="0049066C" w:rsidRDefault="0049066C" w:rsidP="0049066C">
      <w:pPr>
        <w:pStyle w:val="Caption"/>
      </w:pPr>
      <w:bookmarkStart w:id="5" w:name="_Ref354737588"/>
      <w:r>
        <w:t xml:space="preserve">Table </w:t>
      </w:r>
      <w:fldSimple w:instr=" SEQ Table \* ARABIC ">
        <w:r w:rsidR="00A36833">
          <w:rPr>
            <w:noProof/>
          </w:rPr>
          <w:t>4</w:t>
        </w:r>
      </w:fldSimple>
      <w:bookmarkEnd w:id="5"/>
      <w:r>
        <w:t>:</w:t>
      </w:r>
      <w:r w:rsidRPr="0049066C">
        <w:t xml:space="preserve"> </w:t>
      </w:r>
      <w:r w:rsidRPr="007F01C3">
        <w:t xml:space="preserve">Adverse events reported in at Least 10% of subjects receiving </w:t>
      </w:r>
      <w:r>
        <w:t>TAFINLAR</w:t>
      </w:r>
      <w:r w:rsidRPr="007F01C3">
        <w:t xml:space="preserve"> or Placebo in BREAK-3 (Safety Population) by maximum grade.</w:t>
      </w:r>
    </w:p>
    <w:tbl>
      <w:tblPr>
        <w:tblW w:w="4930" w:type="pct"/>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2905"/>
        <w:gridCol w:w="1002"/>
        <w:gridCol w:w="1002"/>
        <w:gridCol w:w="1002"/>
        <w:gridCol w:w="1002"/>
        <w:gridCol w:w="1004"/>
        <w:gridCol w:w="998"/>
      </w:tblGrid>
      <w:tr w:rsidR="0093449D" w:rsidRPr="007F01C3" w:rsidTr="0093449D">
        <w:trPr>
          <w:trHeight w:val="300"/>
        </w:trPr>
        <w:tc>
          <w:tcPr>
            <w:tcW w:w="1629" w:type="pct"/>
            <w:vMerge w:val="restart"/>
            <w:shd w:val="clear" w:color="auto" w:fill="auto"/>
            <w:hideMark/>
          </w:tcPr>
          <w:p w:rsidR="0093449D" w:rsidRPr="007F01C3" w:rsidRDefault="0093449D" w:rsidP="0093449D">
            <w:pPr>
              <w:pStyle w:val="tabletextNS"/>
              <w:keepNext/>
              <w:rPr>
                <w:rFonts w:ascii="Arial" w:hAnsi="Arial" w:cs="Arial"/>
                <w:sz w:val="22"/>
                <w:szCs w:val="22"/>
              </w:rPr>
            </w:pPr>
            <w:r w:rsidRPr="007F01C3">
              <w:rPr>
                <w:rFonts w:ascii="Arial" w:hAnsi="Arial" w:cs="Arial"/>
                <w:sz w:val="22"/>
                <w:szCs w:val="22"/>
              </w:rPr>
              <w:br w:type="page"/>
            </w:r>
            <w:r w:rsidRPr="007F01C3">
              <w:rPr>
                <w:rFonts w:ascii="Arial" w:hAnsi="Arial" w:cs="Arial"/>
                <w:b/>
                <w:sz w:val="22"/>
                <w:szCs w:val="22"/>
              </w:rPr>
              <w:t>Preferred term</w:t>
            </w:r>
          </w:p>
        </w:tc>
        <w:tc>
          <w:tcPr>
            <w:tcW w:w="3371" w:type="pct"/>
            <w:gridSpan w:val="6"/>
            <w:tcBorders>
              <w:bottom w:val="single" w:sz="4" w:space="0" w:color="auto"/>
            </w:tcBorders>
          </w:tcPr>
          <w:p w:rsidR="0093449D" w:rsidRPr="007F01C3" w:rsidRDefault="0093449D" w:rsidP="0093449D">
            <w:pPr>
              <w:pStyle w:val="tabletextNS"/>
              <w:keepNext/>
              <w:jc w:val="center"/>
              <w:rPr>
                <w:rFonts w:ascii="Arial" w:hAnsi="Arial" w:cs="Arial"/>
                <w:b/>
                <w:bCs/>
                <w:sz w:val="22"/>
                <w:szCs w:val="22"/>
              </w:rPr>
            </w:pPr>
            <w:r w:rsidRPr="007F01C3">
              <w:rPr>
                <w:rFonts w:ascii="Arial" w:hAnsi="Arial" w:cs="Arial"/>
                <w:b/>
                <w:bCs/>
                <w:sz w:val="22"/>
                <w:szCs w:val="22"/>
              </w:rPr>
              <w:t>Number (%) of Subjects</w:t>
            </w:r>
          </w:p>
        </w:tc>
      </w:tr>
      <w:tr w:rsidR="0093449D" w:rsidRPr="007F01C3" w:rsidTr="0093449D">
        <w:trPr>
          <w:trHeight w:val="300"/>
        </w:trPr>
        <w:tc>
          <w:tcPr>
            <w:tcW w:w="1629" w:type="pct"/>
            <w:vMerge/>
            <w:shd w:val="clear" w:color="auto" w:fill="auto"/>
            <w:hideMark/>
          </w:tcPr>
          <w:p w:rsidR="0093449D" w:rsidRPr="007F01C3" w:rsidRDefault="0093449D" w:rsidP="0093449D">
            <w:pPr>
              <w:pStyle w:val="tabletextNS"/>
              <w:keepNext/>
              <w:rPr>
                <w:rFonts w:ascii="Arial" w:hAnsi="Arial" w:cs="Arial"/>
                <w:sz w:val="22"/>
                <w:szCs w:val="22"/>
              </w:rPr>
            </w:pPr>
          </w:p>
        </w:tc>
        <w:tc>
          <w:tcPr>
            <w:tcW w:w="1686" w:type="pct"/>
            <w:gridSpan w:val="3"/>
            <w:tcBorders>
              <w:bottom w:val="single" w:sz="4" w:space="0" w:color="auto"/>
            </w:tcBorders>
          </w:tcPr>
          <w:p w:rsidR="0093449D" w:rsidRPr="007F01C3" w:rsidRDefault="0093449D" w:rsidP="0093449D">
            <w:pPr>
              <w:pStyle w:val="tabletextNS"/>
              <w:keepNext/>
              <w:jc w:val="center"/>
              <w:rPr>
                <w:rFonts w:ascii="Arial" w:hAnsi="Arial" w:cs="Arial"/>
                <w:b/>
                <w:bCs/>
                <w:sz w:val="22"/>
                <w:szCs w:val="22"/>
              </w:rPr>
            </w:pPr>
            <w:proofErr w:type="spellStart"/>
            <w:r w:rsidRPr="007F01C3">
              <w:rPr>
                <w:rFonts w:ascii="Arial" w:hAnsi="Arial" w:cs="Arial"/>
                <w:b/>
                <w:bCs/>
                <w:sz w:val="22"/>
                <w:szCs w:val="22"/>
              </w:rPr>
              <w:t>Dabrafenib</w:t>
            </w:r>
            <w:proofErr w:type="spellEnd"/>
          </w:p>
          <w:p w:rsidR="0093449D" w:rsidRPr="007F01C3" w:rsidRDefault="0093449D" w:rsidP="0093449D">
            <w:pPr>
              <w:pStyle w:val="tabletextNS"/>
              <w:keepNext/>
              <w:jc w:val="center"/>
              <w:rPr>
                <w:rFonts w:ascii="Arial" w:hAnsi="Arial" w:cs="Arial"/>
                <w:b/>
                <w:bCs/>
                <w:sz w:val="22"/>
                <w:szCs w:val="22"/>
              </w:rPr>
            </w:pPr>
            <w:r w:rsidRPr="007F01C3">
              <w:rPr>
                <w:rFonts w:ascii="Arial" w:hAnsi="Arial" w:cs="Arial"/>
                <w:b/>
                <w:bCs/>
                <w:sz w:val="22"/>
                <w:szCs w:val="22"/>
              </w:rPr>
              <w:t>(N=187)</w:t>
            </w:r>
          </w:p>
          <w:p w:rsidR="0093449D" w:rsidRPr="007F01C3" w:rsidRDefault="0093449D" w:rsidP="0093449D">
            <w:pPr>
              <w:pStyle w:val="tabletextNS"/>
              <w:keepNext/>
              <w:jc w:val="center"/>
              <w:rPr>
                <w:rFonts w:ascii="Arial" w:hAnsi="Arial" w:cs="Arial"/>
                <w:b/>
                <w:bCs/>
                <w:sz w:val="22"/>
                <w:szCs w:val="22"/>
              </w:rPr>
            </w:pPr>
          </w:p>
        </w:tc>
        <w:tc>
          <w:tcPr>
            <w:tcW w:w="1685" w:type="pct"/>
            <w:gridSpan w:val="3"/>
            <w:tcBorders>
              <w:top w:val="single" w:sz="4" w:space="0" w:color="auto"/>
              <w:bottom w:val="single" w:sz="4" w:space="0" w:color="auto"/>
            </w:tcBorders>
            <w:shd w:val="clear" w:color="auto" w:fill="auto"/>
          </w:tcPr>
          <w:p w:rsidR="0093449D" w:rsidRPr="007F01C3" w:rsidRDefault="0093449D" w:rsidP="0093449D">
            <w:pPr>
              <w:pStyle w:val="tabletextNS"/>
              <w:keepNext/>
              <w:jc w:val="center"/>
              <w:rPr>
                <w:rFonts w:ascii="Arial" w:hAnsi="Arial" w:cs="Arial"/>
                <w:b/>
                <w:bCs/>
                <w:sz w:val="22"/>
                <w:szCs w:val="22"/>
              </w:rPr>
            </w:pPr>
            <w:r w:rsidRPr="007F01C3">
              <w:rPr>
                <w:rFonts w:ascii="Arial" w:hAnsi="Arial" w:cs="Arial"/>
                <w:b/>
                <w:bCs/>
                <w:sz w:val="22"/>
                <w:szCs w:val="22"/>
              </w:rPr>
              <w:t>DTIC</w:t>
            </w:r>
          </w:p>
          <w:p w:rsidR="0093449D" w:rsidRPr="007F01C3" w:rsidRDefault="0093449D" w:rsidP="0093449D">
            <w:pPr>
              <w:pStyle w:val="tabletextNS"/>
              <w:keepNext/>
              <w:jc w:val="center"/>
              <w:rPr>
                <w:rFonts w:ascii="Arial" w:hAnsi="Arial" w:cs="Arial"/>
                <w:b/>
                <w:bCs/>
                <w:sz w:val="22"/>
                <w:szCs w:val="22"/>
              </w:rPr>
            </w:pPr>
            <w:r w:rsidRPr="007F01C3">
              <w:rPr>
                <w:rFonts w:ascii="Arial" w:hAnsi="Arial" w:cs="Arial"/>
                <w:b/>
                <w:bCs/>
                <w:sz w:val="22"/>
                <w:szCs w:val="22"/>
              </w:rPr>
              <w:t>(N=59)</w:t>
            </w:r>
          </w:p>
        </w:tc>
      </w:tr>
      <w:tr w:rsidR="0093449D" w:rsidRPr="007F01C3" w:rsidTr="0093449D">
        <w:trPr>
          <w:trHeight w:val="316"/>
        </w:trPr>
        <w:tc>
          <w:tcPr>
            <w:tcW w:w="1629" w:type="pct"/>
            <w:vMerge/>
            <w:tcBorders>
              <w:bottom w:val="single" w:sz="4" w:space="0" w:color="auto"/>
            </w:tcBorders>
            <w:shd w:val="clear" w:color="auto" w:fill="auto"/>
            <w:hideMark/>
          </w:tcPr>
          <w:p w:rsidR="0093449D" w:rsidRPr="007F01C3" w:rsidRDefault="0093449D" w:rsidP="0093449D">
            <w:pPr>
              <w:pStyle w:val="tabletextNS"/>
              <w:keepNext/>
              <w:rPr>
                <w:rFonts w:ascii="Arial" w:hAnsi="Arial" w:cs="Arial"/>
                <w:b/>
                <w:bCs/>
                <w:sz w:val="22"/>
                <w:szCs w:val="22"/>
              </w:rPr>
            </w:pPr>
          </w:p>
        </w:tc>
        <w:tc>
          <w:tcPr>
            <w:tcW w:w="562" w:type="pct"/>
            <w:tcBorders>
              <w:bottom w:val="single" w:sz="4" w:space="0" w:color="auto"/>
            </w:tcBorders>
            <w:vAlign w:val="center"/>
          </w:tcPr>
          <w:p w:rsidR="0093449D" w:rsidRPr="007F01C3" w:rsidRDefault="0093449D" w:rsidP="0093449D">
            <w:pPr>
              <w:pStyle w:val="tabletextNS"/>
              <w:keepNext/>
              <w:jc w:val="center"/>
              <w:rPr>
                <w:rFonts w:ascii="Arial" w:hAnsi="Arial" w:cs="Arial"/>
                <w:b/>
                <w:bCs/>
                <w:sz w:val="22"/>
                <w:szCs w:val="22"/>
              </w:rPr>
            </w:pPr>
            <w:r w:rsidRPr="007F01C3">
              <w:rPr>
                <w:rFonts w:ascii="Arial" w:hAnsi="Arial" w:cs="Arial"/>
                <w:b/>
                <w:bCs/>
                <w:sz w:val="22"/>
                <w:szCs w:val="22"/>
              </w:rPr>
              <w:t>Any Grade</w:t>
            </w:r>
          </w:p>
        </w:tc>
        <w:tc>
          <w:tcPr>
            <w:tcW w:w="562" w:type="pct"/>
            <w:tcBorders>
              <w:bottom w:val="single" w:sz="4" w:space="0" w:color="auto"/>
            </w:tcBorders>
            <w:vAlign w:val="center"/>
          </w:tcPr>
          <w:p w:rsidR="0093449D" w:rsidRPr="007F01C3" w:rsidRDefault="0093449D" w:rsidP="0093449D">
            <w:pPr>
              <w:pStyle w:val="tabletextNS"/>
              <w:keepNext/>
              <w:jc w:val="center"/>
              <w:rPr>
                <w:rFonts w:ascii="Arial" w:hAnsi="Arial" w:cs="Arial"/>
                <w:b/>
                <w:bCs/>
                <w:sz w:val="22"/>
                <w:szCs w:val="22"/>
              </w:rPr>
            </w:pPr>
            <w:r w:rsidRPr="007F01C3">
              <w:rPr>
                <w:rFonts w:ascii="Arial" w:hAnsi="Arial" w:cs="Arial"/>
                <w:b/>
                <w:bCs/>
                <w:sz w:val="22"/>
                <w:szCs w:val="22"/>
              </w:rPr>
              <w:t>Grade 3</w:t>
            </w:r>
          </w:p>
        </w:tc>
        <w:tc>
          <w:tcPr>
            <w:tcW w:w="562" w:type="pct"/>
            <w:tcBorders>
              <w:bottom w:val="single" w:sz="4" w:space="0" w:color="auto"/>
            </w:tcBorders>
            <w:vAlign w:val="center"/>
          </w:tcPr>
          <w:p w:rsidR="0093449D" w:rsidRPr="007F01C3" w:rsidRDefault="0093449D" w:rsidP="0093449D">
            <w:pPr>
              <w:pStyle w:val="tabletextNS"/>
              <w:keepNext/>
              <w:jc w:val="center"/>
              <w:rPr>
                <w:rFonts w:ascii="Arial" w:hAnsi="Arial" w:cs="Arial"/>
                <w:b/>
                <w:bCs/>
                <w:sz w:val="22"/>
                <w:szCs w:val="22"/>
              </w:rPr>
            </w:pPr>
            <w:r w:rsidRPr="007F01C3">
              <w:rPr>
                <w:rFonts w:ascii="Arial" w:hAnsi="Arial" w:cs="Arial"/>
                <w:b/>
                <w:bCs/>
                <w:sz w:val="22"/>
                <w:szCs w:val="22"/>
              </w:rPr>
              <w:t>Grade 4</w:t>
            </w:r>
          </w:p>
        </w:tc>
        <w:tc>
          <w:tcPr>
            <w:tcW w:w="562" w:type="pct"/>
            <w:tcBorders>
              <w:top w:val="single" w:sz="4" w:space="0" w:color="auto"/>
              <w:bottom w:val="single" w:sz="4" w:space="0" w:color="auto"/>
            </w:tcBorders>
            <w:shd w:val="clear" w:color="auto" w:fill="auto"/>
            <w:vAlign w:val="center"/>
          </w:tcPr>
          <w:p w:rsidR="0093449D" w:rsidRPr="007F01C3" w:rsidRDefault="0093449D" w:rsidP="0093449D">
            <w:pPr>
              <w:pStyle w:val="tabletextNS"/>
              <w:keepNext/>
              <w:jc w:val="center"/>
              <w:rPr>
                <w:rFonts w:ascii="Arial" w:hAnsi="Arial" w:cs="Arial"/>
                <w:b/>
                <w:bCs/>
                <w:sz w:val="22"/>
                <w:szCs w:val="22"/>
              </w:rPr>
            </w:pPr>
            <w:r w:rsidRPr="007F01C3">
              <w:rPr>
                <w:rFonts w:ascii="Arial" w:hAnsi="Arial" w:cs="Arial"/>
                <w:b/>
                <w:bCs/>
                <w:sz w:val="22"/>
                <w:szCs w:val="22"/>
              </w:rPr>
              <w:t>Any Grade</w:t>
            </w:r>
          </w:p>
        </w:tc>
        <w:tc>
          <w:tcPr>
            <w:tcW w:w="563" w:type="pct"/>
            <w:tcBorders>
              <w:top w:val="single" w:sz="4" w:space="0" w:color="auto"/>
              <w:bottom w:val="single" w:sz="4" w:space="0" w:color="auto"/>
            </w:tcBorders>
            <w:shd w:val="clear" w:color="auto" w:fill="auto"/>
            <w:vAlign w:val="center"/>
          </w:tcPr>
          <w:p w:rsidR="0093449D" w:rsidRPr="007F01C3" w:rsidRDefault="0093449D" w:rsidP="0093449D">
            <w:pPr>
              <w:pStyle w:val="tabletextNS"/>
              <w:keepNext/>
              <w:jc w:val="center"/>
              <w:rPr>
                <w:rFonts w:ascii="Arial" w:hAnsi="Arial" w:cs="Arial"/>
                <w:b/>
                <w:bCs/>
                <w:sz w:val="22"/>
                <w:szCs w:val="22"/>
              </w:rPr>
            </w:pPr>
            <w:r w:rsidRPr="007F01C3">
              <w:rPr>
                <w:rFonts w:ascii="Arial" w:hAnsi="Arial" w:cs="Arial"/>
                <w:b/>
                <w:bCs/>
                <w:sz w:val="22"/>
                <w:szCs w:val="22"/>
              </w:rPr>
              <w:t>Grade 3</w:t>
            </w:r>
          </w:p>
        </w:tc>
        <w:tc>
          <w:tcPr>
            <w:tcW w:w="560" w:type="pct"/>
            <w:tcBorders>
              <w:top w:val="single" w:sz="4" w:space="0" w:color="auto"/>
              <w:bottom w:val="single" w:sz="4" w:space="0" w:color="auto"/>
            </w:tcBorders>
            <w:shd w:val="clear" w:color="auto" w:fill="auto"/>
            <w:vAlign w:val="center"/>
          </w:tcPr>
          <w:p w:rsidR="0093449D" w:rsidRPr="007F01C3" w:rsidRDefault="0093449D" w:rsidP="0093449D">
            <w:pPr>
              <w:pStyle w:val="tabletextNS"/>
              <w:keepNext/>
              <w:jc w:val="center"/>
              <w:rPr>
                <w:rFonts w:ascii="Arial" w:hAnsi="Arial" w:cs="Arial"/>
                <w:b/>
                <w:bCs/>
                <w:sz w:val="22"/>
                <w:szCs w:val="22"/>
              </w:rPr>
            </w:pPr>
            <w:r w:rsidRPr="007F01C3">
              <w:rPr>
                <w:rFonts w:ascii="Arial" w:hAnsi="Arial" w:cs="Arial"/>
                <w:b/>
                <w:bCs/>
                <w:sz w:val="22"/>
                <w:szCs w:val="22"/>
              </w:rPr>
              <w:t>Grade 4</w:t>
            </w:r>
          </w:p>
        </w:tc>
      </w:tr>
      <w:tr w:rsidR="0093449D" w:rsidRPr="007F01C3" w:rsidTr="0093449D">
        <w:trPr>
          <w:trHeight w:val="64"/>
        </w:trPr>
        <w:tc>
          <w:tcPr>
            <w:tcW w:w="1629" w:type="pct"/>
            <w:tcBorders>
              <w:top w:val="single" w:sz="4" w:space="0" w:color="auto"/>
            </w:tcBorders>
            <w:shd w:val="clear" w:color="auto" w:fill="auto"/>
            <w:hideMark/>
          </w:tcPr>
          <w:p w:rsidR="0093449D" w:rsidRPr="007F01C3" w:rsidRDefault="0093449D" w:rsidP="0093449D">
            <w:pPr>
              <w:pStyle w:val="tabletextNS"/>
              <w:keepNext/>
              <w:rPr>
                <w:rFonts w:ascii="Arial" w:hAnsi="Arial" w:cs="Arial"/>
                <w:b/>
                <w:sz w:val="22"/>
                <w:szCs w:val="22"/>
              </w:rPr>
            </w:pPr>
            <w:r w:rsidRPr="007F01C3">
              <w:rPr>
                <w:rFonts w:ascii="Arial" w:hAnsi="Arial" w:cs="Arial"/>
                <w:b/>
                <w:sz w:val="22"/>
                <w:szCs w:val="22"/>
              </w:rPr>
              <w:t>Any event</w:t>
            </w:r>
          </w:p>
        </w:tc>
        <w:tc>
          <w:tcPr>
            <w:tcW w:w="562" w:type="pct"/>
            <w:tcBorders>
              <w:top w:val="single" w:sz="4" w:space="0" w:color="auto"/>
            </w:tcBorders>
          </w:tcPr>
          <w:p w:rsidR="0093449D" w:rsidRPr="007F01C3" w:rsidRDefault="0093449D" w:rsidP="0093449D">
            <w:pPr>
              <w:pStyle w:val="tabletextNS"/>
              <w:keepNext/>
              <w:jc w:val="center"/>
              <w:rPr>
                <w:rFonts w:ascii="Arial" w:hAnsi="Arial" w:cs="Arial"/>
                <w:b/>
                <w:sz w:val="22"/>
                <w:szCs w:val="22"/>
              </w:rPr>
            </w:pPr>
            <w:r w:rsidRPr="007F01C3">
              <w:rPr>
                <w:rFonts w:ascii="Arial" w:hAnsi="Arial" w:cs="Arial"/>
                <w:b/>
                <w:sz w:val="22"/>
                <w:szCs w:val="22"/>
              </w:rPr>
              <w:t>185 (99)</w:t>
            </w:r>
          </w:p>
        </w:tc>
        <w:tc>
          <w:tcPr>
            <w:tcW w:w="562" w:type="pct"/>
            <w:tcBorders>
              <w:top w:val="single" w:sz="4" w:space="0" w:color="auto"/>
            </w:tcBorders>
          </w:tcPr>
          <w:p w:rsidR="0093449D" w:rsidRPr="007F01C3" w:rsidRDefault="0093449D" w:rsidP="0093449D">
            <w:pPr>
              <w:pStyle w:val="tabletextNS"/>
              <w:keepNext/>
              <w:jc w:val="center"/>
              <w:rPr>
                <w:rFonts w:ascii="Arial" w:hAnsi="Arial" w:cs="Arial"/>
                <w:b/>
                <w:sz w:val="22"/>
                <w:szCs w:val="22"/>
              </w:rPr>
            </w:pPr>
            <w:r w:rsidRPr="007F01C3">
              <w:rPr>
                <w:rFonts w:ascii="Arial" w:hAnsi="Arial" w:cs="Arial"/>
                <w:b/>
                <w:sz w:val="22"/>
                <w:szCs w:val="22"/>
              </w:rPr>
              <w:t>55 (29)</w:t>
            </w:r>
          </w:p>
        </w:tc>
        <w:tc>
          <w:tcPr>
            <w:tcW w:w="562" w:type="pct"/>
            <w:tcBorders>
              <w:top w:val="single" w:sz="4" w:space="0" w:color="auto"/>
            </w:tcBorders>
          </w:tcPr>
          <w:p w:rsidR="0093449D" w:rsidRPr="007F01C3" w:rsidRDefault="0093449D" w:rsidP="0093449D">
            <w:pPr>
              <w:pStyle w:val="tabletextNS"/>
              <w:keepNext/>
              <w:jc w:val="center"/>
              <w:rPr>
                <w:rFonts w:ascii="Arial" w:hAnsi="Arial" w:cs="Arial"/>
                <w:b/>
                <w:sz w:val="22"/>
                <w:szCs w:val="22"/>
              </w:rPr>
            </w:pPr>
            <w:r w:rsidRPr="007F01C3">
              <w:rPr>
                <w:rFonts w:ascii="Arial" w:hAnsi="Arial" w:cs="Arial"/>
                <w:b/>
                <w:sz w:val="22"/>
                <w:szCs w:val="22"/>
              </w:rPr>
              <w:t>7 (4)</w:t>
            </w:r>
          </w:p>
        </w:tc>
        <w:tc>
          <w:tcPr>
            <w:tcW w:w="562" w:type="pct"/>
            <w:tcBorders>
              <w:top w:val="single" w:sz="4" w:space="0" w:color="auto"/>
            </w:tcBorders>
            <w:shd w:val="clear" w:color="auto" w:fill="auto"/>
            <w:hideMark/>
          </w:tcPr>
          <w:p w:rsidR="0093449D" w:rsidRPr="007F01C3" w:rsidRDefault="0093449D" w:rsidP="0093449D">
            <w:pPr>
              <w:pStyle w:val="tabletextNS"/>
              <w:keepNext/>
              <w:jc w:val="center"/>
              <w:rPr>
                <w:rFonts w:ascii="Arial" w:hAnsi="Arial" w:cs="Arial"/>
                <w:b/>
                <w:sz w:val="22"/>
                <w:szCs w:val="22"/>
              </w:rPr>
            </w:pPr>
            <w:r w:rsidRPr="007F01C3">
              <w:rPr>
                <w:rFonts w:ascii="Arial" w:hAnsi="Arial" w:cs="Arial"/>
                <w:b/>
                <w:sz w:val="22"/>
                <w:szCs w:val="22"/>
              </w:rPr>
              <w:t>54 (92)</w:t>
            </w:r>
          </w:p>
        </w:tc>
        <w:tc>
          <w:tcPr>
            <w:tcW w:w="563" w:type="pct"/>
            <w:tcBorders>
              <w:top w:val="single" w:sz="4" w:space="0" w:color="auto"/>
            </w:tcBorders>
            <w:shd w:val="clear" w:color="auto" w:fill="auto"/>
            <w:hideMark/>
          </w:tcPr>
          <w:p w:rsidR="0093449D" w:rsidRPr="007F01C3" w:rsidRDefault="0093449D" w:rsidP="0093449D">
            <w:pPr>
              <w:pStyle w:val="tabletextNS"/>
              <w:keepNext/>
              <w:jc w:val="center"/>
              <w:rPr>
                <w:rFonts w:ascii="Arial" w:hAnsi="Arial" w:cs="Arial"/>
                <w:b/>
                <w:sz w:val="22"/>
                <w:szCs w:val="22"/>
              </w:rPr>
            </w:pPr>
            <w:r w:rsidRPr="007F01C3">
              <w:rPr>
                <w:rFonts w:ascii="Arial" w:hAnsi="Arial" w:cs="Arial"/>
                <w:b/>
                <w:sz w:val="22"/>
                <w:szCs w:val="22"/>
              </w:rPr>
              <w:t>16 (27)</w:t>
            </w:r>
          </w:p>
        </w:tc>
        <w:tc>
          <w:tcPr>
            <w:tcW w:w="560" w:type="pct"/>
            <w:tcBorders>
              <w:top w:val="single" w:sz="4" w:space="0" w:color="auto"/>
            </w:tcBorders>
            <w:shd w:val="clear" w:color="auto" w:fill="auto"/>
            <w:hideMark/>
          </w:tcPr>
          <w:p w:rsidR="0093449D" w:rsidRPr="007F01C3" w:rsidRDefault="0093449D" w:rsidP="0093449D">
            <w:pPr>
              <w:pStyle w:val="tabletextNS"/>
              <w:keepNext/>
              <w:jc w:val="center"/>
              <w:rPr>
                <w:rFonts w:ascii="Arial" w:hAnsi="Arial" w:cs="Arial"/>
                <w:b/>
                <w:sz w:val="22"/>
                <w:szCs w:val="22"/>
              </w:rPr>
            </w:pPr>
            <w:r w:rsidRPr="007F01C3">
              <w:rPr>
                <w:rFonts w:ascii="Arial" w:hAnsi="Arial" w:cs="Arial"/>
                <w:b/>
                <w:sz w:val="22"/>
                <w:szCs w:val="22"/>
              </w:rPr>
              <w:t>8 (14)</w:t>
            </w:r>
          </w:p>
        </w:tc>
      </w:tr>
      <w:tr w:rsidR="0093449D" w:rsidRPr="007F01C3" w:rsidTr="0093449D">
        <w:trPr>
          <w:trHeight w:val="74"/>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r w:rsidRPr="007F01C3">
              <w:rPr>
                <w:rFonts w:ascii="Arial" w:hAnsi="Arial" w:cs="Arial"/>
                <w:sz w:val="22"/>
                <w:szCs w:val="22"/>
              </w:rPr>
              <w:t>Hyperkeratosis</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69 (37)</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(&lt;1)</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(&lt;1)</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r>
      <w:tr w:rsidR="0093449D" w:rsidRPr="007F01C3" w:rsidTr="0093449D">
        <w:trPr>
          <w:trHeight w:val="74"/>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r w:rsidRPr="007F01C3">
              <w:rPr>
                <w:rFonts w:ascii="Arial" w:hAnsi="Arial" w:cs="Arial"/>
                <w:sz w:val="22"/>
                <w:szCs w:val="22"/>
              </w:rPr>
              <w:t>Headache</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59 (32)</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5 (8)</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r>
      <w:tr w:rsidR="0093449D" w:rsidRPr="007F01C3" w:rsidTr="0093449D">
        <w:trPr>
          <w:trHeight w:val="74"/>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r w:rsidRPr="007F01C3">
              <w:rPr>
                <w:rFonts w:ascii="Arial" w:hAnsi="Arial" w:cs="Arial"/>
                <w:sz w:val="22"/>
                <w:szCs w:val="22"/>
              </w:rPr>
              <w:t>Pyrexia</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52 (28)</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6 (3)</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6 (10)</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r>
      <w:tr w:rsidR="0093449D" w:rsidRPr="007F01C3" w:rsidTr="0093449D">
        <w:trPr>
          <w:trHeight w:val="74"/>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proofErr w:type="spellStart"/>
            <w:r w:rsidRPr="007F01C3">
              <w:rPr>
                <w:rFonts w:ascii="Arial" w:hAnsi="Arial" w:cs="Arial"/>
                <w:sz w:val="22"/>
                <w:szCs w:val="22"/>
              </w:rPr>
              <w:t>Arthralgia</w:t>
            </w:r>
            <w:proofErr w:type="spellEnd"/>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51 (27)</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2 (1)</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(2)</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r>
      <w:tr w:rsidR="0093449D" w:rsidRPr="007F01C3" w:rsidTr="0093449D">
        <w:trPr>
          <w:trHeight w:val="74"/>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r w:rsidRPr="007F01C3">
              <w:rPr>
                <w:rFonts w:ascii="Arial" w:hAnsi="Arial" w:cs="Arial"/>
                <w:sz w:val="22"/>
                <w:szCs w:val="22"/>
              </w:rPr>
              <w:t xml:space="preserve">Skin </w:t>
            </w:r>
            <w:proofErr w:type="spellStart"/>
            <w:r w:rsidRPr="007F01C3">
              <w:rPr>
                <w:rFonts w:ascii="Arial" w:hAnsi="Arial" w:cs="Arial"/>
                <w:sz w:val="22"/>
                <w:szCs w:val="22"/>
              </w:rPr>
              <w:t>papilloma</w:t>
            </w:r>
            <w:proofErr w:type="spellEnd"/>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45 (24)</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(2)</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r>
      <w:tr w:rsidR="0093449D" w:rsidRPr="007F01C3" w:rsidTr="0093449D">
        <w:trPr>
          <w:trHeight w:val="74"/>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r w:rsidRPr="007F01C3">
              <w:rPr>
                <w:rFonts w:ascii="Arial" w:hAnsi="Arial" w:cs="Arial"/>
                <w:sz w:val="22"/>
                <w:szCs w:val="22"/>
              </w:rPr>
              <w:t>Alopecia</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41 (22)</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(2)</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r>
      <w:tr w:rsidR="0093449D" w:rsidRPr="007F01C3" w:rsidTr="0093449D">
        <w:trPr>
          <w:trHeight w:val="300"/>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r w:rsidRPr="007F01C3">
              <w:rPr>
                <w:rFonts w:ascii="Arial" w:hAnsi="Arial" w:cs="Arial"/>
                <w:sz w:val="22"/>
                <w:szCs w:val="22"/>
              </w:rPr>
              <w:t>PPE syndrome</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37 (20)</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4 (2)</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(2)</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r>
      <w:tr w:rsidR="0093449D" w:rsidRPr="007F01C3" w:rsidTr="0093449D">
        <w:trPr>
          <w:trHeight w:val="74"/>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r w:rsidRPr="007F01C3">
              <w:rPr>
                <w:rFonts w:ascii="Arial" w:hAnsi="Arial" w:cs="Arial"/>
                <w:sz w:val="22"/>
                <w:szCs w:val="22"/>
              </w:rPr>
              <w:t>Fatigue</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36 (19)</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2 (1)</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14 (24)</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r>
      <w:tr w:rsidR="0093449D" w:rsidRPr="007F01C3" w:rsidTr="0093449D">
        <w:trPr>
          <w:trHeight w:val="74"/>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r w:rsidRPr="007F01C3">
              <w:rPr>
                <w:rFonts w:ascii="Arial" w:hAnsi="Arial" w:cs="Arial"/>
                <w:sz w:val="22"/>
                <w:szCs w:val="22"/>
              </w:rPr>
              <w:t>Nausea</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35 (19)</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(&lt;1)</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30 (51)</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r>
      <w:tr w:rsidR="0093449D" w:rsidRPr="007F01C3" w:rsidTr="0093449D">
        <w:trPr>
          <w:trHeight w:val="74"/>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r w:rsidRPr="007F01C3">
              <w:rPr>
                <w:rFonts w:ascii="Arial" w:hAnsi="Arial" w:cs="Arial"/>
                <w:sz w:val="22"/>
                <w:szCs w:val="22"/>
              </w:rPr>
              <w:t>Asthenia</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33 (18)</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(&lt;1)</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9 (15)</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(2)</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r>
      <w:tr w:rsidR="0093449D" w:rsidRPr="007F01C3" w:rsidTr="0093449D">
        <w:trPr>
          <w:trHeight w:val="74"/>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r w:rsidRPr="007F01C3">
              <w:rPr>
                <w:rFonts w:ascii="Arial" w:hAnsi="Arial" w:cs="Arial"/>
                <w:sz w:val="22"/>
                <w:szCs w:val="22"/>
              </w:rPr>
              <w:t>Rash</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31 (17)</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r>
      <w:tr w:rsidR="0093449D" w:rsidRPr="007F01C3" w:rsidTr="0093449D">
        <w:trPr>
          <w:trHeight w:val="74"/>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r w:rsidRPr="007F01C3">
              <w:rPr>
                <w:rFonts w:ascii="Arial" w:hAnsi="Arial" w:cs="Arial"/>
                <w:sz w:val="22"/>
                <w:szCs w:val="22"/>
              </w:rPr>
              <w:t>Vomiting</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23 (12)</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(&lt;1)</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(&lt;1)</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15 (25)</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r>
      <w:tr w:rsidR="0093449D" w:rsidRPr="007F01C3" w:rsidTr="0093449D">
        <w:trPr>
          <w:trHeight w:val="99"/>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r w:rsidRPr="007F01C3">
              <w:rPr>
                <w:rFonts w:ascii="Arial" w:hAnsi="Arial" w:cs="Arial"/>
                <w:sz w:val="22"/>
                <w:szCs w:val="22"/>
              </w:rPr>
              <w:t>Cough</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23 (12)</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3 (5)</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r>
      <w:tr w:rsidR="0093449D" w:rsidRPr="007F01C3" w:rsidTr="0093449D">
        <w:trPr>
          <w:trHeight w:val="74"/>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r w:rsidRPr="007F01C3">
              <w:rPr>
                <w:rFonts w:ascii="Arial" w:hAnsi="Arial" w:cs="Arial"/>
                <w:sz w:val="22"/>
                <w:szCs w:val="22"/>
              </w:rPr>
              <w:t>Back pain</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22 (12)</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5 (3)</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4 (7)</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r>
      <w:tr w:rsidR="0093449D" w:rsidRPr="007F01C3" w:rsidTr="0093449D">
        <w:trPr>
          <w:trHeight w:val="74"/>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r w:rsidRPr="007F01C3">
              <w:rPr>
                <w:rFonts w:ascii="Arial" w:hAnsi="Arial" w:cs="Arial"/>
                <w:sz w:val="22"/>
                <w:szCs w:val="22"/>
              </w:rPr>
              <w:t>Constipation</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21 (11)</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2 (1)</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(&lt;1)</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8 (14)</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r>
      <w:tr w:rsidR="0093449D" w:rsidRPr="007F01C3" w:rsidTr="0093449D">
        <w:trPr>
          <w:trHeight w:val="74"/>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r w:rsidRPr="007F01C3">
              <w:rPr>
                <w:rFonts w:ascii="Arial" w:hAnsi="Arial" w:cs="Arial"/>
                <w:sz w:val="22"/>
                <w:szCs w:val="22"/>
              </w:rPr>
              <w:t>Diarrhoea</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20 (11)</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(&lt;1)</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7 (12)</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r>
      <w:tr w:rsidR="0093449D" w:rsidRPr="007F01C3" w:rsidTr="0093449D">
        <w:trPr>
          <w:trHeight w:val="74"/>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proofErr w:type="spellStart"/>
            <w:r w:rsidRPr="007F01C3">
              <w:rPr>
                <w:rFonts w:ascii="Arial" w:hAnsi="Arial" w:cs="Arial"/>
                <w:sz w:val="22"/>
                <w:szCs w:val="22"/>
              </w:rPr>
              <w:t>Myalgia</w:t>
            </w:r>
            <w:proofErr w:type="spellEnd"/>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20 (11)</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r>
      <w:tr w:rsidR="0093449D" w:rsidRPr="007F01C3" w:rsidTr="0093449D">
        <w:trPr>
          <w:trHeight w:val="74"/>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proofErr w:type="spellStart"/>
            <w:r w:rsidRPr="007F01C3">
              <w:rPr>
                <w:rFonts w:ascii="Arial" w:hAnsi="Arial" w:cs="Arial"/>
                <w:sz w:val="22"/>
                <w:szCs w:val="22"/>
              </w:rPr>
              <w:t>Nasopharyngitis</w:t>
            </w:r>
            <w:proofErr w:type="spellEnd"/>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19 (10)</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2 (3)</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r>
      <w:tr w:rsidR="0093449D" w:rsidRPr="007F01C3" w:rsidTr="0093449D">
        <w:trPr>
          <w:trHeight w:val="74"/>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r w:rsidRPr="007F01C3">
              <w:rPr>
                <w:rFonts w:ascii="Arial" w:hAnsi="Arial" w:cs="Arial"/>
                <w:sz w:val="22"/>
                <w:szCs w:val="22"/>
              </w:rPr>
              <w:t>Pain in extremity</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16 (9)</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(&lt;1)</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7 (12)</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r>
      <w:tr w:rsidR="0093449D" w:rsidRPr="007F01C3" w:rsidTr="0093449D">
        <w:trPr>
          <w:trHeight w:val="74"/>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r w:rsidRPr="007F01C3">
              <w:rPr>
                <w:rFonts w:ascii="Arial" w:hAnsi="Arial" w:cs="Arial"/>
                <w:sz w:val="22"/>
                <w:szCs w:val="22"/>
              </w:rPr>
              <w:t>Abdominal pain</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7 (4)</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(&lt;1)</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8 (14)</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(2)</w:t>
            </w:r>
          </w:p>
        </w:tc>
      </w:tr>
      <w:tr w:rsidR="0093449D" w:rsidRPr="007F01C3" w:rsidTr="0093449D">
        <w:trPr>
          <w:trHeight w:val="74"/>
        </w:trPr>
        <w:tc>
          <w:tcPr>
            <w:tcW w:w="1629" w:type="pct"/>
            <w:shd w:val="clear" w:color="auto" w:fill="auto"/>
            <w:hideMark/>
          </w:tcPr>
          <w:p w:rsidR="0093449D" w:rsidRPr="007F01C3" w:rsidRDefault="0093449D" w:rsidP="0093449D">
            <w:pPr>
              <w:pStyle w:val="tabletextNS"/>
              <w:keepNext/>
              <w:rPr>
                <w:rFonts w:ascii="Arial" w:hAnsi="Arial" w:cs="Arial"/>
                <w:sz w:val="22"/>
                <w:szCs w:val="22"/>
              </w:rPr>
            </w:pPr>
            <w:r w:rsidRPr="007F01C3">
              <w:rPr>
                <w:rFonts w:ascii="Arial" w:hAnsi="Arial" w:cs="Arial"/>
                <w:sz w:val="22"/>
                <w:szCs w:val="22"/>
              </w:rPr>
              <w:t>Anaemia</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7 (4)</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(&lt;1)</w:t>
            </w:r>
          </w:p>
        </w:tc>
        <w:tc>
          <w:tcPr>
            <w:tcW w:w="562" w:type="pct"/>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7 (12)</w:t>
            </w:r>
          </w:p>
        </w:tc>
        <w:tc>
          <w:tcPr>
            <w:tcW w:w="563"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(2)</w:t>
            </w:r>
          </w:p>
        </w:tc>
        <w:tc>
          <w:tcPr>
            <w:tcW w:w="560" w:type="pct"/>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(2)</w:t>
            </w:r>
          </w:p>
        </w:tc>
      </w:tr>
      <w:tr w:rsidR="0093449D" w:rsidRPr="007F01C3" w:rsidTr="0093449D">
        <w:trPr>
          <w:trHeight w:val="74"/>
        </w:trPr>
        <w:tc>
          <w:tcPr>
            <w:tcW w:w="1629" w:type="pct"/>
            <w:tcBorders>
              <w:bottom w:val="nil"/>
            </w:tcBorders>
            <w:shd w:val="clear" w:color="auto" w:fill="auto"/>
            <w:hideMark/>
          </w:tcPr>
          <w:p w:rsidR="0093449D" w:rsidRPr="007F01C3" w:rsidRDefault="0093449D" w:rsidP="0093449D">
            <w:pPr>
              <w:pStyle w:val="tabletextNS"/>
              <w:keepNext/>
              <w:rPr>
                <w:rFonts w:ascii="Arial" w:hAnsi="Arial" w:cs="Arial"/>
                <w:sz w:val="22"/>
                <w:szCs w:val="22"/>
              </w:rPr>
            </w:pPr>
            <w:proofErr w:type="spellStart"/>
            <w:r w:rsidRPr="007F01C3">
              <w:rPr>
                <w:rFonts w:ascii="Arial" w:hAnsi="Arial" w:cs="Arial"/>
                <w:sz w:val="22"/>
                <w:szCs w:val="22"/>
              </w:rPr>
              <w:t>Neutropenia</w:t>
            </w:r>
            <w:proofErr w:type="spellEnd"/>
          </w:p>
        </w:tc>
        <w:tc>
          <w:tcPr>
            <w:tcW w:w="562" w:type="pct"/>
            <w:tcBorders>
              <w:bottom w:val="nil"/>
            </w:tcBorders>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2 (1)</w:t>
            </w:r>
          </w:p>
        </w:tc>
        <w:tc>
          <w:tcPr>
            <w:tcW w:w="562" w:type="pct"/>
            <w:tcBorders>
              <w:bottom w:val="nil"/>
            </w:tcBorders>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(&lt;1)</w:t>
            </w:r>
          </w:p>
        </w:tc>
        <w:tc>
          <w:tcPr>
            <w:tcW w:w="562" w:type="pct"/>
            <w:tcBorders>
              <w:bottom w:val="nil"/>
            </w:tcBorders>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tcBorders>
              <w:bottom w:val="nil"/>
            </w:tcBorders>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10 (17)</w:t>
            </w:r>
          </w:p>
        </w:tc>
        <w:tc>
          <w:tcPr>
            <w:tcW w:w="563" w:type="pct"/>
            <w:tcBorders>
              <w:bottom w:val="nil"/>
            </w:tcBorders>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4 (7)</w:t>
            </w:r>
          </w:p>
        </w:tc>
        <w:tc>
          <w:tcPr>
            <w:tcW w:w="560" w:type="pct"/>
            <w:tcBorders>
              <w:bottom w:val="nil"/>
            </w:tcBorders>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4 (7)</w:t>
            </w:r>
          </w:p>
        </w:tc>
      </w:tr>
      <w:tr w:rsidR="0093449D" w:rsidRPr="007F01C3" w:rsidTr="0093449D">
        <w:trPr>
          <w:trHeight w:val="74"/>
        </w:trPr>
        <w:tc>
          <w:tcPr>
            <w:tcW w:w="1629" w:type="pct"/>
            <w:tcBorders>
              <w:top w:val="nil"/>
              <w:bottom w:val="single" w:sz="4" w:space="0" w:color="auto"/>
            </w:tcBorders>
            <w:shd w:val="clear" w:color="auto" w:fill="auto"/>
            <w:hideMark/>
          </w:tcPr>
          <w:p w:rsidR="0093449D" w:rsidRPr="007F01C3" w:rsidRDefault="0093449D" w:rsidP="0093449D">
            <w:pPr>
              <w:pStyle w:val="tabletextNS"/>
              <w:keepNext/>
              <w:rPr>
                <w:rFonts w:ascii="Arial" w:hAnsi="Arial" w:cs="Arial"/>
                <w:sz w:val="22"/>
                <w:szCs w:val="22"/>
              </w:rPr>
            </w:pPr>
            <w:proofErr w:type="spellStart"/>
            <w:r w:rsidRPr="007F01C3">
              <w:rPr>
                <w:rFonts w:ascii="Arial" w:hAnsi="Arial" w:cs="Arial"/>
                <w:sz w:val="22"/>
                <w:szCs w:val="22"/>
              </w:rPr>
              <w:t>Leukopenia</w:t>
            </w:r>
            <w:proofErr w:type="spellEnd"/>
          </w:p>
        </w:tc>
        <w:tc>
          <w:tcPr>
            <w:tcW w:w="562" w:type="pct"/>
            <w:tcBorders>
              <w:top w:val="nil"/>
              <w:bottom w:val="single" w:sz="4" w:space="0" w:color="auto"/>
            </w:tcBorders>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1 (&lt;1)</w:t>
            </w:r>
          </w:p>
        </w:tc>
        <w:tc>
          <w:tcPr>
            <w:tcW w:w="562" w:type="pct"/>
            <w:tcBorders>
              <w:top w:val="nil"/>
              <w:bottom w:val="single" w:sz="4" w:space="0" w:color="auto"/>
            </w:tcBorders>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tcBorders>
              <w:top w:val="nil"/>
              <w:bottom w:val="single" w:sz="4" w:space="0" w:color="auto"/>
            </w:tcBorders>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c>
          <w:tcPr>
            <w:tcW w:w="562" w:type="pct"/>
            <w:tcBorders>
              <w:top w:val="nil"/>
              <w:bottom w:val="single" w:sz="4" w:space="0" w:color="auto"/>
            </w:tcBorders>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6 (10)</w:t>
            </w:r>
          </w:p>
        </w:tc>
        <w:tc>
          <w:tcPr>
            <w:tcW w:w="563" w:type="pct"/>
            <w:tcBorders>
              <w:top w:val="nil"/>
              <w:bottom w:val="single" w:sz="4" w:space="0" w:color="auto"/>
            </w:tcBorders>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2 (3)</w:t>
            </w:r>
          </w:p>
        </w:tc>
        <w:tc>
          <w:tcPr>
            <w:tcW w:w="560" w:type="pct"/>
            <w:tcBorders>
              <w:top w:val="nil"/>
              <w:bottom w:val="single" w:sz="4" w:space="0" w:color="auto"/>
            </w:tcBorders>
            <w:shd w:val="clear" w:color="auto" w:fill="auto"/>
            <w:hideMark/>
          </w:tcPr>
          <w:p w:rsidR="0093449D" w:rsidRPr="007F01C3" w:rsidRDefault="0093449D" w:rsidP="0093449D">
            <w:pPr>
              <w:pStyle w:val="tabletextNS"/>
              <w:keepNext/>
              <w:jc w:val="center"/>
              <w:rPr>
                <w:rFonts w:ascii="Arial" w:hAnsi="Arial" w:cs="Arial"/>
                <w:sz w:val="22"/>
                <w:szCs w:val="22"/>
              </w:rPr>
            </w:pPr>
            <w:r w:rsidRPr="007F01C3">
              <w:rPr>
                <w:rFonts w:ascii="Arial" w:hAnsi="Arial" w:cs="Arial"/>
                <w:sz w:val="22"/>
                <w:szCs w:val="22"/>
              </w:rPr>
              <w:t>0</w:t>
            </w:r>
          </w:p>
        </w:tc>
      </w:tr>
    </w:tbl>
    <w:p w:rsidR="009602E1" w:rsidRDefault="0092108F" w:rsidP="00B94D46">
      <w:pPr>
        <w:pStyle w:val="ListParagraph"/>
        <w:rPr>
          <w:sz w:val="18"/>
        </w:rPr>
      </w:pPr>
      <w:r w:rsidRPr="00B94D46">
        <w:rPr>
          <w:sz w:val="18"/>
        </w:rPr>
        <w:t xml:space="preserve">DTIC = </w:t>
      </w:r>
      <w:proofErr w:type="spellStart"/>
      <w:r w:rsidRPr="00B94D46">
        <w:rPr>
          <w:sz w:val="18"/>
        </w:rPr>
        <w:t>dacarbazine</w:t>
      </w:r>
      <w:proofErr w:type="spellEnd"/>
      <w:r w:rsidRPr="00B94D46">
        <w:rPr>
          <w:sz w:val="18"/>
        </w:rPr>
        <w:t xml:space="preserve">, PPE = </w:t>
      </w:r>
      <w:proofErr w:type="spellStart"/>
      <w:r w:rsidRPr="00B94D46">
        <w:rPr>
          <w:sz w:val="18"/>
        </w:rPr>
        <w:t>palmar</w:t>
      </w:r>
      <w:proofErr w:type="spellEnd"/>
      <w:r w:rsidRPr="00B94D46">
        <w:rPr>
          <w:sz w:val="18"/>
        </w:rPr>
        <w:t xml:space="preserve">-plantar </w:t>
      </w:r>
      <w:proofErr w:type="spellStart"/>
      <w:r w:rsidRPr="00B94D46">
        <w:rPr>
          <w:sz w:val="18"/>
        </w:rPr>
        <w:t>erythrodysaesthesia</w:t>
      </w:r>
      <w:proofErr w:type="spellEnd"/>
    </w:p>
    <w:p w:rsidR="00A36833" w:rsidRDefault="00A36833" w:rsidP="00A36833">
      <w:pPr>
        <w:pStyle w:val="Caption"/>
      </w:pPr>
      <w:r>
        <w:lastRenderedPageBreak/>
        <w:t xml:space="preserve">Table </w:t>
      </w:r>
      <w:fldSimple w:instr=" SEQ Table \* ARABIC ">
        <w:r>
          <w:rPr>
            <w:noProof/>
          </w:rPr>
          <w:t>5</w:t>
        </w:r>
      </w:fldSimple>
      <w:r>
        <w:t xml:space="preserve"> Incidence of Laboratory Abnormalities Increased from Baseline Occurring at a Higher Incidence in Patients Treated with TAFINLAR in BRF113683 [Between Arm Difference of ≥5% (All Grades) or ≥2% (Grades 3 or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2"/>
        <w:gridCol w:w="1732"/>
        <w:gridCol w:w="1732"/>
        <w:gridCol w:w="1733"/>
        <w:gridCol w:w="1733"/>
      </w:tblGrid>
      <w:tr w:rsidR="00697EF8" w:rsidTr="00697EF8">
        <w:tc>
          <w:tcPr>
            <w:tcW w:w="2084" w:type="dxa"/>
          </w:tcPr>
          <w:p w:rsidR="00697EF8" w:rsidRPr="00697EF8" w:rsidRDefault="00697EF8" w:rsidP="00697EF8">
            <w:pPr>
              <w:pStyle w:val="tabletextNS"/>
              <w:keepNext/>
              <w:jc w:val="center"/>
              <w:rPr>
                <w:rFonts w:ascii="Arial" w:hAnsi="Arial" w:cs="Arial"/>
                <w:b/>
                <w:bCs/>
                <w:sz w:val="22"/>
                <w:szCs w:val="22"/>
              </w:rPr>
            </w:pPr>
          </w:p>
        </w:tc>
        <w:tc>
          <w:tcPr>
            <w:tcW w:w="3478" w:type="dxa"/>
            <w:gridSpan w:val="2"/>
          </w:tcPr>
          <w:p w:rsidR="00697EF8" w:rsidRPr="00697EF8" w:rsidRDefault="00697EF8" w:rsidP="00697EF8">
            <w:pPr>
              <w:pStyle w:val="tabletextNS"/>
              <w:keepNext/>
              <w:jc w:val="center"/>
              <w:rPr>
                <w:rFonts w:ascii="Arial" w:hAnsi="Arial" w:cs="Arial"/>
                <w:b/>
                <w:bCs/>
                <w:sz w:val="22"/>
                <w:szCs w:val="22"/>
              </w:rPr>
            </w:pPr>
            <w:proofErr w:type="spellStart"/>
            <w:r w:rsidRPr="00697EF8">
              <w:rPr>
                <w:rFonts w:ascii="Arial" w:hAnsi="Arial" w:cs="Arial"/>
                <w:b/>
                <w:bCs/>
                <w:sz w:val="22"/>
                <w:szCs w:val="22"/>
              </w:rPr>
              <w:t>Dabrafenib</w:t>
            </w:r>
            <w:proofErr w:type="spellEnd"/>
            <w:r w:rsidRPr="00697EF8">
              <w:rPr>
                <w:rFonts w:ascii="Arial" w:hAnsi="Arial" w:cs="Arial"/>
                <w:b/>
                <w:bCs/>
                <w:sz w:val="22"/>
                <w:szCs w:val="22"/>
              </w:rPr>
              <w:t xml:space="preserve"> (n=187)</w:t>
            </w:r>
          </w:p>
        </w:tc>
        <w:tc>
          <w:tcPr>
            <w:tcW w:w="3480" w:type="dxa"/>
            <w:gridSpan w:val="2"/>
          </w:tcPr>
          <w:p w:rsidR="00697EF8" w:rsidRDefault="00697EF8" w:rsidP="00697EF8">
            <w:pPr>
              <w:pStyle w:val="ListParagraph"/>
              <w:jc w:val="center"/>
            </w:pPr>
            <w:r>
              <w:t>DTIC (n=59)</w:t>
            </w:r>
          </w:p>
        </w:tc>
      </w:tr>
      <w:tr w:rsidR="00BE7E9A" w:rsidTr="00697EF8">
        <w:tc>
          <w:tcPr>
            <w:tcW w:w="2084" w:type="dxa"/>
          </w:tcPr>
          <w:p w:rsidR="00697EF8" w:rsidRPr="00697EF8" w:rsidRDefault="00697EF8" w:rsidP="00697EF8">
            <w:pPr>
              <w:pStyle w:val="tabletextNS"/>
              <w:keepNext/>
              <w:jc w:val="center"/>
              <w:rPr>
                <w:rFonts w:ascii="Arial" w:hAnsi="Arial" w:cs="Arial"/>
                <w:b/>
                <w:bCs/>
                <w:sz w:val="22"/>
                <w:szCs w:val="22"/>
              </w:rPr>
            </w:pPr>
          </w:p>
        </w:tc>
        <w:tc>
          <w:tcPr>
            <w:tcW w:w="1739" w:type="dxa"/>
          </w:tcPr>
          <w:p w:rsidR="00697EF8" w:rsidRPr="00697EF8" w:rsidRDefault="00697EF8" w:rsidP="00A36833">
            <w:pPr>
              <w:pStyle w:val="tabletextNS"/>
              <w:keepNext/>
              <w:jc w:val="center"/>
              <w:rPr>
                <w:rFonts w:ascii="Arial" w:hAnsi="Arial" w:cs="Arial"/>
                <w:b/>
                <w:bCs/>
                <w:sz w:val="22"/>
                <w:szCs w:val="22"/>
              </w:rPr>
            </w:pPr>
            <w:r w:rsidRPr="00697EF8">
              <w:rPr>
                <w:rFonts w:ascii="Arial" w:hAnsi="Arial" w:cs="Arial"/>
                <w:b/>
                <w:bCs/>
                <w:sz w:val="22"/>
                <w:szCs w:val="22"/>
              </w:rPr>
              <w:t>All</w:t>
            </w:r>
            <w:r w:rsidR="00A36833">
              <w:rPr>
                <w:rFonts w:ascii="Arial" w:hAnsi="Arial" w:cs="Arial"/>
                <w:b/>
                <w:bCs/>
                <w:sz w:val="22"/>
                <w:szCs w:val="22"/>
              </w:rPr>
              <w:t xml:space="preserve"> </w:t>
            </w:r>
            <w:r w:rsidRPr="00697EF8">
              <w:rPr>
                <w:rFonts w:ascii="Arial" w:hAnsi="Arial" w:cs="Arial"/>
                <w:b/>
                <w:bCs/>
                <w:sz w:val="22"/>
                <w:szCs w:val="22"/>
              </w:rPr>
              <w:t>Grades</w:t>
            </w:r>
            <w:r w:rsidR="00A36833">
              <w:rPr>
                <w:rFonts w:ascii="Arial" w:hAnsi="Arial" w:cs="Arial"/>
                <w:b/>
                <w:bCs/>
                <w:sz w:val="22"/>
                <w:szCs w:val="22"/>
              </w:rPr>
              <w:t xml:space="preserve"> </w:t>
            </w:r>
            <w:r w:rsidRPr="00697EF8">
              <w:rPr>
                <w:rFonts w:ascii="Arial" w:hAnsi="Arial" w:cs="Arial"/>
                <w:b/>
                <w:bCs/>
                <w:sz w:val="22"/>
                <w:szCs w:val="22"/>
              </w:rPr>
              <w:t>(%)</w:t>
            </w:r>
          </w:p>
        </w:tc>
        <w:tc>
          <w:tcPr>
            <w:tcW w:w="1739" w:type="dxa"/>
          </w:tcPr>
          <w:p w:rsidR="00697EF8" w:rsidRPr="00697EF8" w:rsidRDefault="00697EF8" w:rsidP="00A36833">
            <w:pPr>
              <w:pStyle w:val="tabletextNS"/>
              <w:keepNext/>
              <w:jc w:val="center"/>
              <w:rPr>
                <w:rFonts w:ascii="Arial" w:hAnsi="Arial" w:cs="Arial"/>
                <w:b/>
                <w:bCs/>
                <w:sz w:val="22"/>
                <w:szCs w:val="22"/>
              </w:rPr>
            </w:pPr>
            <w:r w:rsidRPr="00697EF8">
              <w:rPr>
                <w:rFonts w:ascii="Arial" w:hAnsi="Arial" w:cs="Arial"/>
                <w:b/>
                <w:bCs/>
                <w:sz w:val="22"/>
                <w:szCs w:val="22"/>
              </w:rPr>
              <w:t>Grades 3 and 4</w:t>
            </w:r>
            <w:r w:rsidR="00A36833">
              <w:rPr>
                <w:rFonts w:ascii="Arial" w:hAnsi="Arial" w:cs="Arial"/>
                <w:b/>
                <w:bCs/>
                <w:sz w:val="22"/>
                <w:szCs w:val="22"/>
              </w:rPr>
              <w:t xml:space="preserve"> </w:t>
            </w:r>
            <w:r w:rsidRPr="00697EF8">
              <w:rPr>
                <w:rFonts w:ascii="Arial" w:hAnsi="Arial" w:cs="Arial"/>
                <w:b/>
                <w:bCs/>
                <w:sz w:val="22"/>
                <w:szCs w:val="22"/>
              </w:rPr>
              <w:t>(%)</w:t>
            </w:r>
          </w:p>
        </w:tc>
        <w:tc>
          <w:tcPr>
            <w:tcW w:w="1740" w:type="dxa"/>
          </w:tcPr>
          <w:p w:rsidR="00697EF8" w:rsidRPr="00697EF8" w:rsidRDefault="00697EF8" w:rsidP="00A36833">
            <w:pPr>
              <w:pStyle w:val="tabletextNS"/>
              <w:keepNext/>
              <w:jc w:val="center"/>
              <w:rPr>
                <w:rFonts w:ascii="Arial" w:hAnsi="Arial" w:cs="Arial"/>
                <w:b/>
                <w:bCs/>
                <w:sz w:val="22"/>
                <w:szCs w:val="22"/>
              </w:rPr>
            </w:pPr>
            <w:r w:rsidRPr="00697EF8">
              <w:rPr>
                <w:rFonts w:ascii="Arial" w:hAnsi="Arial" w:cs="Arial"/>
                <w:b/>
                <w:bCs/>
                <w:sz w:val="22"/>
                <w:szCs w:val="22"/>
              </w:rPr>
              <w:t>All</w:t>
            </w:r>
            <w:r w:rsidR="00A36833">
              <w:rPr>
                <w:rFonts w:ascii="Arial" w:hAnsi="Arial" w:cs="Arial"/>
                <w:b/>
                <w:bCs/>
                <w:sz w:val="22"/>
                <w:szCs w:val="22"/>
              </w:rPr>
              <w:t xml:space="preserve"> </w:t>
            </w:r>
            <w:r w:rsidRPr="00697EF8">
              <w:rPr>
                <w:rFonts w:ascii="Arial" w:hAnsi="Arial" w:cs="Arial"/>
                <w:b/>
                <w:bCs/>
                <w:sz w:val="22"/>
                <w:szCs w:val="22"/>
              </w:rPr>
              <w:t>Grades</w:t>
            </w:r>
            <w:r w:rsidR="00A36833">
              <w:rPr>
                <w:rFonts w:ascii="Arial" w:hAnsi="Arial" w:cs="Arial"/>
                <w:b/>
                <w:bCs/>
                <w:sz w:val="22"/>
                <w:szCs w:val="22"/>
              </w:rPr>
              <w:t xml:space="preserve"> </w:t>
            </w:r>
            <w:r w:rsidRPr="00697EF8">
              <w:rPr>
                <w:rFonts w:ascii="Arial" w:hAnsi="Arial" w:cs="Arial"/>
                <w:b/>
                <w:bCs/>
                <w:sz w:val="22"/>
                <w:szCs w:val="22"/>
              </w:rPr>
              <w:t>(%)</w:t>
            </w:r>
          </w:p>
        </w:tc>
        <w:tc>
          <w:tcPr>
            <w:tcW w:w="1740" w:type="dxa"/>
          </w:tcPr>
          <w:p w:rsidR="00697EF8" w:rsidRDefault="00697EF8" w:rsidP="00A36833">
            <w:pPr>
              <w:pStyle w:val="tabletextNS"/>
              <w:keepNext/>
              <w:jc w:val="center"/>
            </w:pPr>
            <w:r w:rsidRPr="00697EF8">
              <w:rPr>
                <w:rFonts w:ascii="Arial" w:hAnsi="Arial" w:cs="Arial"/>
                <w:b/>
                <w:bCs/>
                <w:sz w:val="22"/>
                <w:szCs w:val="22"/>
              </w:rPr>
              <w:t>Grades 3 and 4</w:t>
            </w:r>
            <w:r w:rsidR="00A36833">
              <w:rPr>
                <w:rFonts w:ascii="Arial" w:hAnsi="Arial" w:cs="Arial"/>
                <w:b/>
                <w:bCs/>
                <w:sz w:val="22"/>
                <w:szCs w:val="22"/>
              </w:rPr>
              <w:t xml:space="preserve"> </w:t>
            </w:r>
            <w:r w:rsidRPr="00697EF8">
              <w:rPr>
                <w:rFonts w:ascii="Arial" w:hAnsi="Arial" w:cs="Arial"/>
                <w:b/>
                <w:bCs/>
                <w:sz w:val="22"/>
                <w:szCs w:val="22"/>
              </w:rPr>
              <w:t>(%)</w:t>
            </w:r>
          </w:p>
        </w:tc>
      </w:tr>
      <w:tr w:rsidR="00BE7E9A" w:rsidTr="00697EF8">
        <w:tc>
          <w:tcPr>
            <w:tcW w:w="2084" w:type="dxa"/>
          </w:tcPr>
          <w:p w:rsidR="00697EF8" w:rsidRPr="00A36833" w:rsidRDefault="00697EF8" w:rsidP="00697EF8">
            <w:pPr>
              <w:pStyle w:val="tabletextNS"/>
              <w:keepNext/>
              <w:jc w:val="center"/>
              <w:rPr>
                <w:rFonts w:ascii="Arial" w:hAnsi="Arial" w:cs="Arial"/>
                <w:bCs/>
                <w:sz w:val="22"/>
                <w:szCs w:val="22"/>
              </w:rPr>
            </w:pPr>
            <w:proofErr w:type="spellStart"/>
            <w:r w:rsidRPr="00A36833">
              <w:rPr>
                <w:rFonts w:ascii="Arial" w:hAnsi="Arial" w:cs="Arial"/>
                <w:bCs/>
                <w:sz w:val="22"/>
                <w:szCs w:val="22"/>
              </w:rPr>
              <w:t>Hyperglycemia</w:t>
            </w:r>
            <w:proofErr w:type="spellEnd"/>
          </w:p>
        </w:tc>
        <w:tc>
          <w:tcPr>
            <w:tcW w:w="1739" w:type="dxa"/>
          </w:tcPr>
          <w:p w:rsidR="00697EF8" w:rsidRPr="00697EF8" w:rsidRDefault="00697EF8" w:rsidP="00697EF8">
            <w:pPr>
              <w:pStyle w:val="tabletextNS"/>
              <w:keepNext/>
              <w:jc w:val="center"/>
              <w:rPr>
                <w:rFonts w:ascii="Arial" w:hAnsi="Arial" w:cs="Arial"/>
                <w:b/>
                <w:bCs/>
                <w:sz w:val="22"/>
                <w:szCs w:val="22"/>
              </w:rPr>
            </w:pPr>
            <w:r w:rsidRPr="00697EF8">
              <w:rPr>
                <w:rFonts w:ascii="Arial" w:hAnsi="Arial" w:cs="Arial"/>
                <w:b/>
                <w:bCs/>
                <w:sz w:val="22"/>
                <w:szCs w:val="22"/>
              </w:rPr>
              <w:t>50</w:t>
            </w:r>
          </w:p>
        </w:tc>
        <w:tc>
          <w:tcPr>
            <w:tcW w:w="1739" w:type="dxa"/>
          </w:tcPr>
          <w:p w:rsidR="00697EF8" w:rsidRPr="00697EF8" w:rsidRDefault="00697EF8" w:rsidP="00697EF8">
            <w:pPr>
              <w:pStyle w:val="tabletextNS"/>
              <w:keepNext/>
              <w:jc w:val="center"/>
              <w:rPr>
                <w:rFonts w:ascii="Arial" w:hAnsi="Arial" w:cs="Arial"/>
                <w:b/>
                <w:bCs/>
                <w:sz w:val="22"/>
                <w:szCs w:val="22"/>
              </w:rPr>
            </w:pPr>
            <w:r w:rsidRPr="00697EF8">
              <w:rPr>
                <w:rFonts w:ascii="Arial" w:hAnsi="Arial" w:cs="Arial"/>
                <w:b/>
                <w:bCs/>
                <w:sz w:val="22"/>
                <w:szCs w:val="22"/>
              </w:rPr>
              <w:t>6</w:t>
            </w:r>
          </w:p>
        </w:tc>
        <w:tc>
          <w:tcPr>
            <w:tcW w:w="1740" w:type="dxa"/>
          </w:tcPr>
          <w:p w:rsidR="00697EF8" w:rsidRPr="00697EF8" w:rsidRDefault="00697EF8" w:rsidP="00697EF8">
            <w:pPr>
              <w:pStyle w:val="tabletextNS"/>
              <w:keepNext/>
              <w:jc w:val="center"/>
              <w:rPr>
                <w:rFonts w:ascii="Arial" w:hAnsi="Arial" w:cs="Arial"/>
                <w:b/>
                <w:bCs/>
                <w:sz w:val="22"/>
                <w:szCs w:val="22"/>
              </w:rPr>
            </w:pPr>
            <w:r w:rsidRPr="00697EF8">
              <w:rPr>
                <w:rFonts w:ascii="Arial" w:hAnsi="Arial" w:cs="Arial"/>
                <w:b/>
                <w:bCs/>
                <w:sz w:val="22"/>
                <w:szCs w:val="22"/>
              </w:rPr>
              <w:t>43</w:t>
            </w:r>
          </w:p>
        </w:tc>
        <w:tc>
          <w:tcPr>
            <w:tcW w:w="1740" w:type="dxa"/>
          </w:tcPr>
          <w:p w:rsidR="00697EF8" w:rsidRDefault="00697EF8" w:rsidP="00697EF8">
            <w:pPr>
              <w:pStyle w:val="ListParagraph"/>
              <w:jc w:val="center"/>
            </w:pPr>
            <w:r>
              <w:t>0</w:t>
            </w:r>
          </w:p>
        </w:tc>
      </w:tr>
      <w:tr w:rsidR="00BE7E9A" w:rsidTr="00697EF8">
        <w:tc>
          <w:tcPr>
            <w:tcW w:w="2084" w:type="dxa"/>
          </w:tcPr>
          <w:p w:rsidR="00697EF8" w:rsidRPr="00A36833" w:rsidRDefault="00697EF8" w:rsidP="00697EF8">
            <w:pPr>
              <w:pStyle w:val="tabletextNS"/>
              <w:keepNext/>
              <w:jc w:val="center"/>
              <w:rPr>
                <w:rFonts w:ascii="Arial" w:hAnsi="Arial" w:cs="Arial"/>
                <w:b/>
                <w:bCs/>
                <w:sz w:val="22"/>
                <w:szCs w:val="22"/>
              </w:rPr>
            </w:pPr>
            <w:proofErr w:type="spellStart"/>
            <w:r w:rsidRPr="00A36833">
              <w:rPr>
                <w:rFonts w:ascii="Arial" w:hAnsi="Arial" w:cs="Arial"/>
                <w:sz w:val="22"/>
                <w:szCs w:val="22"/>
              </w:rPr>
              <w:t>Hypophosphatemia</w:t>
            </w:r>
            <w:proofErr w:type="spellEnd"/>
          </w:p>
        </w:tc>
        <w:tc>
          <w:tcPr>
            <w:tcW w:w="1739" w:type="dxa"/>
          </w:tcPr>
          <w:p w:rsidR="00697EF8" w:rsidRPr="00697EF8" w:rsidRDefault="00697EF8" w:rsidP="00697EF8">
            <w:pPr>
              <w:pStyle w:val="tabletextNS"/>
              <w:keepNext/>
              <w:jc w:val="center"/>
              <w:rPr>
                <w:rFonts w:ascii="Arial" w:hAnsi="Arial" w:cs="Arial"/>
                <w:b/>
                <w:bCs/>
                <w:sz w:val="22"/>
                <w:szCs w:val="22"/>
              </w:rPr>
            </w:pPr>
            <w:r w:rsidRPr="00697EF8">
              <w:rPr>
                <w:rFonts w:ascii="Arial" w:hAnsi="Arial" w:cs="Arial"/>
                <w:b/>
                <w:bCs/>
                <w:sz w:val="22"/>
                <w:szCs w:val="22"/>
              </w:rPr>
              <w:t>37</w:t>
            </w:r>
          </w:p>
        </w:tc>
        <w:tc>
          <w:tcPr>
            <w:tcW w:w="1739" w:type="dxa"/>
          </w:tcPr>
          <w:p w:rsidR="00697EF8" w:rsidRPr="00697EF8" w:rsidRDefault="00697EF8" w:rsidP="00697EF8">
            <w:pPr>
              <w:pStyle w:val="tabletextNS"/>
              <w:keepNext/>
              <w:jc w:val="center"/>
              <w:rPr>
                <w:rFonts w:ascii="Arial" w:hAnsi="Arial" w:cs="Arial"/>
                <w:b/>
                <w:bCs/>
                <w:sz w:val="22"/>
                <w:szCs w:val="22"/>
              </w:rPr>
            </w:pPr>
            <w:r w:rsidRPr="00697EF8">
              <w:rPr>
                <w:rFonts w:ascii="Arial" w:hAnsi="Arial" w:cs="Arial"/>
                <w:b/>
                <w:bCs/>
                <w:sz w:val="22"/>
                <w:szCs w:val="22"/>
              </w:rPr>
              <w:t>6*</w:t>
            </w:r>
          </w:p>
        </w:tc>
        <w:tc>
          <w:tcPr>
            <w:tcW w:w="1740" w:type="dxa"/>
          </w:tcPr>
          <w:p w:rsidR="00697EF8" w:rsidRPr="00697EF8" w:rsidRDefault="00697EF8" w:rsidP="00697EF8">
            <w:pPr>
              <w:pStyle w:val="tabletextNS"/>
              <w:keepNext/>
              <w:jc w:val="center"/>
              <w:rPr>
                <w:rFonts w:ascii="Arial" w:hAnsi="Arial" w:cs="Arial"/>
                <w:b/>
                <w:bCs/>
                <w:sz w:val="22"/>
                <w:szCs w:val="22"/>
              </w:rPr>
            </w:pPr>
            <w:r w:rsidRPr="00697EF8">
              <w:rPr>
                <w:rFonts w:ascii="Arial" w:hAnsi="Arial" w:cs="Arial"/>
                <w:b/>
                <w:bCs/>
                <w:sz w:val="22"/>
                <w:szCs w:val="22"/>
              </w:rPr>
              <w:t>14</w:t>
            </w:r>
          </w:p>
        </w:tc>
        <w:tc>
          <w:tcPr>
            <w:tcW w:w="1740" w:type="dxa"/>
          </w:tcPr>
          <w:p w:rsidR="00697EF8" w:rsidRDefault="00697EF8" w:rsidP="00697EF8">
            <w:pPr>
              <w:pStyle w:val="ListParagraph"/>
              <w:jc w:val="center"/>
            </w:pPr>
            <w:r>
              <w:t>2</w:t>
            </w:r>
          </w:p>
        </w:tc>
      </w:tr>
      <w:tr w:rsidR="00BE7E9A" w:rsidTr="00697EF8">
        <w:tc>
          <w:tcPr>
            <w:tcW w:w="2084" w:type="dxa"/>
          </w:tcPr>
          <w:p w:rsidR="00697EF8" w:rsidRPr="00A36833" w:rsidRDefault="00697EF8" w:rsidP="00697EF8">
            <w:pPr>
              <w:autoSpaceDE w:val="0"/>
              <w:autoSpaceDN w:val="0"/>
              <w:adjustRightInd w:val="0"/>
              <w:rPr>
                <w:rFonts w:ascii="Arial" w:hAnsi="Arial" w:cs="Arial"/>
                <w:sz w:val="22"/>
                <w:szCs w:val="22"/>
                <w:lang w:val="en-GB"/>
              </w:rPr>
            </w:pPr>
            <w:r w:rsidRPr="00A36833">
              <w:rPr>
                <w:rFonts w:ascii="Arial" w:hAnsi="Arial" w:cs="Arial"/>
                <w:sz w:val="22"/>
                <w:szCs w:val="22"/>
                <w:lang w:val="en-GB"/>
              </w:rPr>
              <w:t>Increased Alkaline</w:t>
            </w:r>
          </w:p>
          <w:p w:rsidR="00697EF8" w:rsidRPr="00A36833" w:rsidRDefault="00697EF8" w:rsidP="00697EF8">
            <w:pPr>
              <w:pStyle w:val="tabletextNS"/>
              <w:keepNext/>
              <w:jc w:val="center"/>
              <w:rPr>
                <w:rFonts w:ascii="Arial" w:hAnsi="Arial" w:cs="Arial"/>
                <w:b/>
                <w:bCs/>
                <w:sz w:val="22"/>
                <w:szCs w:val="22"/>
              </w:rPr>
            </w:pPr>
            <w:proofErr w:type="spellStart"/>
            <w:r w:rsidRPr="00A36833">
              <w:rPr>
                <w:rFonts w:ascii="Arial" w:hAnsi="Arial" w:cs="Arial"/>
                <w:sz w:val="22"/>
                <w:szCs w:val="22"/>
              </w:rPr>
              <w:t>phosphatase</w:t>
            </w:r>
            <w:proofErr w:type="spellEnd"/>
          </w:p>
        </w:tc>
        <w:tc>
          <w:tcPr>
            <w:tcW w:w="1739" w:type="dxa"/>
          </w:tcPr>
          <w:p w:rsidR="00697EF8" w:rsidRPr="00697EF8" w:rsidRDefault="00697EF8" w:rsidP="00697EF8">
            <w:pPr>
              <w:pStyle w:val="tabletextNS"/>
              <w:keepNext/>
              <w:jc w:val="center"/>
              <w:rPr>
                <w:rFonts w:ascii="Arial" w:hAnsi="Arial" w:cs="Arial"/>
                <w:b/>
                <w:bCs/>
                <w:sz w:val="22"/>
                <w:szCs w:val="22"/>
              </w:rPr>
            </w:pPr>
            <w:r w:rsidRPr="00697EF8">
              <w:rPr>
                <w:rFonts w:ascii="Arial" w:hAnsi="Arial" w:cs="Arial"/>
                <w:b/>
                <w:bCs/>
                <w:sz w:val="22"/>
                <w:szCs w:val="22"/>
              </w:rPr>
              <w:t>19</w:t>
            </w:r>
          </w:p>
        </w:tc>
        <w:tc>
          <w:tcPr>
            <w:tcW w:w="1739" w:type="dxa"/>
          </w:tcPr>
          <w:p w:rsidR="00697EF8" w:rsidRPr="00697EF8" w:rsidRDefault="00697EF8" w:rsidP="00697EF8">
            <w:pPr>
              <w:pStyle w:val="tabletextNS"/>
              <w:keepNext/>
              <w:jc w:val="center"/>
              <w:rPr>
                <w:rFonts w:ascii="Arial" w:hAnsi="Arial" w:cs="Arial"/>
                <w:b/>
                <w:bCs/>
                <w:sz w:val="22"/>
                <w:szCs w:val="22"/>
              </w:rPr>
            </w:pPr>
            <w:r w:rsidRPr="00697EF8">
              <w:rPr>
                <w:rFonts w:ascii="Arial" w:hAnsi="Arial" w:cs="Arial"/>
                <w:b/>
                <w:bCs/>
                <w:sz w:val="22"/>
                <w:szCs w:val="22"/>
              </w:rPr>
              <w:t>0</w:t>
            </w:r>
          </w:p>
        </w:tc>
        <w:tc>
          <w:tcPr>
            <w:tcW w:w="1740" w:type="dxa"/>
          </w:tcPr>
          <w:p w:rsidR="00697EF8" w:rsidRPr="00697EF8" w:rsidRDefault="00697EF8" w:rsidP="00697EF8">
            <w:pPr>
              <w:pStyle w:val="tabletextNS"/>
              <w:keepNext/>
              <w:jc w:val="center"/>
              <w:rPr>
                <w:rFonts w:ascii="Arial" w:hAnsi="Arial" w:cs="Arial"/>
                <w:b/>
                <w:bCs/>
                <w:sz w:val="22"/>
                <w:szCs w:val="22"/>
              </w:rPr>
            </w:pPr>
            <w:r w:rsidRPr="00697EF8">
              <w:rPr>
                <w:rFonts w:ascii="Arial" w:hAnsi="Arial" w:cs="Arial"/>
                <w:b/>
                <w:bCs/>
                <w:sz w:val="22"/>
                <w:szCs w:val="22"/>
              </w:rPr>
              <w:t>14</w:t>
            </w:r>
          </w:p>
        </w:tc>
        <w:tc>
          <w:tcPr>
            <w:tcW w:w="1740" w:type="dxa"/>
          </w:tcPr>
          <w:p w:rsidR="00697EF8" w:rsidRDefault="00697EF8" w:rsidP="00697EF8">
            <w:pPr>
              <w:pStyle w:val="ListParagraph"/>
              <w:jc w:val="center"/>
            </w:pPr>
            <w:r>
              <w:t>2</w:t>
            </w:r>
          </w:p>
        </w:tc>
      </w:tr>
      <w:tr w:rsidR="00BE7E9A" w:rsidTr="00697EF8">
        <w:tc>
          <w:tcPr>
            <w:tcW w:w="2084" w:type="dxa"/>
          </w:tcPr>
          <w:p w:rsidR="00697EF8" w:rsidRPr="00A36833" w:rsidRDefault="00697EF8" w:rsidP="00697EF8">
            <w:pPr>
              <w:pStyle w:val="tabletextNS"/>
              <w:keepNext/>
              <w:jc w:val="center"/>
              <w:rPr>
                <w:rFonts w:ascii="Arial" w:hAnsi="Arial" w:cs="Arial"/>
                <w:b/>
                <w:bCs/>
                <w:sz w:val="22"/>
                <w:szCs w:val="22"/>
              </w:rPr>
            </w:pPr>
            <w:proofErr w:type="spellStart"/>
            <w:r w:rsidRPr="00A36833">
              <w:rPr>
                <w:rFonts w:ascii="Arial" w:hAnsi="Arial" w:cs="Arial"/>
                <w:sz w:val="22"/>
                <w:szCs w:val="22"/>
              </w:rPr>
              <w:t>Hyponatremia</w:t>
            </w:r>
            <w:proofErr w:type="spellEnd"/>
          </w:p>
        </w:tc>
        <w:tc>
          <w:tcPr>
            <w:tcW w:w="1739" w:type="dxa"/>
          </w:tcPr>
          <w:p w:rsidR="00697EF8" w:rsidRPr="00697EF8" w:rsidRDefault="00697EF8" w:rsidP="00697EF8">
            <w:pPr>
              <w:pStyle w:val="tabletextNS"/>
              <w:keepNext/>
              <w:jc w:val="center"/>
              <w:rPr>
                <w:rFonts w:ascii="Arial" w:hAnsi="Arial" w:cs="Arial"/>
                <w:b/>
                <w:bCs/>
                <w:sz w:val="22"/>
                <w:szCs w:val="22"/>
              </w:rPr>
            </w:pPr>
            <w:r w:rsidRPr="00697EF8">
              <w:rPr>
                <w:rFonts w:ascii="Arial" w:hAnsi="Arial" w:cs="Arial"/>
                <w:b/>
                <w:bCs/>
                <w:sz w:val="22"/>
                <w:szCs w:val="22"/>
              </w:rPr>
              <w:t>8</w:t>
            </w:r>
          </w:p>
        </w:tc>
        <w:tc>
          <w:tcPr>
            <w:tcW w:w="1739" w:type="dxa"/>
          </w:tcPr>
          <w:p w:rsidR="00697EF8" w:rsidRPr="00697EF8" w:rsidRDefault="00697EF8" w:rsidP="00697EF8">
            <w:pPr>
              <w:pStyle w:val="tabletextNS"/>
              <w:keepNext/>
              <w:jc w:val="center"/>
              <w:rPr>
                <w:rFonts w:ascii="Arial" w:hAnsi="Arial" w:cs="Arial"/>
                <w:b/>
                <w:bCs/>
                <w:sz w:val="22"/>
                <w:szCs w:val="22"/>
              </w:rPr>
            </w:pPr>
            <w:r w:rsidRPr="00697EF8">
              <w:rPr>
                <w:rFonts w:ascii="Arial" w:hAnsi="Arial" w:cs="Arial"/>
                <w:b/>
                <w:bCs/>
                <w:sz w:val="22"/>
                <w:szCs w:val="22"/>
              </w:rPr>
              <w:t>2</w:t>
            </w:r>
          </w:p>
        </w:tc>
        <w:tc>
          <w:tcPr>
            <w:tcW w:w="1740" w:type="dxa"/>
          </w:tcPr>
          <w:p w:rsidR="00697EF8" w:rsidRPr="00697EF8" w:rsidRDefault="00697EF8" w:rsidP="00697EF8">
            <w:pPr>
              <w:pStyle w:val="tabletextNS"/>
              <w:keepNext/>
              <w:jc w:val="center"/>
              <w:rPr>
                <w:rFonts w:ascii="Arial" w:hAnsi="Arial" w:cs="Arial"/>
                <w:b/>
                <w:bCs/>
                <w:sz w:val="22"/>
                <w:szCs w:val="22"/>
              </w:rPr>
            </w:pPr>
            <w:r w:rsidRPr="00697EF8">
              <w:rPr>
                <w:rFonts w:ascii="Arial" w:hAnsi="Arial" w:cs="Arial"/>
                <w:b/>
                <w:bCs/>
                <w:sz w:val="22"/>
                <w:szCs w:val="22"/>
              </w:rPr>
              <w:t>3</w:t>
            </w:r>
          </w:p>
        </w:tc>
        <w:tc>
          <w:tcPr>
            <w:tcW w:w="1740" w:type="dxa"/>
          </w:tcPr>
          <w:p w:rsidR="00697EF8" w:rsidRDefault="00697EF8" w:rsidP="00697EF8">
            <w:pPr>
              <w:pStyle w:val="ListParagraph"/>
              <w:jc w:val="center"/>
            </w:pPr>
            <w:r>
              <w:t>0</w:t>
            </w:r>
          </w:p>
        </w:tc>
      </w:tr>
    </w:tbl>
    <w:p w:rsidR="00697EF8" w:rsidRPr="00B94D46" w:rsidRDefault="00A36833" w:rsidP="00697EF8">
      <w:pPr>
        <w:pStyle w:val="ListParagraph"/>
      </w:pPr>
      <w:r>
        <w:t>*</w:t>
      </w:r>
      <w:r w:rsidR="00697EF8" w:rsidRPr="00697EF8">
        <w:t xml:space="preserve">Grade 4 laboratory abnormality limited to </w:t>
      </w:r>
      <w:proofErr w:type="spellStart"/>
      <w:r w:rsidR="00697EF8" w:rsidRPr="00697EF8">
        <w:t>hypophosphatemia</w:t>
      </w:r>
      <w:proofErr w:type="spellEnd"/>
      <w:r w:rsidR="00697EF8" w:rsidRPr="00697EF8">
        <w:t xml:space="preserve"> (n=1).</w:t>
      </w:r>
    </w:p>
    <w:p w:rsidR="009602E1" w:rsidRDefault="00F96F90" w:rsidP="00091CA9">
      <w:pPr>
        <w:pStyle w:val="Heading2"/>
      </w:pPr>
      <w:r w:rsidRPr="00F96F90">
        <w:t>Description of selected adverse reactions</w:t>
      </w:r>
    </w:p>
    <w:p w:rsidR="00F96F90" w:rsidRPr="00091CA9" w:rsidRDefault="00F96F90" w:rsidP="00A36833">
      <w:pPr>
        <w:pStyle w:val="ListParagraph"/>
        <w:keepNext/>
        <w:rPr>
          <w:i/>
          <w:iCs/>
        </w:rPr>
      </w:pPr>
      <w:r w:rsidRPr="00091CA9">
        <w:rPr>
          <w:i/>
        </w:rPr>
        <w:t>Pyrexia</w:t>
      </w:r>
    </w:p>
    <w:p w:rsidR="00F96F90" w:rsidRDefault="00F96F90" w:rsidP="00091CA9">
      <w:pPr>
        <w:pStyle w:val="ListParagraph"/>
      </w:pPr>
      <w:r w:rsidRPr="00F96F90">
        <w:t>Fever has been re</w:t>
      </w:r>
      <w:r w:rsidR="00253DD7">
        <w:t>ported in clinical trials. In 1</w:t>
      </w:r>
      <w:r w:rsidRPr="00F96F90">
        <w:t xml:space="preserve">% of patients in clinical trials, serious non-infectious febrile events were identified defined as fever accompanied by severe rigors, dehydration, hypotension and/or acute renal insufficiency. The onset of these serious non-infectious febrile events was typically within the first month of therapy. Patients with serious non-infectious febrile events responded well to dose interruption and/or dose reduction and supportive care (see </w:t>
      </w:r>
      <w:r w:rsidR="00253DD7">
        <w:t>DOSAGE AND ADMINISTRATION</w:t>
      </w:r>
      <w:r w:rsidRPr="00F96F90">
        <w:t xml:space="preserve"> and </w:t>
      </w:r>
      <w:r w:rsidR="00253DD7">
        <w:t>PRECAUTIONS</w:t>
      </w:r>
      <w:r w:rsidRPr="00F96F90">
        <w:t>).</w:t>
      </w:r>
    </w:p>
    <w:p w:rsidR="00F96F90" w:rsidRPr="00091CA9" w:rsidRDefault="00253DD7" w:rsidP="00A36833">
      <w:pPr>
        <w:pStyle w:val="ListParagraph"/>
        <w:keepNext/>
        <w:rPr>
          <w:i/>
          <w:lang w:val="en-GB"/>
        </w:rPr>
      </w:pPr>
      <w:proofErr w:type="spellStart"/>
      <w:r w:rsidRPr="00091CA9">
        <w:rPr>
          <w:i/>
          <w:lang w:val="en-GB"/>
        </w:rPr>
        <w:t>Cutaneous</w:t>
      </w:r>
      <w:proofErr w:type="spellEnd"/>
      <w:r w:rsidRPr="00091CA9">
        <w:rPr>
          <w:i/>
          <w:lang w:val="en-GB"/>
        </w:rPr>
        <w:t xml:space="preserve"> </w:t>
      </w:r>
      <w:proofErr w:type="spellStart"/>
      <w:r w:rsidRPr="00091CA9">
        <w:rPr>
          <w:i/>
          <w:lang w:val="en-GB"/>
        </w:rPr>
        <w:t>squamous</w:t>
      </w:r>
      <w:proofErr w:type="spellEnd"/>
      <w:r w:rsidRPr="00091CA9">
        <w:rPr>
          <w:i/>
          <w:lang w:val="en-GB"/>
        </w:rPr>
        <w:t xml:space="preserve"> cell carcinoma</w:t>
      </w:r>
    </w:p>
    <w:p w:rsidR="00F96F90" w:rsidRDefault="00253DD7" w:rsidP="00091CA9">
      <w:pPr>
        <w:pStyle w:val="ListParagraph"/>
        <w:rPr>
          <w:lang w:val="en-GB"/>
        </w:rPr>
      </w:pPr>
      <w:proofErr w:type="spellStart"/>
      <w:r w:rsidRPr="00253DD7">
        <w:rPr>
          <w:lang w:val="en-GB"/>
        </w:rPr>
        <w:t>Cutaneous</w:t>
      </w:r>
      <w:proofErr w:type="spellEnd"/>
      <w:r w:rsidRPr="00253DD7">
        <w:rPr>
          <w:lang w:val="en-GB"/>
        </w:rPr>
        <w:t xml:space="preserve"> </w:t>
      </w:r>
      <w:proofErr w:type="spellStart"/>
      <w:r w:rsidRPr="00253DD7">
        <w:rPr>
          <w:lang w:val="en-GB"/>
        </w:rPr>
        <w:t>squamous</w:t>
      </w:r>
      <w:proofErr w:type="spellEnd"/>
      <w:r w:rsidRPr="00253DD7">
        <w:rPr>
          <w:lang w:val="en-GB"/>
        </w:rPr>
        <w:t xml:space="preserve"> cell carcinomas (including those classified as </w:t>
      </w:r>
      <w:proofErr w:type="spellStart"/>
      <w:r w:rsidRPr="00253DD7">
        <w:rPr>
          <w:lang w:val="en-GB"/>
        </w:rPr>
        <w:t>keratoacanthoma</w:t>
      </w:r>
      <w:proofErr w:type="spellEnd"/>
      <w:r w:rsidRPr="00253DD7">
        <w:rPr>
          <w:lang w:val="en-GB"/>
        </w:rPr>
        <w:t xml:space="preserve"> or mixed </w:t>
      </w:r>
      <w:proofErr w:type="spellStart"/>
      <w:r w:rsidRPr="00253DD7">
        <w:rPr>
          <w:lang w:val="en-GB"/>
        </w:rPr>
        <w:t>keratoacanthoma</w:t>
      </w:r>
      <w:proofErr w:type="spellEnd"/>
      <w:r w:rsidRPr="00253DD7">
        <w:rPr>
          <w:lang w:val="en-GB"/>
        </w:rPr>
        <w:t xml:space="preserve"> subtype) occurred in 9</w:t>
      </w:r>
      <w:r w:rsidR="00D25A0C">
        <w:rPr>
          <w:lang w:val="en-GB"/>
        </w:rPr>
        <w:t>%</w:t>
      </w:r>
      <w:r w:rsidRPr="00253DD7">
        <w:rPr>
          <w:lang w:val="en-GB"/>
        </w:rPr>
        <w:t xml:space="preserve"> (52/578) of patients treated with </w:t>
      </w:r>
      <w:r>
        <w:rPr>
          <w:lang w:val="en-GB"/>
        </w:rPr>
        <w:t>TAFINLAR</w:t>
      </w:r>
      <w:r w:rsidRPr="00253DD7">
        <w:rPr>
          <w:lang w:val="en-GB"/>
        </w:rPr>
        <w:t>. Approximately 70</w:t>
      </w:r>
      <w:r w:rsidR="00D25A0C">
        <w:rPr>
          <w:lang w:val="en-GB"/>
        </w:rPr>
        <w:t>%</w:t>
      </w:r>
      <w:r w:rsidRPr="00253DD7">
        <w:rPr>
          <w:lang w:val="en-GB"/>
        </w:rPr>
        <w:t xml:space="preserve"> of events occurred within the first 12 weeks of treatment with a median time to onset of 8 weeks. Ninety-six percent of patients who developed </w:t>
      </w:r>
      <w:proofErr w:type="spellStart"/>
      <w:r w:rsidRPr="00253DD7">
        <w:rPr>
          <w:lang w:val="en-GB"/>
        </w:rPr>
        <w:t>cuSCC</w:t>
      </w:r>
      <w:proofErr w:type="spellEnd"/>
      <w:r w:rsidRPr="00253DD7">
        <w:rPr>
          <w:lang w:val="en-GB"/>
        </w:rPr>
        <w:t xml:space="preserve"> continued on treatment without dose modification.</w:t>
      </w:r>
    </w:p>
    <w:p w:rsidR="00F96F90" w:rsidRPr="00091CA9" w:rsidRDefault="00253DD7" w:rsidP="00091CA9">
      <w:pPr>
        <w:pStyle w:val="ListParagraph"/>
        <w:keepNext/>
        <w:rPr>
          <w:i/>
          <w:iCs/>
          <w:lang w:val="en-GB"/>
        </w:rPr>
      </w:pPr>
      <w:r w:rsidRPr="00091CA9">
        <w:rPr>
          <w:i/>
          <w:iCs/>
          <w:lang w:val="en-GB"/>
        </w:rPr>
        <w:t>New primary melanoma</w:t>
      </w:r>
    </w:p>
    <w:p w:rsidR="00F96F90" w:rsidRDefault="00253DD7" w:rsidP="00091CA9">
      <w:pPr>
        <w:pStyle w:val="ListParagraph"/>
        <w:rPr>
          <w:lang w:val="en-GB"/>
        </w:rPr>
      </w:pPr>
      <w:r w:rsidRPr="00253DD7">
        <w:rPr>
          <w:lang w:val="en-GB"/>
        </w:rPr>
        <w:t xml:space="preserve">New primary melanomas have been reported in clinical trials with </w:t>
      </w:r>
      <w:r>
        <w:rPr>
          <w:lang w:val="en-GB"/>
        </w:rPr>
        <w:t>TAFINLAR</w:t>
      </w:r>
      <w:r w:rsidRPr="00253DD7">
        <w:rPr>
          <w:lang w:val="en-GB"/>
        </w:rPr>
        <w:t xml:space="preserve">. Cases were managed with excision and did not require treatment modification (see </w:t>
      </w:r>
      <w:r>
        <w:rPr>
          <w:lang w:val="en-GB"/>
        </w:rPr>
        <w:t>PRECAUTIONS</w:t>
      </w:r>
      <w:r w:rsidRPr="00253DD7">
        <w:rPr>
          <w:lang w:val="en-GB"/>
        </w:rPr>
        <w:t>).</w:t>
      </w:r>
    </w:p>
    <w:p w:rsidR="00253DD7" w:rsidRPr="00091CA9" w:rsidRDefault="00253DD7" w:rsidP="00A36833">
      <w:pPr>
        <w:pStyle w:val="ListParagraph"/>
        <w:keepNext/>
        <w:rPr>
          <w:i/>
          <w:lang w:val="en-GB"/>
        </w:rPr>
      </w:pPr>
      <w:r w:rsidRPr="00091CA9">
        <w:rPr>
          <w:i/>
          <w:lang w:val="en-GB"/>
        </w:rPr>
        <w:t>Non-</w:t>
      </w:r>
      <w:proofErr w:type="spellStart"/>
      <w:r w:rsidRPr="00091CA9">
        <w:rPr>
          <w:i/>
          <w:lang w:val="en-GB"/>
        </w:rPr>
        <w:t>cutaneous</w:t>
      </w:r>
      <w:proofErr w:type="spellEnd"/>
      <w:r w:rsidRPr="00091CA9">
        <w:rPr>
          <w:i/>
          <w:lang w:val="en-GB"/>
        </w:rPr>
        <w:t xml:space="preserve"> malignancy</w:t>
      </w:r>
    </w:p>
    <w:p w:rsidR="00253DD7" w:rsidRPr="00253DD7" w:rsidRDefault="00253DD7" w:rsidP="00091CA9">
      <w:pPr>
        <w:pStyle w:val="ListParagraph"/>
        <w:rPr>
          <w:lang w:val="en-GB"/>
        </w:rPr>
      </w:pPr>
      <w:r w:rsidRPr="00253DD7">
        <w:rPr>
          <w:bCs/>
          <w:iCs/>
          <w:lang w:val="en-GB"/>
        </w:rPr>
        <w:t xml:space="preserve">Activation </w:t>
      </w:r>
      <w:r w:rsidRPr="00253DD7">
        <w:rPr>
          <w:lang w:val="en-GB"/>
        </w:rPr>
        <w:t>of MAP-</w:t>
      </w:r>
      <w:proofErr w:type="spellStart"/>
      <w:r w:rsidRPr="00253DD7">
        <w:rPr>
          <w:lang w:val="en-GB"/>
        </w:rPr>
        <w:t>kinase</w:t>
      </w:r>
      <w:proofErr w:type="spellEnd"/>
      <w:r w:rsidRPr="00253DD7">
        <w:rPr>
          <w:lang w:val="en-GB"/>
        </w:rPr>
        <w:t xml:space="preserve"> signalling in BRAF wild type cells which are exposed to BRAF inhibitors may lead to increased risk of non-</w:t>
      </w:r>
      <w:proofErr w:type="spellStart"/>
      <w:r w:rsidRPr="00253DD7">
        <w:rPr>
          <w:lang w:val="en-GB"/>
        </w:rPr>
        <w:t>cutaneous</w:t>
      </w:r>
      <w:proofErr w:type="spellEnd"/>
      <w:r w:rsidRPr="00253DD7">
        <w:rPr>
          <w:lang w:val="en-GB"/>
        </w:rPr>
        <w:t xml:space="preserve"> malignancies, including those with RAS mutations (</w:t>
      </w:r>
      <w:r w:rsidRPr="00253DD7">
        <w:rPr>
          <w:bCs/>
          <w:iCs/>
          <w:lang w:val="en-GB"/>
        </w:rPr>
        <w:t xml:space="preserve">see </w:t>
      </w:r>
      <w:r>
        <w:rPr>
          <w:bCs/>
          <w:iCs/>
          <w:lang w:val="en-GB"/>
        </w:rPr>
        <w:t>PRECAUTIONS</w:t>
      </w:r>
      <w:r w:rsidRPr="00253DD7">
        <w:rPr>
          <w:lang w:val="en-GB"/>
        </w:rPr>
        <w:t xml:space="preserve">).Cases of RAS-driven malignancies have been seen with </w:t>
      </w:r>
      <w:r>
        <w:rPr>
          <w:lang w:val="en-GB"/>
        </w:rPr>
        <w:t>TAFINLAR</w:t>
      </w:r>
      <w:r w:rsidRPr="00253DD7">
        <w:rPr>
          <w:lang w:val="en-GB"/>
        </w:rPr>
        <w:t>. Patients should be monitored as clinically appropriate.</w:t>
      </w:r>
    </w:p>
    <w:p w:rsidR="00A112EC" w:rsidRPr="00A112EC" w:rsidRDefault="00A112EC" w:rsidP="00091CA9">
      <w:pPr>
        <w:pStyle w:val="Heading3"/>
      </w:pPr>
      <w:r w:rsidRPr="00A112EC">
        <w:t>Special populations</w:t>
      </w:r>
    </w:p>
    <w:p w:rsidR="00A112EC" w:rsidRPr="00091CA9" w:rsidRDefault="00A112EC" w:rsidP="00A36833">
      <w:pPr>
        <w:pStyle w:val="ListParagraph"/>
        <w:keepNext/>
        <w:rPr>
          <w:i/>
        </w:rPr>
      </w:pPr>
      <w:r w:rsidRPr="00091CA9">
        <w:rPr>
          <w:i/>
        </w:rPr>
        <w:t>Elderly population</w:t>
      </w:r>
    </w:p>
    <w:p w:rsidR="00253DD7" w:rsidRDefault="00A112EC" w:rsidP="00091CA9">
      <w:pPr>
        <w:pStyle w:val="ListParagraph"/>
      </w:pPr>
      <w:r w:rsidRPr="00A112EC">
        <w:t xml:space="preserve">Of the total number of patients in clinical studies of </w:t>
      </w:r>
      <w:proofErr w:type="spellStart"/>
      <w:r w:rsidRPr="00A112EC">
        <w:t>dabrafenib</w:t>
      </w:r>
      <w:proofErr w:type="spellEnd"/>
      <w:r w:rsidRPr="00A112EC">
        <w:t xml:space="preserve"> (N = 578), 22</w:t>
      </w:r>
      <w:r w:rsidR="00D25A0C">
        <w:t>%</w:t>
      </w:r>
      <w:r w:rsidRPr="00A112EC">
        <w:t xml:space="preserve"> were 65 years of age and older, and 6</w:t>
      </w:r>
      <w:r w:rsidR="00D25A0C">
        <w:t>%</w:t>
      </w:r>
      <w:r w:rsidRPr="00A112EC">
        <w:t xml:space="preserve"> were 75 years of age and older. Compared with younger </w:t>
      </w:r>
      <w:r>
        <w:t>subjects (&lt; 65), more subjects ≥</w:t>
      </w:r>
      <w:r w:rsidRPr="00A112EC">
        <w:t xml:space="preserve"> 65 years old had adverse events that led to study drug dose reductions (22</w:t>
      </w:r>
      <w:r w:rsidR="00D25A0C">
        <w:t>%</w:t>
      </w:r>
      <w:r w:rsidRPr="00A112EC">
        <w:t xml:space="preserve"> versus 12</w:t>
      </w:r>
      <w:r w:rsidR="00D25A0C">
        <w:t>%</w:t>
      </w:r>
      <w:r w:rsidRPr="00A112EC">
        <w:t>) or interruptions (39</w:t>
      </w:r>
      <w:r w:rsidR="00D25A0C">
        <w:t>%</w:t>
      </w:r>
      <w:r w:rsidRPr="00A112EC">
        <w:t xml:space="preserve"> versus 27</w:t>
      </w:r>
      <w:r w:rsidR="00D25A0C">
        <w:t>%</w:t>
      </w:r>
      <w:r w:rsidRPr="00A112EC">
        <w:t>). In addition, older patients experienced more serious adverse events compared to younger patients (41</w:t>
      </w:r>
      <w:r w:rsidR="00D25A0C">
        <w:t>%</w:t>
      </w:r>
      <w:r w:rsidRPr="00A112EC">
        <w:t xml:space="preserve"> versus 22</w:t>
      </w:r>
      <w:r w:rsidR="00D25A0C">
        <w:t>%</w:t>
      </w:r>
      <w:r w:rsidRPr="00A112EC">
        <w:t>). No overall differences in efficacy were observed between these subjects and younger subjects.</w:t>
      </w:r>
    </w:p>
    <w:p w:rsidR="00091CA9" w:rsidRPr="00253DD7" w:rsidRDefault="00091CA9" w:rsidP="00091CA9">
      <w:pPr>
        <w:pStyle w:val="ListParagraph"/>
      </w:pPr>
    </w:p>
    <w:p w:rsidR="0077380F" w:rsidRPr="00254BEF" w:rsidRDefault="0077380F" w:rsidP="0070730F">
      <w:pPr>
        <w:pStyle w:val="Heading1"/>
      </w:pPr>
      <w:r w:rsidRPr="00254BEF">
        <w:lastRenderedPageBreak/>
        <w:t xml:space="preserve">DOSAGE </w:t>
      </w:r>
      <w:smartTag w:uri="urn:schemas-microsoft-com:office:smarttags" w:element="stockticker">
        <w:r w:rsidRPr="00254BEF">
          <w:t>AND</w:t>
        </w:r>
      </w:smartTag>
      <w:r w:rsidRPr="00254BEF">
        <w:t xml:space="preserve"> ADMINISTRATION</w:t>
      </w:r>
    </w:p>
    <w:p w:rsidR="00484917" w:rsidRPr="00BF1F9D" w:rsidRDefault="00C96863" w:rsidP="00091CA9">
      <w:pPr>
        <w:pStyle w:val="ListParagraph"/>
      </w:pPr>
      <w:r w:rsidRPr="00BF1F9D">
        <w:t xml:space="preserve">Confirmation of BRAF V600 mutation using an approved/validated test is required for selection of patients appropriate for </w:t>
      </w:r>
      <w:r w:rsidR="005D1137">
        <w:t>TAFINLAR</w:t>
      </w:r>
      <w:r w:rsidRPr="00BF1F9D">
        <w:t xml:space="preserve"> therapy. </w:t>
      </w:r>
    </w:p>
    <w:p w:rsidR="00C62BDC" w:rsidRPr="00254BEF" w:rsidRDefault="00C96863" w:rsidP="00091CA9">
      <w:pPr>
        <w:pStyle w:val="ListParagraph"/>
      </w:pPr>
      <w:r w:rsidRPr="00BF1F9D">
        <w:t xml:space="preserve">The efficacy and safety of </w:t>
      </w:r>
      <w:r w:rsidR="005D1137">
        <w:t>TAFINLAR</w:t>
      </w:r>
      <w:r w:rsidRPr="00BF1F9D">
        <w:t xml:space="preserve"> have not been established in patients with wild-type BRAF melanoma (</w:t>
      </w:r>
      <w:r w:rsidRPr="00BF1F9D">
        <w:rPr>
          <w:i/>
        </w:rPr>
        <w:t xml:space="preserve">see </w:t>
      </w:r>
      <w:r w:rsidR="003E212D" w:rsidRPr="003E212D">
        <w:t>CLINICAL TRIALS</w:t>
      </w:r>
      <w:r w:rsidRPr="00BF1F9D">
        <w:t xml:space="preserve">). </w:t>
      </w:r>
      <w:r w:rsidR="005D1137">
        <w:t>TAFINLAR</w:t>
      </w:r>
      <w:r w:rsidRPr="00BF1F9D">
        <w:t xml:space="preserve"> should not be used in patients with BRAF wild-type melanoma</w:t>
      </w:r>
      <w:r w:rsidR="00653B34">
        <w:t xml:space="preserve"> (see </w:t>
      </w:r>
      <w:r w:rsidR="003E212D" w:rsidRPr="003E212D">
        <w:t>PRECAUTIONS</w:t>
      </w:r>
      <w:r w:rsidR="00653B34">
        <w:t>)</w:t>
      </w:r>
      <w:r w:rsidRPr="00BF1F9D">
        <w:t>.</w:t>
      </w:r>
    </w:p>
    <w:p w:rsidR="001D275A" w:rsidRPr="00254BEF" w:rsidRDefault="001D275A" w:rsidP="00091CA9">
      <w:pPr>
        <w:pStyle w:val="ListParagraph"/>
      </w:pPr>
    </w:p>
    <w:p w:rsidR="001D275A" w:rsidRPr="00254BEF" w:rsidRDefault="001D275A" w:rsidP="00091CA9">
      <w:pPr>
        <w:pStyle w:val="Heading2"/>
      </w:pPr>
      <w:r w:rsidRPr="00254BEF">
        <w:t>Adults</w:t>
      </w:r>
    </w:p>
    <w:p w:rsidR="001D275A" w:rsidRPr="00254BEF" w:rsidRDefault="001D275A" w:rsidP="00091CA9">
      <w:pPr>
        <w:pStyle w:val="ListParagraph"/>
      </w:pPr>
      <w:r w:rsidRPr="00254BEF">
        <w:t>The recommended dose is 150 mg (two 75 mg capsules) twice daily (corresponding to a total daily dose of 300 mg).</w:t>
      </w:r>
    </w:p>
    <w:p w:rsidR="00484917" w:rsidRPr="0070730F" w:rsidRDefault="005D1137" w:rsidP="00091CA9">
      <w:pPr>
        <w:pStyle w:val="ListParagraph"/>
      </w:pPr>
      <w:r>
        <w:t>TAFINLAR</w:t>
      </w:r>
      <w:r w:rsidR="001D275A" w:rsidRPr="00254BEF">
        <w:t xml:space="preserve"> should be taken either at least one hour before, or at least two hours after a meal, leaving an interval of approximately 12 hours between doses. </w:t>
      </w:r>
      <w:r>
        <w:t>TAFINLAR</w:t>
      </w:r>
      <w:r w:rsidR="00E47BEA" w:rsidRPr="00BF1F9D">
        <w:t xml:space="preserve"> should be taken at </w:t>
      </w:r>
      <w:r w:rsidR="00BF1F9D" w:rsidRPr="00BF1F9D">
        <w:t>similar</w:t>
      </w:r>
      <w:r w:rsidR="00C96863" w:rsidRPr="00BF1F9D">
        <w:t xml:space="preserve"> time</w:t>
      </w:r>
      <w:r w:rsidR="00BF1F9D" w:rsidRPr="00BF1F9D">
        <w:t>s</w:t>
      </w:r>
      <w:r w:rsidR="00C96863" w:rsidRPr="00BF1F9D">
        <w:t xml:space="preserve"> </w:t>
      </w:r>
      <w:r w:rsidR="00E47BEA" w:rsidRPr="00BF1F9D">
        <w:t>every day.</w:t>
      </w:r>
    </w:p>
    <w:p w:rsidR="00C62BDC" w:rsidRPr="00254BEF" w:rsidRDefault="00C62BDC" w:rsidP="00091CA9">
      <w:pPr>
        <w:pStyle w:val="ListParagraph"/>
      </w:pPr>
      <w:r w:rsidRPr="00254BEF">
        <w:t xml:space="preserve">Treatment should continue until disease progression or the development of unacceptable toxicity (see </w:t>
      </w:r>
      <w:r w:rsidR="00F57809">
        <w:fldChar w:fldCharType="begin"/>
      </w:r>
      <w:r w:rsidR="00005F48">
        <w:instrText xml:space="preserve"> REF _Ref354739128 \h </w:instrText>
      </w:r>
      <w:r w:rsidR="00F57809">
        <w:fldChar w:fldCharType="separate"/>
      </w:r>
      <w:r w:rsidR="00A36833">
        <w:t xml:space="preserve">Table </w:t>
      </w:r>
      <w:r w:rsidR="00A36833">
        <w:rPr>
          <w:noProof/>
        </w:rPr>
        <w:t>7</w:t>
      </w:r>
      <w:r w:rsidR="00F57809">
        <w:fldChar w:fldCharType="end"/>
      </w:r>
      <w:r w:rsidRPr="00254BEF">
        <w:t>).</w:t>
      </w:r>
    </w:p>
    <w:p w:rsidR="001D275A" w:rsidRPr="00254BEF" w:rsidRDefault="001D275A" w:rsidP="00091CA9">
      <w:pPr>
        <w:pStyle w:val="ListParagraph"/>
      </w:pPr>
      <w:r w:rsidRPr="00254BEF">
        <w:t>If a dose</w:t>
      </w:r>
      <w:r w:rsidR="00580ADF" w:rsidRPr="00254BEF">
        <w:t xml:space="preserve"> is missed</w:t>
      </w:r>
      <w:r w:rsidRPr="00254BEF">
        <w:t xml:space="preserve">, </w:t>
      </w:r>
      <w:r w:rsidR="00580ADF" w:rsidRPr="00254BEF">
        <w:t>it should not be taken if it</w:t>
      </w:r>
      <w:r w:rsidRPr="00254BEF">
        <w:t xml:space="preserve"> is </w:t>
      </w:r>
      <w:r w:rsidR="00580ADF" w:rsidRPr="00254BEF">
        <w:t>less than</w:t>
      </w:r>
      <w:r w:rsidRPr="00254BEF">
        <w:t xml:space="preserve"> 6 </w:t>
      </w:r>
      <w:r w:rsidR="005D7273">
        <w:t xml:space="preserve">hours </w:t>
      </w:r>
      <w:r w:rsidR="00580ADF" w:rsidRPr="00254BEF">
        <w:t>until the next dose.</w:t>
      </w:r>
    </w:p>
    <w:p w:rsidR="001D275A" w:rsidRPr="00254BEF" w:rsidRDefault="001D275A" w:rsidP="00091CA9">
      <w:pPr>
        <w:pStyle w:val="ListParagraph"/>
      </w:pPr>
    </w:p>
    <w:p w:rsidR="001D275A" w:rsidRPr="00254BEF" w:rsidRDefault="001D275A" w:rsidP="00091CA9">
      <w:pPr>
        <w:pStyle w:val="Heading3"/>
      </w:pPr>
      <w:r w:rsidRPr="00254BEF">
        <w:t>Dose modifications</w:t>
      </w:r>
    </w:p>
    <w:p w:rsidR="001D275A" w:rsidRPr="00254BEF" w:rsidRDefault="001D275A" w:rsidP="00091CA9">
      <w:pPr>
        <w:pStyle w:val="ListParagraph"/>
      </w:pPr>
      <w:r w:rsidRPr="00254BEF">
        <w:t xml:space="preserve">The management of adverse reactions may require treatment interruption, </w:t>
      </w:r>
      <w:r w:rsidR="00580ADF" w:rsidRPr="00254BEF">
        <w:t xml:space="preserve">dose reduction, </w:t>
      </w:r>
      <w:r w:rsidRPr="00254BEF">
        <w:t xml:space="preserve">or treatment discontinuation (see </w:t>
      </w:r>
      <w:r w:rsidR="00F57809">
        <w:fldChar w:fldCharType="begin"/>
      </w:r>
      <w:r w:rsidR="00005F48">
        <w:instrText xml:space="preserve"> REF _Ref354737862 \h </w:instrText>
      </w:r>
      <w:r w:rsidR="00F57809">
        <w:fldChar w:fldCharType="separate"/>
      </w:r>
      <w:r w:rsidR="00A36833">
        <w:t xml:space="preserve">Table </w:t>
      </w:r>
      <w:r w:rsidR="00A36833">
        <w:rPr>
          <w:noProof/>
        </w:rPr>
        <w:t>6</w:t>
      </w:r>
      <w:r w:rsidR="00F57809">
        <w:fldChar w:fldCharType="end"/>
      </w:r>
      <w:r w:rsidR="00E47BEA" w:rsidRPr="00BF1F9D">
        <w:t xml:space="preserve"> and</w:t>
      </w:r>
      <w:r w:rsidR="00E47BEA">
        <w:t xml:space="preserve"> </w:t>
      </w:r>
      <w:r w:rsidR="00F57809">
        <w:fldChar w:fldCharType="begin"/>
      </w:r>
      <w:r w:rsidR="00005F48">
        <w:instrText xml:space="preserve"> REF _Ref354739128 \h </w:instrText>
      </w:r>
      <w:r w:rsidR="00F57809">
        <w:fldChar w:fldCharType="separate"/>
      </w:r>
      <w:r w:rsidR="00A36833">
        <w:t xml:space="preserve">Table </w:t>
      </w:r>
      <w:r w:rsidR="00A36833">
        <w:rPr>
          <w:noProof/>
        </w:rPr>
        <w:t>7</w:t>
      </w:r>
      <w:r w:rsidR="00F57809">
        <w:fldChar w:fldCharType="end"/>
      </w:r>
      <w:r w:rsidRPr="00254BEF">
        <w:t>).</w:t>
      </w:r>
    </w:p>
    <w:p w:rsidR="001D275A" w:rsidRPr="00254BEF" w:rsidRDefault="001D275A" w:rsidP="00091CA9">
      <w:pPr>
        <w:pStyle w:val="ListParagraph"/>
      </w:pPr>
      <w:r w:rsidRPr="00254BEF">
        <w:t xml:space="preserve">Dose modifications or interruptions are not recommended for </w:t>
      </w:r>
      <w:r w:rsidR="00865540" w:rsidRPr="00254BEF">
        <w:t xml:space="preserve">adverse reactions of </w:t>
      </w:r>
      <w:proofErr w:type="spellStart"/>
      <w:r w:rsidRPr="00254BEF">
        <w:t>cutaneous</w:t>
      </w:r>
      <w:proofErr w:type="spellEnd"/>
      <w:r w:rsidRPr="00254BEF">
        <w:t xml:space="preserve"> </w:t>
      </w:r>
      <w:proofErr w:type="spellStart"/>
      <w:r w:rsidRPr="00254BEF">
        <w:t>squamous</w:t>
      </w:r>
      <w:proofErr w:type="spellEnd"/>
      <w:r w:rsidRPr="00254BEF">
        <w:t xml:space="preserve"> cell carcinoma (</w:t>
      </w:r>
      <w:proofErr w:type="spellStart"/>
      <w:r w:rsidRPr="00254BEF">
        <w:t>cuSCC</w:t>
      </w:r>
      <w:proofErr w:type="spellEnd"/>
      <w:r w:rsidRPr="00254BEF">
        <w:t xml:space="preserve">) </w:t>
      </w:r>
      <w:r w:rsidR="00580ADF" w:rsidRPr="00254BEF">
        <w:t xml:space="preserve">or new primary melanoma </w:t>
      </w:r>
      <w:r w:rsidRPr="00254BEF">
        <w:t xml:space="preserve">(see </w:t>
      </w:r>
      <w:r w:rsidR="003E212D" w:rsidRPr="003E212D">
        <w:t>PRECAUTIONS</w:t>
      </w:r>
      <w:r w:rsidRPr="00254BEF">
        <w:t>).</w:t>
      </w:r>
    </w:p>
    <w:p w:rsidR="00580ADF" w:rsidRPr="00254BEF" w:rsidRDefault="00580ADF" w:rsidP="00091CA9">
      <w:pPr>
        <w:pStyle w:val="ListParagraph"/>
      </w:pPr>
      <w:r w:rsidRPr="00254BEF">
        <w:t>Therapy should be interrupted if the</w:t>
      </w:r>
      <w:r w:rsidR="000379CC">
        <w:t xml:space="preserve"> patient’s</w:t>
      </w:r>
      <w:r w:rsidRPr="00254BEF">
        <w:t xml:space="preserve"> temperature is ≥ 38.5°C. Patients should be evaluated for signs and symptoms of infection (see </w:t>
      </w:r>
      <w:r w:rsidR="003E212D" w:rsidRPr="003E212D">
        <w:t>PRECAUTIONS</w:t>
      </w:r>
      <w:r w:rsidRPr="00254BEF">
        <w:t>).</w:t>
      </w:r>
    </w:p>
    <w:p w:rsidR="001D275A" w:rsidRDefault="00580ADF" w:rsidP="00091CA9">
      <w:pPr>
        <w:pStyle w:val="ListParagraph"/>
      </w:pPr>
      <w:r w:rsidRPr="00254BEF">
        <w:t xml:space="preserve">Recommended dose </w:t>
      </w:r>
      <w:r w:rsidR="00865540" w:rsidRPr="00254BEF">
        <w:t xml:space="preserve">level reductions and recommendations for dose </w:t>
      </w:r>
      <w:r w:rsidRPr="00254BEF">
        <w:t xml:space="preserve">modifications are provided in </w:t>
      </w:r>
      <w:r w:rsidR="00F57809">
        <w:fldChar w:fldCharType="begin"/>
      </w:r>
      <w:r w:rsidR="00091CA9">
        <w:instrText xml:space="preserve"> REF _Ref354737862 \h </w:instrText>
      </w:r>
      <w:r w:rsidR="00F57809">
        <w:fldChar w:fldCharType="separate"/>
      </w:r>
      <w:r w:rsidR="00A36833">
        <w:t xml:space="preserve">Table </w:t>
      </w:r>
      <w:r w:rsidR="00A36833">
        <w:rPr>
          <w:noProof/>
        </w:rPr>
        <w:t>6</w:t>
      </w:r>
      <w:r w:rsidR="00F57809">
        <w:fldChar w:fldCharType="end"/>
      </w:r>
      <w:r w:rsidR="00484917" w:rsidRPr="00254BEF">
        <w:t xml:space="preserve"> and </w:t>
      </w:r>
      <w:r w:rsidR="00F57809">
        <w:fldChar w:fldCharType="begin"/>
      </w:r>
      <w:r w:rsidR="00005F48">
        <w:instrText xml:space="preserve"> REF _Ref354739128 \h </w:instrText>
      </w:r>
      <w:r w:rsidR="00F57809">
        <w:fldChar w:fldCharType="separate"/>
      </w:r>
      <w:r w:rsidR="00A36833">
        <w:t xml:space="preserve">Table </w:t>
      </w:r>
      <w:r w:rsidR="00A36833">
        <w:rPr>
          <w:noProof/>
        </w:rPr>
        <w:t>7</w:t>
      </w:r>
      <w:r w:rsidR="00F57809">
        <w:fldChar w:fldCharType="end"/>
      </w:r>
      <w:r w:rsidR="00484917" w:rsidRPr="00254BEF">
        <w:t>, respectively</w:t>
      </w:r>
      <w:r w:rsidR="00D57A4B" w:rsidRPr="00254BEF">
        <w:t>.</w:t>
      </w:r>
      <w:r w:rsidR="00865540" w:rsidRPr="00254BEF">
        <w:t xml:space="preserve"> </w:t>
      </w:r>
      <w:r w:rsidR="00E47BEA">
        <w:t>Dose</w:t>
      </w:r>
      <w:r w:rsidR="00865540" w:rsidRPr="00254BEF">
        <w:t xml:space="preserve"> adjustments resulting in a dose lower than 50 mg twice daily are not recommended.</w:t>
      </w:r>
    </w:p>
    <w:p w:rsidR="00A36833" w:rsidRPr="00254BEF" w:rsidRDefault="00A36833" w:rsidP="00091CA9">
      <w:pPr>
        <w:pStyle w:val="ListParagraph"/>
      </w:pPr>
    </w:p>
    <w:p w:rsidR="00091CA9" w:rsidRDefault="00091CA9" w:rsidP="00B94D46">
      <w:pPr>
        <w:pStyle w:val="Caption"/>
      </w:pPr>
      <w:bookmarkStart w:id="6" w:name="_Ref354737862"/>
      <w:r>
        <w:t xml:space="preserve">Table </w:t>
      </w:r>
      <w:fldSimple w:instr=" SEQ Table \* ARABIC ">
        <w:r w:rsidR="00A36833">
          <w:rPr>
            <w:noProof/>
          </w:rPr>
          <w:t>6</w:t>
        </w:r>
      </w:fldSimple>
      <w:bookmarkEnd w:id="6"/>
      <w:r w:rsidRPr="00254BEF">
        <w:rPr>
          <w:b w:val="0"/>
        </w:rPr>
        <w:t>:</w:t>
      </w:r>
      <w:r w:rsidRPr="00254BEF">
        <w:t xml:space="preserve"> Recommended </w:t>
      </w:r>
      <w:r>
        <w:t>TAFINLAR</w:t>
      </w:r>
      <w:r w:rsidRPr="00254BEF">
        <w:t xml:space="preserve"> dose level reductions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2160"/>
      </w:tblGrid>
      <w:tr w:rsidR="00D57A4B" w:rsidRPr="00254BEF" w:rsidTr="00091CA9">
        <w:tc>
          <w:tcPr>
            <w:tcW w:w="1998" w:type="dxa"/>
          </w:tcPr>
          <w:p w:rsidR="00D57A4B" w:rsidRPr="00254BEF" w:rsidRDefault="00D57A4B" w:rsidP="00D57A4B">
            <w:pPr>
              <w:spacing w:after="120" w:line="240" w:lineRule="atLeast"/>
              <w:rPr>
                <w:rFonts w:ascii="Arial" w:hAnsi="Arial" w:cs="Arial"/>
                <w:b/>
              </w:rPr>
            </w:pPr>
            <w:r w:rsidRPr="00254BEF">
              <w:rPr>
                <w:rFonts w:ascii="Arial" w:hAnsi="Arial" w:cs="Arial"/>
                <w:b/>
              </w:rPr>
              <w:t>Dose Level</w:t>
            </w:r>
          </w:p>
        </w:tc>
        <w:tc>
          <w:tcPr>
            <w:tcW w:w="2160" w:type="dxa"/>
          </w:tcPr>
          <w:p w:rsidR="00D57A4B" w:rsidRPr="00254BEF" w:rsidRDefault="00D57A4B" w:rsidP="00D57A4B">
            <w:pPr>
              <w:spacing w:after="120" w:line="240" w:lineRule="atLeast"/>
              <w:rPr>
                <w:rFonts w:ascii="Arial" w:hAnsi="Arial" w:cs="Arial"/>
                <w:b/>
              </w:rPr>
            </w:pPr>
            <w:r w:rsidRPr="00254BEF">
              <w:rPr>
                <w:rFonts w:ascii="Arial" w:hAnsi="Arial" w:cs="Arial"/>
                <w:b/>
              </w:rPr>
              <w:t>Dose/Schedule</w:t>
            </w:r>
          </w:p>
        </w:tc>
      </w:tr>
      <w:tr w:rsidR="00D57A4B" w:rsidRPr="00254BEF" w:rsidTr="00091CA9">
        <w:tc>
          <w:tcPr>
            <w:tcW w:w="1998" w:type="dxa"/>
          </w:tcPr>
          <w:p w:rsidR="00D57A4B" w:rsidRPr="00254BEF" w:rsidRDefault="00D57A4B" w:rsidP="00D57A4B">
            <w:pPr>
              <w:spacing w:after="120" w:line="240" w:lineRule="atLeast"/>
              <w:rPr>
                <w:rFonts w:ascii="Arial" w:hAnsi="Arial" w:cs="Arial"/>
              </w:rPr>
            </w:pPr>
            <w:r w:rsidRPr="00254BEF">
              <w:rPr>
                <w:rFonts w:ascii="Arial" w:hAnsi="Arial" w:cs="Arial"/>
              </w:rPr>
              <w:t>Full dose</w:t>
            </w:r>
          </w:p>
        </w:tc>
        <w:tc>
          <w:tcPr>
            <w:tcW w:w="2160" w:type="dxa"/>
          </w:tcPr>
          <w:p w:rsidR="00D57A4B" w:rsidRPr="00254BEF" w:rsidRDefault="00D57A4B" w:rsidP="00D57A4B">
            <w:pPr>
              <w:spacing w:after="120" w:line="240" w:lineRule="atLeast"/>
              <w:rPr>
                <w:rFonts w:ascii="Arial" w:hAnsi="Arial" w:cs="Arial"/>
              </w:rPr>
            </w:pPr>
            <w:r w:rsidRPr="00254BEF">
              <w:rPr>
                <w:rFonts w:ascii="Arial" w:hAnsi="Arial" w:cs="Arial"/>
              </w:rPr>
              <w:t>150 mg twice daily</w:t>
            </w:r>
          </w:p>
        </w:tc>
      </w:tr>
      <w:tr w:rsidR="00D57A4B" w:rsidRPr="00254BEF" w:rsidTr="00091CA9">
        <w:tc>
          <w:tcPr>
            <w:tcW w:w="1998" w:type="dxa"/>
          </w:tcPr>
          <w:p w:rsidR="00D57A4B" w:rsidRPr="00254BEF" w:rsidRDefault="00D57A4B" w:rsidP="00D57A4B">
            <w:pPr>
              <w:spacing w:after="120" w:line="240" w:lineRule="atLeast"/>
              <w:rPr>
                <w:rFonts w:ascii="Arial" w:hAnsi="Arial" w:cs="Arial"/>
              </w:rPr>
            </w:pPr>
            <w:r w:rsidRPr="00254BEF">
              <w:rPr>
                <w:rFonts w:ascii="Arial" w:hAnsi="Arial" w:cs="Arial"/>
              </w:rPr>
              <w:t>First reduction</w:t>
            </w:r>
          </w:p>
        </w:tc>
        <w:tc>
          <w:tcPr>
            <w:tcW w:w="2160" w:type="dxa"/>
          </w:tcPr>
          <w:p w:rsidR="00D57A4B" w:rsidRPr="00254BEF" w:rsidRDefault="00D57A4B" w:rsidP="00D57A4B">
            <w:pPr>
              <w:spacing w:after="120" w:line="240" w:lineRule="atLeast"/>
              <w:rPr>
                <w:rFonts w:ascii="Arial" w:hAnsi="Arial" w:cs="Arial"/>
              </w:rPr>
            </w:pPr>
            <w:r w:rsidRPr="00254BEF">
              <w:rPr>
                <w:rFonts w:ascii="Arial" w:hAnsi="Arial" w:cs="Arial"/>
              </w:rPr>
              <w:t>100 mg twice daily</w:t>
            </w:r>
          </w:p>
        </w:tc>
      </w:tr>
      <w:tr w:rsidR="00D57A4B" w:rsidRPr="00254BEF" w:rsidTr="00091CA9">
        <w:tc>
          <w:tcPr>
            <w:tcW w:w="1998" w:type="dxa"/>
          </w:tcPr>
          <w:p w:rsidR="00D57A4B" w:rsidRPr="00254BEF" w:rsidRDefault="00D57A4B" w:rsidP="00D57A4B">
            <w:pPr>
              <w:spacing w:after="120" w:line="240" w:lineRule="atLeast"/>
              <w:rPr>
                <w:rFonts w:ascii="Arial" w:hAnsi="Arial" w:cs="Arial"/>
              </w:rPr>
            </w:pPr>
            <w:r w:rsidRPr="00254BEF">
              <w:rPr>
                <w:rFonts w:ascii="Arial" w:hAnsi="Arial" w:cs="Arial"/>
              </w:rPr>
              <w:t>Second reduction</w:t>
            </w:r>
          </w:p>
        </w:tc>
        <w:tc>
          <w:tcPr>
            <w:tcW w:w="2160" w:type="dxa"/>
          </w:tcPr>
          <w:p w:rsidR="00D57A4B" w:rsidRPr="00254BEF" w:rsidRDefault="00D57A4B" w:rsidP="00D57A4B">
            <w:pPr>
              <w:spacing w:after="120" w:line="240" w:lineRule="atLeast"/>
              <w:rPr>
                <w:rFonts w:ascii="Arial" w:hAnsi="Arial" w:cs="Arial"/>
              </w:rPr>
            </w:pPr>
            <w:r w:rsidRPr="00254BEF">
              <w:rPr>
                <w:rFonts w:ascii="Arial" w:hAnsi="Arial" w:cs="Arial"/>
              </w:rPr>
              <w:t>75 mg twice daily</w:t>
            </w:r>
          </w:p>
        </w:tc>
      </w:tr>
      <w:tr w:rsidR="00D57A4B" w:rsidRPr="00254BEF" w:rsidTr="00091CA9">
        <w:tc>
          <w:tcPr>
            <w:tcW w:w="1998" w:type="dxa"/>
          </w:tcPr>
          <w:p w:rsidR="00D57A4B" w:rsidRPr="00254BEF" w:rsidRDefault="00D57A4B" w:rsidP="00D57A4B">
            <w:pPr>
              <w:spacing w:after="120" w:line="240" w:lineRule="atLeast"/>
              <w:rPr>
                <w:rFonts w:ascii="Arial" w:hAnsi="Arial" w:cs="Arial"/>
              </w:rPr>
            </w:pPr>
            <w:r w:rsidRPr="00254BEF">
              <w:rPr>
                <w:rFonts w:ascii="Arial" w:hAnsi="Arial" w:cs="Arial"/>
              </w:rPr>
              <w:t>Third reduction</w:t>
            </w:r>
          </w:p>
        </w:tc>
        <w:tc>
          <w:tcPr>
            <w:tcW w:w="2160" w:type="dxa"/>
          </w:tcPr>
          <w:p w:rsidR="00D57A4B" w:rsidRPr="00254BEF" w:rsidRDefault="00D57A4B" w:rsidP="00D57A4B">
            <w:pPr>
              <w:spacing w:after="120" w:line="240" w:lineRule="atLeast"/>
              <w:rPr>
                <w:rFonts w:ascii="Arial" w:hAnsi="Arial" w:cs="Arial"/>
              </w:rPr>
            </w:pPr>
            <w:r w:rsidRPr="00254BEF">
              <w:rPr>
                <w:rFonts w:ascii="Arial" w:hAnsi="Arial" w:cs="Arial"/>
              </w:rPr>
              <w:t>50 mg twice daily</w:t>
            </w:r>
          </w:p>
        </w:tc>
      </w:tr>
    </w:tbl>
    <w:p w:rsidR="001D275A" w:rsidRPr="00254BEF" w:rsidRDefault="001D275A" w:rsidP="00091CA9">
      <w:pPr>
        <w:pStyle w:val="ListParagraph"/>
      </w:pPr>
    </w:p>
    <w:p w:rsidR="00091CA9" w:rsidRDefault="00091CA9" w:rsidP="00B94D46">
      <w:pPr>
        <w:pStyle w:val="Caption"/>
      </w:pPr>
      <w:bookmarkStart w:id="7" w:name="_Ref354739128"/>
      <w:r>
        <w:t xml:space="preserve">Table </w:t>
      </w:r>
      <w:fldSimple w:instr=" SEQ Table \* ARABIC ">
        <w:r w:rsidR="00A36833">
          <w:rPr>
            <w:noProof/>
          </w:rPr>
          <w:t>7</w:t>
        </w:r>
      </w:fldSimple>
      <w:bookmarkEnd w:id="7"/>
      <w:r w:rsidRPr="00254BEF">
        <w:rPr>
          <w:b w:val="0"/>
        </w:rPr>
        <w:t>:</w:t>
      </w:r>
      <w:r w:rsidRPr="00254BEF">
        <w:t xml:space="preserve"> </w:t>
      </w:r>
      <w:r>
        <w:t>TAFINLAR</w:t>
      </w:r>
      <w:r w:rsidRPr="00254BEF">
        <w:t xml:space="preserve"> dose modification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204"/>
      </w:tblGrid>
      <w:tr w:rsidR="001D275A" w:rsidRPr="00254BEF" w:rsidTr="001D275A">
        <w:tc>
          <w:tcPr>
            <w:tcW w:w="3652" w:type="dxa"/>
          </w:tcPr>
          <w:p w:rsidR="001D275A" w:rsidRPr="00254BEF" w:rsidRDefault="001D275A" w:rsidP="00D57A4B">
            <w:pPr>
              <w:spacing w:after="120" w:line="240" w:lineRule="atLeast"/>
              <w:rPr>
                <w:rFonts w:ascii="Arial" w:hAnsi="Arial" w:cs="Arial"/>
                <w:b/>
              </w:rPr>
            </w:pPr>
            <w:r w:rsidRPr="00254BEF">
              <w:rPr>
                <w:rFonts w:ascii="Arial" w:hAnsi="Arial" w:cs="Arial"/>
                <w:b/>
              </w:rPr>
              <w:t>Grade (CTC-AE)</w:t>
            </w:r>
            <w:r w:rsidR="00D57A4B" w:rsidRPr="00254BEF">
              <w:rPr>
                <w:rFonts w:ascii="Arial" w:hAnsi="Arial" w:cs="Arial"/>
                <w:b/>
              </w:rPr>
              <w:t>*</w:t>
            </w:r>
          </w:p>
        </w:tc>
        <w:tc>
          <w:tcPr>
            <w:tcW w:w="5204" w:type="dxa"/>
          </w:tcPr>
          <w:p w:rsidR="001D275A" w:rsidRPr="00254BEF" w:rsidRDefault="001D275A" w:rsidP="00D57A4B">
            <w:pPr>
              <w:spacing w:after="120" w:line="240" w:lineRule="atLeast"/>
              <w:rPr>
                <w:rFonts w:ascii="Arial" w:hAnsi="Arial" w:cs="Arial"/>
                <w:b/>
              </w:rPr>
            </w:pPr>
            <w:r w:rsidRPr="00254BEF">
              <w:rPr>
                <w:rFonts w:ascii="Arial" w:hAnsi="Arial" w:cs="Arial"/>
                <w:b/>
              </w:rPr>
              <w:t xml:space="preserve">Recommended </w:t>
            </w:r>
            <w:r w:rsidR="005D1137">
              <w:rPr>
                <w:rFonts w:ascii="Arial" w:hAnsi="Arial" w:cs="Arial"/>
                <w:b/>
              </w:rPr>
              <w:t>TAFINLAR</w:t>
            </w:r>
            <w:r w:rsidR="009221A3" w:rsidRPr="00254BEF">
              <w:rPr>
                <w:rFonts w:ascii="Arial" w:hAnsi="Arial" w:cs="Arial"/>
                <w:b/>
              </w:rPr>
              <w:t xml:space="preserve"> </w:t>
            </w:r>
            <w:r w:rsidRPr="00254BEF">
              <w:rPr>
                <w:rFonts w:ascii="Arial" w:hAnsi="Arial" w:cs="Arial"/>
                <w:b/>
              </w:rPr>
              <w:t>Dose Modification</w:t>
            </w:r>
            <w:r w:rsidR="00865540" w:rsidRPr="00254BEF">
              <w:rPr>
                <w:rFonts w:ascii="Arial" w:hAnsi="Arial" w:cs="Arial"/>
                <w:b/>
              </w:rPr>
              <w:t>s</w:t>
            </w:r>
          </w:p>
        </w:tc>
      </w:tr>
      <w:tr w:rsidR="001D275A" w:rsidRPr="00254BEF" w:rsidTr="00BF1F9D">
        <w:tc>
          <w:tcPr>
            <w:tcW w:w="3652" w:type="dxa"/>
          </w:tcPr>
          <w:p w:rsidR="001D275A" w:rsidRPr="00254BEF" w:rsidRDefault="00E47BEA" w:rsidP="00D57A4B">
            <w:pPr>
              <w:spacing w:after="120" w:line="240" w:lineRule="atLeast"/>
              <w:rPr>
                <w:rFonts w:ascii="Arial" w:hAnsi="Arial" w:cs="Arial"/>
              </w:rPr>
            </w:pPr>
            <w:r>
              <w:rPr>
                <w:rFonts w:ascii="Arial" w:hAnsi="Arial" w:cs="Arial"/>
              </w:rPr>
              <w:t>Grade 1 or Grade 2 (T</w:t>
            </w:r>
            <w:r w:rsidR="001D275A" w:rsidRPr="00254BEF">
              <w:rPr>
                <w:rFonts w:ascii="Arial" w:hAnsi="Arial" w:cs="Arial"/>
              </w:rPr>
              <w:t>olerable)</w:t>
            </w:r>
          </w:p>
        </w:tc>
        <w:tc>
          <w:tcPr>
            <w:tcW w:w="5204" w:type="dxa"/>
            <w:shd w:val="clear" w:color="auto" w:fill="auto"/>
          </w:tcPr>
          <w:p w:rsidR="001D275A" w:rsidRPr="00BF1F9D" w:rsidRDefault="00E47BEA" w:rsidP="00D57A4B">
            <w:pPr>
              <w:spacing w:after="120" w:line="240" w:lineRule="atLeast"/>
              <w:rPr>
                <w:rFonts w:ascii="Arial" w:hAnsi="Arial" w:cs="Arial"/>
              </w:rPr>
            </w:pPr>
            <w:r w:rsidRPr="00BF1F9D">
              <w:rPr>
                <w:rFonts w:ascii="Arial" w:hAnsi="Arial" w:cs="Arial"/>
              </w:rPr>
              <w:t>Continue treatment and monitor as clinically indicated</w:t>
            </w:r>
          </w:p>
        </w:tc>
      </w:tr>
      <w:tr w:rsidR="001D275A" w:rsidRPr="00254BEF" w:rsidTr="00BF1F9D">
        <w:tc>
          <w:tcPr>
            <w:tcW w:w="3652" w:type="dxa"/>
          </w:tcPr>
          <w:p w:rsidR="001D275A" w:rsidRPr="00254BEF" w:rsidRDefault="001D275A" w:rsidP="00D57A4B">
            <w:pPr>
              <w:spacing w:after="120" w:line="240" w:lineRule="atLeast"/>
              <w:rPr>
                <w:rFonts w:ascii="Arial" w:hAnsi="Arial" w:cs="Arial"/>
              </w:rPr>
            </w:pPr>
            <w:r w:rsidRPr="00254BEF">
              <w:rPr>
                <w:rFonts w:ascii="Arial" w:hAnsi="Arial" w:cs="Arial"/>
              </w:rPr>
              <w:t>Grade 2 (Intolerable) or Grade 3</w:t>
            </w:r>
          </w:p>
        </w:tc>
        <w:tc>
          <w:tcPr>
            <w:tcW w:w="5204" w:type="dxa"/>
            <w:shd w:val="clear" w:color="auto" w:fill="auto"/>
          </w:tcPr>
          <w:p w:rsidR="001D275A" w:rsidRPr="00BF1F9D" w:rsidRDefault="00E47BEA" w:rsidP="00D57A4B">
            <w:pPr>
              <w:spacing w:after="120" w:line="240" w:lineRule="atLeast"/>
              <w:rPr>
                <w:rFonts w:ascii="Arial" w:hAnsi="Arial" w:cs="Arial"/>
              </w:rPr>
            </w:pPr>
            <w:r w:rsidRPr="00BF1F9D">
              <w:rPr>
                <w:rFonts w:ascii="Arial" w:hAnsi="Arial" w:cs="Arial"/>
              </w:rPr>
              <w:t xml:space="preserve">Interrupt therapy until toxicity is grade 0 – 1 and reduce </w:t>
            </w:r>
            <w:r w:rsidRPr="00BF1F9D">
              <w:rPr>
                <w:rFonts w:ascii="Arial" w:hAnsi="Arial" w:cs="Arial"/>
              </w:rPr>
              <w:lastRenderedPageBreak/>
              <w:t>by one dose level when resuming therapy.</w:t>
            </w:r>
          </w:p>
        </w:tc>
      </w:tr>
      <w:tr w:rsidR="001D275A" w:rsidRPr="00254BEF" w:rsidTr="00BF1F9D">
        <w:tc>
          <w:tcPr>
            <w:tcW w:w="3652" w:type="dxa"/>
          </w:tcPr>
          <w:p w:rsidR="001D275A" w:rsidRPr="00254BEF" w:rsidRDefault="001D275A" w:rsidP="00D57A4B">
            <w:pPr>
              <w:spacing w:after="120" w:line="240" w:lineRule="atLeast"/>
              <w:rPr>
                <w:rFonts w:ascii="Arial" w:hAnsi="Arial" w:cs="Arial"/>
              </w:rPr>
            </w:pPr>
            <w:r w:rsidRPr="00254BEF">
              <w:rPr>
                <w:rFonts w:ascii="Arial" w:hAnsi="Arial" w:cs="Arial"/>
              </w:rPr>
              <w:lastRenderedPageBreak/>
              <w:t>Grade 4</w:t>
            </w:r>
          </w:p>
        </w:tc>
        <w:tc>
          <w:tcPr>
            <w:tcW w:w="5204" w:type="dxa"/>
            <w:shd w:val="clear" w:color="auto" w:fill="auto"/>
          </w:tcPr>
          <w:p w:rsidR="001D275A" w:rsidRPr="00BF1F9D" w:rsidRDefault="00E47BEA" w:rsidP="00D57A4B">
            <w:pPr>
              <w:spacing w:after="120" w:line="240" w:lineRule="atLeast"/>
              <w:rPr>
                <w:rFonts w:ascii="Arial" w:hAnsi="Arial" w:cs="Arial"/>
              </w:rPr>
            </w:pPr>
            <w:r w:rsidRPr="00BF1F9D">
              <w:rPr>
                <w:rFonts w:ascii="Arial" w:hAnsi="Arial" w:cs="Arial"/>
              </w:rPr>
              <w:t>Discontinue permanently, or interrupt therapy until grade 0 – 1 and reduce by one dose level when resuming therapy.</w:t>
            </w:r>
          </w:p>
        </w:tc>
      </w:tr>
    </w:tbl>
    <w:p w:rsidR="001D275A" w:rsidRPr="00254BEF" w:rsidRDefault="00D57A4B" w:rsidP="001D275A">
      <w:pPr>
        <w:rPr>
          <w:rFonts w:ascii="Arial" w:hAnsi="Arial" w:cs="Arial"/>
        </w:rPr>
      </w:pPr>
      <w:r w:rsidRPr="00254BEF">
        <w:rPr>
          <w:rFonts w:ascii="Arial" w:hAnsi="Arial" w:cs="Arial"/>
        </w:rPr>
        <w:t>*</w:t>
      </w:r>
      <w:r w:rsidR="001D275A" w:rsidRPr="00254BEF">
        <w:rPr>
          <w:rFonts w:ascii="Arial" w:hAnsi="Arial" w:cs="Arial"/>
        </w:rPr>
        <w:t xml:space="preserve">The intensity of clinical adverse events graded by the Common Terminology Criteria for Adverse Events </w:t>
      </w:r>
      <w:r w:rsidR="00E47BEA" w:rsidRPr="00254BEF">
        <w:rPr>
          <w:rFonts w:ascii="Arial" w:hAnsi="Arial" w:cs="Arial"/>
        </w:rPr>
        <w:t>(CTC-AE)</w:t>
      </w:r>
      <w:r w:rsidR="00E47BEA">
        <w:rPr>
          <w:rFonts w:ascii="Arial" w:hAnsi="Arial" w:cs="Arial"/>
        </w:rPr>
        <w:t xml:space="preserve"> </w:t>
      </w:r>
      <w:r w:rsidR="001D275A" w:rsidRPr="00254BEF">
        <w:rPr>
          <w:rFonts w:ascii="Arial" w:hAnsi="Arial" w:cs="Arial"/>
        </w:rPr>
        <w:t xml:space="preserve">v4.0 </w:t>
      </w:r>
      <w:r w:rsidR="00E47BEA">
        <w:rPr>
          <w:rFonts w:ascii="Arial" w:hAnsi="Arial" w:cs="Arial"/>
        </w:rPr>
        <w:t>.</w:t>
      </w:r>
    </w:p>
    <w:p w:rsidR="001D275A" w:rsidRPr="00254BEF" w:rsidRDefault="001D275A" w:rsidP="00091CA9">
      <w:pPr>
        <w:pStyle w:val="ListParagraph"/>
      </w:pPr>
    </w:p>
    <w:p w:rsidR="00D57A4B" w:rsidRPr="00254BEF" w:rsidRDefault="00D57A4B" w:rsidP="00091CA9">
      <w:pPr>
        <w:pStyle w:val="ListParagraph"/>
      </w:pPr>
      <w:r w:rsidRPr="00254BEF">
        <w:t>When an individual’s adverse reactions are under effective management, dose re-escalation following the same dosing steps as de-escalation may be considered. The dose should not exceed 150 mg twice daily.</w:t>
      </w:r>
    </w:p>
    <w:p w:rsidR="001D275A" w:rsidRPr="00254BEF" w:rsidRDefault="001D275A" w:rsidP="00DC5409">
      <w:pPr>
        <w:pStyle w:val="Heading2"/>
      </w:pPr>
      <w:r w:rsidRPr="00254BEF">
        <w:t>Populations</w:t>
      </w:r>
    </w:p>
    <w:p w:rsidR="001D275A" w:rsidRPr="00254BEF" w:rsidRDefault="001D275A" w:rsidP="00091CA9">
      <w:pPr>
        <w:pStyle w:val="Heading3"/>
      </w:pPr>
      <w:r w:rsidRPr="00254BEF">
        <w:t>Paediatric population</w:t>
      </w:r>
    </w:p>
    <w:p w:rsidR="001D275A" w:rsidRPr="00254BEF" w:rsidRDefault="001D275A" w:rsidP="00091CA9">
      <w:pPr>
        <w:pStyle w:val="ListParagraph"/>
      </w:pPr>
      <w:r w:rsidRPr="00254BEF">
        <w:t>The safet</w:t>
      </w:r>
      <w:r w:rsidR="00D57A4B" w:rsidRPr="00254BEF">
        <w:t xml:space="preserve">y and efficacy of </w:t>
      </w:r>
      <w:r w:rsidR="005D1137">
        <w:t>TAFINLAR</w:t>
      </w:r>
      <w:r w:rsidR="00D57A4B" w:rsidRPr="00254BEF">
        <w:t xml:space="preserve"> have</w:t>
      </w:r>
      <w:r w:rsidRPr="00254BEF">
        <w:t xml:space="preserve"> not been established in children and adolescents (&lt; 18 years)</w:t>
      </w:r>
      <w:r w:rsidR="00A112EC">
        <w:t xml:space="preserve">. </w:t>
      </w:r>
      <w:r w:rsidR="00A112EC" w:rsidRPr="00A112EC">
        <w:t xml:space="preserve"> Studies in juvenile animals have shown effects of </w:t>
      </w:r>
      <w:proofErr w:type="spellStart"/>
      <w:r w:rsidR="00A112EC" w:rsidRPr="00A112EC">
        <w:t>dabrafenib</w:t>
      </w:r>
      <w:proofErr w:type="spellEnd"/>
      <w:r w:rsidR="00A112EC" w:rsidRPr="00A112EC">
        <w:t xml:space="preserve"> which had not been observed in adult animals (see</w:t>
      </w:r>
      <w:r w:rsidR="00A112EC">
        <w:t xml:space="preserve"> </w:t>
      </w:r>
      <w:r w:rsidR="00DB45B9">
        <w:t>PRECAUTIONS</w:t>
      </w:r>
      <w:r w:rsidR="00A112EC" w:rsidRPr="00A112EC">
        <w:t>).</w:t>
      </w:r>
      <w:r w:rsidRPr="00254BEF">
        <w:t xml:space="preserve"> </w:t>
      </w:r>
    </w:p>
    <w:p w:rsidR="009221A3" w:rsidRPr="00254BEF" w:rsidRDefault="009221A3" w:rsidP="00091CA9">
      <w:pPr>
        <w:pStyle w:val="Heading3"/>
      </w:pPr>
      <w:r w:rsidRPr="00254BEF">
        <w:t>Elderly</w:t>
      </w:r>
    </w:p>
    <w:p w:rsidR="009221A3" w:rsidRPr="00254BEF" w:rsidRDefault="009221A3" w:rsidP="00091CA9">
      <w:pPr>
        <w:pStyle w:val="ListParagraph"/>
      </w:pPr>
      <w:r w:rsidRPr="00254BEF">
        <w:t xml:space="preserve">No dose adjustment is required in patients over 65 years (see </w:t>
      </w:r>
      <w:r w:rsidR="003E212D" w:rsidRPr="00254BEF">
        <w:t>PHARMACOKINETICS</w:t>
      </w:r>
      <w:r w:rsidRPr="00254BEF">
        <w:t>).</w:t>
      </w:r>
    </w:p>
    <w:p w:rsidR="001D275A" w:rsidRPr="00254BEF" w:rsidRDefault="001D275A" w:rsidP="00091CA9">
      <w:pPr>
        <w:pStyle w:val="Heading3"/>
      </w:pPr>
      <w:r w:rsidRPr="00254BEF">
        <w:t>Renal impairment</w:t>
      </w:r>
    </w:p>
    <w:p w:rsidR="009221A3" w:rsidRPr="00254BEF" w:rsidRDefault="009221A3" w:rsidP="00091CA9">
      <w:pPr>
        <w:pStyle w:val="ListParagraph"/>
      </w:pPr>
      <w:r w:rsidRPr="00254BEF">
        <w:t xml:space="preserve">No dose adjustment is required for patients with mild or moderate renal impairment. Based on the population pharmacokinetic analysis, mild and moderate renal impairment had no significant effect on </w:t>
      </w:r>
      <w:proofErr w:type="spellStart"/>
      <w:r w:rsidRPr="00254BEF">
        <w:t>dabrafenib</w:t>
      </w:r>
      <w:proofErr w:type="spellEnd"/>
      <w:r w:rsidRPr="00254BEF">
        <w:t xml:space="preserve"> oral clearance or on the concentrations of its metabolites (see </w:t>
      </w:r>
      <w:r w:rsidR="003E212D" w:rsidRPr="003E212D">
        <w:t>PHARMACOKINETICS</w:t>
      </w:r>
      <w:r w:rsidRPr="00254BEF">
        <w:t xml:space="preserve">). There are no clinical data in subjects with severe renal impairment and the potential need for dose adjustment cannot be determined.  </w:t>
      </w:r>
      <w:r w:rsidR="005D1137">
        <w:t>TAFINLAR</w:t>
      </w:r>
      <w:r w:rsidRPr="00254BEF">
        <w:t xml:space="preserve"> should be used with caution in patients with severe renal impairment.</w:t>
      </w:r>
    </w:p>
    <w:p w:rsidR="001D275A" w:rsidRPr="00254BEF" w:rsidRDefault="001D275A" w:rsidP="00091CA9">
      <w:pPr>
        <w:pStyle w:val="Heading3"/>
      </w:pPr>
      <w:r w:rsidRPr="00254BEF">
        <w:t>Hepatic impairment</w:t>
      </w:r>
    </w:p>
    <w:p w:rsidR="009221A3" w:rsidRPr="00254BEF" w:rsidRDefault="009221A3" w:rsidP="00091CA9">
      <w:pPr>
        <w:pStyle w:val="ListParagraph"/>
      </w:pPr>
      <w:r w:rsidRPr="00254BEF">
        <w:t xml:space="preserve">No dose adjustment is required for patients with mild hepatic impairment.  Based on the population pharmacokinetic analysis, mild hepatic impairment had no significant effect on </w:t>
      </w:r>
      <w:proofErr w:type="spellStart"/>
      <w:r w:rsidRPr="00254BEF">
        <w:t>dabrafenib</w:t>
      </w:r>
      <w:proofErr w:type="spellEnd"/>
      <w:r w:rsidRPr="00254BEF">
        <w:t xml:space="preserve"> oral clearance or on the concentrations of its metabolites (see </w:t>
      </w:r>
      <w:r w:rsidR="003E212D" w:rsidRPr="003E212D">
        <w:t>PHARMACOKINETICS</w:t>
      </w:r>
      <w:r w:rsidRPr="00254BEF">
        <w:t xml:space="preserve">). There are no clinical data in subjects with moderate to severe hepatic impairment and the potential need for dose adjustment cannot be determined. Hepatic metabolism and </w:t>
      </w:r>
      <w:proofErr w:type="spellStart"/>
      <w:r w:rsidRPr="00254BEF">
        <w:t>biliary</w:t>
      </w:r>
      <w:proofErr w:type="spellEnd"/>
      <w:r w:rsidRPr="00254BEF">
        <w:t xml:space="preserve"> secretion are the primary routes of elimination of </w:t>
      </w:r>
      <w:proofErr w:type="spellStart"/>
      <w:r w:rsidRPr="00254BEF">
        <w:t>dabrafenib</w:t>
      </w:r>
      <w:proofErr w:type="spellEnd"/>
      <w:r w:rsidRPr="00254BEF">
        <w:t xml:space="preserve"> and its metabolites and patients with moderate to severe hepatic impairment may have increased exposure. </w:t>
      </w:r>
      <w:r w:rsidR="005D1137">
        <w:t>TAFINLAR</w:t>
      </w:r>
      <w:r w:rsidRPr="00254BEF">
        <w:t xml:space="preserve"> should be used with caution in patients with moderate or severe hepatic impairment.</w:t>
      </w:r>
    </w:p>
    <w:p w:rsidR="004F640B" w:rsidRPr="00254BEF" w:rsidRDefault="004F640B" w:rsidP="00091CA9">
      <w:pPr>
        <w:pStyle w:val="ListParagraph"/>
      </w:pPr>
    </w:p>
    <w:p w:rsidR="000B3F7C" w:rsidRPr="00254BEF" w:rsidRDefault="0077380F" w:rsidP="0070730F">
      <w:pPr>
        <w:pStyle w:val="Heading1"/>
      </w:pPr>
      <w:r w:rsidRPr="00254BEF">
        <w:t>O</w:t>
      </w:r>
      <w:smartTag w:uri="schemas-GSKSiteLocations-com/fourthcoffee" w:element="flavor">
        <w:r w:rsidRPr="00254BEF">
          <w:t>VER</w:t>
        </w:r>
      </w:smartTag>
      <w:r w:rsidRPr="00254BEF">
        <w:t>DOSAGE</w:t>
      </w:r>
    </w:p>
    <w:p w:rsidR="00DE0935" w:rsidRPr="00254BEF" w:rsidRDefault="00DE0935" w:rsidP="0049066C">
      <w:pPr>
        <w:pStyle w:val="Heading2"/>
      </w:pPr>
      <w:r w:rsidRPr="00254BEF">
        <w:t>Symptoms and Signs</w:t>
      </w:r>
    </w:p>
    <w:p w:rsidR="009221A3" w:rsidRPr="00BF1F9D" w:rsidRDefault="009221A3" w:rsidP="00091CA9">
      <w:pPr>
        <w:pStyle w:val="ListParagraph"/>
      </w:pPr>
      <w:r w:rsidRPr="00BF1F9D">
        <w:rPr>
          <w:lang w:val="en-US" w:eastAsia="en-US"/>
        </w:rPr>
        <w:t>There is currently</w:t>
      </w:r>
      <w:r w:rsidR="00D560D2" w:rsidRPr="00BF1F9D">
        <w:rPr>
          <w:lang w:val="en-US" w:eastAsia="en-US"/>
        </w:rPr>
        <w:t xml:space="preserve"> very</w:t>
      </w:r>
      <w:r w:rsidRPr="00BF1F9D">
        <w:rPr>
          <w:lang w:val="en-US" w:eastAsia="en-US"/>
        </w:rPr>
        <w:t xml:space="preserve"> limited experience with </w:t>
      </w:r>
      <w:proofErr w:type="spellStart"/>
      <w:r w:rsidRPr="00BF1F9D">
        <w:rPr>
          <w:lang w:val="en-US" w:eastAsia="en-US"/>
        </w:rPr>
        <w:t>overdosage</w:t>
      </w:r>
      <w:proofErr w:type="spellEnd"/>
      <w:r w:rsidRPr="00BF1F9D">
        <w:rPr>
          <w:lang w:val="en-US" w:eastAsia="en-US"/>
        </w:rPr>
        <w:t xml:space="preserve"> with </w:t>
      </w:r>
      <w:r w:rsidR="005D1137">
        <w:rPr>
          <w:lang w:val="en-US" w:eastAsia="en-US"/>
        </w:rPr>
        <w:t>TAFINLAR</w:t>
      </w:r>
      <w:r w:rsidRPr="00BF1F9D">
        <w:rPr>
          <w:lang w:val="en-US" w:eastAsia="en-US"/>
        </w:rPr>
        <w:t>.</w:t>
      </w:r>
      <w:r w:rsidR="002C1495" w:rsidRPr="00BF1F9D">
        <w:rPr>
          <w:lang w:val="en-US" w:eastAsia="en-US"/>
        </w:rPr>
        <w:t xml:space="preserve"> The maximum dose of </w:t>
      </w:r>
      <w:r w:rsidR="005D1137">
        <w:rPr>
          <w:lang w:val="en-US" w:eastAsia="en-US"/>
        </w:rPr>
        <w:t>TAFINLAR</w:t>
      </w:r>
      <w:r w:rsidR="002C1495" w:rsidRPr="00BF1F9D">
        <w:rPr>
          <w:lang w:val="en-US" w:eastAsia="en-US"/>
        </w:rPr>
        <w:t xml:space="preserve"> administered during clinical trials was 600 mg (300 mg twice daily)</w:t>
      </w:r>
      <w:r w:rsidR="0078175F" w:rsidRPr="00BF1F9D">
        <w:rPr>
          <w:lang w:val="en-US" w:eastAsia="en-US"/>
        </w:rPr>
        <w:t>.</w:t>
      </w:r>
    </w:p>
    <w:p w:rsidR="00DE0935" w:rsidRPr="00BF1F9D" w:rsidRDefault="00DE0935" w:rsidP="0049066C">
      <w:pPr>
        <w:pStyle w:val="Heading2"/>
      </w:pPr>
      <w:r w:rsidRPr="00BF1F9D">
        <w:t>Treatment</w:t>
      </w:r>
    </w:p>
    <w:p w:rsidR="0078175F" w:rsidRPr="00BF1F9D" w:rsidRDefault="0078175F" w:rsidP="00091CA9">
      <w:pPr>
        <w:pStyle w:val="ListParagraph"/>
      </w:pPr>
      <w:r w:rsidRPr="00BF1F9D">
        <w:t xml:space="preserve">There is no specific antidote for </w:t>
      </w:r>
      <w:proofErr w:type="spellStart"/>
      <w:r w:rsidRPr="00BF1F9D">
        <w:t>overdosage</w:t>
      </w:r>
      <w:proofErr w:type="spellEnd"/>
      <w:r w:rsidRPr="00BF1F9D">
        <w:t xml:space="preserve"> of </w:t>
      </w:r>
      <w:r w:rsidR="005D1137">
        <w:rPr>
          <w:lang w:val="en-US" w:eastAsia="en-US"/>
        </w:rPr>
        <w:t>TAFINLAR</w:t>
      </w:r>
      <w:r w:rsidRPr="00BF1F9D">
        <w:t xml:space="preserve">. Patients who develop adverse reactions should receive appropriate symptomatic treatment. In case of suspected overdose, </w:t>
      </w:r>
      <w:r w:rsidR="005D1137">
        <w:rPr>
          <w:lang w:val="en-US" w:eastAsia="en-US"/>
        </w:rPr>
        <w:t>TAFINLAR</w:t>
      </w:r>
      <w:r w:rsidRPr="00BF1F9D">
        <w:t xml:space="preserve"> should be withheld and supportive care instituted. Further management should be as clinically indicated or as recommended by the national poisons centre, where available.</w:t>
      </w:r>
    </w:p>
    <w:p w:rsidR="004F640B" w:rsidRPr="00254BEF" w:rsidRDefault="004F640B" w:rsidP="00091CA9">
      <w:pPr>
        <w:pStyle w:val="ListParagraph"/>
      </w:pPr>
      <w:r w:rsidRPr="0078175F">
        <w:lastRenderedPageBreak/>
        <w:t>For information on the management of overdose, contact the Poison Information Centre on 131126 (Australia).</w:t>
      </w:r>
    </w:p>
    <w:p w:rsidR="00815E4A" w:rsidRPr="00254BEF" w:rsidRDefault="00815E4A" w:rsidP="00091CA9">
      <w:pPr>
        <w:pStyle w:val="ListParagraph"/>
      </w:pPr>
    </w:p>
    <w:p w:rsidR="0077380F" w:rsidRPr="00254BEF" w:rsidRDefault="0077380F" w:rsidP="0070730F">
      <w:pPr>
        <w:pStyle w:val="Heading1"/>
      </w:pPr>
      <w:r w:rsidRPr="00254BEF">
        <w:t xml:space="preserve">PRESENTATION </w:t>
      </w:r>
      <w:smartTag w:uri="urn:schemas-microsoft-com:office:smarttags" w:element="stockticker">
        <w:r w:rsidRPr="00254BEF">
          <w:t>AND</w:t>
        </w:r>
      </w:smartTag>
      <w:r w:rsidRPr="00254BEF">
        <w:t xml:space="preserve"> STORAGE CONDITIONS</w:t>
      </w:r>
    </w:p>
    <w:p w:rsidR="00DE0935" w:rsidRPr="00254BEF" w:rsidRDefault="00C80CFA" w:rsidP="00091CA9">
      <w:pPr>
        <w:pStyle w:val="ListParagraph"/>
      </w:pPr>
      <w:r w:rsidRPr="00091CA9">
        <w:rPr>
          <w:b/>
          <w:bCs/>
        </w:rPr>
        <w:t xml:space="preserve">The </w:t>
      </w:r>
      <w:r w:rsidR="005D1137" w:rsidRPr="00091CA9">
        <w:rPr>
          <w:b/>
          <w:bCs/>
        </w:rPr>
        <w:t>TAFINLAR</w:t>
      </w:r>
      <w:r w:rsidR="00DE0935" w:rsidRPr="00091CA9">
        <w:rPr>
          <w:b/>
          <w:bCs/>
        </w:rPr>
        <w:t xml:space="preserve"> 50 mg </w:t>
      </w:r>
      <w:r w:rsidR="00D21521" w:rsidRPr="00091CA9">
        <w:rPr>
          <w:b/>
          <w:bCs/>
        </w:rPr>
        <w:t>capsule</w:t>
      </w:r>
      <w:r w:rsidRPr="00091CA9">
        <w:rPr>
          <w:b/>
          <w:bCs/>
        </w:rPr>
        <w:t>s</w:t>
      </w:r>
      <w:r w:rsidR="00325EBD" w:rsidRPr="00254BEF">
        <w:t xml:space="preserve"> </w:t>
      </w:r>
      <w:r w:rsidR="00D21521" w:rsidRPr="00254BEF">
        <w:t xml:space="preserve">are, opaque, size 2 </w:t>
      </w:r>
      <w:r w:rsidR="00BF1F9D">
        <w:t xml:space="preserve">hard </w:t>
      </w:r>
      <w:r w:rsidR="00D21521" w:rsidRPr="00254BEF">
        <w:t xml:space="preserve">capsule composed of a dark red body and dark red cap containing a white to slightly coloured solid. The capsule shells are imprinted with GS TEW and 50 mg. The </w:t>
      </w:r>
      <w:r w:rsidR="005D1137">
        <w:t>TAFINLAR</w:t>
      </w:r>
      <w:r w:rsidR="00D21521" w:rsidRPr="00254BEF">
        <w:t xml:space="preserve"> 50 mg capsules are supplied in h</w:t>
      </w:r>
      <w:r w:rsidR="00DE0935" w:rsidRPr="00254BEF">
        <w:t>igh-density polyethylene (HDPE) bottles with child resistant polypropylene closures containing 28 or 120 capsules.</w:t>
      </w:r>
    </w:p>
    <w:p w:rsidR="00D21521" w:rsidRPr="00254BEF" w:rsidRDefault="00D21521" w:rsidP="00091CA9">
      <w:pPr>
        <w:pStyle w:val="ListParagraph"/>
      </w:pPr>
      <w:r w:rsidRPr="00254BEF">
        <w:rPr>
          <w:b/>
        </w:rPr>
        <w:t xml:space="preserve">The </w:t>
      </w:r>
      <w:r w:rsidR="005D1137">
        <w:rPr>
          <w:b/>
        </w:rPr>
        <w:t>TAFINLAR</w:t>
      </w:r>
      <w:r w:rsidRPr="00254BEF">
        <w:rPr>
          <w:b/>
        </w:rPr>
        <w:t xml:space="preserve"> </w:t>
      </w:r>
      <w:r w:rsidR="00C80CFA" w:rsidRPr="00254BEF">
        <w:rPr>
          <w:b/>
        </w:rPr>
        <w:t>75 mg c</w:t>
      </w:r>
      <w:r w:rsidR="00DE0935" w:rsidRPr="00254BEF">
        <w:rPr>
          <w:b/>
        </w:rPr>
        <w:t>apsules</w:t>
      </w:r>
      <w:r w:rsidRPr="00254BEF">
        <w:rPr>
          <w:b/>
        </w:rPr>
        <w:t xml:space="preserve"> </w:t>
      </w:r>
      <w:r w:rsidRPr="00A36833">
        <w:t xml:space="preserve">are </w:t>
      </w:r>
      <w:r w:rsidRPr="00254BEF">
        <w:t>o</w:t>
      </w:r>
      <w:r w:rsidR="00DE0935" w:rsidRPr="00254BEF">
        <w:t xml:space="preserve">paque, size 1 </w:t>
      </w:r>
      <w:r w:rsidR="00BF1F9D">
        <w:t xml:space="preserve">hard </w:t>
      </w:r>
      <w:r w:rsidR="00DE0935" w:rsidRPr="00254BEF">
        <w:t xml:space="preserve">capsule composed of a dark pink body and dark pink cap containing a white to slightly coloured solid. </w:t>
      </w:r>
      <w:r w:rsidRPr="00254BEF">
        <w:t>The c</w:t>
      </w:r>
      <w:r w:rsidR="00DE0935" w:rsidRPr="00254BEF">
        <w:t xml:space="preserve">apsule shells </w:t>
      </w:r>
      <w:r w:rsidRPr="00254BEF">
        <w:t xml:space="preserve">are </w:t>
      </w:r>
      <w:r w:rsidR="00DE0935" w:rsidRPr="00254BEF">
        <w:t>imprinted with GS LHF and 75 mg.</w:t>
      </w:r>
      <w:r w:rsidRPr="00254BEF">
        <w:t xml:space="preserve"> The </w:t>
      </w:r>
      <w:r w:rsidR="005D1137">
        <w:t>TAFINLAR</w:t>
      </w:r>
      <w:r w:rsidR="004B03B0" w:rsidRPr="00254BEF">
        <w:t xml:space="preserve"> </w:t>
      </w:r>
      <w:r w:rsidRPr="00254BEF">
        <w:t>75 mg capsule are supplied in high-density polyethylene (HDPE) bottles with child resistant polypropylene closures containing 28 or 120 capsules.</w:t>
      </w:r>
    </w:p>
    <w:p w:rsidR="00FF6867" w:rsidRDefault="00FF6867" w:rsidP="00091CA9">
      <w:pPr>
        <w:pStyle w:val="ListParagraph"/>
      </w:pPr>
    </w:p>
    <w:p w:rsidR="00AB392D" w:rsidRPr="00254BEF" w:rsidRDefault="00AB392D" w:rsidP="00091CA9">
      <w:pPr>
        <w:pStyle w:val="Heading2"/>
      </w:pPr>
      <w:r w:rsidRPr="00254BEF">
        <w:t>Storage Conditions</w:t>
      </w:r>
    </w:p>
    <w:p w:rsidR="00AB392D" w:rsidRPr="00254BEF" w:rsidRDefault="00A74A84" w:rsidP="00091CA9">
      <w:pPr>
        <w:pStyle w:val="ListParagraph"/>
      </w:pPr>
      <w:r w:rsidRPr="00254BEF">
        <w:t>Store below</w:t>
      </w:r>
      <w:r w:rsidR="00AB392D" w:rsidRPr="00254BEF">
        <w:t xml:space="preserve"> 30°C.</w:t>
      </w:r>
    </w:p>
    <w:p w:rsidR="00815E4A" w:rsidRPr="00254BEF" w:rsidRDefault="00815E4A" w:rsidP="00091CA9">
      <w:pPr>
        <w:pStyle w:val="ListParagraph"/>
      </w:pPr>
    </w:p>
    <w:p w:rsidR="0077380F" w:rsidRPr="00254BEF" w:rsidRDefault="0077380F" w:rsidP="0070730F">
      <w:pPr>
        <w:pStyle w:val="Heading1"/>
      </w:pPr>
      <w:r w:rsidRPr="00254BEF">
        <w:t xml:space="preserve">NAME </w:t>
      </w:r>
      <w:smartTag w:uri="urn:schemas-microsoft-com:office:smarttags" w:element="stockticker">
        <w:r w:rsidRPr="00254BEF">
          <w:t>AND</w:t>
        </w:r>
      </w:smartTag>
      <w:r w:rsidRPr="00254BEF">
        <w:t xml:space="preserve"> ADDRESS OF THE SPONSOR</w:t>
      </w:r>
    </w:p>
    <w:p w:rsidR="003A21A0" w:rsidRPr="00B94D46" w:rsidRDefault="003A21A0" w:rsidP="00B94D46">
      <w:pPr>
        <w:pStyle w:val="ListParagraph"/>
      </w:pPr>
      <w:r w:rsidRPr="00B94D46">
        <w:t>GlaxoSmithKline Australia Pty Ltd,</w:t>
      </w:r>
      <w:r w:rsidR="00091CA9" w:rsidRPr="00B94D46">
        <w:rPr>
          <w:rFonts w:eastAsia="Calibri"/>
        </w:rPr>
        <w:br/>
      </w:r>
      <w:r w:rsidRPr="00B94D46">
        <w:rPr>
          <w:rFonts w:eastAsia="Calibri"/>
        </w:rPr>
        <w:t xml:space="preserve">Level 4, 436 Johnston Street, </w:t>
      </w:r>
      <w:r w:rsidR="00091CA9" w:rsidRPr="00B94D46">
        <w:rPr>
          <w:rFonts w:eastAsia="Calibri"/>
        </w:rPr>
        <w:br/>
      </w:r>
      <w:r w:rsidRPr="00B94D46">
        <w:rPr>
          <w:rFonts w:eastAsia="Calibri"/>
        </w:rPr>
        <w:t>Abbotsford, Victoria, 3067</w:t>
      </w:r>
    </w:p>
    <w:p w:rsidR="00D21521" w:rsidRPr="00B94D46" w:rsidRDefault="00D21521" w:rsidP="00B94D46">
      <w:pPr>
        <w:pStyle w:val="ListParagraph"/>
      </w:pPr>
    </w:p>
    <w:p w:rsidR="00053893" w:rsidRPr="00254BEF" w:rsidRDefault="00D06FFC" w:rsidP="0070730F">
      <w:pPr>
        <w:pStyle w:val="Heading1"/>
      </w:pPr>
      <w:r w:rsidRPr="00254BEF">
        <w:t>POISON SCHEDULE OF THE MEDICINE</w:t>
      </w:r>
    </w:p>
    <w:p w:rsidR="00571510" w:rsidRPr="00254BEF" w:rsidRDefault="00053893" w:rsidP="00091CA9">
      <w:pPr>
        <w:pStyle w:val="ListParagraph"/>
      </w:pPr>
      <w:r w:rsidRPr="00254BEF">
        <w:t>Schedule 4 – Prescription Only Medicine</w:t>
      </w:r>
      <w:r w:rsidR="00571510" w:rsidRPr="00254BEF">
        <w:t xml:space="preserve"> </w:t>
      </w:r>
    </w:p>
    <w:p w:rsidR="00091CA9" w:rsidRPr="005E549E" w:rsidRDefault="004F640B" w:rsidP="004F640B">
      <w:pPr>
        <w:pStyle w:val="Heading4"/>
        <w:rPr>
          <w:rStyle w:val="Heading2Char"/>
          <w:b/>
        </w:rPr>
      </w:pPr>
      <w:r w:rsidRPr="005E549E">
        <w:rPr>
          <w:rStyle w:val="Heading2Char"/>
          <w:b/>
        </w:rPr>
        <w:t>Date of first inclusion in the Australian Register of Therapeutic Goods (the ARTG):</w:t>
      </w:r>
    </w:p>
    <w:p w:rsidR="00AC3812" w:rsidRDefault="008E1E77" w:rsidP="00091CA9">
      <w:pPr>
        <w:pStyle w:val="ListParagraph"/>
      </w:pPr>
      <w:r>
        <w:t>21 August 2013</w:t>
      </w:r>
    </w:p>
    <w:p w:rsidR="00091CA9" w:rsidRPr="00254BEF" w:rsidRDefault="00091CA9" w:rsidP="00091CA9">
      <w:pPr>
        <w:pStyle w:val="ListParagraph"/>
      </w:pPr>
    </w:p>
    <w:p w:rsidR="00D37BE1" w:rsidRPr="00254BEF" w:rsidRDefault="00D37BE1" w:rsidP="00091CA9">
      <w:pPr>
        <w:pStyle w:val="ListParagraph"/>
      </w:pPr>
      <w:r w:rsidRPr="00254BEF">
        <w:rPr>
          <w:b/>
        </w:rPr>
        <w:t>Date of most recent amendment:</w:t>
      </w:r>
      <w:r w:rsidRPr="00254BEF">
        <w:tab/>
      </w:r>
      <w:r w:rsidR="008E1E77">
        <w:t>21 August 2013</w:t>
      </w:r>
    </w:p>
    <w:p w:rsidR="005D14FF" w:rsidRPr="00254BEF" w:rsidRDefault="005D1137" w:rsidP="00091CA9">
      <w:pPr>
        <w:pStyle w:val="ListParagraph"/>
      </w:pPr>
      <w:r>
        <w:t>TAFINLAR</w:t>
      </w:r>
      <w:r w:rsidR="004F640B" w:rsidRPr="00254BEF">
        <w:rPr>
          <w:vertAlign w:val="superscript"/>
        </w:rPr>
        <w:t xml:space="preserve"> </w:t>
      </w:r>
      <w:r w:rsidR="005D14FF" w:rsidRPr="00254BEF">
        <w:t xml:space="preserve"> is a registered trade mark of the GlaxoSmithKline group of companies.</w:t>
      </w:r>
    </w:p>
    <w:p w:rsidR="004F640B" w:rsidRPr="00254BEF" w:rsidRDefault="004F640B" w:rsidP="00091CA9">
      <w:pPr>
        <w:pStyle w:val="ListParagraph"/>
      </w:pPr>
    </w:p>
    <w:p w:rsidR="00053893" w:rsidRPr="0070730F" w:rsidRDefault="004F640B" w:rsidP="00091CA9">
      <w:pPr>
        <w:pStyle w:val="ListParagraph"/>
      </w:pPr>
      <w:r>
        <w:t xml:space="preserve">Version </w:t>
      </w:r>
      <w:r w:rsidR="003C6242">
        <w:t>1.0</w:t>
      </w:r>
    </w:p>
    <w:sectPr w:rsidR="00053893" w:rsidRPr="0070730F" w:rsidSect="005D1137">
      <w:headerReference w:type="default" r:id="rId13"/>
      <w:footerReference w:type="default" r:id="rId14"/>
      <w:pgSz w:w="11906" w:h="16838" w:code="9"/>
      <w:pgMar w:top="1440" w:right="1540" w:bottom="1440" w:left="1540" w:header="720" w:footer="720" w:gutter="0"/>
      <w:paperSrc w:first="4"/>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293" w:rsidRDefault="00590293" w:rsidP="007E0C5E">
      <w:r>
        <w:separator/>
      </w:r>
    </w:p>
  </w:endnote>
  <w:endnote w:type="continuationSeparator" w:id="0">
    <w:p w:rsidR="00590293" w:rsidRDefault="00590293" w:rsidP="007E0C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074" w:rsidRPr="00E8070F" w:rsidRDefault="00B67074" w:rsidP="00AD2C82">
    <w:pPr>
      <w:pStyle w:val="Footer"/>
      <w:tabs>
        <w:tab w:val="clear" w:pos="8306"/>
        <w:tab w:val="right" w:pos="8880"/>
      </w:tabs>
      <w:spacing w:before="240"/>
      <w:rPr>
        <w:rFonts w:ascii="Arial" w:hAnsi="Arial" w:cs="Arial"/>
        <w:sz w:val="22"/>
        <w:szCs w:val="16"/>
      </w:rPr>
    </w:pPr>
    <w:r w:rsidRPr="005D14FF">
      <w:rPr>
        <w:rFonts w:ascii="Arial" w:hAnsi="Arial" w:cs="Arial"/>
        <w:sz w:val="16"/>
        <w:szCs w:val="16"/>
      </w:rPr>
      <w:tab/>
    </w:r>
    <w:r w:rsidR="00F57809" w:rsidRPr="00E8070F">
      <w:rPr>
        <w:rStyle w:val="PageNumber"/>
        <w:rFonts w:ascii="Arial" w:hAnsi="Arial" w:cs="Arial"/>
        <w:sz w:val="22"/>
        <w:szCs w:val="16"/>
      </w:rPr>
      <w:fldChar w:fldCharType="begin"/>
    </w:r>
    <w:r w:rsidRPr="00E8070F">
      <w:rPr>
        <w:rStyle w:val="PageNumber"/>
        <w:rFonts w:ascii="Arial" w:hAnsi="Arial" w:cs="Arial"/>
        <w:sz w:val="22"/>
        <w:szCs w:val="16"/>
      </w:rPr>
      <w:instrText xml:space="preserve"> PAGE </w:instrText>
    </w:r>
    <w:r w:rsidR="00F57809" w:rsidRPr="00E8070F">
      <w:rPr>
        <w:rStyle w:val="PageNumber"/>
        <w:rFonts w:ascii="Arial" w:hAnsi="Arial" w:cs="Arial"/>
        <w:sz w:val="22"/>
        <w:szCs w:val="16"/>
      </w:rPr>
      <w:fldChar w:fldCharType="separate"/>
    </w:r>
    <w:r w:rsidR="00076175">
      <w:rPr>
        <w:rStyle w:val="PageNumber"/>
        <w:rFonts w:ascii="Arial" w:hAnsi="Arial" w:cs="Arial"/>
        <w:noProof/>
        <w:sz w:val="22"/>
        <w:szCs w:val="16"/>
      </w:rPr>
      <w:t>1</w:t>
    </w:r>
    <w:r w:rsidR="00F57809" w:rsidRPr="00E8070F">
      <w:rPr>
        <w:rStyle w:val="PageNumber"/>
        <w:rFonts w:ascii="Arial" w:hAnsi="Arial" w:cs="Arial"/>
        <w:sz w:val="22"/>
        <w:szCs w:val="16"/>
      </w:rPr>
      <w:fldChar w:fldCharType="end"/>
    </w:r>
    <w:r w:rsidRPr="00E8070F">
      <w:rPr>
        <w:rStyle w:val="PageNumber"/>
        <w:rFonts w:ascii="Arial" w:hAnsi="Arial" w:cs="Arial"/>
        <w:sz w:val="22"/>
        <w:szCs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293" w:rsidRDefault="00590293" w:rsidP="007E0C5E">
      <w:r>
        <w:separator/>
      </w:r>
    </w:p>
  </w:footnote>
  <w:footnote w:type="continuationSeparator" w:id="0">
    <w:p w:rsidR="00590293" w:rsidRDefault="00590293" w:rsidP="007E0C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shd w:val="clear" w:color="auto" w:fill="E4F2E0"/>
      <w:tblLook w:val="04A0"/>
    </w:tblPr>
    <w:tblGrid>
      <w:gridCol w:w="8720"/>
    </w:tblGrid>
    <w:tr w:rsidR="00076175" w:rsidTr="00EB5F3C">
      <w:tc>
        <w:tcPr>
          <w:tcW w:w="8720" w:type="dxa"/>
          <w:shd w:val="clear" w:color="auto" w:fill="E4F2E0"/>
        </w:tcPr>
        <w:p w:rsidR="00076175" w:rsidRPr="00076175" w:rsidRDefault="00076175" w:rsidP="00EB5F3C">
          <w:pPr>
            <w:spacing w:before="40" w:after="40"/>
            <w:rPr>
              <w:rFonts w:asciiTheme="majorHAnsi" w:hAnsiTheme="majorHAnsi"/>
              <w:b/>
            </w:rPr>
          </w:pPr>
          <w:r w:rsidRPr="00076175">
            <w:rPr>
              <w:rFonts w:asciiTheme="majorHAnsi" w:hAnsiTheme="majorHAnsi"/>
              <w:b/>
            </w:rPr>
            <w:t xml:space="preserve">Attachment 1: Product information for </w:t>
          </w:r>
          <w:proofErr w:type="spellStart"/>
          <w:r w:rsidRPr="00076175">
            <w:rPr>
              <w:rFonts w:asciiTheme="majorHAnsi" w:hAnsiTheme="majorHAnsi"/>
              <w:b/>
            </w:rPr>
            <w:t>AusPAR</w:t>
          </w:r>
          <w:proofErr w:type="spellEnd"/>
          <w:r w:rsidRPr="00076175">
            <w:rPr>
              <w:rFonts w:asciiTheme="majorHAnsi" w:hAnsiTheme="majorHAnsi"/>
              <w:b/>
            </w:rPr>
            <w:t xml:space="preserve"> </w:t>
          </w:r>
          <w:proofErr w:type="spellStart"/>
          <w:r w:rsidRPr="00076175">
            <w:rPr>
              <w:rFonts w:asciiTheme="majorHAnsi" w:hAnsiTheme="majorHAnsi"/>
              <w:b/>
            </w:rPr>
            <w:t>Tafinlar</w:t>
          </w:r>
          <w:proofErr w:type="spellEnd"/>
          <w:r w:rsidRPr="00076175">
            <w:rPr>
              <w:rFonts w:asciiTheme="majorHAnsi" w:hAnsiTheme="majorHAnsi"/>
              <w:b/>
            </w:rPr>
            <w:t xml:space="preserve"> </w:t>
          </w:r>
          <w:proofErr w:type="spellStart"/>
          <w:r w:rsidRPr="00076175">
            <w:rPr>
              <w:rFonts w:asciiTheme="majorHAnsi" w:hAnsiTheme="majorHAnsi"/>
              <w:b/>
            </w:rPr>
            <w:t>dabrafenib</w:t>
          </w:r>
          <w:proofErr w:type="spellEnd"/>
          <w:r w:rsidRPr="00076175">
            <w:rPr>
              <w:rFonts w:asciiTheme="majorHAnsi" w:hAnsiTheme="majorHAnsi"/>
              <w:b/>
            </w:rPr>
            <w:t xml:space="preserve"> </w:t>
          </w:r>
          <w:proofErr w:type="spellStart"/>
          <w:r w:rsidRPr="00076175">
            <w:rPr>
              <w:rFonts w:asciiTheme="majorHAnsi" w:hAnsiTheme="majorHAnsi"/>
              <w:b/>
            </w:rPr>
            <w:t>mesilate</w:t>
          </w:r>
          <w:proofErr w:type="spellEnd"/>
          <w:r w:rsidRPr="00076175">
            <w:rPr>
              <w:rFonts w:asciiTheme="majorHAnsi" w:hAnsiTheme="majorHAnsi"/>
              <w:b/>
            </w:rPr>
            <w:t xml:space="preserve"> GlaxoSmithKline Australia Pty Ltd PM-2012-02231-3-4 Date of Finalisation 9 January 2014. This Product Information was approved at the time this </w:t>
          </w:r>
          <w:proofErr w:type="spellStart"/>
          <w:r w:rsidRPr="00076175">
            <w:rPr>
              <w:rFonts w:asciiTheme="majorHAnsi" w:hAnsiTheme="majorHAnsi"/>
              <w:b/>
            </w:rPr>
            <w:t>AusPAR</w:t>
          </w:r>
          <w:proofErr w:type="spellEnd"/>
          <w:r w:rsidRPr="00076175">
            <w:rPr>
              <w:rFonts w:asciiTheme="majorHAnsi" w:hAnsiTheme="majorHAnsi"/>
              <w:b/>
            </w:rPr>
            <w:t xml:space="preserve"> was published.</w:t>
          </w:r>
        </w:p>
      </w:tc>
    </w:tr>
  </w:tbl>
  <w:p w:rsidR="00076175" w:rsidRPr="00076175" w:rsidRDefault="00076175" w:rsidP="00076175">
    <w:pPr>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412027E"/>
    <w:lvl w:ilvl="0">
      <w:start w:val="1"/>
      <w:numFmt w:val="decimal"/>
      <w:lvlText w:val="%1."/>
      <w:lvlJc w:val="left"/>
      <w:pPr>
        <w:tabs>
          <w:tab w:val="num" w:pos="1492"/>
        </w:tabs>
        <w:ind w:left="1492" w:hanging="360"/>
      </w:pPr>
    </w:lvl>
  </w:abstractNum>
  <w:abstractNum w:abstractNumId="1">
    <w:nsid w:val="FFFFFF7D"/>
    <w:multiLevelType w:val="singleLevel"/>
    <w:tmpl w:val="6FD84192"/>
    <w:lvl w:ilvl="0">
      <w:start w:val="1"/>
      <w:numFmt w:val="decimal"/>
      <w:lvlText w:val="%1."/>
      <w:lvlJc w:val="left"/>
      <w:pPr>
        <w:tabs>
          <w:tab w:val="num" w:pos="1209"/>
        </w:tabs>
        <w:ind w:left="1209" w:hanging="360"/>
      </w:pPr>
    </w:lvl>
  </w:abstractNum>
  <w:abstractNum w:abstractNumId="2">
    <w:nsid w:val="FFFFFF7E"/>
    <w:multiLevelType w:val="singleLevel"/>
    <w:tmpl w:val="77B49260"/>
    <w:lvl w:ilvl="0">
      <w:start w:val="1"/>
      <w:numFmt w:val="decimal"/>
      <w:lvlText w:val="%1."/>
      <w:lvlJc w:val="left"/>
      <w:pPr>
        <w:tabs>
          <w:tab w:val="num" w:pos="926"/>
        </w:tabs>
        <w:ind w:left="926" w:hanging="360"/>
      </w:pPr>
    </w:lvl>
  </w:abstractNum>
  <w:abstractNum w:abstractNumId="3">
    <w:nsid w:val="FFFFFF7F"/>
    <w:multiLevelType w:val="singleLevel"/>
    <w:tmpl w:val="CA548D70"/>
    <w:lvl w:ilvl="0">
      <w:start w:val="1"/>
      <w:numFmt w:val="decimal"/>
      <w:lvlText w:val="%1."/>
      <w:lvlJc w:val="left"/>
      <w:pPr>
        <w:tabs>
          <w:tab w:val="num" w:pos="643"/>
        </w:tabs>
        <w:ind w:left="643" w:hanging="360"/>
      </w:pPr>
    </w:lvl>
  </w:abstractNum>
  <w:abstractNum w:abstractNumId="4">
    <w:nsid w:val="FFFFFF80"/>
    <w:multiLevelType w:val="singleLevel"/>
    <w:tmpl w:val="FB56B0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E4693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0C3C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04C606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564B58"/>
    <w:lvl w:ilvl="0">
      <w:start w:val="1"/>
      <w:numFmt w:val="decimal"/>
      <w:lvlText w:val="%1."/>
      <w:lvlJc w:val="left"/>
      <w:pPr>
        <w:tabs>
          <w:tab w:val="num" w:pos="360"/>
        </w:tabs>
        <w:ind w:left="360" w:hanging="360"/>
      </w:pPr>
    </w:lvl>
  </w:abstractNum>
  <w:abstractNum w:abstractNumId="9">
    <w:nsid w:val="FFFFFF89"/>
    <w:multiLevelType w:val="singleLevel"/>
    <w:tmpl w:val="84703DAE"/>
    <w:lvl w:ilvl="0">
      <w:start w:val="1"/>
      <w:numFmt w:val="bullet"/>
      <w:lvlText w:val=""/>
      <w:lvlJc w:val="left"/>
      <w:pPr>
        <w:tabs>
          <w:tab w:val="num" w:pos="360"/>
        </w:tabs>
        <w:ind w:left="360" w:hanging="360"/>
      </w:pPr>
      <w:rPr>
        <w:rFonts w:ascii="Symbol" w:hAnsi="Symbol" w:hint="default"/>
      </w:rPr>
    </w:lvl>
  </w:abstractNum>
  <w:abstractNum w:abstractNumId="10">
    <w:nsid w:val="02B162EC"/>
    <w:multiLevelType w:val="multilevel"/>
    <w:tmpl w:val="9D38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3EF102E"/>
    <w:multiLevelType w:val="hybridMultilevel"/>
    <w:tmpl w:val="EA568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A3A031A"/>
    <w:multiLevelType w:val="multilevel"/>
    <w:tmpl w:val="7A0A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E462E8"/>
    <w:multiLevelType w:val="multilevel"/>
    <w:tmpl w:val="6A7C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nsid w:val="18BF7AB6"/>
    <w:multiLevelType w:val="multilevel"/>
    <w:tmpl w:val="FA02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CD6691"/>
    <w:multiLevelType w:val="multilevel"/>
    <w:tmpl w:val="1B16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59349F"/>
    <w:multiLevelType w:val="multilevel"/>
    <w:tmpl w:val="F6BE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5256FC"/>
    <w:multiLevelType w:val="multilevel"/>
    <w:tmpl w:val="B8CA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35190D"/>
    <w:multiLevelType w:val="singleLevel"/>
    <w:tmpl w:val="6EA66680"/>
    <w:lvl w:ilvl="0">
      <w:start w:val="1"/>
      <w:numFmt w:val="bullet"/>
      <w:pStyle w:val="listbull"/>
      <w:lvlText w:val=""/>
      <w:lvlJc w:val="left"/>
      <w:pPr>
        <w:tabs>
          <w:tab w:val="num" w:pos="432"/>
        </w:tabs>
        <w:ind w:left="432" w:hanging="432"/>
      </w:pPr>
      <w:rPr>
        <w:rFonts w:ascii="Symbol" w:hAnsi="Symbol" w:hint="default"/>
      </w:rPr>
    </w:lvl>
  </w:abstractNum>
  <w:abstractNum w:abstractNumId="20">
    <w:nsid w:val="33F907A4"/>
    <w:multiLevelType w:val="hybridMultilevel"/>
    <w:tmpl w:val="AE209712"/>
    <w:lvl w:ilvl="0" w:tplc="A04C3654">
      <w:start w:val="1"/>
      <w:numFmt w:val="lowerLetter"/>
      <w:lvlText w:val="(%1)"/>
      <w:lvlJc w:val="left"/>
      <w:pPr>
        <w:ind w:left="578" w:hanging="360"/>
      </w:pPr>
      <w:rPr>
        <w:rFonts w:hint="default"/>
        <w:sz w:val="18"/>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1">
    <w:nsid w:val="36354D2E"/>
    <w:multiLevelType w:val="hybridMultilevel"/>
    <w:tmpl w:val="5CA8F6C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nsid w:val="39983C65"/>
    <w:multiLevelType w:val="multilevel"/>
    <w:tmpl w:val="5DD04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4F7C09"/>
    <w:multiLevelType w:val="multilevel"/>
    <w:tmpl w:val="5B74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FC4BFE"/>
    <w:multiLevelType w:val="hybridMultilevel"/>
    <w:tmpl w:val="1924C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12C6AD2"/>
    <w:multiLevelType w:val="hybridMultilevel"/>
    <w:tmpl w:val="71B49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97439B9"/>
    <w:multiLevelType w:val="multilevel"/>
    <w:tmpl w:val="776A7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E83ECD"/>
    <w:multiLevelType w:val="hybridMultilevel"/>
    <w:tmpl w:val="12243868"/>
    <w:lvl w:ilvl="0" w:tplc="21F2825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20135FE"/>
    <w:multiLevelType w:val="multilevel"/>
    <w:tmpl w:val="053E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955171"/>
    <w:multiLevelType w:val="multilevel"/>
    <w:tmpl w:val="3A183D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55BC5AF1"/>
    <w:multiLevelType w:val="hybridMultilevel"/>
    <w:tmpl w:val="31CA6A24"/>
    <w:lvl w:ilvl="0" w:tplc="78B6567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566F33"/>
    <w:multiLevelType w:val="multilevel"/>
    <w:tmpl w:val="6BAE8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DE616F"/>
    <w:multiLevelType w:val="multilevel"/>
    <w:tmpl w:val="667E7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615C46"/>
    <w:multiLevelType w:val="multilevel"/>
    <w:tmpl w:val="5498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6CB0AB5"/>
    <w:multiLevelType w:val="hybridMultilevel"/>
    <w:tmpl w:val="03C4C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F006623"/>
    <w:multiLevelType w:val="multilevel"/>
    <w:tmpl w:val="43C2F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2"/>
  </w:num>
  <w:num w:numId="3">
    <w:abstractNumId w:val="29"/>
  </w:num>
  <w:num w:numId="4">
    <w:abstractNumId w:val="26"/>
  </w:num>
  <w:num w:numId="5">
    <w:abstractNumId w:val="15"/>
  </w:num>
  <w:num w:numId="6">
    <w:abstractNumId w:val="28"/>
  </w:num>
  <w:num w:numId="7">
    <w:abstractNumId w:val="35"/>
  </w:num>
  <w:num w:numId="8">
    <w:abstractNumId w:val="18"/>
  </w:num>
  <w:num w:numId="9">
    <w:abstractNumId w:val="13"/>
  </w:num>
  <w:num w:numId="10">
    <w:abstractNumId w:val="33"/>
  </w:num>
  <w:num w:numId="11">
    <w:abstractNumId w:val="31"/>
  </w:num>
  <w:num w:numId="12">
    <w:abstractNumId w:val="17"/>
  </w:num>
  <w:num w:numId="13">
    <w:abstractNumId w:val="22"/>
  </w:num>
  <w:num w:numId="14">
    <w:abstractNumId w:val="10"/>
  </w:num>
  <w:num w:numId="15">
    <w:abstractNumId w:val="16"/>
  </w:num>
  <w:num w:numId="16">
    <w:abstractNumId w:val="12"/>
  </w:num>
  <w:num w:numId="17">
    <w:abstractNumId w:val="23"/>
  </w:num>
  <w:num w:numId="18">
    <w:abstractNumId w:val="25"/>
  </w:num>
  <w:num w:numId="19">
    <w:abstractNumId w:val="19"/>
  </w:num>
  <w:num w:numId="20">
    <w:abstractNumId w:val="24"/>
  </w:num>
  <w:num w:numId="21">
    <w:abstractNumId w:val="34"/>
  </w:num>
  <w:num w:numId="22">
    <w:abstractNumId w:val="11"/>
  </w:num>
  <w:num w:numId="23">
    <w:abstractNumId w:val="27"/>
  </w:num>
  <w:num w:numId="24">
    <w:abstractNumId w:val="30"/>
  </w:num>
  <w:num w:numId="25">
    <w:abstractNumId w:val="2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stylePaneFormatFilter w:val="3F01"/>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7380F"/>
    <w:rsid w:val="000012F7"/>
    <w:rsid w:val="00005856"/>
    <w:rsid w:val="00005F48"/>
    <w:rsid w:val="00011EAE"/>
    <w:rsid w:val="00023418"/>
    <w:rsid w:val="000379CC"/>
    <w:rsid w:val="00040349"/>
    <w:rsid w:val="00052FF9"/>
    <w:rsid w:val="00053893"/>
    <w:rsid w:val="00062E80"/>
    <w:rsid w:val="00064A55"/>
    <w:rsid w:val="00066E44"/>
    <w:rsid w:val="00070FFF"/>
    <w:rsid w:val="00076175"/>
    <w:rsid w:val="00080B89"/>
    <w:rsid w:val="000858E9"/>
    <w:rsid w:val="00091CA9"/>
    <w:rsid w:val="000924DE"/>
    <w:rsid w:val="000A0809"/>
    <w:rsid w:val="000A50B6"/>
    <w:rsid w:val="000A6D13"/>
    <w:rsid w:val="000B3F7C"/>
    <w:rsid w:val="000B71C1"/>
    <w:rsid w:val="000B77C6"/>
    <w:rsid w:val="000C458C"/>
    <w:rsid w:val="000E350D"/>
    <w:rsid w:val="000F30C7"/>
    <w:rsid w:val="00102A42"/>
    <w:rsid w:val="0010404D"/>
    <w:rsid w:val="00112554"/>
    <w:rsid w:val="00114C2A"/>
    <w:rsid w:val="00116A72"/>
    <w:rsid w:val="00125A42"/>
    <w:rsid w:val="001342C0"/>
    <w:rsid w:val="00135002"/>
    <w:rsid w:val="00147238"/>
    <w:rsid w:val="00150BA2"/>
    <w:rsid w:val="00156A6A"/>
    <w:rsid w:val="00162AA0"/>
    <w:rsid w:val="001657A5"/>
    <w:rsid w:val="00175D50"/>
    <w:rsid w:val="00177398"/>
    <w:rsid w:val="00181F40"/>
    <w:rsid w:val="001907E6"/>
    <w:rsid w:val="00197076"/>
    <w:rsid w:val="00197457"/>
    <w:rsid w:val="001A3375"/>
    <w:rsid w:val="001B2BCA"/>
    <w:rsid w:val="001B3C0E"/>
    <w:rsid w:val="001C7153"/>
    <w:rsid w:val="001D275A"/>
    <w:rsid w:val="001E3B9A"/>
    <w:rsid w:val="00201DA9"/>
    <w:rsid w:val="00205DF5"/>
    <w:rsid w:val="00212E1F"/>
    <w:rsid w:val="00215F9D"/>
    <w:rsid w:val="002316BD"/>
    <w:rsid w:val="00236E6E"/>
    <w:rsid w:val="00242B97"/>
    <w:rsid w:val="00245469"/>
    <w:rsid w:val="002477D0"/>
    <w:rsid w:val="00251753"/>
    <w:rsid w:val="00253DD7"/>
    <w:rsid w:val="00254BEF"/>
    <w:rsid w:val="002771DC"/>
    <w:rsid w:val="00281BB6"/>
    <w:rsid w:val="002A1D26"/>
    <w:rsid w:val="002C1495"/>
    <w:rsid w:val="002C1632"/>
    <w:rsid w:val="002D035F"/>
    <w:rsid w:val="002D5D36"/>
    <w:rsid w:val="002E02F2"/>
    <w:rsid w:val="002E716A"/>
    <w:rsid w:val="002F1C3B"/>
    <w:rsid w:val="0030180F"/>
    <w:rsid w:val="0030435D"/>
    <w:rsid w:val="0031228D"/>
    <w:rsid w:val="00316D06"/>
    <w:rsid w:val="003179C8"/>
    <w:rsid w:val="00325EBD"/>
    <w:rsid w:val="00353192"/>
    <w:rsid w:val="0035484E"/>
    <w:rsid w:val="00373083"/>
    <w:rsid w:val="00397520"/>
    <w:rsid w:val="0039761F"/>
    <w:rsid w:val="003A0356"/>
    <w:rsid w:val="003A21A0"/>
    <w:rsid w:val="003A4A74"/>
    <w:rsid w:val="003B0279"/>
    <w:rsid w:val="003B0EF9"/>
    <w:rsid w:val="003C00DA"/>
    <w:rsid w:val="003C5A5F"/>
    <w:rsid w:val="003C6242"/>
    <w:rsid w:val="003C678C"/>
    <w:rsid w:val="003E212D"/>
    <w:rsid w:val="003F47FB"/>
    <w:rsid w:val="00414528"/>
    <w:rsid w:val="00420EA6"/>
    <w:rsid w:val="004212B9"/>
    <w:rsid w:val="00433709"/>
    <w:rsid w:val="0043762C"/>
    <w:rsid w:val="00441DF7"/>
    <w:rsid w:val="0046418E"/>
    <w:rsid w:val="00481F60"/>
    <w:rsid w:val="00484917"/>
    <w:rsid w:val="0049066C"/>
    <w:rsid w:val="00495E08"/>
    <w:rsid w:val="004B03B0"/>
    <w:rsid w:val="004B1504"/>
    <w:rsid w:val="004C7251"/>
    <w:rsid w:val="004C74C8"/>
    <w:rsid w:val="004D41BC"/>
    <w:rsid w:val="004E1851"/>
    <w:rsid w:val="004F640B"/>
    <w:rsid w:val="00517A18"/>
    <w:rsid w:val="00525CE1"/>
    <w:rsid w:val="005365A5"/>
    <w:rsid w:val="00547CC2"/>
    <w:rsid w:val="00561EE1"/>
    <w:rsid w:val="00571510"/>
    <w:rsid w:val="00580022"/>
    <w:rsid w:val="00580ADF"/>
    <w:rsid w:val="00586343"/>
    <w:rsid w:val="0058718A"/>
    <w:rsid w:val="00590293"/>
    <w:rsid w:val="00595396"/>
    <w:rsid w:val="00595E69"/>
    <w:rsid w:val="00596446"/>
    <w:rsid w:val="005A02E2"/>
    <w:rsid w:val="005B0493"/>
    <w:rsid w:val="005B7D9A"/>
    <w:rsid w:val="005C3C81"/>
    <w:rsid w:val="005D1137"/>
    <w:rsid w:val="005D14FF"/>
    <w:rsid w:val="005D4CB3"/>
    <w:rsid w:val="005D5DF9"/>
    <w:rsid w:val="005D64B4"/>
    <w:rsid w:val="005D7273"/>
    <w:rsid w:val="005E32FB"/>
    <w:rsid w:val="005E4CDA"/>
    <w:rsid w:val="005E549E"/>
    <w:rsid w:val="005E7888"/>
    <w:rsid w:val="00611746"/>
    <w:rsid w:val="00611794"/>
    <w:rsid w:val="006340AC"/>
    <w:rsid w:val="0063508A"/>
    <w:rsid w:val="00650654"/>
    <w:rsid w:val="00653B34"/>
    <w:rsid w:val="00655429"/>
    <w:rsid w:val="00656A10"/>
    <w:rsid w:val="0066416F"/>
    <w:rsid w:val="0068448F"/>
    <w:rsid w:val="00694F9B"/>
    <w:rsid w:val="00697766"/>
    <w:rsid w:val="00697EF8"/>
    <w:rsid w:val="006A11C2"/>
    <w:rsid w:val="006C1643"/>
    <w:rsid w:val="006C554D"/>
    <w:rsid w:val="006C591E"/>
    <w:rsid w:val="006E37C3"/>
    <w:rsid w:val="0070698C"/>
    <w:rsid w:val="0070730F"/>
    <w:rsid w:val="007101BB"/>
    <w:rsid w:val="00726E86"/>
    <w:rsid w:val="00736F6C"/>
    <w:rsid w:val="00742D04"/>
    <w:rsid w:val="00750FA9"/>
    <w:rsid w:val="00770397"/>
    <w:rsid w:val="0077380F"/>
    <w:rsid w:val="0078175F"/>
    <w:rsid w:val="00785641"/>
    <w:rsid w:val="00796D87"/>
    <w:rsid w:val="007A0414"/>
    <w:rsid w:val="007A4294"/>
    <w:rsid w:val="007D4E4A"/>
    <w:rsid w:val="007D6A89"/>
    <w:rsid w:val="007E0C5E"/>
    <w:rsid w:val="007E215A"/>
    <w:rsid w:val="007F01C3"/>
    <w:rsid w:val="007F01F4"/>
    <w:rsid w:val="008047C6"/>
    <w:rsid w:val="0081442F"/>
    <w:rsid w:val="00814A3F"/>
    <w:rsid w:val="00815E4A"/>
    <w:rsid w:val="0081688D"/>
    <w:rsid w:val="0082714E"/>
    <w:rsid w:val="00842274"/>
    <w:rsid w:val="0084413B"/>
    <w:rsid w:val="00865540"/>
    <w:rsid w:val="00874129"/>
    <w:rsid w:val="00884B0D"/>
    <w:rsid w:val="008B5619"/>
    <w:rsid w:val="008C6EED"/>
    <w:rsid w:val="008D16D8"/>
    <w:rsid w:val="008D3982"/>
    <w:rsid w:val="008D78B4"/>
    <w:rsid w:val="008E1E77"/>
    <w:rsid w:val="009051B8"/>
    <w:rsid w:val="00912DB9"/>
    <w:rsid w:val="0092108F"/>
    <w:rsid w:val="009221A3"/>
    <w:rsid w:val="00922BF3"/>
    <w:rsid w:val="0093449D"/>
    <w:rsid w:val="0093717D"/>
    <w:rsid w:val="00940A29"/>
    <w:rsid w:val="009501F8"/>
    <w:rsid w:val="0095734D"/>
    <w:rsid w:val="009602E1"/>
    <w:rsid w:val="0096418F"/>
    <w:rsid w:val="00966955"/>
    <w:rsid w:val="00976C45"/>
    <w:rsid w:val="00982469"/>
    <w:rsid w:val="00985331"/>
    <w:rsid w:val="00985F7C"/>
    <w:rsid w:val="009B476D"/>
    <w:rsid w:val="009B4B1F"/>
    <w:rsid w:val="009D2BA6"/>
    <w:rsid w:val="009E041D"/>
    <w:rsid w:val="009E76F1"/>
    <w:rsid w:val="00A06D92"/>
    <w:rsid w:val="00A112EC"/>
    <w:rsid w:val="00A13ACB"/>
    <w:rsid w:val="00A26A37"/>
    <w:rsid w:val="00A34AD6"/>
    <w:rsid w:val="00A36833"/>
    <w:rsid w:val="00A37934"/>
    <w:rsid w:val="00A57B4E"/>
    <w:rsid w:val="00A650BF"/>
    <w:rsid w:val="00A658DA"/>
    <w:rsid w:val="00A70A0A"/>
    <w:rsid w:val="00A73987"/>
    <w:rsid w:val="00A74A84"/>
    <w:rsid w:val="00A74CD4"/>
    <w:rsid w:val="00A83578"/>
    <w:rsid w:val="00A83DC6"/>
    <w:rsid w:val="00A869C0"/>
    <w:rsid w:val="00A93928"/>
    <w:rsid w:val="00AB392D"/>
    <w:rsid w:val="00AC3812"/>
    <w:rsid w:val="00AC5CDB"/>
    <w:rsid w:val="00AD2C82"/>
    <w:rsid w:val="00AE04F0"/>
    <w:rsid w:val="00AE49B1"/>
    <w:rsid w:val="00AF0769"/>
    <w:rsid w:val="00AF3EB4"/>
    <w:rsid w:val="00AF5399"/>
    <w:rsid w:val="00B00991"/>
    <w:rsid w:val="00B0372F"/>
    <w:rsid w:val="00B1292F"/>
    <w:rsid w:val="00B1558B"/>
    <w:rsid w:val="00B16327"/>
    <w:rsid w:val="00B212FD"/>
    <w:rsid w:val="00B406A1"/>
    <w:rsid w:val="00B470BE"/>
    <w:rsid w:val="00B47B0C"/>
    <w:rsid w:val="00B57901"/>
    <w:rsid w:val="00B67074"/>
    <w:rsid w:val="00B73A11"/>
    <w:rsid w:val="00B94D46"/>
    <w:rsid w:val="00BA0B21"/>
    <w:rsid w:val="00BA546D"/>
    <w:rsid w:val="00BA5AA5"/>
    <w:rsid w:val="00BC7F72"/>
    <w:rsid w:val="00BE7E9A"/>
    <w:rsid w:val="00BF1F9D"/>
    <w:rsid w:val="00BF3D27"/>
    <w:rsid w:val="00C03073"/>
    <w:rsid w:val="00C15891"/>
    <w:rsid w:val="00C224CD"/>
    <w:rsid w:val="00C24953"/>
    <w:rsid w:val="00C42AF2"/>
    <w:rsid w:val="00C43BEA"/>
    <w:rsid w:val="00C556BA"/>
    <w:rsid w:val="00C62BDC"/>
    <w:rsid w:val="00C63332"/>
    <w:rsid w:val="00C65F9A"/>
    <w:rsid w:val="00C70AA7"/>
    <w:rsid w:val="00C73C07"/>
    <w:rsid w:val="00C80CFA"/>
    <w:rsid w:val="00C84C75"/>
    <w:rsid w:val="00C96863"/>
    <w:rsid w:val="00CB06AD"/>
    <w:rsid w:val="00D06FFC"/>
    <w:rsid w:val="00D0777C"/>
    <w:rsid w:val="00D07CC4"/>
    <w:rsid w:val="00D10571"/>
    <w:rsid w:val="00D14007"/>
    <w:rsid w:val="00D21521"/>
    <w:rsid w:val="00D25A0C"/>
    <w:rsid w:val="00D37BE1"/>
    <w:rsid w:val="00D4066B"/>
    <w:rsid w:val="00D40732"/>
    <w:rsid w:val="00D4677C"/>
    <w:rsid w:val="00D560D2"/>
    <w:rsid w:val="00D57A4B"/>
    <w:rsid w:val="00D57EEB"/>
    <w:rsid w:val="00D60294"/>
    <w:rsid w:val="00D62C6D"/>
    <w:rsid w:val="00D74C63"/>
    <w:rsid w:val="00D76285"/>
    <w:rsid w:val="00D777D8"/>
    <w:rsid w:val="00D86603"/>
    <w:rsid w:val="00D86F61"/>
    <w:rsid w:val="00DA5B4D"/>
    <w:rsid w:val="00DA7A33"/>
    <w:rsid w:val="00DB00DA"/>
    <w:rsid w:val="00DB20C0"/>
    <w:rsid w:val="00DB45B9"/>
    <w:rsid w:val="00DB4E63"/>
    <w:rsid w:val="00DB58B5"/>
    <w:rsid w:val="00DB62E4"/>
    <w:rsid w:val="00DC5409"/>
    <w:rsid w:val="00DD27E7"/>
    <w:rsid w:val="00DE0839"/>
    <w:rsid w:val="00DE0935"/>
    <w:rsid w:val="00DE63EC"/>
    <w:rsid w:val="00E03E39"/>
    <w:rsid w:val="00E06710"/>
    <w:rsid w:val="00E13077"/>
    <w:rsid w:val="00E16D7E"/>
    <w:rsid w:val="00E17279"/>
    <w:rsid w:val="00E30FFD"/>
    <w:rsid w:val="00E41129"/>
    <w:rsid w:val="00E4356E"/>
    <w:rsid w:val="00E47BEA"/>
    <w:rsid w:val="00E47C91"/>
    <w:rsid w:val="00E5433A"/>
    <w:rsid w:val="00E66F1D"/>
    <w:rsid w:val="00E710FC"/>
    <w:rsid w:val="00E767A5"/>
    <w:rsid w:val="00E8070F"/>
    <w:rsid w:val="00E8156F"/>
    <w:rsid w:val="00E81E59"/>
    <w:rsid w:val="00E834E3"/>
    <w:rsid w:val="00EC1BFB"/>
    <w:rsid w:val="00EE1F93"/>
    <w:rsid w:val="00EF3080"/>
    <w:rsid w:val="00EF55A1"/>
    <w:rsid w:val="00F132EB"/>
    <w:rsid w:val="00F30E06"/>
    <w:rsid w:val="00F40460"/>
    <w:rsid w:val="00F531D1"/>
    <w:rsid w:val="00F5662E"/>
    <w:rsid w:val="00F57809"/>
    <w:rsid w:val="00F65388"/>
    <w:rsid w:val="00F67A43"/>
    <w:rsid w:val="00F73AF0"/>
    <w:rsid w:val="00F73EFB"/>
    <w:rsid w:val="00F75843"/>
    <w:rsid w:val="00F9335A"/>
    <w:rsid w:val="00F96F90"/>
    <w:rsid w:val="00F97CF7"/>
    <w:rsid w:val="00FB5CF0"/>
    <w:rsid w:val="00FD075C"/>
    <w:rsid w:val="00FE626C"/>
    <w:rsid w:val="00FF2FA6"/>
    <w:rsid w:val="00FF5405"/>
    <w:rsid w:val="00FF686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GSKSiteLocations-com/fourthcoffee" w:name="flavo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Bullet" w:qFormat="1"/>
    <w:lsdException w:name="List Bullet 2"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D46"/>
  </w:style>
  <w:style w:type="paragraph" w:styleId="Heading1">
    <w:name w:val="heading 1"/>
    <w:basedOn w:val="Heading4"/>
    <w:next w:val="Normal"/>
    <w:link w:val="Heading1Char"/>
    <w:uiPriority w:val="9"/>
    <w:qFormat/>
    <w:rsid w:val="0070730F"/>
    <w:pPr>
      <w:spacing w:before="120" w:after="240"/>
      <w:outlineLvl w:val="0"/>
    </w:pPr>
    <w:rPr>
      <w:rFonts w:ascii="Arial" w:hAnsi="Arial"/>
      <w:bCs w:val="0"/>
      <w:sz w:val="22"/>
    </w:rPr>
  </w:style>
  <w:style w:type="paragraph" w:styleId="Heading2">
    <w:name w:val="heading 2"/>
    <w:basedOn w:val="ListParagraph"/>
    <w:link w:val="Heading2Char"/>
    <w:uiPriority w:val="9"/>
    <w:qFormat/>
    <w:rsid w:val="00EF55A1"/>
    <w:pPr>
      <w:keepNext/>
      <w:outlineLvl w:val="1"/>
    </w:pPr>
    <w:rPr>
      <w:b/>
    </w:rPr>
  </w:style>
  <w:style w:type="paragraph" w:styleId="Heading3">
    <w:name w:val="heading 3"/>
    <w:basedOn w:val="Normal"/>
    <w:next w:val="Normal"/>
    <w:link w:val="Heading3Char"/>
    <w:uiPriority w:val="9"/>
    <w:unhideWhenUsed/>
    <w:qFormat/>
    <w:rsid w:val="00091CA9"/>
    <w:pPr>
      <w:keepNext/>
      <w:spacing w:after="120" w:line="240" w:lineRule="atLeast"/>
      <w:outlineLvl w:val="2"/>
    </w:pPr>
    <w:rPr>
      <w:rFonts w:ascii="Arial" w:hAnsi="Arial" w:cs="Arial"/>
      <w:b/>
      <w:i/>
      <w:sz w:val="22"/>
      <w:szCs w:val="22"/>
    </w:rPr>
  </w:style>
  <w:style w:type="paragraph" w:styleId="Heading4">
    <w:name w:val="heading 4"/>
    <w:basedOn w:val="Normal"/>
    <w:next w:val="Normal"/>
    <w:link w:val="Heading4Char"/>
    <w:uiPriority w:val="9"/>
    <w:unhideWhenUsed/>
    <w:qFormat/>
    <w:rsid w:val="001E3B9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E3B9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E3B9A"/>
    <w:rPr>
      <w:rFonts w:ascii="Calibri" w:eastAsia="Times New Roman" w:hAnsi="Calibri" w:cs="Times New Roman"/>
      <w:b/>
      <w:bCs/>
      <w:sz w:val="28"/>
      <w:szCs w:val="28"/>
    </w:rPr>
  </w:style>
  <w:style w:type="character" w:customStyle="1" w:styleId="Heading1Char">
    <w:name w:val="Heading 1 Char"/>
    <w:basedOn w:val="DefaultParagraphFont"/>
    <w:link w:val="Heading1"/>
    <w:uiPriority w:val="9"/>
    <w:rsid w:val="0070730F"/>
    <w:rPr>
      <w:rFonts w:ascii="Arial" w:hAnsi="Arial"/>
      <w:b/>
      <w:sz w:val="22"/>
      <w:szCs w:val="28"/>
    </w:rPr>
  </w:style>
  <w:style w:type="paragraph" w:styleId="ListParagraph">
    <w:name w:val="List Paragraph"/>
    <w:basedOn w:val="Normal"/>
    <w:uiPriority w:val="34"/>
    <w:qFormat/>
    <w:rsid w:val="00A70A0A"/>
    <w:pPr>
      <w:autoSpaceDE w:val="0"/>
      <w:autoSpaceDN w:val="0"/>
      <w:adjustRightInd w:val="0"/>
      <w:spacing w:after="120" w:line="240" w:lineRule="atLeast"/>
    </w:pPr>
    <w:rPr>
      <w:rFonts w:ascii="Arial" w:hAnsi="Arial" w:cs="Arial"/>
      <w:sz w:val="22"/>
      <w:szCs w:val="22"/>
    </w:rPr>
  </w:style>
  <w:style w:type="character" w:customStyle="1" w:styleId="Heading2Char">
    <w:name w:val="Heading 2 Char"/>
    <w:basedOn w:val="DefaultParagraphFont"/>
    <w:link w:val="Heading2"/>
    <w:uiPriority w:val="9"/>
    <w:rsid w:val="00EF55A1"/>
    <w:rPr>
      <w:rFonts w:ascii="Arial" w:hAnsi="Arial" w:cs="Arial"/>
      <w:b/>
      <w:sz w:val="22"/>
      <w:szCs w:val="22"/>
    </w:rPr>
  </w:style>
  <w:style w:type="character" w:customStyle="1" w:styleId="Heading3Char">
    <w:name w:val="Heading 3 Char"/>
    <w:basedOn w:val="DefaultParagraphFont"/>
    <w:link w:val="Heading3"/>
    <w:uiPriority w:val="9"/>
    <w:rsid w:val="00091CA9"/>
    <w:rPr>
      <w:rFonts w:ascii="Arial" w:hAnsi="Arial" w:cs="Arial"/>
      <w:b/>
      <w:i/>
      <w:sz w:val="22"/>
      <w:szCs w:val="22"/>
    </w:rPr>
  </w:style>
  <w:style w:type="character" w:customStyle="1" w:styleId="Heading5Char">
    <w:name w:val="Heading 5 Char"/>
    <w:basedOn w:val="DefaultParagraphFont"/>
    <w:link w:val="Heading5"/>
    <w:uiPriority w:val="9"/>
    <w:semiHidden/>
    <w:rsid w:val="001E3B9A"/>
    <w:rPr>
      <w:rFonts w:ascii="Calibri" w:eastAsia="Times New Roman" w:hAnsi="Calibri" w:cs="Times New Roman"/>
      <w:b/>
      <w:bCs/>
      <w:i/>
      <w:iCs/>
      <w:sz w:val="26"/>
      <w:szCs w:val="26"/>
    </w:rPr>
  </w:style>
  <w:style w:type="table" w:styleId="TableGrid">
    <w:name w:val="Table Grid"/>
    <w:basedOn w:val="TableNormal"/>
    <w:uiPriority w:val="59"/>
    <w:rsid w:val="005D1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D14FF"/>
    <w:pPr>
      <w:tabs>
        <w:tab w:val="center" w:pos="4153"/>
        <w:tab w:val="right" w:pos="8306"/>
      </w:tabs>
    </w:pPr>
  </w:style>
  <w:style w:type="paragraph" w:styleId="Footer">
    <w:name w:val="footer"/>
    <w:basedOn w:val="Normal"/>
    <w:rsid w:val="005D14FF"/>
    <w:pPr>
      <w:tabs>
        <w:tab w:val="center" w:pos="4153"/>
        <w:tab w:val="right" w:pos="8306"/>
      </w:tabs>
    </w:pPr>
  </w:style>
  <w:style w:type="character" w:styleId="PageNumber">
    <w:name w:val="page number"/>
    <w:basedOn w:val="DefaultParagraphFont"/>
    <w:rsid w:val="005D14FF"/>
  </w:style>
  <w:style w:type="paragraph" w:customStyle="1" w:styleId="lefthead">
    <w:name w:val="left head"/>
    <w:basedOn w:val="Normal"/>
    <w:next w:val="Normal"/>
    <w:rsid w:val="006E37C3"/>
    <w:pPr>
      <w:keepNext/>
      <w:spacing w:after="240"/>
    </w:pPr>
    <w:rPr>
      <w:rFonts w:ascii="Arial" w:hAnsi="Arial"/>
      <w:b/>
      <w:sz w:val="28"/>
      <w:lang w:val="en-GB" w:eastAsia="en-US"/>
    </w:rPr>
  </w:style>
  <w:style w:type="paragraph" w:styleId="NormalWeb">
    <w:name w:val="Normal (Web)"/>
    <w:basedOn w:val="Normal"/>
    <w:uiPriority w:val="99"/>
    <w:unhideWhenUsed/>
    <w:rsid w:val="001E3B9A"/>
    <w:pPr>
      <w:spacing w:before="100" w:beforeAutospacing="1" w:after="100" w:afterAutospacing="1"/>
    </w:pPr>
    <w:rPr>
      <w:sz w:val="24"/>
      <w:szCs w:val="24"/>
    </w:rPr>
  </w:style>
  <w:style w:type="character" w:styleId="HTMLTypewriter">
    <w:name w:val="HTML Typewriter"/>
    <w:basedOn w:val="DefaultParagraphFont"/>
    <w:uiPriority w:val="99"/>
    <w:semiHidden/>
    <w:unhideWhenUsed/>
    <w:rsid w:val="003A21A0"/>
    <w:rPr>
      <w:rFonts w:ascii="Courier New" w:eastAsia="Calibri" w:hAnsi="Courier New" w:cs="Courier New" w:hint="default"/>
      <w:sz w:val="20"/>
      <w:szCs w:val="20"/>
    </w:rPr>
  </w:style>
  <w:style w:type="character" w:styleId="CommentReference">
    <w:name w:val="annotation reference"/>
    <w:basedOn w:val="DefaultParagraphFont"/>
    <w:unhideWhenUsed/>
    <w:rsid w:val="00236E6E"/>
    <w:rPr>
      <w:sz w:val="16"/>
      <w:szCs w:val="16"/>
    </w:rPr>
  </w:style>
  <w:style w:type="paragraph" w:styleId="CommentText">
    <w:name w:val="annotation text"/>
    <w:basedOn w:val="Normal"/>
    <w:link w:val="CommentTextChar"/>
    <w:unhideWhenUsed/>
    <w:rsid w:val="00236E6E"/>
  </w:style>
  <w:style w:type="character" w:customStyle="1" w:styleId="CommentTextChar">
    <w:name w:val="Comment Text Char"/>
    <w:basedOn w:val="DefaultParagraphFont"/>
    <w:link w:val="CommentText"/>
    <w:rsid w:val="00236E6E"/>
  </w:style>
  <w:style w:type="paragraph" w:styleId="CommentSubject">
    <w:name w:val="annotation subject"/>
    <w:basedOn w:val="CommentText"/>
    <w:next w:val="CommentText"/>
    <w:link w:val="CommentSubjectChar"/>
    <w:uiPriority w:val="99"/>
    <w:semiHidden/>
    <w:unhideWhenUsed/>
    <w:rsid w:val="00236E6E"/>
    <w:rPr>
      <w:b/>
      <w:bCs/>
    </w:rPr>
  </w:style>
  <w:style w:type="character" w:customStyle="1" w:styleId="CommentSubjectChar">
    <w:name w:val="Comment Subject Char"/>
    <w:basedOn w:val="CommentTextChar"/>
    <w:link w:val="CommentSubject"/>
    <w:uiPriority w:val="99"/>
    <w:semiHidden/>
    <w:rsid w:val="00236E6E"/>
    <w:rPr>
      <w:b/>
      <w:bCs/>
    </w:rPr>
  </w:style>
  <w:style w:type="paragraph" w:styleId="BalloonText">
    <w:name w:val="Balloon Text"/>
    <w:basedOn w:val="Normal"/>
    <w:link w:val="BalloonTextChar"/>
    <w:uiPriority w:val="99"/>
    <w:semiHidden/>
    <w:unhideWhenUsed/>
    <w:rsid w:val="00236E6E"/>
    <w:rPr>
      <w:rFonts w:ascii="Tahoma" w:hAnsi="Tahoma" w:cs="Tahoma"/>
      <w:sz w:val="16"/>
      <w:szCs w:val="16"/>
    </w:rPr>
  </w:style>
  <w:style w:type="character" w:customStyle="1" w:styleId="BalloonTextChar">
    <w:name w:val="Balloon Text Char"/>
    <w:basedOn w:val="DefaultParagraphFont"/>
    <w:link w:val="BalloonText"/>
    <w:uiPriority w:val="99"/>
    <w:semiHidden/>
    <w:rsid w:val="00236E6E"/>
    <w:rPr>
      <w:rFonts w:ascii="Tahoma" w:hAnsi="Tahoma" w:cs="Tahoma"/>
      <w:sz w:val="16"/>
      <w:szCs w:val="16"/>
    </w:rPr>
  </w:style>
  <w:style w:type="paragraph" w:customStyle="1" w:styleId="NoNumHead5">
    <w:name w:val="NoNum:Head5"/>
    <w:basedOn w:val="Normal"/>
    <w:next w:val="Normal"/>
    <w:rsid w:val="00236E6E"/>
    <w:pPr>
      <w:keepNext/>
      <w:spacing w:after="240"/>
      <w:outlineLvl w:val="0"/>
    </w:pPr>
    <w:rPr>
      <w:rFonts w:ascii="Arial" w:hAnsi="Arial"/>
      <w:b/>
      <w:i/>
      <w:sz w:val="22"/>
      <w:lang w:val="en-GB" w:eastAsia="en-GB"/>
    </w:rPr>
  </w:style>
  <w:style w:type="paragraph" w:customStyle="1" w:styleId="listbull">
    <w:name w:val="list:bull"/>
    <w:basedOn w:val="Normal"/>
    <w:link w:val="listbullChar"/>
    <w:rsid w:val="00E8156F"/>
    <w:pPr>
      <w:numPr>
        <w:numId w:val="19"/>
      </w:numPr>
      <w:tabs>
        <w:tab w:val="clear" w:pos="432"/>
      </w:tabs>
      <w:spacing w:after="120"/>
    </w:pPr>
    <w:rPr>
      <w:sz w:val="24"/>
      <w:lang w:val="en-GB" w:eastAsia="en-GB"/>
    </w:rPr>
  </w:style>
  <w:style w:type="character" w:customStyle="1" w:styleId="listbullChar">
    <w:name w:val="list:bull Char"/>
    <w:basedOn w:val="DefaultParagraphFont"/>
    <w:link w:val="listbull"/>
    <w:rsid w:val="00E8156F"/>
    <w:rPr>
      <w:sz w:val="24"/>
      <w:lang w:val="en-GB" w:eastAsia="en-GB"/>
    </w:rPr>
  </w:style>
  <w:style w:type="paragraph" w:customStyle="1" w:styleId="NoNumHead2">
    <w:name w:val="NoNum:Head2"/>
    <w:basedOn w:val="Normal"/>
    <w:next w:val="Normal"/>
    <w:link w:val="NoNumHead2Char"/>
    <w:rsid w:val="00E8156F"/>
    <w:pPr>
      <w:keepNext/>
      <w:spacing w:before="120" w:after="240"/>
      <w:outlineLvl w:val="0"/>
    </w:pPr>
    <w:rPr>
      <w:rFonts w:ascii="Arial" w:hAnsi="Arial"/>
      <w:b/>
      <w:sz w:val="26"/>
      <w:lang w:val="en-GB" w:eastAsia="en-GB"/>
    </w:rPr>
  </w:style>
  <w:style w:type="character" w:customStyle="1" w:styleId="NoNumHead2Char">
    <w:name w:val="NoNum:Head2 Char"/>
    <w:basedOn w:val="DefaultParagraphFont"/>
    <w:link w:val="NoNumHead2"/>
    <w:rsid w:val="00912DB9"/>
    <w:rPr>
      <w:rFonts w:ascii="Arial" w:hAnsi="Arial"/>
      <w:b/>
      <w:sz w:val="26"/>
      <w:lang w:val="en-GB" w:eastAsia="en-GB"/>
    </w:rPr>
  </w:style>
  <w:style w:type="paragraph" w:customStyle="1" w:styleId="Default">
    <w:name w:val="Default"/>
    <w:rsid w:val="00517A18"/>
    <w:pPr>
      <w:autoSpaceDE w:val="0"/>
      <w:autoSpaceDN w:val="0"/>
      <w:adjustRightInd w:val="0"/>
    </w:pPr>
    <w:rPr>
      <w:color w:val="000000"/>
      <w:sz w:val="24"/>
      <w:szCs w:val="24"/>
      <w:lang w:val="en-US" w:eastAsia="en-US"/>
    </w:rPr>
  </w:style>
  <w:style w:type="paragraph" w:styleId="Caption">
    <w:name w:val="caption"/>
    <w:basedOn w:val="Normal"/>
    <w:next w:val="Normal"/>
    <w:link w:val="CaptionChar"/>
    <w:qFormat/>
    <w:rsid w:val="00B94D46"/>
    <w:pPr>
      <w:keepNext/>
      <w:spacing w:before="120" w:after="120"/>
    </w:pPr>
    <w:rPr>
      <w:rFonts w:ascii="Arial" w:hAnsi="Arial"/>
      <w:b/>
      <w:sz w:val="22"/>
      <w:lang w:val="en-GB" w:eastAsia="en-GB"/>
    </w:rPr>
  </w:style>
  <w:style w:type="character" w:customStyle="1" w:styleId="CaptionChar">
    <w:name w:val="Caption Char"/>
    <w:basedOn w:val="DefaultParagraphFont"/>
    <w:link w:val="Caption"/>
    <w:rsid w:val="00B94D46"/>
    <w:rPr>
      <w:rFonts w:ascii="Arial" w:hAnsi="Arial"/>
      <w:b/>
      <w:sz w:val="22"/>
      <w:lang w:val="en-GB" w:eastAsia="en-GB"/>
    </w:rPr>
  </w:style>
  <w:style w:type="paragraph" w:customStyle="1" w:styleId="NoNumHead4">
    <w:name w:val="NoNum:Head4"/>
    <w:basedOn w:val="Normal"/>
    <w:next w:val="Normal"/>
    <w:rsid w:val="00C43BEA"/>
    <w:pPr>
      <w:keepNext/>
      <w:spacing w:before="120" w:after="240"/>
      <w:outlineLvl w:val="0"/>
    </w:pPr>
    <w:rPr>
      <w:rFonts w:ascii="Arial" w:hAnsi="Arial"/>
      <w:b/>
      <w:sz w:val="22"/>
      <w:lang w:val="en-GB" w:eastAsia="en-GB"/>
    </w:rPr>
  </w:style>
  <w:style w:type="paragraph" w:customStyle="1" w:styleId="tabletextNS">
    <w:name w:val="table:textNS"/>
    <w:basedOn w:val="Normal"/>
    <w:link w:val="tabletextNSChar"/>
    <w:rsid w:val="00C43BEA"/>
    <w:rPr>
      <w:rFonts w:ascii="Arial Narrow" w:hAnsi="Arial Narrow"/>
      <w:sz w:val="24"/>
      <w:lang w:val="en-GB" w:eastAsia="en-GB"/>
    </w:rPr>
  </w:style>
  <w:style w:type="character" w:customStyle="1" w:styleId="tabletextNSChar">
    <w:name w:val="table:textNS Char"/>
    <w:basedOn w:val="DefaultParagraphFont"/>
    <w:link w:val="tabletextNS"/>
    <w:rsid w:val="00C43BEA"/>
    <w:rPr>
      <w:rFonts w:ascii="Arial Narrow" w:hAnsi="Arial Narrow"/>
      <w:sz w:val="24"/>
      <w:lang w:val="en-GB" w:eastAsia="en-GB"/>
    </w:rPr>
  </w:style>
  <w:style w:type="paragraph" w:customStyle="1" w:styleId="NoNumHead3">
    <w:name w:val="NoNum:Head3"/>
    <w:basedOn w:val="NoNumHead2"/>
    <w:next w:val="Normal"/>
    <w:rsid w:val="001D275A"/>
    <w:rPr>
      <w:sz w:val="24"/>
    </w:rPr>
  </w:style>
  <w:style w:type="paragraph" w:customStyle="1" w:styleId="captiontable">
    <w:name w:val="caption:table"/>
    <w:basedOn w:val="Normal"/>
    <w:next w:val="Normal"/>
    <w:link w:val="captiontableChar"/>
    <w:rsid w:val="00785641"/>
    <w:pPr>
      <w:keepNext/>
      <w:spacing w:after="240"/>
      <w:ind w:left="1440" w:hanging="1440"/>
    </w:pPr>
    <w:rPr>
      <w:rFonts w:ascii="Arial" w:hAnsi="Arial"/>
      <w:b/>
      <w:sz w:val="22"/>
      <w:lang w:val="en-GB" w:eastAsia="en-GB"/>
    </w:rPr>
  </w:style>
  <w:style w:type="character" w:customStyle="1" w:styleId="captiontableChar">
    <w:name w:val="caption:table Char"/>
    <w:basedOn w:val="DefaultParagraphFont"/>
    <w:link w:val="captiontable"/>
    <w:locked/>
    <w:rsid w:val="00785641"/>
    <w:rPr>
      <w:rFonts w:ascii="Arial" w:hAnsi="Arial"/>
      <w:b/>
      <w:sz w:val="22"/>
      <w:lang w:val="en-GB" w:eastAsia="en-GB"/>
    </w:rPr>
  </w:style>
  <w:style w:type="character" w:customStyle="1" w:styleId="tabletextNSChar1">
    <w:name w:val="table:textNS Char1"/>
    <w:basedOn w:val="DefaultParagraphFont"/>
    <w:locked/>
    <w:rsid w:val="009602E1"/>
    <w:rPr>
      <w:rFonts w:ascii="Arial Narrow" w:hAnsi="Arial Narrow"/>
      <w:sz w:val="24"/>
      <w:lang w:val="en-GB"/>
    </w:rPr>
  </w:style>
  <w:style w:type="paragraph" w:styleId="Revision">
    <w:name w:val="Revision"/>
    <w:hidden/>
    <w:uiPriority w:val="99"/>
    <w:semiHidden/>
    <w:rsid w:val="005D5DF9"/>
  </w:style>
  <w:style w:type="character" w:styleId="FollowedHyperlink">
    <w:name w:val="FollowedHyperlink"/>
    <w:basedOn w:val="DefaultParagraphFont"/>
    <w:uiPriority w:val="99"/>
    <w:semiHidden/>
    <w:unhideWhenUsed/>
    <w:rsid w:val="00A70A0A"/>
    <w:rPr>
      <w:color w:val="800080"/>
      <w:u w:val="single"/>
    </w:rPr>
  </w:style>
  <w:style w:type="paragraph" w:styleId="Title">
    <w:name w:val="Title"/>
    <w:basedOn w:val="Normal"/>
    <w:next w:val="Normal"/>
    <w:link w:val="TitleChar"/>
    <w:uiPriority w:val="10"/>
    <w:qFormat/>
    <w:rsid w:val="00B94D46"/>
    <w:pPr>
      <w:spacing w:before="120" w:after="120"/>
      <w:jc w:val="center"/>
    </w:pPr>
    <w:rPr>
      <w:rFonts w:ascii="Arial" w:hAnsi="Arial" w:cs="Arial"/>
      <w:b/>
      <w:sz w:val="22"/>
      <w:szCs w:val="22"/>
    </w:rPr>
  </w:style>
  <w:style w:type="character" w:customStyle="1" w:styleId="TitleChar">
    <w:name w:val="Title Char"/>
    <w:basedOn w:val="DefaultParagraphFont"/>
    <w:link w:val="Title"/>
    <w:uiPriority w:val="10"/>
    <w:rsid w:val="00B94D46"/>
    <w:rPr>
      <w:rFonts w:ascii="Arial" w:hAnsi="Arial" w:cs="Arial"/>
      <w:b/>
      <w:sz w:val="22"/>
      <w:szCs w:val="22"/>
    </w:rPr>
  </w:style>
  <w:style w:type="paragraph" w:styleId="TOC8">
    <w:name w:val="toc 8"/>
    <w:basedOn w:val="TOC3"/>
    <w:next w:val="Normal"/>
    <w:autoRedefine/>
    <w:semiHidden/>
    <w:rsid w:val="00697EF8"/>
    <w:pPr>
      <w:tabs>
        <w:tab w:val="left" w:pos="2088"/>
        <w:tab w:val="right" w:leader="dot" w:pos="8637"/>
      </w:tabs>
      <w:spacing w:after="0"/>
      <w:ind w:left="2088" w:right="850" w:hanging="936"/>
    </w:pPr>
    <w:rPr>
      <w:rFonts w:ascii="Arial" w:hAnsi="Arial" w:cs="Arial"/>
      <w:sz w:val="22"/>
      <w:szCs w:val="22"/>
      <w:lang w:val="en-GB" w:eastAsia="en-US"/>
    </w:rPr>
  </w:style>
  <w:style w:type="paragraph" w:customStyle="1" w:styleId="tabletext">
    <w:name w:val="table:text"/>
    <w:basedOn w:val="Normal"/>
    <w:rsid w:val="00697EF8"/>
    <w:pPr>
      <w:spacing w:before="120" w:after="120"/>
    </w:pPr>
    <w:rPr>
      <w:rFonts w:ascii="Arial Narrow" w:hAnsi="Arial Narrow"/>
      <w:sz w:val="24"/>
      <w:lang w:val="en-GB" w:eastAsia="en-GB"/>
    </w:rPr>
  </w:style>
  <w:style w:type="paragraph" w:styleId="TOC3">
    <w:name w:val="toc 3"/>
    <w:basedOn w:val="Normal"/>
    <w:next w:val="Normal"/>
    <w:autoRedefine/>
    <w:uiPriority w:val="39"/>
    <w:semiHidden/>
    <w:unhideWhenUsed/>
    <w:rsid w:val="00697EF8"/>
    <w:pPr>
      <w:spacing w:after="100"/>
      <w:ind w:left="400"/>
    </w:pPr>
  </w:style>
  <w:style w:type="paragraph" w:styleId="ListBullet">
    <w:name w:val="List Bullet"/>
    <w:basedOn w:val="Normal"/>
    <w:uiPriority w:val="99"/>
    <w:qFormat/>
    <w:rsid w:val="00076175"/>
    <w:pPr>
      <w:numPr>
        <w:numId w:val="36"/>
      </w:numPr>
      <w:spacing w:before="120" w:after="180" w:line="240" w:lineRule="atLeast"/>
    </w:pPr>
    <w:rPr>
      <w:rFonts w:ascii="Cambria" w:eastAsia="Cambria" w:hAnsi="Cambria"/>
      <w:sz w:val="22"/>
      <w:szCs w:val="22"/>
      <w:lang w:eastAsia="en-US"/>
    </w:rPr>
  </w:style>
  <w:style w:type="paragraph" w:styleId="ListBullet2">
    <w:name w:val="List Bullet 2"/>
    <w:basedOn w:val="Normal"/>
    <w:uiPriority w:val="99"/>
    <w:qFormat/>
    <w:rsid w:val="00076175"/>
    <w:pPr>
      <w:numPr>
        <w:ilvl w:val="1"/>
        <w:numId w:val="36"/>
      </w:numPr>
      <w:spacing w:before="120" w:after="180" w:line="240" w:lineRule="atLeast"/>
    </w:pPr>
    <w:rPr>
      <w:rFonts w:ascii="Cambria" w:eastAsia="Cambria" w:hAnsi="Cambria"/>
      <w:sz w:val="22"/>
      <w:szCs w:val="22"/>
      <w:lang w:eastAsia="en-US"/>
    </w:rPr>
  </w:style>
  <w:style w:type="paragraph" w:styleId="ListBullet3">
    <w:name w:val="List Bullet 3"/>
    <w:basedOn w:val="Normal"/>
    <w:uiPriority w:val="99"/>
    <w:qFormat/>
    <w:rsid w:val="00076175"/>
    <w:pPr>
      <w:numPr>
        <w:ilvl w:val="2"/>
        <w:numId w:val="36"/>
      </w:numPr>
      <w:spacing w:before="120" w:after="180" w:line="240" w:lineRule="atLeast"/>
    </w:pPr>
    <w:rPr>
      <w:rFonts w:ascii="Cambria" w:eastAsia="Cambria" w:hAnsi="Cambria"/>
      <w:sz w:val="22"/>
      <w:szCs w:val="22"/>
      <w:lang w:eastAsia="en-US"/>
    </w:rPr>
  </w:style>
  <w:style w:type="numbering" w:customStyle="1" w:styleId="ListBullets">
    <w:name w:val="ListBullets"/>
    <w:uiPriority w:val="99"/>
    <w:locked/>
    <w:rsid w:val="00076175"/>
    <w:pPr>
      <w:numPr>
        <w:numId w:val="36"/>
      </w:numPr>
    </w:pPr>
  </w:style>
</w:styles>
</file>

<file path=word/webSettings.xml><?xml version="1.0" encoding="utf-8"?>
<w:webSettings xmlns:r="http://schemas.openxmlformats.org/officeDocument/2006/relationships" xmlns:w="http://schemas.openxmlformats.org/wordprocessingml/2006/main">
  <w:divs>
    <w:div w:id="682821160">
      <w:bodyDiv w:val="1"/>
      <w:marLeft w:val="0"/>
      <w:marRight w:val="0"/>
      <w:marTop w:val="0"/>
      <w:marBottom w:val="0"/>
      <w:divBdr>
        <w:top w:val="none" w:sz="0" w:space="0" w:color="auto"/>
        <w:left w:val="none" w:sz="0" w:space="0" w:color="auto"/>
        <w:bottom w:val="none" w:sz="0" w:space="0" w:color="auto"/>
        <w:right w:val="none" w:sz="0" w:space="0" w:color="auto"/>
      </w:divBdr>
      <w:divsChild>
        <w:div w:id="1630476581">
          <w:marLeft w:val="0"/>
          <w:marRight w:val="0"/>
          <w:marTop w:val="0"/>
          <w:marBottom w:val="0"/>
          <w:divBdr>
            <w:top w:val="none" w:sz="0" w:space="0" w:color="auto"/>
            <w:left w:val="none" w:sz="0" w:space="0" w:color="auto"/>
            <w:bottom w:val="none" w:sz="0" w:space="0" w:color="auto"/>
            <w:right w:val="none" w:sz="0" w:space="0" w:color="auto"/>
          </w:divBdr>
          <w:divsChild>
            <w:div w:id="7272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03197">
      <w:bodyDiv w:val="1"/>
      <w:marLeft w:val="0"/>
      <w:marRight w:val="0"/>
      <w:marTop w:val="0"/>
      <w:marBottom w:val="0"/>
      <w:divBdr>
        <w:top w:val="none" w:sz="0" w:space="0" w:color="auto"/>
        <w:left w:val="none" w:sz="0" w:space="0" w:color="auto"/>
        <w:bottom w:val="none" w:sz="0" w:space="0" w:color="auto"/>
        <w:right w:val="none" w:sz="0" w:space="0" w:color="auto"/>
      </w:divBdr>
      <w:divsChild>
        <w:div w:id="1857426886">
          <w:marLeft w:val="0"/>
          <w:marRight w:val="0"/>
          <w:marTop w:val="0"/>
          <w:marBottom w:val="0"/>
          <w:divBdr>
            <w:top w:val="none" w:sz="0" w:space="0" w:color="auto"/>
            <w:left w:val="none" w:sz="0" w:space="0" w:color="auto"/>
            <w:bottom w:val="none" w:sz="0" w:space="0" w:color="auto"/>
            <w:right w:val="none" w:sz="0" w:space="0" w:color="auto"/>
          </w:divBdr>
          <w:divsChild>
            <w:div w:id="80762956">
              <w:marLeft w:val="0"/>
              <w:marRight w:val="0"/>
              <w:marTop w:val="0"/>
              <w:marBottom w:val="0"/>
              <w:divBdr>
                <w:top w:val="none" w:sz="0" w:space="0" w:color="auto"/>
                <w:left w:val="none" w:sz="0" w:space="0" w:color="auto"/>
                <w:bottom w:val="none" w:sz="0" w:space="0" w:color="auto"/>
                <w:right w:val="none" w:sz="0" w:space="0" w:color="auto"/>
              </w:divBdr>
              <w:divsChild>
                <w:div w:id="247348018">
                  <w:blockQuote w:val="1"/>
                  <w:marLeft w:val="720"/>
                  <w:marRight w:val="0"/>
                  <w:marTop w:val="100"/>
                  <w:marBottom w:val="100"/>
                  <w:divBdr>
                    <w:top w:val="none" w:sz="0" w:space="0" w:color="auto"/>
                    <w:left w:val="none" w:sz="0" w:space="0" w:color="auto"/>
                    <w:bottom w:val="none" w:sz="0" w:space="0" w:color="auto"/>
                    <w:right w:val="none" w:sz="0" w:space="0" w:color="auto"/>
                  </w:divBdr>
                </w:div>
                <w:div w:id="577443526">
                  <w:blockQuote w:val="1"/>
                  <w:marLeft w:val="720"/>
                  <w:marRight w:val="0"/>
                  <w:marTop w:val="100"/>
                  <w:marBottom w:val="100"/>
                  <w:divBdr>
                    <w:top w:val="none" w:sz="0" w:space="0" w:color="auto"/>
                    <w:left w:val="none" w:sz="0" w:space="0" w:color="auto"/>
                    <w:bottom w:val="none" w:sz="0" w:space="0" w:color="auto"/>
                    <w:right w:val="none" w:sz="0" w:space="0" w:color="auto"/>
                  </w:divBdr>
                </w:div>
                <w:div w:id="20686451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r71091\My%20Documents\DRAFT%20-%20Aus%20-%20Product%20Information%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0444D-A8A9-458A-BC85-97A56E9BC03D}">
  <ds:schemaRefs>
    <ds:schemaRef ds:uri="http://schemas.openxmlformats.org/officeDocument/2006/bibliography"/>
  </ds:schemaRefs>
</ds:datastoreItem>
</file>

<file path=customXml/itemProps2.xml><?xml version="1.0" encoding="utf-8"?>
<ds:datastoreItem xmlns:ds="http://schemas.openxmlformats.org/officeDocument/2006/customXml" ds:itemID="{56AE58F4-F873-44B9-B8E8-1125E6CA5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 Aus - Product Information - Template.dot</Template>
  <TotalTime>1</TotalTime>
  <Pages>18</Pages>
  <Words>6112</Words>
  <Characters>35979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AUDIT TRAIL</vt:lpstr>
    </vt:vector>
  </TitlesOfParts>
  <Company>GlaxoSmithKline Australia Pty Ltd</Company>
  <LinksUpToDate>false</LinksUpToDate>
  <CharactersWithSpaces>42007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dabrafenib mesilate</dc:title>
  <dc:subject>prescription medicine regulation</dc:subject>
  <dc:creator>GlaxoSmithKline Australia Pty Ltd</dc:creator>
  <cp:keywords>product, information, prescription, medicine, regulation, tafinlar, dabrafenib, mesilate, glaxosmithkline, australia</cp:keywords>
  <cp:lastModifiedBy>dixonj</cp:lastModifiedBy>
  <cp:revision>3</cp:revision>
  <cp:lastPrinted>2012-08-04T18:44:00Z</cp:lastPrinted>
  <dcterms:created xsi:type="dcterms:W3CDTF">2013-12-15T22:35:00Z</dcterms:created>
  <dcterms:modified xsi:type="dcterms:W3CDTF">2014-01-13T04:14:00Z</dcterms:modified>
</cp:coreProperties>
</file>