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0BD16A80" w14:textId="77777777" w:rsidTr="00BF1190">
        <w:trPr>
          <w:trHeight w:val="1863"/>
        </w:trPr>
        <w:tc>
          <w:tcPr>
            <w:tcW w:w="3652" w:type="dxa"/>
            <w:tcBorders>
              <w:top w:val="nil"/>
              <w:left w:val="nil"/>
              <w:bottom w:val="nil"/>
              <w:right w:val="nil"/>
            </w:tcBorders>
          </w:tcPr>
          <w:p w14:paraId="0FCB7843" w14:textId="268DA805" w:rsidR="008E7846" w:rsidRPr="00096AA7" w:rsidRDefault="001470BD" w:rsidP="00096AA7">
            <w:pPr>
              <w:rPr>
                <w:rFonts w:ascii="Arial" w:hAnsi="Arial" w:cs="Arial"/>
                <w:b/>
                <w:color w:val="002C47"/>
                <w:sz w:val="36"/>
                <w:szCs w:val="36"/>
              </w:rPr>
            </w:pPr>
            <w:r>
              <w:rPr>
                <w:rFonts w:ascii="Arial" w:hAnsi="Arial" w:cs="Arial"/>
                <w:b/>
                <w:color w:val="002C47"/>
                <w:sz w:val="36"/>
                <w:szCs w:val="36"/>
              </w:rPr>
              <w:t>April</w:t>
            </w:r>
            <w:r w:rsidR="00842EB1">
              <w:rPr>
                <w:rFonts w:ascii="Arial" w:hAnsi="Arial" w:cs="Arial"/>
                <w:b/>
                <w:color w:val="002C47"/>
                <w:sz w:val="36"/>
                <w:szCs w:val="36"/>
              </w:rPr>
              <w:t xml:space="preserve"> </w:t>
            </w:r>
            <w:r w:rsidR="001C6492">
              <w:rPr>
                <w:rFonts w:ascii="Arial" w:hAnsi="Arial" w:cs="Arial"/>
                <w:b/>
                <w:color w:val="002C47"/>
                <w:sz w:val="36"/>
                <w:szCs w:val="36"/>
              </w:rPr>
              <w:t>2021</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296564CC" w14:textId="77777777" w:rsidTr="0032583B">
        <w:trPr>
          <w:trHeight w:val="868"/>
        </w:trPr>
        <w:tc>
          <w:tcPr>
            <w:tcW w:w="9079" w:type="dxa"/>
          </w:tcPr>
          <w:p w14:paraId="7BEF60E6" w14:textId="77777777" w:rsidR="0032583B" w:rsidRPr="00A964D1" w:rsidRDefault="0032583B" w:rsidP="001C6492">
            <w:pPr>
              <w:pStyle w:val="Title"/>
              <w:rPr>
                <w:color w:val="FFFFFF" w:themeColor="background1"/>
              </w:rPr>
            </w:pPr>
            <w:r w:rsidRPr="00A964D1">
              <w:rPr>
                <w:color w:val="FFFFFF" w:themeColor="background1"/>
              </w:rPr>
              <w:t xml:space="preserve">Australian Public Assessment Report for </w:t>
            </w:r>
            <w:proofErr w:type="spellStart"/>
            <w:r w:rsidR="001C6492">
              <w:rPr>
                <w:color w:val="FFFFFF" w:themeColor="background1"/>
              </w:rPr>
              <w:t>Dapagliflozin</w:t>
            </w:r>
            <w:proofErr w:type="spellEnd"/>
          </w:p>
        </w:tc>
      </w:tr>
      <w:tr w:rsidR="0032583B" w:rsidRPr="00B64760" w14:paraId="5FCD870A" w14:textId="77777777" w:rsidTr="0032583B">
        <w:tc>
          <w:tcPr>
            <w:tcW w:w="9079" w:type="dxa"/>
          </w:tcPr>
          <w:p w14:paraId="31D8A8B9" w14:textId="77777777" w:rsidR="0032583B" w:rsidRPr="008E7846" w:rsidRDefault="0032583B" w:rsidP="001C6492">
            <w:pPr>
              <w:pStyle w:val="Subtitle"/>
              <w:rPr>
                <w:color w:val="FFFFFF" w:themeColor="background1"/>
              </w:rPr>
            </w:pPr>
            <w:r w:rsidRPr="008E7846">
              <w:rPr>
                <w:color w:val="FFFFFF" w:themeColor="background1"/>
              </w:rPr>
              <w:t xml:space="preserve">Proprietary Product Name: </w:t>
            </w:r>
            <w:proofErr w:type="spellStart"/>
            <w:r w:rsidR="001C6492">
              <w:rPr>
                <w:color w:val="FFFFFF" w:themeColor="background1"/>
              </w:rPr>
              <w:t>Forxiga</w:t>
            </w:r>
            <w:proofErr w:type="spellEnd"/>
          </w:p>
        </w:tc>
      </w:tr>
      <w:tr w:rsidR="0032583B" w:rsidRPr="00B64760" w14:paraId="403EB47D" w14:textId="77777777" w:rsidTr="0032583B">
        <w:trPr>
          <w:trHeight w:val="486"/>
        </w:trPr>
        <w:tc>
          <w:tcPr>
            <w:tcW w:w="9079" w:type="dxa"/>
          </w:tcPr>
          <w:p w14:paraId="6AC26F8F" w14:textId="630B5FDF" w:rsidR="0032583B" w:rsidRPr="008E7846" w:rsidRDefault="00BE58A4" w:rsidP="0032583B">
            <w:pPr>
              <w:pStyle w:val="Subtitle"/>
              <w:rPr>
                <w:color w:val="FFFFFF" w:themeColor="background1"/>
              </w:rPr>
            </w:pPr>
            <w:r>
              <w:rPr>
                <w:color w:val="FFFFFF" w:themeColor="background1"/>
              </w:rPr>
              <w:t>Sponsor: AstraZeneca</w:t>
            </w:r>
            <w:r w:rsidR="001C6492">
              <w:rPr>
                <w:color w:val="FFFFFF" w:themeColor="background1"/>
              </w:rPr>
              <w:t xml:space="preserve"> Pty Ltd</w:t>
            </w:r>
          </w:p>
        </w:tc>
      </w:tr>
    </w:tbl>
    <w:p w14:paraId="409EFCB2" w14:textId="77777777" w:rsidR="008E7846" w:rsidRPr="0085156D" w:rsidRDefault="008E7846" w:rsidP="0085156D">
      <w:r w:rsidRPr="0085156D">
        <w:br w:type="page"/>
      </w:r>
    </w:p>
    <w:p w14:paraId="2E5117F9" w14:textId="77777777" w:rsidR="008E7846" w:rsidRPr="001F6CBA" w:rsidRDefault="008E7846" w:rsidP="008E7846">
      <w:pPr>
        <w:pStyle w:val="NonTOCHeading2"/>
      </w:pPr>
      <w:r w:rsidRPr="001F6CBA">
        <w:lastRenderedPageBreak/>
        <w:t>About the Therapeutic Goods Administration (TGA)</w:t>
      </w:r>
    </w:p>
    <w:p w14:paraId="78118717"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5378832D"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514D3F12"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1B797AB2"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1E64BA62" w14:textId="37ED0803"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8" w:history="1">
        <w:r w:rsidR="00441C3F">
          <w:rPr>
            <w:rStyle w:val="Hyperlink"/>
          </w:rPr>
          <w:t>https://www.tga.gov.au</w:t>
        </w:r>
      </w:hyperlink>
      <w:r w:rsidR="00441C3F">
        <w:t>&gt;.</w:t>
      </w:r>
    </w:p>
    <w:p w14:paraId="194F1287" w14:textId="77777777" w:rsidR="008E7846" w:rsidRDefault="008E7846" w:rsidP="00875A6B">
      <w:pPr>
        <w:pStyle w:val="NonTOCHeading2"/>
      </w:pPr>
      <w:r>
        <w:t>About AusPARs</w:t>
      </w:r>
    </w:p>
    <w:p w14:paraId="09867F1E" w14:textId="77777777"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07C74C9C" w14:textId="77777777" w:rsidR="008E7846" w:rsidRDefault="008E7846" w:rsidP="008E7846">
      <w:pPr>
        <w:pStyle w:val="ListBullet"/>
        <w:numPr>
          <w:ilvl w:val="0"/>
          <w:numId w:val="3"/>
        </w:numPr>
        <w:ind w:left="357" w:hanging="357"/>
      </w:pPr>
      <w:r>
        <w:t>AusPARs are prepared and published by the TGA.</w:t>
      </w:r>
    </w:p>
    <w:p w14:paraId="03D2C4AF" w14:textId="77777777"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14:paraId="47D0100B" w14:textId="77777777"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14043EC1" w14:textId="77777777"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14:paraId="01E833E8" w14:textId="77777777" w:rsidR="00924482" w:rsidRPr="00DF1D7F" w:rsidRDefault="00924482" w:rsidP="00F54B65">
      <w:pPr>
        <w:pStyle w:val="LegalSubheading"/>
        <w:spacing w:before="3120"/>
      </w:pPr>
      <w:r w:rsidRPr="00DF1D7F">
        <w:t>Copyright</w:t>
      </w:r>
    </w:p>
    <w:p w14:paraId="441BEAD3" w14:textId="1B591CBB"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324E45">
        <w:rPr>
          <w:rFonts w:cs="Arial"/>
          <w:lang w:val="en-GB"/>
        </w:rPr>
        <w:t>1</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14:paraId="7E0C8C8C" w14:textId="77777777" w:rsidR="00924482" w:rsidRDefault="00924482" w:rsidP="00924482">
      <w:pPr>
        <w:pStyle w:val="LegalCopy"/>
        <w:sectPr w:rsidR="00924482"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4278DD48" w14:textId="77777777" w:rsidR="0089635C" w:rsidRPr="0089635C" w:rsidRDefault="0089635C" w:rsidP="0010788A">
          <w:pPr>
            <w:pStyle w:val="Contents"/>
          </w:pPr>
          <w:r w:rsidRPr="0010788A">
            <w:t>Contents</w:t>
          </w:r>
        </w:p>
        <w:p w14:paraId="6AD70536" w14:textId="4B6E3C55" w:rsidR="00C13FAD"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69894093" w:history="1">
            <w:r w:rsidR="00C13FAD" w:rsidRPr="00E01FAB">
              <w:rPr>
                <w:rStyle w:val="Hyperlink"/>
                <w:noProof/>
              </w:rPr>
              <w:t>List of abbreviations</w:t>
            </w:r>
            <w:r w:rsidR="00C13FAD">
              <w:rPr>
                <w:noProof/>
                <w:webHidden/>
              </w:rPr>
              <w:tab/>
            </w:r>
            <w:r w:rsidR="00C13FAD">
              <w:rPr>
                <w:noProof/>
                <w:webHidden/>
              </w:rPr>
              <w:fldChar w:fldCharType="begin"/>
            </w:r>
            <w:r w:rsidR="00C13FAD">
              <w:rPr>
                <w:noProof/>
                <w:webHidden/>
              </w:rPr>
              <w:instrText xml:space="preserve"> PAGEREF _Toc69894093 \h </w:instrText>
            </w:r>
            <w:r w:rsidR="00C13FAD">
              <w:rPr>
                <w:noProof/>
                <w:webHidden/>
              </w:rPr>
            </w:r>
            <w:r w:rsidR="00C13FAD">
              <w:rPr>
                <w:noProof/>
                <w:webHidden/>
              </w:rPr>
              <w:fldChar w:fldCharType="separate"/>
            </w:r>
            <w:r w:rsidR="00C13FAD">
              <w:rPr>
                <w:noProof/>
                <w:webHidden/>
              </w:rPr>
              <w:t>4</w:t>
            </w:r>
            <w:r w:rsidR="00C13FAD">
              <w:rPr>
                <w:noProof/>
                <w:webHidden/>
              </w:rPr>
              <w:fldChar w:fldCharType="end"/>
            </w:r>
          </w:hyperlink>
        </w:p>
        <w:p w14:paraId="55EFDC01" w14:textId="75769170" w:rsidR="00C13FAD" w:rsidRDefault="00E42B80">
          <w:pPr>
            <w:pStyle w:val="TOC1"/>
            <w:rPr>
              <w:rFonts w:asciiTheme="minorHAnsi" w:eastAsiaTheme="minorEastAsia" w:hAnsiTheme="minorHAnsi" w:cstheme="minorBidi"/>
              <w:b w:val="0"/>
              <w:noProof/>
              <w:sz w:val="22"/>
              <w:lang w:eastAsia="en-AU"/>
            </w:rPr>
          </w:pPr>
          <w:hyperlink w:anchor="_Toc69894094" w:history="1">
            <w:r w:rsidR="00C13FAD" w:rsidRPr="00E01FAB">
              <w:rPr>
                <w:rStyle w:val="Hyperlink"/>
                <w:noProof/>
              </w:rPr>
              <w:t>I. Introduction to product submission</w:t>
            </w:r>
            <w:r w:rsidR="00C13FAD">
              <w:rPr>
                <w:noProof/>
                <w:webHidden/>
              </w:rPr>
              <w:tab/>
            </w:r>
            <w:r w:rsidR="00C13FAD">
              <w:rPr>
                <w:noProof/>
                <w:webHidden/>
              </w:rPr>
              <w:fldChar w:fldCharType="begin"/>
            </w:r>
            <w:r w:rsidR="00C13FAD">
              <w:rPr>
                <w:noProof/>
                <w:webHidden/>
              </w:rPr>
              <w:instrText xml:space="preserve"> PAGEREF _Toc69894094 \h </w:instrText>
            </w:r>
            <w:r w:rsidR="00C13FAD">
              <w:rPr>
                <w:noProof/>
                <w:webHidden/>
              </w:rPr>
            </w:r>
            <w:r w:rsidR="00C13FAD">
              <w:rPr>
                <w:noProof/>
                <w:webHidden/>
              </w:rPr>
              <w:fldChar w:fldCharType="separate"/>
            </w:r>
            <w:r w:rsidR="00C13FAD">
              <w:rPr>
                <w:noProof/>
                <w:webHidden/>
              </w:rPr>
              <w:t>6</w:t>
            </w:r>
            <w:r w:rsidR="00C13FAD">
              <w:rPr>
                <w:noProof/>
                <w:webHidden/>
              </w:rPr>
              <w:fldChar w:fldCharType="end"/>
            </w:r>
          </w:hyperlink>
        </w:p>
        <w:p w14:paraId="6DD80813" w14:textId="41563719" w:rsidR="00C13FAD" w:rsidRDefault="00E42B80">
          <w:pPr>
            <w:pStyle w:val="TOC2"/>
            <w:rPr>
              <w:rFonts w:asciiTheme="minorHAnsi" w:eastAsiaTheme="minorEastAsia" w:hAnsiTheme="minorHAnsi" w:cstheme="minorBidi"/>
              <w:b w:val="0"/>
              <w:noProof/>
              <w:sz w:val="22"/>
              <w:lang w:eastAsia="en-AU"/>
            </w:rPr>
          </w:pPr>
          <w:hyperlink w:anchor="_Toc69894095" w:history="1">
            <w:r w:rsidR="00C13FAD" w:rsidRPr="00E01FAB">
              <w:rPr>
                <w:rStyle w:val="Hyperlink"/>
                <w:noProof/>
                <w:lang w:eastAsia="en-AU"/>
              </w:rPr>
              <w:t>Submission details</w:t>
            </w:r>
            <w:r w:rsidR="00C13FAD">
              <w:rPr>
                <w:noProof/>
                <w:webHidden/>
              </w:rPr>
              <w:tab/>
            </w:r>
            <w:r w:rsidR="00C13FAD">
              <w:rPr>
                <w:noProof/>
                <w:webHidden/>
              </w:rPr>
              <w:fldChar w:fldCharType="begin"/>
            </w:r>
            <w:r w:rsidR="00C13FAD">
              <w:rPr>
                <w:noProof/>
                <w:webHidden/>
              </w:rPr>
              <w:instrText xml:space="preserve"> PAGEREF _Toc69894095 \h </w:instrText>
            </w:r>
            <w:r w:rsidR="00C13FAD">
              <w:rPr>
                <w:noProof/>
                <w:webHidden/>
              </w:rPr>
            </w:r>
            <w:r w:rsidR="00C13FAD">
              <w:rPr>
                <w:noProof/>
                <w:webHidden/>
              </w:rPr>
              <w:fldChar w:fldCharType="separate"/>
            </w:r>
            <w:r w:rsidR="00C13FAD">
              <w:rPr>
                <w:noProof/>
                <w:webHidden/>
              </w:rPr>
              <w:t>6</w:t>
            </w:r>
            <w:r w:rsidR="00C13FAD">
              <w:rPr>
                <w:noProof/>
                <w:webHidden/>
              </w:rPr>
              <w:fldChar w:fldCharType="end"/>
            </w:r>
          </w:hyperlink>
        </w:p>
        <w:p w14:paraId="13BAA875" w14:textId="318B43B0" w:rsidR="00C13FAD" w:rsidRDefault="00E42B80">
          <w:pPr>
            <w:pStyle w:val="TOC2"/>
            <w:rPr>
              <w:rFonts w:asciiTheme="minorHAnsi" w:eastAsiaTheme="minorEastAsia" w:hAnsiTheme="minorHAnsi" w:cstheme="minorBidi"/>
              <w:b w:val="0"/>
              <w:noProof/>
              <w:sz w:val="22"/>
              <w:lang w:eastAsia="en-AU"/>
            </w:rPr>
          </w:pPr>
          <w:hyperlink w:anchor="_Toc69894096" w:history="1">
            <w:r w:rsidR="00C13FAD" w:rsidRPr="00E01FAB">
              <w:rPr>
                <w:rStyle w:val="Hyperlink"/>
                <w:noProof/>
              </w:rPr>
              <w:t>Product background</w:t>
            </w:r>
            <w:r w:rsidR="00C13FAD">
              <w:rPr>
                <w:noProof/>
                <w:webHidden/>
              </w:rPr>
              <w:tab/>
            </w:r>
            <w:r w:rsidR="00C13FAD">
              <w:rPr>
                <w:noProof/>
                <w:webHidden/>
              </w:rPr>
              <w:fldChar w:fldCharType="begin"/>
            </w:r>
            <w:r w:rsidR="00C13FAD">
              <w:rPr>
                <w:noProof/>
                <w:webHidden/>
              </w:rPr>
              <w:instrText xml:space="preserve"> PAGEREF _Toc69894096 \h </w:instrText>
            </w:r>
            <w:r w:rsidR="00C13FAD">
              <w:rPr>
                <w:noProof/>
                <w:webHidden/>
              </w:rPr>
            </w:r>
            <w:r w:rsidR="00C13FAD">
              <w:rPr>
                <w:noProof/>
                <w:webHidden/>
              </w:rPr>
              <w:fldChar w:fldCharType="separate"/>
            </w:r>
            <w:r w:rsidR="00C13FAD">
              <w:rPr>
                <w:noProof/>
                <w:webHidden/>
              </w:rPr>
              <w:t>7</w:t>
            </w:r>
            <w:r w:rsidR="00C13FAD">
              <w:rPr>
                <w:noProof/>
                <w:webHidden/>
              </w:rPr>
              <w:fldChar w:fldCharType="end"/>
            </w:r>
          </w:hyperlink>
        </w:p>
        <w:p w14:paraId="7ADD452D" w14:textId="6096D6FE" w:rsidR="00C13FAD" w:rsidRDefault="00E42B80">
          <w:pPr>
            <w:pStyle w:val="TOC2"/>
            <w:rPr>
              <w:rFonts w:asciiTheme="minorHAnsi" w:eastAsiaTheme="minorEastAsia" w:hAnsiTheme="minorHAnsi" w:cstheme="minorBidi"/>
              <w:b w:val="0"/>
              <w:noProof/>
              <w:sz w:val="22"/>
              <w:lang w:eastAsia="en-AU"/>
            </w:rPr>
          </w:pPr>
          <w:hyperlink w:anchor="_Toc69894097" w:history="1">
            <w:r w:rsidR="00C13FAD" w:rsidRPr="00E01FAB">
              <w:rPr>
                <w:rStyle w:val="Hyperlink"/>
                <w:noProof/>
              </w:rPr>
              <w:t>Regulatory status</w:t>
            </w:r>
            <w:r w:rsidR="00C13FAD">
              <w:rPr>
                <w:noProof/>
                <w:webHidden/>
              </w:rPr>
              <w:tab/>
            </w:r>
            <w:r w:rsidR="00C13FAD">
              <w:rPr>
                <w:noProof/>
                <w:webHidden/>
              </w:rPr>
              <w:fldChar w:fldCharType="begin"/>
            </w:r>
            <w:r w:rsidR="00C13FAD">
              <w:rPr>
                <w:noProof/>
                <w:webHidden/>
              </w:rPr>
              <w:instrText xml:space="preserve"> PAGEREF _Toc69894097 \h </w:instrText>
            </w:r>
            <w:r w:rsidR="00C13FAD">
              <w:rPr>
                <w:noProof/>
                <w:webHidden/>
              </w:rPr>
            </w:r>
            <w:r w:rsidR="00C13FAD">
              <w:rPr>
                <w:noProof/>
                <w:webHidden/>
              </w:rPr>
              <w:fldChar w:fldCharType="separate"/>
            </w:r>
            <w:r w:rsidR="00C13FAD">
              <w:rPr>
                <w:noProof/>
                <w:webHidden/>
              </w:rPr>
              <w:t>10</w:t>
            </w:r>
            <w:r w:rsidR="00C13FAD">
              <w:rPr>
                <w:noProof/>
                <w:webHidden/>
              </w:rPr>
              <w:fldChar w:fldCharType="end"/>
            </w:r>
          </w:hyperlink>
        </w:p>
        <w:p w14:paraId="15B3C3CA" w14:textId="36CD21F0" w:rsidR="00C13FAD" w:rsidRDefault="00E42B80">
          <w:pPr>
            <w:pStyle w:val="TOC2"/>
            <w:rPr>
              <w:rFonts w:asciiTheme="minorHAnsi" w:eastAsiaTheme="minorEastAsia" w:hAnsiTheme="minorHAnsi" w:cstheme="minorBidi"/>
              <w:b w:val="0"/>
              <w:noProof/>
              <w:sz w:val="22"/>
              <w:lang w:eastAsia="en-AU"/>
            </w:rPr>
          </w:pPr>
          <w:hyperlink w:anchor="_Toc69894098" w:history="1">
            <w:r w:rsidR="00C13FAD" w:rsidRPr="00E01FAB">
              <w:rPr>
                <w:rStyle w:val="Hyperlink"/>
                <w:noProof/>
              </w:rPr>
              <w:t>Product Information</w:t>
            </w:r>
            <w:r w:rsidR="00C13FAD">
              <w:rPr>
                <w:noProof/>
                <w:webHidden/>
              </w:rPr>
              <w:tab/>
            </w:r>
            <w:r w:rsidR="00C13FAD">
              <w:rPr>
                <w:noProof/>
                <w:webHidden/>
              </w:rPr>
              <w:fldChar w:fldCharType="begin"/>
            </w:r>
            <w:r w:rsidR="00C13FAD">
              <w:rPr>
                <w:noProof/>
                <w:webHidden/>
              </w:rPr>
              <w:instrText xml:space="preserve"> PAGEREF _Toc69894098 \h </w:instrText>
            </w:r>
            <w:r w:rsidR="00C13FAD">
              <w:rPr>
                <w:noProof/>
                <w:webHidden/>
              </w:rPr>
            </w:r>
            <w:r w:rsidR="00C13FAD">
              <w:rPr>
                <w:noProof/>
                <w:webHidden/>
              </w:rPr>
              <w:fldChar w:fldCharType="separate"/>
            </w:r>
            <w:r w:rsidR="00C13FAD">
              <w:rPr>
                <w:noProof/>
                <w:webHidden/>
              </w:rPr>
              <w:t>11</w:t>
            </w:r>
            <w:r w:rsidR="00C13FAD">
              <w:rPr>
                <w:noProof/>
                <w:webHidden/>
              </w:rPr>
              <w:fldChar w:fldCharType="end"/>
            </w:r>
          </w:hyperlink>
        </w:p>
        <w:p w14:paraId="2C6ADA5A" w14:textId="36EC9B38" w:rsidR="00C13FAD" w:rsidRDefault="00E42B80">
          <w:pPr>
            <w:pStyle w:val="TOC1"/>
            <w:rPr>
              <w:rFonts w:asciiTheme="minorHAnsi" w:eastAsiaTheme="minorEastAsia" w:hAnsiTheme="minorHAnsi" w:cstheme="minorBidi"/>
              <w:b w:val="0"/>
              <w:noProof/>
              <w:sz w:val="22"/>
              <w:lang w:eastAsia="en-AU"/>
            </w:rPr>
          </w:pPr>
          <w:hyperlink w:anchor="_Toc69894099" w:history="1">
            <w:r w:rsidR="00C13FAD" w:rsidRPr="00E01FAB">
              <w:rPr>
                <w:rStyle w:val="Hyperlink"/>
                <w:noProof/>
              </w:rPr>
              <w:t>II. Registration timeline</w:t>
            </w:r>
            <w:r w:rsidR="00C13FAD">
              <w:rPr>
                <w:noProof/>
                <w:webHidden/>
              </w:rPr>
              <w:tab/>
            </w:r>
            <w:r w:rsidR="00C13FAD">
              <w:rPr>
                <w:noProof/>
                <w:webHidden/>
              </w:rPr>
              <w:fldChar w:fldCharType="begin"/>
            </w:r>
            <w:r w:rsidR="00C13FAD">
              <w:rPr>
                <w:noProof/>
                <w:webHidden/>
              </w:rPr>
              <w:instrText xml:space="preserve"> PAGEREF _Toc69894099 \h </w:instrText>
            </w:r>
            <w:r w:rsidR="00C13FAD">
              <w:rPr>
                <w:noProof/>
                <w:webHidden/>
              </w:rPr>
            </w:r>
            <w:r w:rsidR="00C13FAD">
              <w:rPr>
                <w:noProof/>
                <w:webHidden/>
              </w:rPr>
              <w:fldChar w:fldCharType="separate"/>
            </w:r>
            <w:r w:rsidR="00C13FAD">
              <w:rPr>
                <w:noProof/>
                <w:webHidden/>
              </w:rPr>
              <w:t>11</w:t>
            </w:r>
            <w:r w:rsidR="00C13FAD">
              <w:rPr>
                <w:noProof/>
                <w:webHidden/>
              </w:rPr>
              <w:fldChar w:fldCharType="end"/>
            </w:r>
          </w:hyperlink>
        </w:p>
        <w:p w14:paraId="1A476A7E" w14:textId="216FEB81" w:rsidR="00C13FAD" w:rsidRDefault="00E42B80">
          <w:pPr>
            <w:pStyle w:val="TOC1"/>
            <w:rPr>
              <w:rFonts w:asciiTheme="minorHAnsi" w:eastAsiaTheme="minorEastAsia" w:hAnsiTheme="minorHAnsi" w:cstheme="minorBidi"/>
              <w:b w:val="0"/>
              <w:noProof/>
              <w:sz w:val="22"/>
              <w:lang w:eastAsia="en-AU"/>
            </w:rPr>
          </w:pPr>
          <w:hyperlink w:anchor="_Toc69894100" w:history="1">
            <w:r w:rsidR="00C13FAD" w:rsidRPr="00E01FAB">
              <w:rPr>
                <w:rStyle w:val="Hyperlink"/>
                <w:noProof/>
              </w:rPr>
              <w:t>III. Submission overview and risk/benefit assessment</w:t>
            </w:r>
            <w:r w:rsidR="00C13FAD">
              <w:rPr>
                <w:noProof/>
                <w:webHidden/>
              </w:rPr>
              <w:tab/>
            </w:r>
            <w:r w:rsidR="00C13FAD">
              <w:rPr>
                <w:noProof/>
                <w:webHidden/>
              </w:rPr>
              <w:fldChar w:fldCharType="begin"/>
            </w:r>
            <w:r w:rsidR="00C13FAD">
              <w:rPr>
                <w:noProof/>
                <w:webHidden/>
              </w:rPr>
              <w:instrText xml:space="preserve"> PAGEREF _Toc69894100 \h </w:instrText>
            </w:r>
            <w:r w:rsidR="00C13FAD">
              <w:rPr>
                <w:noProof/>
                <w:webHidden/>
              </w:rPr>
            </w:r>
            <w:r w:rsidR="00C13FAD">
              <w:rPr>
                <w:noProof/>
                <w:webHidden/>
              </w:rPr>
              <w:fldChar w:fldCharType="separate"/>
            </w:r>
            <w:r w:rsidR="00C13FAD">
              <w:rPr>
                <w:noProof/>
                <w:webHidden/>
              </w:rPr>
              <w:t>12</w:t>
            </w:r>
            <w:r w:rsidR="00C13FAD">
              <w:rPr>
                <w:noProof/>
                <w:webHidden/>
              </w:rPr>
              <w:fldChar w:fldCharType="end"/>
            </w:r>
          </w:hyperlink>
        </w:p>
        <w:p w14:paraId="40CD154D" w14:textId="655F156E" w:rsidR="00C13FAD" w:rsidRDefault="00E42B80">
          <w:pPr>
            <w:pStyle w:val="TOC2"/>
            <w:rPr>
              <w:rFonts w:asciiTheme="minorHAnsi" w:eastAsiaTheme="minorEastAsia" w:hAnsiTheme="minorHAnsi" w:cstheme="minorBidi"/>
              <w:b w:val="0"/>
              <w:noProof/>
              <w:sz w:val="22"/>
              <w:lang w:eastAsia="en-AU"/>
            </w:rPr>
          </w:pPr>
          <w:hyperlink w:anchor="_Toc69894101" w:history="1">
            <w:r w:rsidR="00C13FAD" w:rsidRPr="00E01FAB">
              <w:rPr>
                <w:rStyle w:val="Hyperlink"/>
                <w:noProof/>
              </w:rPr>
              <w:t>Quality</w:t>
            </w:r>
            <w:r w:rsidR="00C13FAD">
              <w:rPr>
                <w:noProof/>
                <w:webHidden/>
              </w:rPr>
              <w:tab/>
            </w:r>
            <w:r w:rsidR="00C13FAD">
              <w:rPr>
                <w:noProof/>
                <w:webHidden/>
              </w:rPr>
              <w:fldChar w:fldCharType="begin"/>
            </w:r>
            <w:r w:rsidR="00C13FAD">
              <w:rPr>
                <w:noProof/>
                <w:webHidden/>
              </w:rPr>
              <w:instrText xml:space="preserve"> PAGEREF _Toc69894101 \h </w:instrText>
            </w:r>
            <w:r w:rsidR="00C13FAD">
              <w:rPr>
                <w:noProof/>
                <w:webHidden/>
              </w:rPr>
            </w:r>
            <w:r w:rsidR="00C13FAD">
              <w:rPr>
                <w:noProof/>
                <w:webHidden/>
              </w:rPr>
              <w:fldChar w:fldCharType="separate"/>
            </w:r>
            <w:r w:rsidR="00C13FAD">
              <w:rPr>
                <w:noProof/>
                <w:webHidden/>
              </w:rPr>
              <w:t>12</w:t>
            </w:r>
            <w:r w:rsidR="00C13FAD">
              <w:rPr>
                <w:noProof/>
                <w:webHidden/>
              </w:rPr>
              <w:fldChar w:fldCharType="end"/>
            </w:r>
          </w:hyperlink>
        </w:p>
        <w:p w14:paraId="16B7074A" w14:textId="14F6D565" w:rsidR="00C13FAD" w:rsidRDefault="00E42B80">
          <w:pPr>
            <w:pStyle w:val="TOC2"/>
            <w:rPr>
              <w:rFonts w:asciiTheme="minorHAnsi" w:eastAsiaTheme="minorEastAsia" w:hAnsiTheme="minorHAnsi" w:cstheme="minorBidi"/>
              <w:b w:val="0"/>
              <w:noProof/>
              <w:sz w:val="22"/>
              <w:lang w:eastAsia="en-AU"/>
            </w:rPr>
          </w:pPr>
          <w:hyperlink w:anchor="_Toc69894102" w:history="1">
            <w:r w:rsidR="00C13FAD" w:rsidRPr="00E01FAB">
              <w:rPr>
                <w:rStyle w:val="Hyperlink"/>
                <w:noProof/>
              </w:rPr>
              <w:t>Nonclinical</w:t>
            </w:r>
            <w:r w:rsidR="00C13FAD">
              <w:rPr>
                <w:noProof/>
                <w:webHidden/>
              </w:rPr>
              <w:tab/>
            </w:r>
            <w:r w:rsidR="00C13FAD">
              <w:rPr>
                <w:noProof/>
                <w:webHidden/>
              </w:rPr>
              <w:fldChar w:fldCharType="begin"/>
            </w:r>
            <w:r w:rsidR="00C13FAD">
              <w:rPr>
                <w:noProof/>
                <w:webHidden/>
              </w:rPr>
              <w:instrText xml:space="preserve"> PAGEREF _Toc69894102 \h </w:instrText>
            </w:r>
            <w:r w:rsidR="00C13FAD">
              <w:rPr>
                <w:noProof/>
                <w:webHidden/>
              </w:rPr>
            </w:r>
            <w:r w:rsidR="00C13FAD">
              <w:rPr>
                <w:noProof/>
                <w:webHidden/>
              </w:rPr>
              <w:fldChar w:fldCharType="separate"/>
            </w:r>
            <w:r w:rsidR="00C13FAD">
              <w:rPr>
                <w:noProof/>
                <w:webHidden/>
              </w:rPr>
              <w:t>12</w:t>
            </w:r>
            <w:r w:rsidR="00C13FAD">
              <w:rPr>
                <w:noProof/>
                <w:webHidden/>
              </w:rPr>
              <w:fldChar w:fldCharType="end"/>
            </w:r>
          </w:hyperlink>
        </w:p>
        <w:p w14:paraId="069F4CF8" w14:textId="3DEAEC16" w:rsidR="00C13FAD" w:rsidRDefault="00E42B80">
          <w:pPr>
            <w:pStyle w:val="TOC2"/>
            <w:rPr>
              <w:rFonts w:asciiTheme="minorHAnsi" w:eastAsiaTheme="minorEastAsia" w:hAnsiTheme="minorHAnsi" w:cstheme="minorBidi"/>
              <w:b w:val="0"/>
              <w:noProof/>
              <w:sz w:val="22"/>
              <w:lang w:eastAsia="en-AU"/>
            </w:rPr>
          </w:pPr>
          <w:hyperlink w:anchor="_Toc69894103" w:history="1">
            <w:r w:rsidR="00C13FAD" w:rsidRPr="00E01FAB">
              <w:rPr>
                <w:rStyle w:val="Hyperlink"/>
                <w:noProof/>
              </w:rPr>
              <w:t>Clinical</w:t>
            </w:r>
            <w:r w:rsidR="00C13FAD">
              <w:rPr>
                <w:noProof/>
                <w:webHidden/>
              </w:rPr>
              <w:tab/>
            </w:r>
            <w:r w:rsidR="00C13FAD">
              <w:rPr>
                <w:noProof/>
                <w:webHidden/>
              </w:rPr>
              <w:fldChar w:fldCharType="begin"/>
            </w:r>
            <w:r w:rsidR="00C13FAD">
              <w:rPr>
                <w:noProof/>
                <w:webHidden/>
              </w:rPr>
              <w:instrText xml:space="preserve"> PAGEREF _Toc69894103 \h </w:instrText>
            </w:r>
            <w:r w:rsidR="00C13FAD">
              <w:rPr>
                <w:noProof/>
                <w:webHidden/>
              </w:rPr>
            </w:r>
            <w:r w:rsidR="00C13FAD">
              <w:rPr>
                <w:noProof/>
                <w:webHidden/>
              </w:rPr>
              <w:fldChar w:fldCharType="separate"/>
            </w:r>
            <w:r w:rsidR="00C13FAD">
              <w:rPr>
                <w:noProof/>
                <w:webHidden/>
              </w:rPr>
              <w:t>13</w:t>
            </w:r>
            <w:r w:rsidR="00C13FAD">
              <w:rPr>
                <w:noProof/>
                <w:webHidden/>
              </w:rPr>
              <w:fldChar w:fldCharType="end"/>
            </w:r>
          </w:hyperlink>
        </w:p>
        <w:p w14:paraId="28588A94" w14:textId="36FDE27F" w:rsidR="00C13FAD" w:rsidRDefault="00E42B80">
          <w:pPr>
            <w:pStyle w:val="TOC2"/>
            <w:rPr>
              <w:rFonts w:asciiTheme="minorHAnsi" w:eastAsiaTheme="minorEastAsia" w:hAnsiTheme="minorHAnsi" w:cstheme="minorBidi"/>
              <w:b w:val="0"/>
              <w:noProof/>
              <w:sz w:val="22"/>
              <w:lang w:eastAsia="en-AU"/>
            </w:rPr>
          </w:pPr>
          <w:hyperlink w:anchor="_Toc69894104" w:history="1">
            <w:r w:rsidR="00C13FAD" w:rsidRPr="00E01FAB">
              <w:rPr>
                <w:rStyle w:val="Hyperlink"/>
                <w:noProof/>
                <w:lang w:eastAsia="en-AU"/>
              </w:rPr>
              <w:t>Risk management plan</w:t>
            </w:r>
            <w:r w:rsidR="00C13FAD">
              <w:rPr>
                <w:noProof/>
                <w:webHidden/>
              </w:rPr>
              <w:tab/>
            </w:r>
            <w:r w:rsidR="00C13FAD">
              <w:rPr>
                <w:noProof/>
                <w:webHidden/>
              </w:rPr>
              <w:fldChar w:fldCharType="begin"/>
            </w:r>
            <w:r w:rsidR="00C13FAD">
              <w:rPr>
                <w:noProof/>
                <w:webHidden/>
              </w:rPr>
              <w:instrText xml:space="preserve"> PAGEREF _Toc69894104 \h </w:instrText>
            </w:r>
            <w:r w:rsidR="00C13FAD">
              <w:rPr>
                <w:noProof/>
                <w:webHidden/>
              </w:rPr>
            </w:r>
            <w:r w:rsidR="00C13FAD">
              <w:rPr>
                <w:noProof/>
                <w:webHidden/>
              </w:rPr>
              <w:fldChar w:fldCharType="separate"/>
            </w:r>
            <w:r w:rsidR="00C13FAD">
              <w:rPr>
                <w:noProof/>
                <w:webHidden/>
              </w:rPr>
              <w:t>20</w:t>
            </w:r>
            <w:r w:rsidR="00C13FAD">
              <w:rPr>
                <w:noProof/>
                <w:webHidden/>
              </w:rPr>
              <w:fldChar w:fldCharType="end"/>
            </w:r>
          </w:hyperlink>
        </w:p>
        <w:p w14:paraId="67C92A5A" w14:textId="3133FC08" w:rsidR="00C13FAD" w:rsidRDefault="00E42B80">
          <w:pPr>
            <w:pStyle w:val="TOC2"/>
            <w:rPr>
              <w:rFonts w:asciiTheme="minorHAnsi" w:eastAsiaTheme="minorEastAsia" w:hAnsiTheme="minorHAnsi" w:cstheme="minorBidi"/>
              <w:b w:val="0"/>
              <w:noProof/>
              <w:sz w:val="22"/>
              <w:lang w:eastAsia="en-AU"/>
            </w:rPr>
          </w:pPr>
          <w:hyperlink w:anchor="_Toc69894105" w:history="1">
            <w:r w:rsidR="00C13FAD" w:rsidRPr="00E01FAB">
              <w:rPr>
                <w:rStyle w:val="Hyperlink"/>
                <w:noProof/>
              </w:rPr>
              <w:t>Risk-benefit analysis</w:t>
            </w:r>
            <w:r w:rsidR="00C13FAD">
              <w:rPr>
                <w:noProof/>
                <w:webHidden/>
              </w:rPr>
              <w:tab/>
            </w:r>
            <w:r w:rsidR="00C13FAD">
              <w:rPr>
                <w:noProof/>
                <w:webHidden/>
              </w:rPr>
              <w:fldChar w:fldCharType="begin"/>
            </w:r>
            <w:r w:rsidR="00C13FAD">
              <w:rPr>
                <w:noProof/>
                <w:webHidden/>
              </w:rPr>
              <w:instrText xml:space="preserve"> PAGEREF _Toc69894105 \h </w:instrText>
            </w:r>
            <w:r w:rsidR="00C13FAD">
              <w:rPr>
                <w:noProof/>
                <w:webHidden/>
              </w:rPr>
            </w:r>
            <w:r w:rsidR="00C13FAD">
              <w:rPr>
                <w:noProof/>
                <w:webHidden/>
              </w:rPr>
              <w:fldChar w:fldCharType="separate"/>
            </w:r>
            <w:r w:rsidR="00C13FAD">
              <w:rPr>
                <w:noProof/>
                <w:webHidden/>
              </w:rPr>
              <w:t>23</w:t>
            </w:r>
            <w:r w:rsidR="00C13FAD">
              <w:rPr>
                <w:noProof/>
                <w:webHidden/>
              </w:rPr>
              <w:fldChar w:fldCharType="end"/>
            </w:r>
          </w:hyperlink>
        </w:p>
        <w:p w14:paraId="2B6AAFB0" w14:textId="386C38DD" w:rsidR="00C13FAD" w:rsidRDefault="00E42B80">
          <w:pPr>
            <w:pStyle w:val="TOC2"/>
            <w:rPr>
              <w:rFonts w:asciiTheme="minorHAnsi" w:eastAsiaTheme="minorEastAsia" w:hAnsiTheme="minorHAnsi" w:cstheme="minorBidi"/>
              <w:b w:val="0"/>
              <w:noProof/>
              <w:sz w:val="22"/>
              <w:lang w:eastAsia="en-AU"/>
            </w:rPr>
          </w:pPr>
          <w:hyperlink w:anchor="_Toc69894106" w:history="1">
            <w:r w:rsidR="00C13FAD" w:rsidRPr="00E01FAB">
              <w:rPr>
                <w:rStyle w:val="Hyperlink"/>
                <w:noProof/>
              </w:rPr>
              <w:t>Outcome</w:t>
            </w:r>
            <w:r w:rsidR="00C13FAD">
              <w:rPr>
                <w:noProof/>
                <w:webHidden/>
              </w:rPr>
              <w:tab/>
            </w:r>
            <w:r w:rsidR="00C13FAD">
              <w:rPr>
                <w:noProof/>
                <w:webHidden/>
              </w:rPr>
              <w:fldChar w:fldCharType="begin"/>
            </w:r>
            <w:r w:rsidR="00C13FAD">
              <w:rPr>
                <w:noProof/>
                <w:webHidden/>
              </w:rPr>
              <w:instrText xml:space="preserve"> PAGEREF _Toc69894106 \h </w:instrText>
            </w:r>
            <w:r w:rsidR="00C13FAD">
              <w:rPr>
                <w:noProof/>
                <w:webHidden/>
              </w:rPr>
            </w:r>
            <w:r w:rsidR="00C13FAD">
              <w:rPr>
                <w:noProof/>
                <w:webHidden/>
              </w:rPr>
              <w:fldChar w:fldCharType="separate"/>
            </w:r>
            <w:r w:rsidR="00C13FAD">
              <w:rPr>
                <w:noProof/>
                <w:webHidden/>
              </w:rPr>
              <w:t>28</w:t>
            </w:r>
            <w:r w:rsidR="00C13FAD">
              <w:rPr>
                <w:noProof/>
                <w:webHidden/>
              </w:rPr>
              <w:fldChar w:fldCharType="end"/>
            </w:r>
          </w:hyperlink>
        </w:p>
        <w:p w14:paraId="36E2C97B" w14:textId="40DF31E3" w:rsidR="00C13FAD" w:rsidRDefault="00E42B80">
          <w:pPr>
            <w:pStyle w:val="TOC1"/>
            <w:rPr>
              <w:rFonts w:asciiTheme="minorHAnsi" w:eastAsiaTheme="minorEastAsia" w:hAnsiTheme="minorHAnsi" w:cstheme="minorBidi"/>
              <w:b w:val="0"/>
              <w:noProof/>
              <w:sz w:val="22"/>
              <w:lang w:eastAsia="en-AU"/>
            </w:rPr>
          </w:pPr>
          <w:hyperlink w:anchor="_Toc69894107" w:history="1">
            <w:r w:rsidR="00C13FAD" w:rsidRPr="00E01FAB">
              <w:rPr>
                <w:rStyle w:val="Hyperlink"/>
                <w:noProof/>
              </w:rPr>
              <w:t>Attachment 1. Product Information</w:t>
            </w:r>
            <w:r w:rsidR="00C13FAD">
              <w:rPr>
                <w:noProof/>
                <w:webHidden/>
              </w:rPr>
              <w:tab/>
            </w:r>
            <w:r w:rsidR="00C13FAD">
              <w:rPr>
                <w:noProof/>
                <w:webHidden/>
              </w:rPr>
              <w:fldChar w:fldCharType="begin"/>
            </w:r>
            <w:r w:rsidR="00C13FAD">
              <w:rPr>
                <w:noProof/>
                <w:webHidden/>
              </w:rPr>
              <w:instrText xml:space="preserve"> PAGEREF _Toc69894107 \h </w:instrText>
            </w:r>
            <w:r w:rsidR="00C13FAD">
              <w:rPr>
                <w:noProof/>
                <w:webHidden/>
              </w:rPr>
            </w:r>
            <w:r w:rsidR="00C13FAD">
              <w:rPr>
                <w:noProof/>
                <w:webHidden/>
              </w:rPr>
              <w:fldChar w:fldCharType="separate"/>
            </w:r>
            <w:r w:rsidR="00C13FAD">
              <w:rPr>
                <w:noProof/>
                <w:webHidden/>
              </w:rPr>
              <w:t>29</w:t>
            </w:r>
            <w:r w:rsidR="00C13FAD">
              <w:rPr>
                <w:noProof/>
                <w:webHidden/>
              </w:rPr>
              <w:fldChar w:fldCharType="end"/>
            </w:r>
          </w:hyperlink>
        </w:p>
        <w:p w14:paraId="7A5FCB2D" w14:textId="1F250900" w:rsidR="003A7F6C" w:rsidRPr="00B811C6" w:rsidRDefault="00C525A2" w:rsidP="00B811C6">
          <w:pPr>
            <w:pStyle w:val="TOC2"/>
          </w:pPr>
          <w:r>
            <w:fldChar w:fldCharType="end"/>
          </w:r>
        </w:p>
      </w:sdtContent>
    </w:sdt>
    <w:bookmarkStart w:id="2" w:name="_Toc314842482" w:displacedByCustomXml="prev"/>
    <w:p w14:paraId="48028292" w14:textId="77777777" w:rsidR="00FD119B" w:rsidRDefault="00FD119B">
      <w:pPr>
        <w:spacing w:before="0" w:after="200" w:line="0" w:lineRule="auto"/>
      </w:pPr>
      <w:r>
        <w:br w:type="page"/>
      </w:r>
    </w:p>
    <w:p w14:paraId="2357F362" w14:textId="77777777" w:rsidR="00C52E24" w:rsidRPr="00C52E24" w:rsidRDefault="00324E45" w:rsidP="009447D0">
      <w:pPr>
        <w:pStyle w:val="Heading2"/>
      </w:pPr>
      <w:bookmarkStart w:id="3" w:name="_Toc351716269"/>
      <w:bookmarkStart w:id="4" w:name="_Toc351718881"/>
      <w:bookmarkStart w:id="5" w:name="_Toc355338616"/>
      <w:bookmarkStart w:id="6" w:name="_Toc356306144"/>
      <w:bookmarkStart w:id="7" w:name="_Toc69894093"/>
      <w:r>
        <w:t>List of</w:t>
      </w:r>
      <w:r w:rsidR="00FD119B" w:rsidRPr="00FD119B">
        <w:t xml:space="preserve"> abbreviations</w:t>
      </w:r>
      <w:bookmarkEnd w:id="3"/>
      <w:bookmarkEnd w:id="4"/>
      <w:bookmarkEnd w:id="5"/>
      <w:bookmarkEnd w:id="6"/>
      <w:bookmarkEnd w:id="7"/>
    </w:p>
    <w:tbl>
      <w:tblPr>
        <w:tblStyle w:val="TableTGAblue"/>
        <w:tblW w:w="0" w:type="auto"/>
        <w:tblLook w:val="04A0" w:firstRow="1" w:lastRow="0" w:firstColumn="1" w:lastColumn="0" w:noHBand="0" w:noVBand="1"/>
      </w:tblPr>
      <w:tblGrid>
        <w:gridCol w:w="1890"/>
        <w:gridCol w:w="6604"/>
      </w:tblGrid>
      <w:tr w:rsidR="001C5328" w:rsidRPr="00FD119B" w14:paraId="064A908C" w14:textId="77777777" w:rsidTr="00CF5DAD">
        <w:trPr>
          <w:cnfStyle w:val="100000000000" w:firstRow="1" w:lastRow="0" w:firstColumn="0" w:lastColumn="0" w:oddVBand="0" w:evenVBand="0" w:oddHBand="0" w:evenHBand="0" w:firstRowFirstColumn="0" w:firstRowLastColumn="0" w:lastRowFirstColumn="0" w:lastRowLastColumn="0"/>
        </w:trPr>
        <w:tc>
          <w:tcPr>
            <w:tcW w:w="1809" w:type="dxa"/>
            <w:tcBorders>
              <w:top w:val="single" w:sz="4" w:space="0" w:color="auto"/>
              <w:left w:val="single" w:sz="4" w:space="0" w:color="auto"/>
              <w:bottom w:val="single" w:sz="4" w:space="0" w:color="auto"/>
              <w:right w:val="single" w:sz="4" w:space="0" w:color="auto"/>
            </w:tcBorders>
          </w:tcPr>
          <w:p w14:paraId="2CBF4E8B" w14:textId="77777777" w:rsidR="001C5328" w:rsidRPr="00474F38" w:rsidRDefault="001C5328" w:rsidP="00474F38">
            <w:r w:rsidRPr="00474F38">
              <w:t>Abbreviation</w:t>
            </w:r>
          </w:p>
        </w:tc>
        <w:tc>
          <w:tcPr>
            <w:tcW w:w="6911" w:type="dxa"/>
            <w:tcBorders>
              <w:top w:val="single" w:sz="4" w:space="0" w:color="auto"/>
              <w:left w:val="single" w:sz="4" w:space="0" w:color="auto"/>
              <w:bottom w:val="single" w:sz="4" w:space="0" w:color="auto"/>
              <w:right w:val="single" w:sz="4" w:space="0" w:color="auto"/>
            </w:tcBorders>
          </w:tcPr>
          <w:p w14:paraId="4234FFEA" w14:textId="77777777" w:rsidR="001C5328" w:rsidRPr="00474F38" w:rsidRDefault="001C5328" w:rsidP="00474F38">
            <w:r w:rsidRPr="00474F38">
              <w:t>Meaning</w:t>
            </w:r>
          </w:p>
        </w:tc>
      </w:tr>
      <w:tr w:rsidR="001C5328" w:rsidRPr="00FD119B" w14:paraId="4109D037" w14:textId="77777777" w:rsidTr="00FD119B">
        <w:tc>
          <w:tcPr>
            <w:tcW w:w="1809" w:type="dxa"/>
          </w:tcPr>
          <w:p w14:paraId="75980AD8" w14:textId="77777777" w:rsidR="001C5328" w:rsidRDefault="001C5328" w:rsidP="00474F38">
            <w:r>
              <w:t>ACE-I</w:t>
            </w:r>
          </w:p>
        </w:tc>
        <w:tc>
          <w:tcPr>
            <w:tcW w:w="6911" w:type="dxa"/>
          </w:tcPr>
          <w:p w14:paraId="64E50551" w14:textId="77777777" w:rsidR="001C5328" w:rsidRDefault="001C5328" w:rsidP="00474F38">
            <w:r>
              <w:t>Angiotensin converting enzyme inhibitor</w:t>
            </w:r>
          </w:p>
        </w:tc>
      </w:tr>
      <w:tr w:rsidR="001C5328" w:rsidRPr="00FD119B" w14:paraId="4C4F8833" w14:textId="77777777" w:rsidTr="00CF5DAD">
        <w:tc>
          <w:tcPr>
            <w:tcW w:w="1809" w:type="dxa"/>
            <w:tcBorders>
              <w:top w:val="single" w:sz="4" w:space="0" w:color="auto"/>
            </w:tcBorders>
          </w:tcPr>
          <w:p w14:paraId="30859504" w14:textId="77777777" w:rsidR="001C5328" w:rsidRPr="00474F38" w:rsidRDefault="001C5328" w:rsidP="00474F38">
            <w:r w:rsidRPr="00474F38">
              <w:t>ACM</w:t>
            </w:r>
          </w:p>
        </w:tc>
        <w:tc>
          <w:tcPr>
            <w:tcW w:w="6911" w:type="dxa"/>
            <w:tcBorders>
              <w:top w:val="single" w:sz="4" w:space="0" w:color="auto"/>
            </w:tcBorders>
          </w:tcPr>
          <w:p w14:paraId="0FB2756D" w14:textId="77777777" w:rsidR="001C5328" w:rsidRPr="00474F38" w:rsidRDefault="001C5328" w:rsidP="00474F38">
            <w:r w:rsidRPr="00474F38">
              <w:t>Advisory Committee on Medicines</w:t>
            </w:r>
          </w:p>
        </w:tc>
      </w:tr>
      <w:tr w:rsidR="001C5328" w:rsidRPr="00FD119B" w14:paraId="56CEF0E7" w14:textId="77777777" w:rsidTr="00FD119B">
        <w:tc>
          <w:tcPr>
            <w:tcW w:w="1809" w:type="dxa"/>
          </w:tcPr>
          <w:p w14:paraId="2228EFCF" w14:textId="77777777" w:rsidR="001C5328" w:rsidRPr="00474F38" w:rsidRDefault="001C5328" w:rsidP="00474F38">
            <w:r>
              <w:t>ACT</w:t>
            </w:r>
          </w:p>
        </w:tc>
        <w:tc>
          <w:tcPr>
            <w:tcW w:w="6911" w:type="dxa"/>
          </w:tcPr>
          <w:p w14:paraId="1784A587" w14:textId="77777777" w:rsidR="001C5328" w:rsidRPr="00474F38" w:rsidRDefault="001C5328" w:rsidP="00474F38">
            <w:r>
              <w:t>Australian Capital Territory</w:t>
            </w:r>
          </w:p>
        </w:tc>
      </w:tr>
      <w:tr w:rsidR="001C5328" w:rsidRPr="00FD119B" w14:paraId="1A9F303E" w14:textId="77777777" w:rsidTr="00FD119B">
        <w:tc>
          <w:tcPr>
            <w:tcW w:w="1809" w:type="dxa"/>
          </w:tcPr>
          <w:p w14:paraId="5BFCA4FC" w14:textId="77777777" w:rsidR="001C5328" w:rsidRDefault="001C5328" w:rsidP="00474F38">
            <w:r>
              <w:t>AE</w:t>
            </w:r>
          </w:p>
        </w:tc>
        <w:tc>
          <w:tcPr>
            <w:tcW w:w="6911" w:type="dxa"/>
          </w:tcPr>
          <w:p w14:paraId="065233F0" w14:textId="77777777" w:rsidR="001C5328" w:rsidRDefault="001C5328" w:rsidP="00474F38">
            <w:r>
              <w:t>Adverse event</w:t>
            </w:r>
          </w:p>
        </w:tc>
      </w:tr>
      <w:tr w:rsidR="001C5328" w:rsidRPr="00FD119B" w14:paraId="628A1011" w14:textId="77777777" w:rsidTr="00FD119B">
        <w:tc>
          <w:tcPr>
            <w:tcW w:w="1809" w:type="dxa"/>
          </w:tcPr>
          <w:p w14:paraId="680A7AE2" w14:textId="77777777" w:rsidR="001C5328" w:rsidRDefault="001C5328" w:rsidP="00474F38">
            <w:r>
              <w:t>ARB</w:t>
            </w:r>
          </w:p>
        </w:tc>
        <w:tc>
          <w:tcPr>
            <w:tcW w:w="6911" w:type="dxa"/>
          </w:tcPr>
          <w:p w14:paraId="7519316D" w14:textId="77777777" w:rsidR="001C5328" w:rsidRDefault="001C5328" w:rsidP="00474F38">
            <w:r>
              <w:t>Angiotensin II receptor blocker</w:t>
            </w:r>
          </w:p>
        </w:tc>
      </w:tr>
      <w:tr w:rsidR="001C5328" w:rsidRPr="00FD119B" w14:paraId="2EC728CE" w14:textId="77777777" w:rsidTr="00FD119B">
        <w:tc>
          <w:tcPr>
            <w:tcW w:w="1809" w:type="dxa"/>
          </w:tcPr>
          <w:p w14:paraId="6597448D" w14:textId="77777777" w:rsidR="001C5328" w:rsidRDefault="001C5328" w:rsidP="00474F38">
            <w:r>
              <w:t>ARNI</w:t>
            </w:r>
          </w:p>
        </w:tc>
        <w:tc>
          <w:tcPr>
            <w:tcW w:w="6911" w:type="dxa"/>
          </w:tcPr>
          <w:p w14:paraId="772DB008" w14:textId="77777777" w:rsidR="001C5328" w:rsidRDefault="001C5328" w:rsidP="00474F38">
            <w:r>
              <w:t xml:space="preserve">Angiotensin receptor </w:t>
            </w:r>
            <w:proofErr w:type="spellStart"/>
            <w:r>
              <w:t>neprilysin</w:t>
            </w:r>
            <w:proofErr w:type="spellEnd"/>
            <w:r>
              <w:t xml:space="preserve"> inhibitor</w:t>
            </w:r>
          </w:p>
        </w:tc>
      </w:tr>
      <w:tr w:rsidR="001C5328" w:rsidRPr="00FD119B" w14:paraId="7C810472" w14:textId="77777777" w:rsidTr="00FD119B">
        <w:tc>
          <w:tcPr>
            <w:tcW w:w="1809" w:type="dxa"/>
          </w:tcPr>
          <w:p w14:paraId="29753117" w14:textId="77777777" w:rsidR="001C5328" w:rsidRPr="00474F38" w:rsidRDefault="001C5328" w:rsidP="00474F38">
            <w:r w:rsidRPr="00474F38">
              <w:t>ARTG</w:t>
            </w:r>
          </w:p>
        </w:tc>
        <w:tc>
          <w:tcPr>
            <w:tcW w:w="6911" w:type="dxa"/>
          </w:tcPr>
          <w:p w14:paraId="0FE9196C" w14:textId="77777777" w:rsidR="001C5328" w:rsidRPr="00474F38" w:rsidRDefault="001C5328" w:rsidP="00474F38">
            <w:r w:rsidRPr="00474F38">
              <w:t>Australian Register of Therapeutic Goods</w:t>
            </w:r>
          </w:p>
        </w:tc>
      </w:tr>
      <w:tr w:rsidR="001C5328" w:rsidRPr="00FD119B" w14:paraId="69E784B3" w14:textId="77777777" w:rsidTr="00FD119B">
        <w:tc>
          <w:tcPr>
            <w:tcW w:w="1809" w:type="dxa"/>
          </w:tcPr>
          <w:p w14:paraId="7C947CCD" w14:textId="77777777" w:rsidR="001C5328" w:rsidRDefault="001C5328" w:rsidP="00474F38">
            <w:r>
              <w:t>ASA</w:t>
            </w:r>
          </w:p>
        </w:tc>
        <w:tc>
          <w:tcPr>
            <w:tcW w:w="6911" w:type="dxa"/>
          </w:tcPr>
          <w:p w14:paraId="6784BA2F" w14:textId="77777777" w:rsidR="001C5328" w:rsidRDefault="001C5328" w:rsidP="00474F38">
            <w:r>
              <w:t>Australian-specific Annex</w:t>
            </w:r>
          </w:p>
        </w:tc>
      </w:tr>
      <w:tr w:rsidR="001C5328" w:rsidRPr="00FD119B" w14:paraId="1651038F" w14:textId="77777777" w:rsidTr="00FD119B">
        <w:tc>
          <w:tcPr>
            <w:tcW w:w="1809" w:type="dxa"/>
          </w:tcPr>
          <w:p w14:paraId="71DAA8E2" w14:textId="77777777" w:rsidR="001C5328" w:rsidRDefault="001C5328" w:rsidP="00474F38">
            <w:r>
              <w:t>BNP</w:t>
            </w:r>
          </w:p>
        </w:tc>
        <w:tc>
          <w:tcPr>
            <w:tcW w:w="6911" w:type="dxa"/>
          </w:tcPr>
          <w:p w14:paraId="6C8DC87B" w14:textId="77777777" w:rsidR="001C5328" w:rsidRDefault="001C5328" w:rsidP="00474F38">
            <w:r>
              <w:t>B-type natriuretic peptide</w:t>
            </w:r>
          </w:p>
        </w:tc>
      </w:tr>
      <w:tr w:rsidR="001C5328" w:rsidRPr="00FD119B" w14:paraId="3C1A9B9C" w14:textId="77777777" w:rsidTr="00FD119B">
        <w:tc>
          <w:tcPr>
            <w:tcW w:w="1809" w:type="dxa"/>
          </w:tcPr>
          <w:p w14:paraId="3D023594" w14:textId="77777777" w:rsidR="001C5328" w:rsidRDefault="001C5328" w:rsidP="00474F38">
            <w:r>
              <w:t>BSA</w:t>
            </w:r>
          </w:p>
        </w:tc>
        <w:tc>
          <w:tcPr>
            <w:tcW w:w="6911" w:type="dxa"/>
          </w:tcPr>
          <w:p w14:paraId="18CE4430" w14:textId="77777777" w:rsidR="001C5328" w:rsidRDefault="001C5328" w:rsidP="00474F38">
            <w:r>
              <w:t>Body surface area</w:t>
            </w:r>
          </w:p>
        </w:tc>
      </w:tr>
      <w:tr w:rsidR="001C5328" w:rsidRPr="00FD119B" w14:paraId="41C24F78" w14:textId="77777777" w:rsidTr="00FD119B">
        <w:tc>
          <w:tcPr>
            <w:tcW w:w="1809" w:type="dxa"/>
          </w:tcPr>
          <w:p w14:paraId="63D09606" w14:textId="77777777" w:rsidR="001C5328" w:rsidRDefault="001C5328" w:rsidP="00474F38">
            <w:r>
              <w:t>CI</w:t>
            </w:r>
          </w:p>
        </w:tc>
        <w:tc>
          <w:tcPr>
            <w:tcW w:w="6911" w:type="dxa"/>
          </w:tcPr>
          <w:p w14:paraId="541842AA" w14:textId="77777777" w:rsidR="001C5328" w:rsidRDefault="001C5328" w:rsidP="00474F38">
            <w:r>
              <w:t>Confidence interval</w:t>
            </w:r>
          </w:p>
        </w:tc>
      </w:tr>
      <w:tr w:rsidR="001C5328" w:rsidRPr="00FD119B" w14:paraId="5F271CA8" w14:textId="77777777" w:rsidTr="00FD119B">
        <w:tc>
          <w:tcPr>
            <w:tcW w:w="1809" w:type="dxa"/>
          </w:tcPr>
          <w:p w14:paraId="566F9505" w14:textId="77777777" w:rsidR="001C5328" w:rsidRDefault="001C5328" w:rsidP="00474F38">
            <w:r>
              <w:t>CMI</w:t>
            </w:r>
          </w:p>
        </w:tc>
        <w:tc>
          <w:tcPr>
            <w:tcW w:w="6911" w:type="dxa"/>
          </w:tcPr>
          <w:p w14:paraId="11B4C646" w14:textId="77777777" w:rsidR="001C5328" w:rsidRDefault="001C5328" w:rsidP="00474F38">
            <w:r>
              <w:t>Consumer Medicines Information</w:t>
            </w:r>
          </w:p>
        </w:tc>
      </w:tr>
      <w:tr w:rsidR="001C5328" w:rsidRPr="00FD119B" w14:paraId="385CB020" w14:textId="77777777" w:rsidTr="00FD119B">
        <w:tc>
          <w:tcPr>
            <w:tcW w:w="1809" w:type="dxa"/>
          </w:tcPr>
          <w:p w14:paraId="7A833FD4" w14:textId="77777777" w:rsidR="001C5328" w:rsidRDefault="001C5328" w:rsidP="00474F38">
            <w:r>
              <w:t>CV</w:t>
            </w:r>
          </w:p>
        </w:tc>
        <w:tc>
          <w:tcPr>
            <w:tcW w:w="6911" w:type="dxa"/>
          </w:tcPr>
          <w:p w14:paraId="1834B050" w14:textId="77777777" w:rsidR="001C5328" w:rsidRDefault="001C5328" w:rsidP="00474F38">
            <w:r>
              <w:t>Cardiovascular</w:t>
            </w:r>
          </w:p>
        </w:tc>
      </w:tr>
      <w:tr w:rsidR="001C5328" w:rsidRPr="00FD119B" w14:paraId="45275879" w14:textId="77777777" w:rsidTr="00FD119B">
        <w:tc>
          <w:tcPr>
            <w:tcW w:w="1809" w:type="dxa"/>
          </w:tcPr>
          <w:p w14:paraId="56DD84E7" w14:textId="77777777" w:rsidR="001C5328" w:rsidRDefault="001C5328" w:rsidP="00474F38">
            <w:r>
              <w:t>DAE</w:t>
            </w:r>
          </w:p>
        </w:tc>
        <w:tc>
          <w:tcPr>
            <w:tcW w:w="6911" w:type="dxa"/>
          </w:tcPr>
          <w:p w14:paraId="0B40847D" w14:textId="77777777" w:rsidR="001C5328" w:rsidRDefault="001C5328" w:rsidP="00474F38">
            <w:r>
              <w:t>Discontinuation of study drug due to adverse event</w:t>
            </w:r>
          </w:p>
        </w:tc>
      </w:tr>
      <w:tr w:rsidR="001C5328" w:rsidRPr="00FD119B" w14:paraId="4FDCF5D9" w14:textId="77777777" w:rsidTr="00FD119B">
        <w:tc>
          <w:tcPr>
            <w:tcW w:w="1809" w:type="dxa"/>
          </w:tcPr>
          <w:p w14:paraId="1179E21E" w14:textId="77777777" w:rsidR="001C5328" w:rsidRDefault="001C5328" w:rsidP="00474F38">
            <w:r>
              <w:t>DKA</w:t>
            </w:r>
          </w:p>
        </w:tc>
        <w:tc>
          <w:tcPr>
            <w:tcW w:w="6911" w:type="dxa"/>
          </w:tcPr>
          <w:p w14:paraId="0BE4494E" w14:textId="77777777" w:rsidR="001C5328" w:rsidRDefault="001C5328" w:rsidP="00474F38">
            <w:r>
              <w:t>Diabetic ketoacidosis</w:t>
            </w:r>
          </w:p>
        </w:tc>
      </w:tr>
      <w:tr w:rsidR="001C5328" w:rsidRPr="00FD119B" w14:paraId="5CAECB04" w14:textId="77777777" w:rsidTr="00FD119B">
        <w:tc>
          <w:tcPr>
            <w:tcW w:w="1809" w:type="dxa"/>
          </w:tcPr>
          <w:p w14:paraId="6AD06EBB" w14:textId="77777777" w:rsidR="001C5328" w:rsidRDefault="001C5328" w:rsidP="00474F38">
            <w:r>
              <w:t>DLP</w:t>
            </w:r>
          </w:p>
        </w:tc>
        <w:tc>
          <w:tcPr>
            <w:tcW w:w="6911" w:type="dxa"/>
          </w:tcPr>
          <w:p w14:paraId="5934E129" w14:textId="77777777" w:rsidR="001C5328" w:rsidRDefault="001C5328" w:rsidP="00474F38">
            <w:r>
              <w:t>Data lock point</w:t>
            </w:r>
          </w:p>
        </w:tc>
      </w:tr>
      <w:tr w:rsidR="001C5328" w:rsidRPr="00FD119B" w14:paraId="5505AFA3" w14:textId="77777777" w:rsidTr="00FD119B">
        <w:tc>
          <w:tcPr>
            <w:tcW w:w="1809" w:type="dxa"/>
          </w:tcPr>
          <w:p w14:paraId="38AF5296" w14:textId="77777777" w:rsidR="001C5328" w:rsidRDefault="001C5328" w:rsidP="00474F38">
            <w:proofErr w:type="spellStart"/>
            <w:r>
              <w:t>eGFR</w:t>
            </w:r>
            <w:proofErr w:type="spellEnd"/>
          </w:p>
        </w:tc>
        <w:tc>
          <w:tcPr>
            <w:tcW w:w="6911" w:type="dxa"/>
          </w:tcPr>
          <w:p w14:paraId="3900212E" w14:textId="77777777" w:rsidR="001C5328" w:rsidRDefault="001C5328" w:rsidP="00474F38">
            <w:r>
              <w:t>Estimated glomerular filtration rate</w:t>
            </w:r>
          </w:p>
        </w:tc>
      </w:tr>
      <w:tr w:rsidR="001C5328" w:rsidRPr="00FD119B" w14:paraId="1EA13D1E" w14:textId="77777777" w:rsidTr="00FD119B">
        <w:tc>
          <w:tcPr>
            <w:tcW w:w="1809" w:type="dxa"/>
          </w:tcPr>
          <w:p w14:paraId="562FD675" w14:textId="77777777" w:rsidR="001C5328" w:rsidRDefault="001C5328" w:rsidP="00474F38">
            <w:r>
              <w:t>EMA</w:t>
            </w:r>
          </w:p>
        </w:tc>
        <w:tc>
          <w:tcPr>
            <w:tcW w:w="6911" w:type="dxa"/>
          </w:tcPr>
          <w:p w14:paraId="044322F8" w14:textId="77777777" w:rsidR="001C5328" w:rsidRDefault="001C5328" w:rsidP="00474F38">
            <w:r>
              <w:t>European Medicines Agency (European Union)</w:t>
            </w:r>
          </w:p>
        </w:tc>
      </w:tr>
      <w:tr w:rsidR="001C5328" w:rsidRPr="00FD119B" w14:paraId="7C229074" w14:textId="77777777" w:rsidTr="00FD119B">
        <w:tc>
          <w:tcPr>
            <w:tcW w:w="1809" w:type="dxa"/>
          </w:tcPr>
          <w:p w14:paraId="2AB26424" w14:textId="77777777" w:rsidR="001C5328" w:rsidRDefault="001C5328" w:rsidP="00474F38">
            <w:r>
              <w:t>EU</w:t>
            </w:r>
          </w:p>
        </w:tc>
        <w:tc>
          <w:tcPr>
            <w:tcW w:w="6911" w:type="dxa"/>
          </w:tcPr>
          <w:p w14:paraId="18B8946B" w14:textId="77777777" w:rsidR="001C5328" w:rsidRDefault="001C5328" w:rsidP="00474F38">
            <w:r>
              <w:t>European Union</w:t>
            </w:r>
          </w:p>
        </w:tc>
      </w:tr>
      <w:tr w:rsidR="001C5328" w:rsidRPr="00FD119B" w14:paraId="719480CD" w14:textId="77777777" w:rsidTr="00FD119B">
        <w:tc>
          <w:tcPr>
            <w:tcW w:w="1809" w:type="dxa"/>
          </w:tcPr>
          <w:p w14:paraId="550CAC33" w14:textId="77777777" w:rsidR="001C5328" w:rsidRDefault="001C5328" w:rsidP="00474F38">
            <w:r>
              <w:t>FDA</w:t>
            </w:r>
          </w:p>
        </w:tc>
        <w:tc>
          <w:tcPr>
            <w:tcW w:w="6911" w:type="dxa"/>
          </w:tcPr>
          <w:p w14:paraId="6236F652" w14:textId="77777777" w:rsidR="001C5328" w:rsidRDefault="001C5328" w:rsidP="00474F38">
            <w:r>
              <w:t>Food and Drug Administration (United States)</w:t>
            </w:r>
          </w:p>
        </w:tc>
      </w:tr>
      <w:tr w:rsidR="001C5328" w:rsidRPr="00FD119B" w14:paraId="52C7F962" w14:textId="77777777" w:rsidTr="00FD119B">
        <w:tc>
          <w:tcPr>
            <w:tcW w:w="1809" w:type="dxa"/>
          </w:tcPr>
          <w:p w14:paraId="691E3095" w14:textId="77777777" w:rsidR="001C5328" w:rsidRDefault="001C5328" w:rsidP="00474F38">
            <w:r>
              <w:t>HR</w:t>
            </w:r>
          </w:p>
        </w:tc>
        <w:tc>
          <w:tcPr>
            <w:tcW w:w="6911" w:type="dxa"/>
          </w:tcPr>
          <w:p w14:paraId="463AA490" w14:textId="77777777" w:rsidR="001C5328" w:rsidRDefault="001C5328" w:rsidP="00474F38">
            <w:r>
              <w:t>Hazard ratio</w:t>
            </w:r>
          </w:p>
        </w:tc>
      </w:tr>
      <w:tr w:rsidR="001C5328" w:rsidRPr="00FD119B" w14:paraId="4E0816A3" w14:textId="77777777" w:rsidTr="00FD119B">
        <w:tc>
          <w:tcPr>
            <w:tcW w:w="1809" w:type="dxa"/>
          </w:tcPr>
          <w:p w14:paraId="5CB712F8" w14:textId="77777777" w:rsidR="001C5328" w:rsidRDefault="001C5328" w:rsidP="00474F38">
            <w:r>
              <w:t>IQR</w:t>
            </w:r>
          </w:p>
        </w:tc>
        <w:tc>
          <w:tcPr>
            <w:tcW w:w="6911" w:type="dxa"/>
          </w:tcPr>
          <w:p w14:paraId="765FA349" w14:textId="77777777" w:rsidR="001C5328" w:rsidRDefault="001C5328" w:rsidP="00474F38">
            <w:r>
              <w:t>Interquartile range</w:t>
            </w:r>
          </w:p>
        </w:tc>
      </w:tr>
      <w:tr w:rsidR="001C5328" w:rsidRPr="00FD119B" w14:paraId="232885E0" w14:textId="77777777" w:rsidTr="00FD119B">
        <w:tc>
          <w:tcPr>
            <w:tcW w:w="1809" w:type="dxa"/>
          </w:tcPr>
          <w:p w14:paraId="27595371" w14:textId="77777777" w:rsidR="001C5328" w:rsidRDefault="001C5328" w:rsidP="00474F38">
            <w:r>
              <w:t>KCCQ</w:t>
            </w:r>
          </w:p>
        </w:tc>
        <w:tc>
          <w:tcPr>
            <w:tcW w:w="6911" w:type="dxa"/>
          </w:tcPr>
          <w:p w14:paraId="28E2E2EE" w14:textId="77777777" w:rsidR="001C5328" w:rsidRDefault="001C5328" w:rsidP="00474F38">
            <w:r>
              <w:t>Kansas City Cardiomyopathy Questionnaire</w:t>
            </w:r>
          </w:p>
        </w:tc>
      </w:tr>
      <w:tr w:rsidR="001C5328" w:rsidRPr="00FD119B" w14:paraId="23ED5901" w14:textId="77777777" w:rsidTr="00FD119B">
        <w:tc>
          <w:tcPr>
            <w:tcW w:w="1809" w:type="dxa"/>
          </w:tcPr>
          <w:p w14:paraId="64A4ABCE" w14:textId="77777777" w:rsidR="001C5328" w:rsidRDefault="001C5328" w:rsidP="00474F38">
            <w:r>
              <w:t>KCCQ-TSS</w:t>
            </w:r>
          </w:p>
        </w:tc>
        <w:tc>
          <w:tcPr>
            <w:tcW w:w="6911" w:type="dxa"/>
          </w:tcPr>
          <w:p w14:paraId="1C5FD7FA" w14:textId="77777777" w:rsidR="001C5328" w:rsidRDefault="001C5328" w:rsidP="00474F38">
            <w:r>
              <w:t>Kansas City Cardiomyopathy Questionnaire total symptom score</w:t>
            </w:r>
          </w:p>
        </w:tc>
      </w:tr>
      <w:tr w:rsidR="001C5328" w:rsidRPr="00FD119B" w14:paraId="78FD5B69" w14:textId="77777777" w:rsidTr="00FD119B">
        <w:tc>
          <w:tcPr>
            <w:tcW w:w="1809" w:type="dxa"/>
          </w:tcPr>
          <w:p w14:paraId="637C4444" w14:textId="77777777" w:rsidR="001C5328" w:rsidRDefault="001C5328" w:rsidP="00474F38">
            <w:r>
              <w:t>NNT</w:t>
            </w:r>
          </w:p>
        </w:tc>
        <w:tc>
          <w:tcPr>
            <w:tcW w:w="6911" w:type="dxa"/>
          </w:tcPr>
          <w:p w14:paraId="3153DACB" w14:textId="77777777" w:rsidR="001C5328" w:rsidRDefault="001C5328" w:rsidP="00474F38">
            <w:r>
              <w:t>Number needed to treat</w:t>
            </w:r>
          </w:p>
        </w:tc>
      </w:tr>
      <w:tr w:rsidR="001C5328" w:rsidRPr="00FD119B" w14:paraId="791FB507" w14:textId="77777777" w:rsidTr="00FD119B">
        <w:tc>
          <w:tcPr>
            <w:tcW w:w="1809" w:type="dxa"/>
          </w:tcPr>
          <w:p w14:paraId="2AA8B7CB" w14:textId="77777777" w:rsidR="001C5328" w:rsidRPr="00474F38" w:rsidRDefault="001C5328" w:rsidP="00474F38">
            <w:r>
              <w:t>NSW</w:t>
            </w:r>
          </w:p>
        </w:tc>
        <w:tc>
          <w:tcPr>
            <w:tcW w:w="6911" w:type="dxa"/>
          </w:tcPr>
          <w:p w14:paraId="259FA8E9" w14:textId="77777777" w:rsidR="001C5328" w:rsidRPr="00474F38" w:rsidRDefault="001C5328" w:rsidP="00474F38">
            <w:r>
              <w:t>New South Wales</w:t>
            </w:r>
          </w:p>
        </w:tc>
      </w:tr>
      <w:tr w:rsidR="001C5328" w:rsidRPr="00FD119B" w14:paraId="5D75EA6D" w14:textId="77777777" w:rsidTr="00FD119B">
        <w:tc>
          <w:tcPr>
            <w:tcW w:w="1809" w:type="dxa"/>
          </w:tcPr>
          <w:p w14:paraId="5070CB32" w14:textId="77777777" w:rsidR="001C5328" w:rsidRDefault="001C5328" w:rsidP="00474F38">
            <w:r>
              <w:t>NT pro BNP</w:t>
            </w:r>
          </w:p>
        </w:tc>
        <w:tc>
          <w:tcPr>
            <w:tcW w:w="6911" w:type="dxa"/>
          </w:tcPr>
          <w:p w14:paraId="12302E89" w14:textId="77777777" w:rsidR="001C5328" w:rsidRDefault="001C5328" w:rsidP="00474F38">
            <w:r>
              <w:t>N-terminal pro B-type natriuretic peptide</w:t>
            </w:r>
          </w:p>
        </w:tc>
      </w:tr>
      <w:tr w:rsidR="001C5328" w:rsidRPr="00FD119B" w14:paraId="6CC0A760" w14:textId="77777777" w:rsidTr="00FD119B">
        <w:tc>
          <w:tcPr>
            <w:tcW w:w="1809" w:type="dxa"/>
          </w:tcPr>
          <w:p w14:paraId="0FAF3B55" w14:textId="77777777" w:rsidR="001C5328" w:rsidRDefault="001C5328" w:rsidP="00474F38">
            <w:r>
              <w:t>NYHA</w:t>
            </w:r>
          </w:p>
        </w:tc>
        <w:tc>
          <w:tcPr>
            <w:tcW w:w="6911" w:type="dxa"/>
          </w:tcPr>
          <w:p w14:paraId="5083D64A" w14:textId="77777777" w:rsidR="001C5328" w:rsidRDefault="001C5328" w:rsidP="00474F38">
            <w:r>
              <w:t>New York Heart Association</w:t>
            </w:r>
          </w:p>
        </w:tc>
      </w:tr>
      <w:tr w:rsidR="001C5328" w:rsidRPr="00FD119B" w14:paraId="69B57957" w14:textId="77777777" w:rsidTr="00FD119B">
        <w:tc>
          <w:tcPr>
            <w:tcW w:w="1809" w:type="dxa"/>
          </w:tcPr>
          <w:p w14:paraId="35E20D8E" w14:textId="77777777" w:rsidR="001C5328" w:rsidRDefault="001C5328" w:rsidP="00474F38">
            <w:r>
              <w:t>PI</w:t>
            </w:r>
          </w:p>
        </w:tc>
        <w:tc>
          <w:tcPr>
            <w:tcW w:w="6911" w:type="dxa"/>
          </w:tcPr>
          <w:p w14:paraId="3C2EC7D8" w14:textId="77777777" w:rsidR="001C5328" w:rsidRDefault="001C5328" w:rsidP="00474F38">
            <w:r>
              <w:t>Product Information</w:t>
            </w:r>
          </w:p>
        </w:tc>
      </w:tr>
      <w:tr w:rsidR="001C5328" w:rsidRPr="00FD119B" w14:paraId="6CC5D92C" w14:textId="77777777" w:rsidTr="00FD119B">
        <w:tc>
          <w:tcPr>
            <w:tcW w:w="1809" w:type="dxa"/>
          </w:tcPr>
          <w:p w14:paraId="71FCF092" w14:textId="77777777" w:rsidR="001C5328" w:rsidRDefault="001C5328" w:rsidP="00474F38">
            <w:r>
              <w:t>PSUR</w:t>
            </w:r>
          </w:p>
        </w:tc>
        <w:tc>
          <w:tcPr>
            <w:tcW w:w="6911" w:type="dxa"/>
          </w:tcPr>
          <w:p w14:paraId="0FA5F572" w14:textId="77777777" w:rsidR="001C5328" w:rsidRDefault="001C5328" w:rsidP="00474F38">
            <w:r>
              <w:t>Periodic safety update report</w:t>
            </w:r>
          </w:p>
        </w:tc>
      </w:tr>
      <w:tr w:rsidR="001C5328" w:rsidRPr="00FD119B" w14:paraId="3385F63C" w14:textId="77777777" w:rsidTr="00FD119B">
        <w:tc>
          <w:tcPr>
            <w:tcW w:w="1809" w:type="dxa"/>
          </w:tcPr>
          <w:p w14:paraId="7D29671D" w14:textId="77777777" w:rsidR="001C5328" w:rsidRDefault="001C5328" w:rsidP="00474F38">
            <w:r>
              <w:t>PT</w:t>
            </w:r>
          </w:p>
        </w:tc>
        <w:tc>
          <w:tcPr>
            <w:tcW w:w="6911" w:type="dxa"/>
          </w:tcPr>
          <w:p w14:paraId="3865C6BC" w14:textId="77777777" w:rsidR="001C5328" w:rsidRDefault="001C5328" w:rsidP="00474F38">
            <w:r>
              <w:t>Preferred Term</w:t>
            </w:r>
          </w:p>
        </w:tc>
      </w:tr>
      <w:tr w:rsidR="001C5328" w:rsidRPr="00FD119B" w14:paraId="37B81DF6" w14:textId="77777777" w:rsidTr="00FD119B">
        <w:tc>
          <w:tcPr>
            <w:tcW w:w="1809" w:type="dxa"/>
          </w:tcPr>
          <w:p w14:paraId="354430C4" w14:textId="77777777" w:rsidR="001C5328" w:rsidRDefault="001C5328" w:rsidP="00474F38">
            <w:r>
              <w:t>PY</w:t>
            </w:r>
          </w:p>
        </w:tc>
        <w:tc>
          <w:tcPr>
            <w:tcW w:w="6911" w:type="dxa"/>
          </w:tcPr>
          <w:p w14:paraId="140FA84C" w14:textId="77777777" w:rsidR="001C5328" w:rsidRDefault="001C5328" w:rsidP="00474F38">
            <w:r>
              <w:t>Patient years</w:t>
            </w:r>
          </w:p>
        </w:tc>
      </w:tr>
      <w:tr w:rsidR="001C5328" w:rsidRPr="00FD119B" w14:paraId="3AB853FD" w14:textId="77777777" w:rsidTr="00FD119B">
        <w:tc>
          <w:tcPr>
            <w:tcW w:w="1809" w:type="dxa"/>
          </w:tcPr>
          <w:p w14:paraId="2D62429B" w14:textId="77777777" w:rsidR="001C5328" w:rsidRDefault="001C5328" w:rsidP="00474F38">
            <w:r>
              <w:t>RMP</w:t>
            </w:r>
          </w:p>
        </w:tc>
        <w:tc>
          <w:tcPr>
            <w:tcW w:w="6911" w:type="dxa"/>
          </w:tcPr>
          <w:p w14:paraId="2DA1FECA" w14:textId="77777777" w:rsidR="001C5328" w:rsidRDefault="001C5328" w:rsidP="00474F38">
            <w:r>
              <w:t>Risk management plan</w:t>
            </w:r>
          </w:p>
        </w:tc>
      </w:tr>
      <w:tr w:rsidR="001C5328" w:rsidRPr="00FD119B" w14:paraId="2E46AF14" w14:textId="77777777" w:rsidTr="00FD119B">
        <w:tc>
          <w:tcPr>
            <w:tcW w:w="1809" w:type="dxa"/>
          </w:tcPr>
          <w:p w14:paraId="4C7AEB20" w14:textId="77777777" w:rsidR="001C5328" w:rsidRDefault="001C5328" w:rsidP="00474F38">
            <w:r>
              <w:t>SAE</w:t>
            </w:r>
          </w:p>
        </w:tc>
        <w:tc>
          <w:tcPr>
            <w:tcW w:w="6911" w:type="dxa"/>
          </w:tcPr>
          <w:p w14:paraId="229AF8C7" w14:textId="77777777" w:rsidR="001C5328" w:rsidRDefault="001C5328" w:rsidP="00474F38">
            <w:r>
              <w:t>Serious adverse event</w:t>
            </w:r>
          </w:p>
        </w:tc>
      </w:tr>
      <w:tr w:rsidR="001C5328" w:rsidRPr="00FD119B" w14:paraId="280B974A" w14:textId="77777777" w:rsidTr="00FD119B">
        <w:tc>
          <w:tcPr>
            <w:tcW w:w="1809" w:type="dxa"/>
          </w:tcPr>
          <w:p w14:paraId="68B7625D" w14:textId="77777777" w:rsidR="001C5328" w:rsidRDefault="001C5328" w:rsidP="00474F38">
            <w:r>
              <w:t>SD</w:t>
            </w:r>
          </w:p>
        </w:tc>
        <w:tc>
          <w:tcPr>
            <w:tcW w:w="6911" w:type="dxa"/>
          </w:tcPr>
          <w:p w14:paraId="5E456A4B" w14:textId="77777777" w:rsidR="001C5328" w:rsidRDefault="001C5328" w:rsidP="00474F38">
            <w:r>
              <w:t>Standard deviation</w:t>
            </w:r>
          </w:p>
        </w:tc>
      </w:tr>
      <w:tr w:rsidR="001C5328" w:rsidRPr="00FD119B" w14:paraId="13FAE42B" w14:textId="77777777" w:rsidTr="00FD119B">
        <w:tc>
          <w:tcPr>
            <w:tcW w:w="1809" w:type="dxa"/>
          </w:tcPr>
          <w:p w14:paraId="5FB7B5C4" w14:textId="77777777" w:rsidR="001C5328" w:rsidRDefault="001C5328" w:rsidP="00474F38">
            <w:r>
              <w:t>SGLT2</w:t>
            </w:r>
          </w:p>
        </w:tc>
        <w:tc>
          <w:tcPr>
            <w:tcW w:w="6911" w:type="dxa"/>
          </w:tcPr>
          <w:p w14:paraId="25C50FC6" w14:textId="77777777" w:rsidR="001C5328" w:rsidRDefault="001C5328" w:rsidP="00474F38">
            <w:r>
              <w:t>Sodium glucose co-transporter 2</w:t>
            </w:r>
          </w:p>
        </w:tc>
      </w:tr>
      <w:tr w:rsidR="001C5328" w:rsidRPr="00FD119B" w14:paraId="07D2D7B1" w14:textId="77777777" w:rsidTr="00FD119B">
        <w:tc>
          <w:tcPr>
            <w:tcW w:w="1809" w:type="dxa"/>
          </w:tcPr>
          <w:p w14:paraId="1B0FF2CE" w14:textId="77777777" w:rsidR="001C5328" w:rsidRDefault="001C5328" w:rsidP="00474F38">
            <w:r>
              <w:t>SOC</w:t>
            </w:r>
          </w:p>
        </w:tc>
        <w:tc>
          <w:tcPr>
            <w:tcW w:w="6911" w:type="dxa"/>
          </w:tcPr>
          <w:p w14:paraId="4DE2909E" w14:textId="77777777" w:rsidR="001C5328" w:rsidRDefault="001C5328" w:rsidP="00474F38">
            <w:r>
              <w:t>System Organ Class</w:t>
            </w:r>
          </w:p>
        </w:tc>
      </w:tr>
      <w:tr w:rsidR="001C5328" w:rsidRPr="00FD119B" w14:paraId="0C83F903" w14:textId="77777777" w:rsidTr="00FD119B">
        <w:tc>
          <w:tcPr>
            <w:tcW w:w="1809" w:type="dxa"/>
          </w:tcPr>
          <w:p w14:paraId="3EA9500E" w14:textId="77777777" w:rsidR="001C5328" w:rsidRDefault="001C5328" w:rsidP="00474F38">
            <w:r>
              <w:t>T2DM</w:t>
            </w:r>
          </w:p>
        </w:tc>
        <w:tc>
          <w:tcPr>
            <w:tcW w:w="6911" w:type="dxa"/>
          </w:tcPr>
          <w:p w14:paraId="0071101E" w14:textId="77777777" w:rsidR="001C5328" w:rsidRDefault="001C5328" w:rsidP="00474F38">
            <w:r>
              <w:t>Type 2 diabetes mellitus</w:t>
            </w:r>
          </w:p>
        </w:tc>
      </w:tr>
      <w:tr w:rsidR="001C5328" w:rsidRPr="00FD119B" w14:paraId="11325A3E" w14:textId="77777777" w:rsidTr="00FD119B">
        <w:tc>
          <w:tcPr>
            <w:tcW w:w="1809" w:type="dxa"/>
          </w:tcPr>
          <w:p w14:paraId="3DF49EB7" w14:textId="77777777" w:rsidR="001C5328" w:rsidRDefault="001C5328" w:rsidP="00474F38">
            <w:r>
              <w:t>US(A)</w:t>
            </w:r>
          </w:p>
        </w:tc>
        <w:tc>
          <w:tcPr>
            <w:tcW w:w="6911" w:type="dxa"/>
          </w:tcPr>
          <w:p w14:paraId="6C79A16A" w14:textId="77777777" w:rsidR="001C5328" w:rsidRDefault="001C5328" w:rsidP="00474F38">
            <w:r>
              <w:t>United States (of America)</w:t>
            </w:r>
          </w:p>
        </w:tc>
      </w:tr>
    </w:tbl>
    <w:p w14:paraId="64C20090" w14:textId="77777777" w:rsidR="00FD119B" w:rsidRDefault="00FD119B" w:rsidP="00FD119B"/>
    <w:p w14:paraId="019C81DD" w14:textId="77777777" w:rsidR="00FD119B" w:rsidRPr="00FD119B" w:rsidRDefault="00FD119B" w:rsidP="00FD119B">
      <w:pPr>
        <w:spacing w:before="0" w:after="200" w:line="0" w:lineRule="auto"/>
        <w:rPr>
          <w:b/>
          <w:i/>
          <w:sz w:val="24"/>
          <w:szCs w:val="24"/>
        </w:rPr>
      </w:pPr>
      <w:r w:rsidRPr="00FD119B">
        <w:rPr>
          <w:b/>
          <w:i/>
          <w:sz w:val="24"/>
          <w:szCs w:val="24"/>
        </w:rPr>
        <w:br w:type="page"/>
      </w:r>
    </w:p>
    <w:p w14:paraId="6C2E9DD3" w14:textId="77777777" w:rsidR="008E7846" w:rsidRDefault="00F53C07" w:rsidP="008E7846">
      <w:pPr>
        <w:pStyle w:val="Heading2"/>
      </w:pPr>
      <w:bookmarkStart w:id="8" w:name="_Toc69894094"/>
      <w:r>
        <w:t>I.</w:t>
      </w:r>
      <w:r w:rsidR="008E7846">
        <w:t xml:space="preserve"> Introduction to product submission</w:t>
      </w:r>
      <w:bookmarkEnd w:id="8"/>
      <w:bookmarkEnd w:id="2"/>
      <w:bookmarkEnd w:id="0"/>
    </w:p>
    <w:p w14:paraId="53699DBD" w14:textId="77777777" w:rsidR="008E7846" w:rsidRDefault="008E7846" w:rsidP="008E7846">
      <w:pPr>
        <w:pStyle w:val="Heading3"/>
        <w:rPr>
          <w:lang w:eastAsia="en-AU"/>
        </w:rPr>
      </w:pPr>
      <w:bookmarkStart w:id="9" w:name="_Toc247691502"/>
      <w:bookmarkStart w:id="10" w:name="_Toc314842483"/>
      <w:bookmarkStart w:id="11" w:name="_Toc69894095"/>
      <w:r>
        <w:rPr>
          <w:lang w:eastAsia="en-AU"/>
        </w:rPr>
        <w:t>Submission details</w:t>
      </w:r>
      <w:bookmarkEnd w:id="9"/>
      <w:bookmarkEnd w:id="10"/>
      <w:bookmarkEnd w:id="11"/>
    </w:p>
    <w:tbl>
      <w:tblPr>
        <w:tblW w:w="9214" w:type="dxa"/>
        <w:tblInd w:w="108" w:type="dxa"/>
        <w:tblLook w:val="01E0" w:firstRow="1" w:lastRow="1" w:firstColumn="1" w:lastColumn="1" w:noHBand="0" w:noVBand="0"/>
      </w:tblPr>
      <w:tblGrid>
        <w:gridCol w:w="2907"/>
        <w:gridCol w:w="6307"/>
      </w:tblGrid>
      <w:tr w:rsidR="008E7846" w:rsidRPr="003D1E62" w14:paraId="38FF02AB" w14:textId="77777777" w:rsidTr="003735BC">
        <w:tc>
          <w:tcPr>
            <w:tcW w:w="2907" w:type="dxa"/>
          </w:tcPr>
          <w:p w14:paraId="15D54B3B"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32B3DBAB" w14:textId="77777777" w:rsidR="008E7846" w:rsidRPr="003D1E62" w:rsidRDefault="001C6492" w:rsidP="001B5C90">
            <w:r>
              <w:t>Extension of indications</w:t>
            </w:r>
          </w:p>
        </w:tc>
      </w:tr>
      <w:tr w:rsidR="00460036" w:rsidRPr="003D1E62" w14:paraId="07E04760" w14:textId="77777777" w:rsidTr="003735BC">
        <w:tc>
          <w:tcPr>
            <w:tcW w:w="2907" w:type="dxa"/>
          </w:tcPr>
          <w:p w14:paraId="2A1621E7" w14:textId="77777777" w:rsidR="00460036" w:rsidRPr="003D1E62" w:rsidRDefault="001C6492" w:rsidP="003D1E62">
            <w:pPr>
              <w:rPr>
                <w:i/>
              </w:rPr>
            </w:pPr>
            <w:r>
              <w:rPr>
                <w:i/>
              </w:rPr>
              <w:t>Product name</w:t>
            </w:r>
            <w:r w:rsidR="00460036" w:rsidRPr="00460036">
              <w:rPr>
                <w:i/>
              </w:rPr>
              <w:t>:</w:t>
            </w:r>
          </w:p>
        </w:tc>
        <w:tc>
          <w:tcPr>
            <w:tcW w:w="6307" w:type="dxa"/>
          </w:tcPr>
          <w:p w14:paraId="2E1F7535" w14:textId="77777777" w:rsidR="00460036" w:rsidRPr="003D1E62" w:rsidRDefault="001C6492" w:rsidP="001B5C90">
            <w:proofErr w:type="spellStart"/>
            <w:r>
              <w:t>Forxiga</w:t>
            </w:r>
            <w:proofErr w:type="spellEnd"/>
          </w:p>
        </w:tc>
      </w:tr>
      <w:tr w:rsidR="00460036" w:rsidRPr="003D1E62" w14:paraId="4101BB4B" w14:textId="77777777" w:rsidTr="003735BC">
        <w:tc>
          <w:tcPr>
            <w:tcW w:w="2907" w:type="dxa"/>
          </w:tcPr>
          <w:p w14:paraId="421EEE8A" w14:textId="77777777" w:rsidR="00460036" w:rsidRPr="003D1E62" w:rsidRDefault="001C6492" w:rsidP="003D1E62">
            <w:pPr>
              <w:rPr>
                <w:i/>
              </w:rPr>
            </w:pPr>
            <w:r>
              <w:rPr>
                <w:i/>
              </w:rPr>
              <w:t>Active ingredient</w:t>
            </w:r>
            <w:r w:rsidR="00460036" w:rsidRPr="00460036">
              <w:rPr>
                <w:i/>
              </w:rPr>
              <w:t>:</w:t>
            </w:r>
          </w:p>
        </w:tc>
        <w:tc>
          <w:tcPr>
            <w:tcW w:w="6307" w:type="dxa"/>
          </w:tcPr>
          <w:p w14:paraId="37B1F49B" w14:textId="77777777" w:rsidR="00460036" w:rsidRPr="003D1E62" w:rsidRDefault="001C6492" w:rsidP="001B5C90">
            <w:proofErr w:type="spellStart"/>
            <w:r>
              <w:t>Dapagliflozin</w:t>
            </w:r>
            <w:proofErr w:type="spellEnd"/>
            <w:r>
              <w:t xml:space="preserve"> (as </w:t>
            </w:r>
            <w:proofErr w:type="spellStart"/>
            <w:r>
              <w:t>propanediol</w:t>
            </w:r>
            <w:proofErr w:type="spellEnd"/>
            <w:r>
              <w:t xml:space="preserve"> monohydrate)</w:t>
            </w:r>
          </w:p>
        </w:tc>
      </w:tr>
      <w:tr w:rsidR="008E7846" w:rsidRPr="003D1E62" w14:paraId="0CEAACF0" w14:textId="77777777" w:rsidTr="003735BC">
        <w:tc>
          <w:tcPr>
            <w:tcW w:w="2907" w:type="dxa"/>
          </w:tcPr>
          <w:p w14:paraId="7A7B160B" w14:textId="77777777" w:rsidR="008E7846" w:rsidRPr="003D1E62" w:rsidRDefault="008E7846" w:rsidP="003D1E62">
            <w:r w:rsidRPr="003D1E62">
              <w:rPr>
                <w:i/>
              </w:rPr>
              <w:t>Decision</w:t>
            </w:r>
            <w:r w:rsidRPr="003D1E62">
              <w:t>:</w:t>
            </w:r>
          </w:p>
        </w:tc>
        <w:tc>
          <w:tcPr>
            <w:tcW w:w="6307" w:type="dxa"/>
          </w:tcPr>
          <w:p w14:paraId="5F09901E" w14:textId="77777777" w:rsidR="008E7846" w:rsidRPr="003D1E62" w:rsidRDefault="001C6492" w:rsidP="001B5C90">
            <w:r>
              <w:t>Approved</w:t>
            </w:r>
          </w:p>
        </w:tc>
      </w:tr>
      <w:tr w:rsidR="008E7846" w:rsidRPr="003D1E62" w14:paraId="130EBAA6" w14:textId="77777777" w:rsidTr="003735BC">
        <w:tc>
          <w:tcPr>
            <w:tcW w:w="2907" w:type="dxa"/>
          </w:tcPr>
          <w:p w14:paraId="21F92518"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6E10BC25" w14:textId="77777777" w:rsidR="008E7846" w:rsidRPr="003D1E62" w:rsidRDefault="001C6492" w:rsidP="001B5C90">
            <w:r>
              <w:t>4 November 2020</w:t>
            </w:r>
          </w:p>
        </w:tc>
      </w:tr>
      <w:tr w:rsidR="00ED2922" w:rsidRPr="003D1E62" w14:paraId="4A921B5A" w14:textId="77777777" w:rsidTr="003735BC">
        <w:tc>
          <w:tcPr>
            <w:tcW w:w="2907" w:type="dxa"/>
          </w:tcPr>
          <w:p w14:paraId="371B38AA" w14:textId="77777777" w:rsidR="00ED2922" w:rsidRPr="00441C3F" w:rsidRDefault="00ED2922" w:rsidP="001B5C90">
            <w:pPr>
              <w:rPr>
                <w:i/>
              </w:rPr>
            </w:pPr>
            <w:r w:rsidRPr="00441C3F">
              <w:rPr>
                <w:i/>
              </w:rPr>
              <w:t>Date of entry onto ARTG</w:t>
            </w:r>
            <w:r w:rsidR="00500337">
              <w:rPr>
                <w:i/>
              </w:rPr>
              <w:t>:</w:t>
            </w:r>
          </w:p>
        </w:tc>
        <w:tc>
          <w:tcPr>
            <w:tcW w:w="6307" w:type="dxa"/>
          </w:tcPr>
          <w:p w14:paraId="2A599ABD" w14:textId="77777777" w:rsidR="00ED2922" w:rsidRPr="00441C3F" w:rsidRDefault="00475FE8" w:rsidP="00D153D8">
            <w:pPr>
              <w:rPr>
                <w:i/>
              </w:rPr>
            </w:pPr>
            <w:r>
              <w:t>5 November 2020</w:t>
            </w:r>
          </w:p>
        </w:tc>
      </w:tr>
      <w:tr w:rsidR="00500337" w:rsidRPr="003D1E62" w14:paraId="0BD6AB96" w14:textId="77777777" w:rsidTr="003735BC">
        <w:tc>
          <w:tcPr>
            <w:tcW w:w="2907" w:type="dxa"/>
          </w:tcPr>
          <w:p w14:paraId="62302B9A" w14:textId="77777777" w:rsidR="00500337" w:rsidRPr="00441C3F" w:rsidRDefault="00475FE8" w:rsidP="001B5C90">
            <w:pPr>
              <w:rPr>
                <w:i/>
              </w:rPr>
            </w:pPr>
            <w:r>
              <w:rPr>
                <w:i/>
              </w:rPr>
              <w:t>ARTG number</w:t>
            </w:r>
            <w:r w:rsidR="00500337">
              <w:rPr>
                <w:i/>
              </w:rPr>
              <w:t>:</w:t>
            </w:r>
          </w:p>
        </w:tc>
        <w:tc>
          <w:tcPr>
            <w:tcW w:w="6307" w:type="dxa"/>
          </w:tcPr>
          <w:p w14:paraId="6D059FF7" w14:textId="77777777" w:rsidR="00500337" w:rsidRPr="00441C3F" w:rsidRDefault="00475FE8" w:rsidP="00EC463D">
            <w:r w:rsidRPr="00475FE8">
              <w:t>180147</w:t>
            </w:r>
          </w:p>
        </w:tc>
      </w:tr>
      <w:tr w:rsidR="003735BC" w:rsidRPr="003D1E62" w14:paraId="462FEE27" w14:textId="77777777" w:rsidTr="003735BC">
        <w:tc>
          <w:tcPr>
            <w:tcW w:w="2907" w:type="dxa"/>
          </w:tcPr>
          <w:p w14:paraId="45815FDA" w14:textId="3A071C9A" w:rsidR="003735BC" w:rsidRDefault="00FA5069" w:rsidP="001B5C90">
            <w:pPr>
              <w:rPr>
                <w:i/>
              </w:rPr>
            </w:pPr>
            <w:r>
              <w:rPr>
                <w:rFonts w:ascii="Wingdings 3" w:hAnsi="Wingdings 3"/>
                <w:sz w:val="34"/>
                <w:szCs w:val="34"/>
                <w:lang w:eastAsia="en-AU"/>
              </w:rPr>
              <w:t></w:t>
            </w:r>
            <w:r w:rsidR="003735BC" w:rsidRPr="003735BC">
              <w:rPr>
                <w:i/>
              </w:rPr>
              <w:t>Black Triangle Scheme</w:t>
            </w:r>
            <w:r w:rsidR="004C4FBE">
              <w:rPr>
                <w:i/>
              </w:rPr>
              <w:t>:</w:t>
            </w:r>
            <w:bookmarkStart w:id="12" w:name="_Ref63330691"/>
            <w:r w:rsidR="00460036">
              <w:rPr>
                <w:rStyle w:val="FootnoteReference"/>
                <w:i/>
              </w:rPr>
              <w:footnoteReference w:id="1"/>
            </w:r>
            <w:bookmarkEnd w:id="12"/>
          </w:p>
        </w:tc>
        <w:tc>
          <w:tcPr>
            <w:tcW w:w="6307" w:type="dxa"/>
          </w:tcPr>
          <w:p w14:paraId="055C6F8C" w14:textId="2F8E2177" w:rsidR="003735BC" w:rsidRPr="00487162" w:rsidRDefault="002D14BD" w:rsidP="0014294D">
            <w:r>
              <w:t>No</w:t>
            </w:r>
          </w:p>
        </w:tc>
      </w:tr>
      <w:tr w:rsidR="008E7846" w:rsidRPr="00487162" w14:paraId="2C86E21B" w14:textId="77777777" w:rsidTr="00BF1190">
        <w:tc>
          <w:tcPr>
            <w:tcW w:w="2907" w:type="dxa"/>
          </w:tcPr>
          <w:p w14:paraId="49423363"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0BBA3E60" w14:textId="77777777" w:rsidR="00DB0C92" w:rsidRDefault="00475FE8" w:rsidP="00DB0C92">
            <w:r>
              <w:t>AstraZeneca Pty Ltd</w:t>
            </w:r>
          </w:p>
          <w:p w14:paraId="02F7A173" w14:textId="77777777" w:rsidR="00DB0C92" w:rsidRPr="00DB0C92" w:rsidRDefault="00DB0C92" w:rsidP="00DB0C92">
            <w:r>
              <w:rPr>
                <w:rFonts w:eastAsiaTheme="minorHAnsi" w:cs="Cambria"/>
                <w:lang w:val="en-GB"/>
              </w:rPr>
              <w:t>66 Talavera Road</w:t>
            </w:r>
          </w:p>
          <w:p w14:paraId="70F97192" w14:textId="77777777" w:rsidR="00475FE8" w:rsidRPr="00DB0C92" w:rsidRDefault="00DB0C92" w:rsidP="00DB0C92">
            <w:pPr>
              <w:autoSpaceDE w:val="0"/>
              <w:autoSpaceDN w:val="0"/>
              <w:adjustRightInd w:val="0"/>
              <w:spacing w:before="0" w:after="0" w:line="240" w:lineRule="auto"/>
              <w:rPr>
                <w:rFonts w:eastAsiaTheme="minorHAnsi" w:cs="Cambria"/>
                <w:lang w:val="en-GB"/>
              </w:rPr>
            </w:pPr>
            <w:r>
              <w:rPr>
                <w:rFonts w:eastAsiaTheme="minorHAnsi" w:cs="Cambria"/>
                <w:lang w:val="en-GB"/>
              </w:rPr>
              <w:t>Macquarie Park, NSW, 2113</w:t>
            </w:r>
          </w:p>
        </w:tc>
      </w:tr>
      <w:tr w:rsidR="008E7846" w:rsidRPr="00487162" w14:paraId="0C308E66" w14:textId="77777777" w:rsidTr="00BF1190">
        <w:tc>
          <w:tcPr>
            <w:tcW w:w="2907" w:type="dxa"/>
          </w:tcPr>
          <w:p w14:paraId="4D9CFE26" w14:textId="77777777" w:rsidR="008E7846" w:rsidRPr="00487162" w:rsidRDefault="001B5C90" w:rsidP="00E45619">
            <w:pPr>
              <w:rPr>
                <w:i/>
              </w:rPr>
            </w:pPr>
            <w:r>
              <w:rPr>
                <w:i/>
              </w:rPr>
              <w:t>Dos</w:t>
            </w:r>
            <w:r w:rsidR="00475FE8">
              <w:rPr>
                <w:i/>
              </w:rPr>
              <w:t>e form</w:t>
            </w:r>
            <w:r>
              <w:rPr>
                <w:i/>
              </w:rPr>
              <w:t>:</w:t>
            </w:r>
          </w:p>
        </w:tc>
        <w:tc>
          <w:tcPr>
            <w:tcW w:w="6307" w:type="dxa"/>
          </w:tcPr>
          <w:p w14:paraId="1ACED791" w14:textId="77777777" w:rsidR="008E7846" w:rsidRPr="00487162" w:rsidRDefault="00475FE8" w:rsidP="00E45619">
            <w:r>
              <w:t>Film coated tablet</w:t>
            </w:r>
          </w:p>
        </w:tc>
      </w:tr>
      <w:tr w:rsidR="008E7846" w:rsidRPr="00487162" w14:paraId="44494F8E" w14:textId="77777777" w:rsidTr="00BF1190">
        <w:tc>
          <w:tcPr>
            <w:tcW w:w="2907" w:type="dxa"/>
          </w:tcPr>
          <w:p w14:paraId="3DD3A5CA" w14:textId="77777777" w:rsidR="008E7846" w:rsidRPr="00487162" w:rsidRDefault="00475FE8" w:rsidP="00E45619">
            <w:pPr>
              <w:rPr>
                <w:i/>
              </w:rPr>
            </w:pPr>
            <w:r>
              <w:rPr>
                <w:i/>
              </w:rPr>
              <w:t>Strength</w:t>
            </w:r>
            <w:r w:rsidR="00324E45">
              <w:rPr>
                <w:i/>
              </w:rPr>
              <w:t>:</w:t>
            </w:r>
          </w:p>
        </w:tc>
        <w:tc>
          <w:tcPr>
            <w:tcW w:w="6307" w:type="dxa"/>
          </w:tcPr>
          <w:p w14:paraId="7B8BFBD7" w14:textId="77777777" w:rsidR="008E7846" w:rsidRPr="00487162" w:rsidRDefault="00475FE8" w:rsidP="00E45619">
            <w:r>
              <w:t>10 mg</w:t>
            </w:r>
          </w:p>
        </w:tc>
      </w:tr>
      <w:tr w:rsidR="008E7846" w:rsidRPr="00487162" w14:paraId="257C7BA6" w14:textId="77777777" w:rsidTr="00BF1190">
        <w:tc>
          <w:tcPr>
            <w:tcW w:w="2907" w:type="dxa"/>
          </w:tcPr>
          <w:p w14:paraId="4B7DDC84" w14:textId="77777777" w:rsidR="008E7846" w:rsidRPr="00487162" w:rsidRDefault="00475FE8" w:rsidP="00E45619">
            <w:pPr>
              <w:rPr>
                <w:i/>
              </w:rPr>
            </w:pPr>
            <w:r>
              <w:rPr>
                <w:i/>
              </w:rPr>
              <w:t>Container</w:t>
            </w:r>
            <w:r w:rsidR="008E7846" w:rsidRPr="00487162">
              <w:rPr>
                <w:i/>
              </w:rPr>
              <w:t>:</w:t>
            </w:r>
          </w:p>
        </w:tc>
        <w:tc>
          <w:tcPr>
            <w:tcW w:w="6307" w:type="dxa"/>
          </w:tcPr>
          <w:p w14:paraId="36819D4E" w14:textId="77777777" w:rsidR="008E7846" w:rsidRPr="00487162" w:rsidRDefault="00475FE8" w:rsidP="00E45619">
            <w:r>
              <w:t>Blister pack</w:t>
            </w:r>
          </w:p>
        </w:tc>
      </w:tr>
      <w:tr w:rsidR="008E7846" w:rsidRPr="00487162" w14:paraId="4313E3CF" w14:textId="77777777" w:rsidTr="00BF1190">
        <w:tc>
          <w:tcPr>
            <w:tcW w:w="2907" w:type="dxa"/>
          </w:tcPr>
          <w:p w14:paraId="33A05FA1" w14:textId="77777777" w:rsidR="008E7846" w:rsidRPr="00487162" w:rsidRDefault="00475FE8" w:rsidP="00E45619">
            <w:pPr>
              <w:rPr>
                <w:i/>
              </w:rPr>
            </w:pPr>
            <w:r>
              <w:rPr>
                <w:i/>
              </w:rPr>
              <w:t>Pack sizes</w:t>
            </w:r>
            <w:r w:rsidR="008E7846" w:rsidRPr="00487162">
              <w:rPr>
                <w:i/>
              </w:rPr>
              <w:t>:</w:t>
            </w:r>
          </w:p>
        </w:tc>
        <w:tc>
          <w:tcPr>
            <w:tcW w:w="6307" w:type="dxa"/>
          </w:tcPr>
          <w:p w14:paraId="2A81728A" w14:textId="77777777" w:rsidR="008E7846" w:rsidRPr="00487162" w:rsidRDefault="00475FE8" w:rsidP="00E45619">
            <w:r>
              <w:t>7 tablets; 28 tablets</w:t>
            </w:r>
          </w:p>
        </w:tc>
      </w:tr>
      <w:tr w:rsidR="008E7846" w:rsidRPr="00487162" w14:paraId="18D9093F" w14:textId="77777777" w:rsidTr="00BF1190">
        <w:tc>
          <w:tcPr>
            <w:tcW w:w="2907" w:type="dxa"/>
          </w:tcPr>
          <w:p w14:paraId="6D176792"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35ED310B" w14:textId="77777777" w:rsidR="00475FE8" w:rsidRPr="00DB0C92" w:rsidRDefault="00475FE8" w:rsidP="00475FE8">
            <w:pPr>
              <w:rPr>
                <w:rFonts w:eastAsia="MS Mincho"/>
                <w:b/>
                <w:i/>
                <w:lang w:eastAsia="ja-JP"/>
              </w:rPr>
            </w:pPr>
            <w:r w:rsidRPr="00DB0C92">
              <w:rPr>
                <w:rFonts w:eastAsia="MS Mincho"/>
                <w:b/>
                <w:i/>
                <w:lang w:eastAsia="ja-JP"/>
              </w:rPr>
              <w:t>Heart failure</w:t>
            </w:r>
          </w:p>
          <w:p w14:paraId="677F4723" w14:textId="77777777" w:rsidR="008E7846" w:rsidRPr="00487162" w:rsidRDefault="00475FE8" w:rsidP="00475FE8">
            <w:pPr>
              <w:rPr>
                <w:rFonts w:eastAsia="MS Mincho"/>
                <w:lang w:eastAsia="ja-JP"/>
              </w:rPr>
            </w:pPr>
            <w:proofErr w:type="spellStart"/>
            <w:r w:rsidRPr="00475FE8">
              <w:rPr>
                <w:rFonts w:eastAsia="MS Mincho"/>
                <w:i/>
                <w:lang w:eastAsia="ja-JP"/>
              </w:rPr>
              <w:t>Forxiga</w:t>
            </w:r>
            <w:proofErr w:type="spellEnd"/>
            <w:r w:rsidRPr="00475FE8">
              <w:rPr>
                <w:rFonts w:eastAsia="MS Mincho"/>
                <w:i/>
                <w:lang w:eastAsia="ja-JP"/>
              </w:rPr>
              <w:t xml:space="preserve"> is indicated in adults for the treatment of symptomatic heart failure with reduced ejection fraction, as an adjunct to standard of care therapy (see section 5.1 Pharmacodynamic properties).</w:t>
            </w:r>
          </w:p>
        </w:tc>
      </w:tr>
      <w:tr w:rsidR="008E7846" w:rsidRPr="00487162" w14:paraId="752C335D" w14:textId="77777777" w:rsidTr="00BF1190">
        <w:tc>
          <w:tcPr>
            <w:tcW w:w="2907" w:type="dxa"/>
          </w:tcPr>
          <w:p w14:paraId="59446F35" w14:textId="77777777" w:rsidR="008E7846" w:rsidRPr="00487162" w:rsidRDefault="00475FE8" w:rsidP="00E45619">
            <w:pPr>
              <w:rPr>
                <w:i/>
              </w:rPr>
            </w:pPr>
            <w:r>
              <w:rPr>
                <w:i/>
              </w:rPr>
              <w:t>Route</w:t>
            </w:r>
            <w:r w:rsidR="008E7846" w:rsidRPr="00487162">
              <w:rPr>
                <w:i/>
              </w:rPr>
              <w:t xml:space="preserve"> of administration:</w:t>
            </w:r>
          </w:p>
        </w:tc>
        <w:tc>
          <w:tcPr>
            <w:tcW w:w="6307" w:type="dxa"/>
          </w:tcPr>
          <w:p w14:paraId="316B1C5F" w14:textId="77777777" w:rsidR="008E7846" w:rsidRPr="00487162" w:rsidRDefault="00475FE8" w:rsidP="00E45619">
            <w:r>
              <w:t>Oral</w:t>
            </w:r>
          </w:p>
        </w:tc>
      </w:tr>
      <w:tr w:rsidR="008E7846" w:rsidRPr="00487162" w14:paraId="2F4D4228" w14:textId="77777777" w:rsidTr="00BF1190">
        <w:tc>
          <w:tcPr>
            <w:tcW w:w="2907" w:type="dxa"/>
          </w:tcPr>
          <w:p w14:paraId="3BBB623C" w14:textId="77777777" w:rsidR="008E7846" w:rsidRPr="00487162" w:rsidRDefault="008E7846" w:rsidP="00E45619">
            <w:pPr>
              <w:rPr>
                <w:i/>
              </w:rPr>
            </w:pPr>
            <w:r w:rsidRPr="00487162">
              <w:rPr>
                <w:i/>
              </w:rPr>
              <w:t>Dosage:</w:t>
            </w:r>
          </w:p>
        </w:tc>
        <w:tc>
          <w:tcPr>
            <w:tcW w:w="6307" w:type="dxa"/>
          </w:tcPr>
          <w:p w14:paraId="1EB45D8F" w14:textId="77777777" w:rsidR="008E7846" w:rsidRDefault="00DB0C92" w:rsidP="00DB0C92">
            <w:r>
              <w:t xml:space="preserve">The recommended dose of </w:t>
            </w:r>
            <w:proofErr w:type="spellStart"/>
            <w:r>
              <w:t>Forxiga</w:t>
            </w:r>
            <w:proofErr w:type="spellEnd"/>
            <w:r>
              <w:t xml:space="preserve"> is 10 mg taken orally once daily at any time of the day regardless of meals. </w:t>
            </w:r>
            <w:proofErr w:type="spellStart"/>
            <w:r>
              <w:t>Forxiga</w:t>
            </w:r>
            <w:proofErr w:type="spellEnd"/>
            <w:r>
              <w:t xml:space="preserve"> should be used in conjunction with individualised standard of care therapy.</w:t>
            </w:r>
          </w:p>
          <w:p w14:paraId="0875EE8D" w14:textId="77777777" w:rsidR="00460036" w:rsidRPr="00487162" w:rsidRDefault="00460036" w:rsidP="00E45619">
            <w:r w:rsidRPr="00460036">
              <w:t>For further information regarding dosage, refer to the Product Information.</w:t>
            </w:r>
          </w:p>
        </w:tc>
      </w:tr>
      <w:tr w:rsidR="00460036" w:rsidRPr="00487162" w14:paraId="65E5C562" w14:textId="77777777" w:rsidTr="00BF1190">
        <w:tc>
          <w:tcPr>
            <w:tcW w:w="2907" w:type="dxa"/>
          </w:tcPr>
          <w:p w14:paraId="41EFD571" w14:textId="77777777" w:rsidR="00460036" w:rsidRPr="00487162" w:rsidRDefault="00460036" w:rsidP="00E45619">
            <w:pPr>
              <w:rPr>
                <w:i/>
              </w:rPr>
            </w:pPr>
            <w:r w:rsidRPr="00460036">
              <w:rPr>
                <w:i/>
              </w:rPr>
              <w:t>Pregnancy category</w:t>
            </w:r>
            <w:r>
              <w:rPr>
                <w:i/>
              </w:rPr>
              <w:t>:</w:t>
            </w:r>
          </w:p>
        </w:tc>
        <w:tc>
          <w:tcPr>
            <w:tcW w:w="6307" w:type="dxa"/>
          </w:tcPr>
          <w:p w14:paraId="28DC32E2" w14:textId="026CC179" w:rsidR="00DB0C92" w:rsidRDefault="00DB0C92" w:rsidP="00DB0C92">
            <w:r>
              <w:t>D</w:t>
            </w:r>
          </w:p>
          <w:p w14:paraId="2298D1FC" w14:textId="77777777" w:rsidR="00DB0C92" w:rsidRDefault="00DB0C92" w:rsidP="00DB0C92">
            <w:r w:rsidRPr="00DB0C92">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p w14:paraId="5BBC67C5" w14:textId="77777777" w:rsidR="00460036" w:rsidRPr="00487162" w:rsidRDefault="00460036" w:rsidP="00460036">
            <w:r>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w:t>
            </w:r>
            <w:r w:rsidR="00DB0C92">
              <w:t>ces in your State or Territory.</w:t>
            </w:r>
            <w:r>
              <w:t>.</w:t>
            </w:r>
          </w:p>
        </w:tc>
      </w:tr>
    </w:tbl>
    <w:p w14:paraId="3AD2321E" w14:textId="77777777" w:rsidR="008E7846" w:rsidRDefault="008E7846" w:rsidP="008E7846">
      <w:pPr>
        <w:pStyle w:val="Heading3"/>
      </w:pPr>
      <w:bookmarkStart w:id="13" w:name="_Toc247691503"/>
      <w:bookmarkStart w:id="14" w:name="_Toc314842484"/>
      <w:bookmarkStart w:id="15" w:name="_Toc69894096"/>
      <w:r>
        <w:t>Product background</w:t>
      </w:r>
      <w:bookmarkEnd w:id="13"/>
      <w:bookmarkEnd w:id="14"/>
      <w:bookmarkEnd w:id="15"/>
    </w:p>
    <w:p w14:paraId="2CD989DB" w14:textId="77777777" w:rsidR="008E7846" w:rsidRDefault="00250271" w:rsidP="00940A89">
      <w:r w:rsidRPr="00250271">
        <w:t>This AusPAR describes the applic</w:t>
      </w:r>
      <w:r w:rsidR="00DB0C92">
        <w:t>ation by AstraZeneca Pty Ltd</w:t>
      </w:r>
      <w:r w:rsidRPr="00250271">
        <w:t xml:space="preserve"> (the sponsor) to register </w:t>
      </w:r>
      <w:proofErr w:type="spellStart"/>
      <w:r w:rsidR="00DB0C92">
        <w:t>Forxiga</w:t>
      </w:r>
      <w:proofErr w:type="spellEnd"/>
      <w:r w:rsidR="00DB0C92">
        <w:t xml:space="preserve"> (</w:t>
      </w:r>
      <w:proofErr w:type="spellStart"/>
      <w:r w:rsidR="00DB0C92">
        <w:t>dapagliflozin</w:t>
      </w:r>
      <w:proofErr w:type="spellEnd"/>
      <w:r w:rsidR="00DB0C92">
        <w:t xml:space="preserve">, as </w:t>
      </w:r>
      <w:proofErr w:type="spellStart"/>
      <w:r w:rsidR="00DB0C92">
        <w:t>propanediol</w:t>
      </w:r>
      <w:proofErr w:type="spellEnd"/>
      <w:r w:rsidR="00DB0C92">
        <w:t xml:space="preserve"> monohydrate) 10 mg film-coated tablets,</w:t>
      </w:r>
      <w:r w:rsidRPr="00250271">
        <w:t xml:space="preserve"> for th</w:t>
      </w:r>
      <w:r w:rsidR="00DB0C92">
        <w:t xml:space="preserve">e following proposed </w:t>
      </w:r>
      <w:r w:rsidRPr="00250271">
        <w:t>extension of indications</w:t>
      </w:r>
      <w:r w:rsidR="00CF5DAD">
        <w:t>:</w:t>
      </w:r>
    </w:p>
    <w:p w14:paraId="34A1E6D3" w14:textId="77777777" w:rsidR="00B522C7" w:rsidRPr="00503657" w:rsidRDefault="00B522C7" w:rsidP="00B522C7">
      <w:pPr>
        <w:ind w:left="720"/>
        <w:rPr>
          <w:i/>
        </w:rPr>
      </w:pPr>
      <w:proofErr w:type="spellStart"/>
      <w:r w:rsidRPr="00503657">
        <w:rPr>
          <w:i/>
        </w:rPr>
        <w:t>Forxiga</w:t>
      </w:r>
      <w:proofErr w:type="spellEnd"/>
      <w:r w:rsidRPr="00503657">
        <w:rPr>
          <w:i/>
        </w:rPr>
        <w:t xml:space="preserve"> is indicated in adults for the treatment of heart failure with reduced ejection fraction.</w:t>
      </w:r>
    </w:p>
    <w:p w14:paraId="4A4607E2" w14:textId="5FF7020D" w:rsidR="003A50D2" w:rsidRDefault="00E12974" w:rsidP="00250271">
      <w:r>
        <w:t>Heart failure</w:t>
      </w:r>
      <w:r w:rsidR="003A50D2" w:rsidRPr="003A50D2">
        <w:t xml:space="preserve"> is a clinical syndrome that presents with typical signs and symptoms reflecting the inability of the heart to fill with blood at normal pressure or to eject sufficient blood to supply the organs of the body. The most frequent symptom, which is common to a wide range of diseases not just affecting the heart, is breathlessness on exertion. As the disease progresses, breathlessness may develop on lying down, bending forward, and at rest, and be accompanied by other non-specific symptoms such as fatigue and ankle swelling. A range of conditions that affect the structure or func</w:t>
      </w:r>
      <w:r>
        <w:t>tion of the heart may trigger heart failure</w:t>
      </w:r>
      <w:r w:rsidR="003A50D2" w:rsidRPr="003A50D2">
        <w:t xml:space="preserve"> and researchers and clinicians have used a number of different approaches to classify and define both the syndrome and the potential causes.</w:t>
      </w:r>
      <w:bookmarkStart w:id="16" w:name="_Ref63674558"/>
      <w:r>
        <w:rPr>
          <w:rStyle w:val="FootnoteReference"/>
        </w:rPr>
        <w:footnoteReference w:id="2"/>
      </w:r>
      <w:bookmarkEnd w:id="16"/>
      <w:r w:rsidR="00474F38">
        <w:t xml:space="preserve"> Heart </w:t>
      </w:r>
      <w:r w:rsidR="007C5FDB">
        <w:t>failure</w:t>
      </w:r>
      <w:r w:rsidR="003A50D2" w:rsidRPr="003A50D2">
        <w:t xml:space="preserve"> is estimated to affect over 38 million peo</w:t>
      </w:r>
      <w:r w:rsidR="00474F38">
        <w:t>ple worldwide and about 480,000 people in Australia. It</w:t>
      </w:r>
      <w:r w:rsidR="003A50D2" w:rsidRPr="003A50D2">
        <w:t xml:space="preserve"> is more common among the elderly and has a significantly greater prevalence in the indigenous Australian population.</w:t>
      </w:r>
      <w:r w:rsidR="007C5FDB">
        <w:rPr>
          <w:rStyle w:val="FootnoteReference"/>
        </w:rPr>
        <w:footnoteReference w:id="3"/>
      </w:r>
      <w:r w:rsidR="007C5FDB">
        <w:t xml:space="preserve"> </w:t>
      </w:r>
      <w:r w:rsidR="009E678B">
        <w:t>Between</w:t>
      </w:r>
      <w:r w:rsidR="007C5FDB">
        <w:t xml:space="preserve"> 2015 </w:t>
      </w:r>
      <w:r w:rsidR="009E678B">
        <w:t>and</w:t>
      </w:r>
      <w:r w:rsidR="007C5FDB">
        <w:t xml:space="preserve"> </w:t>
      </w:r>
      <w:r w:rsidR="003A50D2" w:rsidRPr="003A50D2">
        <w:t>2016, there were about 173,000 hospit</w:t>
      </w:r>
      <w:r w:rsidR="007C5FDB">
        <w:t>alisations in Australia where heart failure</w:t>
      </w:r>
      <w:r w:rsidR="003A50D2" w:rsidRPr="003A50D2">
        <w:t xml:space="preserve"> and cardiomyopathy were recorded as the main or additional diagnosis, representing 1.6% of all hospitalisations</w:t>
      </w:r>
      <w:r w:rsidR="005F7850">
        <w:t>.</w:t>
      </w:r>
      <w:r w:rsidR="005F7850">
        <w:rPr>
          <w:rStyle w:val="FootnoteReference"/>
        </w:rPr>
        <w:footnoteReference w:id="4"/>
      </w:r>
      <w:r w:rsidR="003A50D2" w:rsidRPr="003A50D2">
        <w:t xml:space="preserve"> In the New South Wales (NSW) and Australian Capital Territory (ACT) SNAPSHOT study </w:t>
      </w:r>
      <w:r w:rsidR="00E84263">
        <w:t>of patients hospitalised with heart failure</w:t>
      </w:r>
      <w:r w:rsidR="003A50D2" w:rsidRPr="003A50D2">
        <w:t xml:space="preserve"> over one month in 2013, the median length of stay was six days and 58% were categorised as heart failure with r</w:t>
      </w:r>
      <w:r w:rsidR="00E84263">
        <w:t>educed ejection fraction</w:t>
      </w:r>
      <w:r w:rsidR="003A50D2" w:rsidRPr="003A50D2">
        <w:t>.</w:t>
      </w:r>
      <w:r w:rsidR="00E84263">
        <w:rPr>
          <w:rStyle w:val="FootnoteReference"/>
        </w:rPr>
        <w:footnoteReference w:id="5"/>
      </w:r>
    </w:p>
    <w:p w14:paraId="7BA9348D" w14:textId="58AB26BC" w:rsidR="00E84263" w:rsidRDefault="003A50D2" w:rsidP="00250271">
      <w:r>
        <w:t>According to the National Heart Foundation of Australia</w:t>
      </w:r>
      <w:r w:rsidR="009E678B">
        <w:t>,</w:t>
      </w:r>
      <w:r>
        <w:t xml:space="preserve"> and </w:t>
      </w:r>
      <w:r w:rsidR="009E678B">
        <w:t xml:space="preserve">the </w:t>
      </w:r>
      <w:r>
        <w:t>Cardiac Society of Australia and New Zealand</w:t>
      </w:r>
      <w:r w:rsidR="009E678B">
        <w:t>’s</w:t>
      </w:r>
      <w:r>
        <w:t xml:space="preserve"> clinical guidelines for the management of heart failure, the syndrome is commonly classified into two categories</w:t>
      </w:r>
      <w:r w:rsidR="00474F38">
        <w:t xml:space="preserve"> (as summarised in Table</w:t>
      </w:r>
      <w:r w:rsidR="009E678B">
        <w:t> </w:t>
      </w:r>
      <w:r w:rsidR="00474F38">
        <w:t>1, below)</w:t>
      </w:r>
      <w:r>
        <w:t xml:space="preserve"> based on the left vent</w:t>
      </w:r>
      <w:r w:rsidR="00474F38">
        <w:t>ricular ejection fraction</w:t>
      </w:r>
      <w:r>
        <w:t xml:space="preserve"> and other objective evidence of failure, along with the presence of symptoms with or without clinical signs of hear</w:t>
      </w:r>
      <w:r w:rsidR="00474F38">
        <w:t>t failure</w:t>
      </w:r>
      <w:r w:rsidR="00E84263">
        <w:t>.</w:t>
      </w:r>
      <w:r w:rsidR="00E84263">
        <w:rPr>
          <w:rStyle w:val="FootnoteReference"/>
        </w:rPr>
        <w:footnoteReference w:id="6"/>
      </w:r>
    </w:p>
    <w:p w14:paraId="2552020E" w14:textId="3ED443EB" w:rsidR="001C7E56" w:rsidRDefault="001C7E56" w:rsidP="001C7E56">
      <w:pPr>
        <w:pStyle w:val="TableTitle"/>
      </w:pPr>
      <w:r>
        <w:t xml:space="preserve">Table </w:t>
      </w:r>
      <w:fldSimple w:instr=" SEQ Table \* ARABIC ">
        <w:r w:rsidR="00504D2B">
          <w:rPr>
            <w:noProof/>
          </w:rPr>
          <w:t>1</w:t>
        </w:r>
      </w:fldSimple>
      <w:r>
        <w:t>: Diagnostic criteria for heart failure</w:t>
      </w:r>
    </w:p>
    <w:tbl>
      <w:tblPr>
        <w:tblStyle w:val="TableTGAblue"/>
        <w:tblW w:w="0" w:type="auto"/>
        <w:tblLook w:val="04A0" w:firstRow="1" w:lastRow="0" w:firstColumn="1" w:lastColumn="0" w:noHBand="0" w:noVBand="1"/>
      </w:tblPr>
      <w:tblGrid>
        <w:gridCol w:w="2160"/>
        <w:gridCol w:w="6324"/>
      </w:tblGrid>
      <w:tr w:rsidR="00CD6FEF" w14:paraId="01FE3964" w14:textId="77777777" w:rsidTr="002671F9">
        <w:trPr>
          <w:cnfStyle w:val="100000000000" w:firstRow="1" w:lastRow="0" w:firstColumn="0" w:lastColumn="0" w:oddVBand="0" w:evenVBand="0" w:oddHBand="0" w:evenHBand="0" w:firstRowFirstColumn="0" w:firstRowLastColumn="0" w:lastRowFirstColumn="0" w:lastRowLastColumn="0"/>
        </w:trPr>
        <w:tc>
          <w:tcPr>
            <w:tcW w:w="2178" w:type="dxa"/>
          </w:tcPr>
          <w:p w14:paraId="56259E3D" w14:textId="77777777" w:rsidR="00CD6FEF" w:rsidRDefault="002671F9" w:rsidP="00250271">
            <w:r>
              <w:t>Classification</w:t>
            </w:r>
          </w:p>
        </w:tc>
        <w:tc>
          <w:tcPr>
            <w:tcW w:w="6542" w:type="dxa"/>
          </w:tcPr>
          <w:p w14:paraId="7C346B1D" w14:textId="77777777" w:rsidR="00CD6FEF" w:rsidRDefault="002671F9" w:rsidP="00250271">
            <w:r>
              <w:t>Diagnostic criteria</w:t>
            </w:r>
          </w:p>
        </w:tc>
      </w:tr>
      <w:tr w:rsidR="00CD6FEF" w14:paraId="2FFE259E" w14:textId="77777777" w:rsidTr="002671F9">
        <w:tc>
          <w:tcPr>
            <w:tcW w:w="2178" w:type="dxa"/>
          </w:tcPr>
          <w:p w14:paraId="10EC5C91" w14:textId="77777777" w:rsidR="00CD6FEF" w:rsidRDefault="00C022E3" w:rsidP="00474F38">
            <w:r>
              <w:t>Heart failure with</w:t>
            </w:r>
            <w:r w:rsidR="002671F9">
              <w:t xml:space="preserve"> reduced ejection fraction</w:t>
            </w:r>
          </w:p>
        </w:tc>
        <w:tc>
          <w:tcPr>
            <w:tcW w:w="6542" w:type="dxa"/>
          </w:tcPr>
          <w:p w14:paraId="56A7D2BC" w14:textId="77777777" w:rsidR="00CD6FEF" w:rsidRPr="002671F9" w:rsidRDefault="002671F9" w:rsidP="002671F9">
            <w:pPr>
              <w:pStyle w:val="ListBullet"/>
            </w:pPr>
            <w:r w:rsidRPr="002671F9">
              <w:t xml:space="preserve">Symptoms with or without </w:t>
            </w:r>
            <w:r w:rsidR="00CD6FEF" w:rsidRPr="002671F9">
              <w:t>signs of heart failure</w:t>
            </w:r>
            <w:r w:rsidRPr="002671F9">
              <w:t>; and</w:t>
            </w:r>
          </w:p>
          <w:p w14:paraId="7F4C5FA4" w14:textId="77777777" w:rsidR="00CD6FEF" w:rsidRPr="002671F9" w:rsidRDefault="00474F38" w:rsidP="002671F9">
            <w:pPr>
              <w:pStyle w:val="ListBullet"/>
            </w:pPr>
            <w:r>
              <w:t>left ventricular ejection fraction</w:t>
            </w:r>
            <w:r w:rsidR="002671F9" w:rsidRPr="002671F9">
              <w:t xml:space="preserve"> &lt; 50%</w:t>
            </w:r>
            <w:r w:rsidR="00CD6FEF" w:rsidRPr="002671F9">
              <w:rPr>
                <w:vertAlign w:val="superscript"/>
              </w:rPr>
              <w:t>a</w:t>
            </w:r>
          </w:p>
        </w:tc>
      </w:tr>
      <w:tr w:rsidR="00CD6FEF" w14:paraId="6E668448" w14:textId="77777777" w:rsidTr="002671F9">
        <w:tc>
          <w:tcPr>
            <w:tcW w:w="2178" w:type="dxa"/>
          </w:tcPr>
          <w:p w14:paraId="43F5EECC" w14:textId="77777777" w:rsidR="00CD6FEF" w:rsidRDefault="002671F9" w:rsidP="00474F38">
            <w:r>
              <w:t>Heart failure with preserved ejection fraction</w:t>
            </w:r>
          </w:p>
        </w:tc>
        <w:tc>
          <w:tcPr>
            <w:tcW w:w="6542" w:type="dxa"/>
          </w:tcPr>
          <w:p w14:paraId="4CD6DE20" w14:textId="77777777" w:rsidR="002671F9" w:rsidRDefault="002671F9" w:rsidP="002671F9">
            <w:pPr>
              <w:pStyle w:val="ListBullet"/>
            </w:pPr>
            <w:r>
              <w:t>Symptoms with or without signs of heart failure; a</w:t>
            </w:r>
            <w:r w:rsidR="00CD6FEF" w:rsidRPr="002671F9">
              <w:t>nd</w:t>
            </w:r>
          </w:p>
          <w:p w14:paraId="6A145F8B" w14:textId="77777777" w:rsidR="002671F9" w:rsidRDefault="00474F38" w:rsidP="002671F9">
            <w:pPr>
              <w:pStyle w:val="ListBullet"/>
            </w:pPr>
            <w:r>
              <w:t>left ventricular ejection fraction</w:t>
            </w:r>
            <w:r w:rsidR="00CD6FEF" w:rsidRPr="002671F9">
              <w:t xml:space="preserve"> ≥</w:t>
            </w:r>
            <w:r w:rsidR="002671F9">
              <w:t> 50%; a</w:t>
            </w:r>
            <w:r w:rsidR="00CD6FEF" w:rsidRPr="002671F9">
              <w:t>nd</w:t>
            </w:r>
          </w:p>
          <w:p w14:paraId="2AA2433F" w14:textId="77777777" w:rsidR="002671F9" w:rsidRDefault="002671F9" w:rsidP="002671F9">
            <w:pPr>
              <w:pStyle w:val="ListBullet"/>
            </w:pPr>
            <w:r>
              <w:t>objective evidence of:</w:t>
            </w:r>
          </w:p>
          <w:p w14:paraId="2DFA8302" w14:textId="77777777" w:rsidR="002671F9" w:rsidRPr="001C7E56" w:rsidRDefault="001C7E56" w:rsidP="001C7E56">
            <w:pPr>
              <w:pStyle w:val="ListBullet2"/>
            </w:pPr>
            <w:r>
              <w:t>r</w:t>
            </w:r>
            <w:r w:rsidR="00CD6FEF" w:rsidRPr="002671F9">
              <w:t>elev</w:t>
            </w:r>
            <w:r>
              <w:t>ant structural heart disease (left ventricular</w:t>
            </w:r>
            <w:r w:rsidR="00CD6FEF" w:rsidRPr="002671F9">
              <w:t xml:space="preserve"> hypert</w:t>
            </w:r>
            <w:r w:rsidR="002671F9">
              <w:t>rophy, left atrial enlargement)</w:t>
            </w:r>
            <w:r>
              <w:t xml:space="preserve">; </w:t>
            </w:r>
            <w:r w:rsidR="002671F9" w:rsidRPr="001C7E56">
              <w:t>and/or</w:t>
            </w:r>
          </w:p>
          <w:p w14:paraId="7E80A343" w14:textId="77777777" w:rsidR="002671F9" w:rsidRDefault="001C7E56" w:rsidP="001C7E56">
            <w:pPr>
              <w:pStyle w:val="ListBullet2"/>
            </w:pPr>
            <w:r>
              <w:t>d</w:t>
            </w:r>
            <w:r w:rsidR="00CD6FEF" w:rsidRPr="002671F9">
              <w:t>iastolic dysfunction, with high filling pressure demons</w:t>
            </w:r>
            <w:r w:rsidR="002671F9">
              <w:t>trated by any of the following:</w:t>
            </w:r>
          </w:p>
          <w:p w14:paraId="280442BE" w14:textId="77777777" w:rsidR="002671F9" w:rsidRDefault="00CD6FEF" w:rsidP="002671F9">
            <w:pPr>
              <w:pStyle w:val="ListBullet3"/>
            </w:pPr>
            <w:r w:rsidRPr="002671F9">
              <w:t>invasive means (cardiac catheterisation)</w:t>
            </w:r>
          </w:p>
          <w:p w14:paraId="4681412C" w14:textId="77777777" w:rsidR="002671F9" w:rsidRDefault="00CD6FEF" w:rsidP="002671F9">
            <w:pPr>
              <w:pStyle w:val="ListBullet3"/>
            </w:pPr>
            <w:r w:rsidRPr="002671F9">
              <w:t>echocardiography</w:t>
            </w:r>
          </w:p>
          <w:p w14:paraId="67AE2021" w14:textId="77777777" w:rsidR="002671F9" w:rsidRDefault="00CD6FEF" w:rsidP="002671F9">
            <w:pPr>
              <w:pStyle w:val="ListBullet3"/>
            </w:pPr>
            <w:r w:rsidRPr="002671F9">
              <w:t>biomar</w:t>
            </w:r>
            <w:r w:rsidR="002671F9">
              <w:t xml:space="preserve">ker (elevated BNP or NT </w:t>
            </w:r>
            <w:proofErr w:type="spellStart"/>
            <w:r w:rsidR="002671F9">
              <w:t>proBNP</w:t>
            </w:r>
            <w:proofErr w:type="spellEnd"/>
            <w:r w:rsidR="002671F9">
              <w:t>)</w:t>
            </w:r>
          </w:p>
          <w:p w14:paraId="1E138874" w14:textId="77777777" w:rsidR="00CD6FEF" w:rsidRDefault="00CD6FEF" w:rsidP="002671F9">
            <w:pPr>
              <w:pStyle w:val="ListBullet3"/>
            </w:pPr>
            <w:r w:rsidRPr="002671F9">
              <w:t>exercise (invasive or echocardiography)</w:t>
            </w:r>
          </w:p>
        </w:tc>
      </w:tr>
    </w:tbl>
    <w:p w14:paraId="6DEDBC8F" w14:textId="77777777" w:rsidR="00C022E3" w:rsidRPr="00C022E3" w:rsidRDefault="002671F9" w:rsidP="001C7E56">
      <w:pPr>
        <w:pStyle w:val="TableDescription"/>
        <w:rPr>
          <w:lang w:val="en-GB" w:eastAsia="en-GB"/>
        </w:rPr>
      </w:pPr>
      <w:r>
        <w:rPr>
          <w:lang w:val="en-GB" w:eastAsia="en-GB"/>
        </w:rPr>
        <w:t>B</w:t>
      </w:r>
      <w:r w:rsidR="00C022E3" w:rsidRPr="00C022E3">
        <w:rPr>
          <w:lang w:val="en-GB" w:eastAsia="en-GB"/>
        </w:rPr>
        <w:t xml:space="preserve">NP: B-type natriuretic peptide, </w:t>
      </w:r>
      <w:r w:rsidR="001C7E56">
        <w:rPr>
          <w:lang w:val="en-GB" w:eastAsia="en-GB"/>
        </w:rPr>
        <w:t>NT: N</w:t>
      </w:r>
      <w:r w:rsidR="001C7E56">
        <w:rPr>
          <w:lang w:val="en-GB" w:eastAsia="en-GB"/>
        </w:rPr>
        <w:noBreakHyphen/>
      </w:r>
      <w:r w:rsidR="009447D0">
        <w:rPr>
          <w:lang w:val="en-GB" w:eastAsia="en-GB"/>
        </w:rPr>
        <w:t>terminal.</w:t>
      </w:r>
    </w:p>
    <w:p w14:paraId="5467A446" w14:textId="77777777" w:rsidR="00CD6FEF" w:rsidRPr="001C7E56" w:rsidRDefault="00C022E3" w:rsidP="001C7E56">
      <w:pPr>
        <w:pStyle w:val="TableDescription"/>
        <w:rPr>
          <w:lang w:val="en-GB" w:eastAsia="en-GB"/>
        </w:rPr>
      </w:pPr>
      <w:r w:rsidRPr="00C022E3">
        <w:rPr>
          <w:lang w:val="en-GB" w:eastAsia="en-GB"/>
        </w:rPr>
        <w:t>a</w:t>
      </w:r>
      <w:r w:rsidR="001C7E56">
        <w:rPr>
          <w:lang w:val="en-GB" w:eastAsia="en-GB"/>
        </w:rPr>
        <w:t>)</w:t>
      </w:r>
      <w:r w:rsidRPr="00C022E3">
        <w:rPr>
          <w:lang w:val="en-GB" w:eastAsia="en-GB"/>
        </w:rPr>
        <w:t xml:space="preserve"> </w:t>
      </w:r>
      <w:r w:rsidR="001C7E56">
        <w:rPr>
          <w:lang w:val="en-GB" w:eastAsia="en-GB"/>
        </w:rPr>
        <w:t xml:space="preserve">If </w:t>
      </w:r>
      <w:r w:rsidR="009447D0">
        <w:rPr>
          <w:lang w:val="en-GB" w:eastAsia="en-GB"/>
        </w:rPr>
        <w:t>left ventricular ejection fraction is mildly reduced (in the range of</w:t>
      </w:r>
      <w:r w:rsidR="001C7E56">
        <w:rPr>
          <w:lang w:val="en-GB" w:eastAsia="en-GB"/>
        </w:rPr>
        <w:t xml:space="preserve"> 41 to </w:t>
      </w:r>
      <w:r w:rsidRPr="00C022E3">
        <w:rPr>
          <w:lang w:val="en-GB" w:eastAsia="en-GB"/>
        </w:rPr>
        <w:t>49%), add</w:t>
      </w:r>
      <w:r w:rsidR="001C7E56">
        <w:rPr>
          <w:lang w:val="en-GB" w:eastAsia="en-GB"/>
        </w:rPr>
        <w:t>itional criteria are required (for example,</w:t>
      </w:r>
      <w:r w:rsidRPr="00C022E3">
        <w:rPr>
          <w:lang w:val="en-GB" w:eastAsia="en-GB"/>
        </w:rPr>
        <w:t xml:space="preserve"> signs of heart failure; diastolic dysfunction with high filling pressure demonstrated by invasive means or echocardiography or biomarker testing).</w:t>
      </w:r>
    </w:p>
    <w:p w14:paraId="2715E1AE" w14:textId="0AB9A508" w:rsidR="003A50D2" w:rsidRDefault="009E678B" w:rsidP="00250271">
      <w:r>
        <w:t>Symptomatic patients</w:t>
      </w:r>
      <w:r w:rsidR="003A50D2">
        <w:t xml:space="preserve"> with or without signs of heart failure</w:t>
      </w:r>
      <w:r>
        <w:t>,</w:t>
      </w:r>
      <w:r w:rsidR="003A50D2">
        <w:t xml:space="preserve"> who are found to have </w:t>
      </w:r>
      <w:r w:rsidR="001C7E56">
        <w:t>a </w:t>
      </w:r>
      <w:r w:rsidR="009447D0">
        <w:t>left ventricular ejection fraction</w:t>
      </w:r>
      <w:r w:rsidR="003A50D2">
        <w:t xml:space="preserve"> &lt; 50%</w:t>
      </w:r>
      <w:r>
        <w:t>,</w:t>
      </w:r>
      <w:r w:rsidR="003A50D2">
        <w:t xml:space="preserve"> are classified as having </w:t>
      </w:r>
      <w:r w:rsidR="001C7E56">
        <w:t xml:space="preserve">heart failure </w:t>
      </w:r>
      <w:r w:rsidR="009447D0">
        <w:t>with reduced ejection fraction</w:t>
      </w:r>
      <w:r w:rsidR="003A50D2">
        <w:t xml:space="preserve">. Those patients experiencing symptoms with or without signs of heart failure where the </w:t>
      </w:r>
      <w:r w:rsidR="009447D0">
        <w:t>left ventricular ejection fraction</w:t>
      </w:r>
      <w:r w:rsidR="003A50D2">
        <w:t xml:space="preserve"> is ≥ 50% require additional objective evidence to confirm a diagnosis of heart failure with pre</w:t>
      </w:r>
      <w:r w:rsidR="009447D0">
        <w:t>served ejection fraction</w:t>
      </w:r>
      <w:r w:rsidR="003A50D2">
        <w:t>. This evidence frequently is provided by echocardiography but depending on the underlying cause of the symptoms, may require alternative diagnostic testing. Most research to date has reported reduced mortality and morbidity in re</w:t>
      </w:r>
      <w:r w:rsidR="009447D0">
        <w:t>sponse to new therapies in the heart failure with reduced ejection fraction</w:t>
      </w:r>
      <w:r w:rsidR="003A50D2">
        <w:t xml:space="preserve"> group, with less evidence of efficacy among</w:t>
      </w:r>
      <w:r w:rsidR="009447D0">
        <w:t xml:space="preserve"> patients with preserved ejection fraction</w:t>
      </w:r>
      <w:r w:rsidR="003A50D2">
        <w:t>.</w:t>
      </w:r>
    </w:p>
    <w:p w14:paraId="0D7F984C" w14:textId="0A0D4C5F" w:rsidR="003A50D2" w:rsidRDefault="003A50D2" w:rsidP="003A50D2">
      <w:r>
        <w:t>International guidelines include a third category, heart failure with mid-</w:t>
      </w:r>
      <w:r w:rsidR="009447D0">
        <w:t>range ejection fraction</w:t>
      </w:r>
      <w:r>
        <w:t xml:space="preserve">, where the </w:t>
      </w:r>
      <w:r w:rsidR="009447D0">
        <w:t>left ventricular ejection fraction ranges between 40% and 49%</w:t>
      </w:r>
      <w:r>
        <w:t>.</w:t>
      </w:r>
      <w:r w:rsidR="009447D0" w:rsidRPr="009447D0">
        <w:rPr>
          <w:vertAlign w:val="superscript"/>
        </w:rPr>
        <w:fldChar w:fldCharType="begin"/>
      </w:r>
      <w:r w:rsidR="009447D0" w:rsidRPr="009447D0">
        <w:rPr>
          <w:vertAlign w:val="superscript"/>
        </w:rPr>
        <w:instrText xml:space="preserve"> NOTEREF _Ref63674558 \h </w:instrText>
      </w:r>
      <w:r w:rsidR="009447D0">
        <w:rPr>
          <w:vertAlign w:val="superscript"/>
        </w:rPr>
        <w:instrText xml:space="preserve"> \* MERGEFORMAT </w:instrText>
      </w:r>
      <w:r w:rsidR="009447D0" w:rsidRPr="009447D0">
        <w:rPr>
          <w:vertAlign w:val="superscript"/>
        </w:rPr>
      </w:r>
      <w:r w:rsidR="009447D0" w:rsidRPr="009447D0">
        <w:rPr>
          <w:vertAlign w:val="superscript"/>
        </w:rPr>
        <w:fldChar w:fldCharType="separate"/>
      </w:r>
      <w:r w:rsidR="00504D2B">
        <w:rPr>
          <w:vertAlign w:val="superscript"/>
        </w:rPr>
        <w:t>2</w:t>
      </w:r>
      <w:r w:rsidR="009447D0" w:rsidRPr="009447D0">
        <w:rPr>
          <w:vertAlign w:val="superscript"/>
        </w:rPr>
        <w:fldChar w:fldCharType="end"/>
      </w:r>
      <w:r>
        <w:t xml:space="preserve"> This</w:t>
      </w:r>
      <w:r w:rsidR="009447D0">
        <w:t> </w:t>
      </w:r>
      <w:r>
        <w:t xml:space="preserve">definition is likely to be more relevant for research purposes. It shares features with both </w:t>
      </w:r>
      <w:r w:rsidR="009447D0">
        <w:t>heart failure with reduced</w:t>
      </w:r>
      <w:r w:rsidR="009E678B">
        <w:t xml:space="preserve"> ejection fraction</w:t>
      </w:r>
      <w:r w:rsidR="002A278E">
        <w:t xml:space="preserve">, and </w:t>
      </w:r>
      <w:r w:rsidR="009447D0">
        <w:t>preserved ejection fraction.</w:t>
      </w:r>
    </w:p>
    <w:p w14:paraId="7302450B" w14:textId="77777777" w:rsidR="00514F2C" w:rsidRDefault="003A50D2" w:rsidP="003A50D2">
      <w:r>
        <w:t>The New York Heart Association (NYHA) criteria categorise heart failure into four classes based on</w:t>
      </w:r>
      <w:r w:rsidR="00514F2C">
        <w:t xml:space="preserve"> patient symptoms and function, as shown in Table 2 below</w:t>
      </w:r>
      <w:r>
        <w:t>.</w:t>
      </w:r>
      <w:r w:rsidR="0009745A">
        <w:rPr>
          <w:rStyle w:val="FootnoteReference"/>
        </w:rPr>
        <w:footnoteReference w:id="7"/>
      </w:r>
      <w:r>
        <w:t xml:space="preserve"> Class I describes an asymptomatic cohort that does not appear to satisfy the definitions of either </w:t>
      </w:r>
      <w:r w:rsidR="009447D0">
        <w:t>heart failure with reduced or preserved ejection fraction.</w:t>
      </w:r>
    </w:p>
    <w:p w14:paraId="391FA1FF" w14:textId="3504C8D5" w:rsidR="00514F2C" w:rsidRDefault="00514F2C" w:rsidP="00514F2C">
      <w:pPr>
        <w:pStyle w:val="TableTitle"/>
      </w:pPr>
      <w:r>
        <w:t xml:space="preserve">Table </w:t>
      </w:r>
      <w:fldSimple w:instr=" SEQ Table \* ARABIC ">
        <w:r w:rsidR="00504D2B">
          <w:rPr>
            <w:noProof/>
          </w:rPr>
          <w:t>2</w:t>
        </w:r>
      </w:fldSimple>
      <w:r w:rsidR="0009745A">
        <w:t>: New York Heart Association F</w:t>
      </w:r>
      <w:r>
        <w:t>unctional</w:t>
      </w:r>
      <w:r w:rsidR="0009745A">
        <w:t xml:space="preserve"> C</w:t>
      </w:r>
      <w:r>
        <w:t>lassification of heart failure</w:t>
      </w:r>
    </w:p>
    <w:tbl>
      <w:tblPr>
        <w:tblStyle w:val="TableTGAblue"/>
        <w:tblW w:w="0" w:type="auto"/>
        <w:tblLook w:val="04A0" w:firstRow="1" w:lastRow="0" w:firstColumn="1" w:lastColumn="0" w:noHBand="0" w:noVBand="1"/>
      </w:tblPr>
      <w:tblGrid>
        <w:gridCol w:w="2117"/>
        <w:gridCol w:w="4961"/>
      </w:tblGrid>
      <w:tr w:rsidR="00514F2C" w14:paraId="7897FE36" w14:textId="77777777" w:rsidTr="00C13FAD">
        <w:trPr>
          <w:cnfStyle w:val="100000000000" w:firstRow="1" w:lastRow="0" w:firstColumn="0" w:lastColumn="0" w:oddVBand="0" w:evenVBand="0" w:oddHBand="0" w:evenHBand="0" w:firstRowFirstColumn="0" w:firstRowLastColumn="0" w:lastRowFirstColumn="0" w:lastRowLastColumn="0"/>
        </w:trPr>
        <w:tc>
          <w:tcPr>
            <w:tcW w:w="2117" w:type="dxa"/>
          </w:tcPr>
          <w:p w14:paraId="0D9675CD" w14:textId="77777777" w:rsidR="00514F2C" w:rsidRDefault="00514F2C" w:rsidP="003A50D2">
            <w:r>
              <w:t>Classification</w:t>
            </w:r>
          </w:p>
        </w:tc>
        <w:tc>
          <w:tcPr>
            <w:tcW w:w="4961" w:type="dxa"/>
          </w:tcPr>
          <w:p w14:paraId="6031FBDC" w14:textId="77777777" w:rsidR="00514F2C" w:rsidRPr="001C7E56" w:rsidRDefault="00514F2C" w:rsidP="003A50D2">
            <w:r>
              <w:t>Criteria</w:t>
            </w:r>
          </w:p>
        </w:tc>
      </w:tr>
      <w:tr w:rsidR="001C7E56" w14:paraId="4653F097" w14:textId="77777777" w:rsidTr="00C13FAD">
        <w:tc>
          <w:tcPr>
            <w:tcW w:w="2117" w:type="dxa"/>
          </w:tcPr>
          <w:p w14:paraId="7A004EE8" w14:textId="77777777" w:rsidR="001C7E56" w:rsidRPr="00514F2C" w:rsidRDefault="00514F2C" w:rsidP="00514F2C">
            <w:r w:rsidRPr="00514F2C">
              <w:t>Class I</w:t>
            </w:r>
          </w:p>
        </w:tc>
        <w:tc>
          <w:tcPr>
            <w:tcW w:w="4961" w:type="dxa"/>
          </w:tcPr>
          <w:p w14:paraId="78E00CB2" w14:textId="77777777" w:rsidR="001C7E56" w:rsidRPr="00514F2C" w:rsidRDefault="001C7E56" w:rsidP="00514F2C">
            <w:r w:rsidRPr="00514F2C">
              <w:t>No limitation of ordinary physical activity</w:t>
            </w:r>
          </w:p>
        </w:tc>
      </w:tr>
      <w:tr w:rsidR="001C7E56" w14:paraId="5569C021" w14:textId="77777777" w:rsidTr="00C13FAD">
        <w:tc>
          <w:tcPr>
            <w:tcW w:w="2117" w:type="dxa"/>
          </w:tcPr>
          <w:p w14:paraId="1D41A84D" w14:textId="77777777" w:rsidR="001C7E56" w:rsidRPr="00514F2C" w:rsidRDefault="00514F2C" w:rsidP="00514F2C">
            <w:r w:rsidRPr="00514F2C">
              <w:t>Class II</w:t>
            </w:r>
          </w:p>
        </w:tc>
        <w:tc>
          <w:tcPr>
            <w:tcW w:w="4961" w:type="dxa"/>
          </w:tcPr>
          <w:p w14:paraId="7AE24479" w14:textId="56B3261D" w:rsidR="001C7E56" w:rsidRPr="00514F2C" w:rsidRDefault="00514F2C" w:rsidP="00C13FAD">
            <w:r w:rsidRPr="00514F2C">
              <w:t>Slight limitation of ordinary physical activity</w:t>
            </w:r>
            <w:r w:rsidR="00C13FAD">
              <w:t xml:space="preserve"> </w:t>
            </w:r>
            <w:r w:rsidRPr="00514F2C">
              <w:t>No symptoms at rest</w:t>
            </w:r>
          </w:p>
        </w:tc>
      </w:tr>
      <w:tr w:rsidR="001C7E56" w14:paraId="44FBC0AE" w14:textId="77777777" w:rsidTr="00C13FAD">
        <w:tc>
          <w:tcPr>
            <w:tcW w:w="2117" w:type="dxa"/>
          </w:tcPr>
          <w:p w14:paraId="54FC9AAA" w14:textId="77777777" w:rsidR="001C7E56" w:rsidRPr="00514F2C" w:rsidRDefault="00514F2C" w:rsidP="00514F2C">
            <w:r w:rsidRPr="00514F2C">
              <w:t>Class III</w:t>
            </w:r>
          </w:p>
        </w:tc>
        <w:tc>
          <w:tcPr>
            <w:tcW w:w="4961" w:type="dxa"/>
          </w:tcPr>
          <w:p w14:paraId="79C63C14" w14:textId="01664355" w:rsidR="001C7E56" w:rsidRPr="00514F2C" w:rsidRDefault="00514F2C" w:rsidP="00C13FAD">
            <w:r w:rsidRPr="00514F2C">
              <w:t>Marked limitation of ordinary physical activity</w:t>
            </w:r>
            <w:r w:rsidR="00C13FAD">
              <w:t xml:space="preserve"> </w:t>
            </w:r>
            <w:r w:rsidRPr="00514F2C">
              <w:t>No symptoms at rest</w:t>
            </w:r>
          </w:p>
        </w:tc>
      </w:tr>
      <w:tr w:rsidR="001C7E56" w14:paraId="4D4F41A3" w14:textId="77777777" w:rsidTr="00C13FAD">
        <w:tc>
          <w:tcPr>
            <w:tcW w:w="2117" w:type="dxa"/>
          </w:tcPr>
          <w:p w14:paraId="091B9EF8" w14:textId="77777777" w:rsidR="001C7E56" w:rsidRPr="00514F2C" w:rsidRDefault="00514F2C" w:rsidP="00514F2C">
            <w:r w:rsidRPr="00514F2C">
              <w:t>Class IV</w:t>
            </w:r>
          </w:p>
        </w:tc>
        <w:tc>
          <w:tcPr>
            <w:tcW w:w="4961" w:type="dxa"/>
          </w:tcPr>
          <w:p w14:paraId="03AE35B6" w14:textId="77777777" w:rsidR="001C7E56" w:rsidRPr="00514F2C" w:rsidRDefault="00514F2C" w:rsidP="00514F2C">
            <w:r w:rsidRPr="00514F2C">
              <w:t>Symptoms on any physical activity or at rest</w:t>
            </w:r>
          </w:p>
        </w:tc>
      </w:tr>
    </w:tbl>
    <w:p w14:paraId="7495DEBB" w14:textId="77777777" w:rsidR="003A50D2" w:rsidRDefault="00514F2C" w:rsidP="003A50D2">
      <w:r>
        <w:t>Australian and I</w:t>
      </w:r>
      <w:r w:rsidR="003A50D2">
        <w:t>nternational guidelines regarding the optimal t</w:t>
      </w:r>
      <w:r>
        <w:t>reatment of heart failure</w:t>
      </w:r>
      <w:r w:rsidR="003A50D2">
        <w:t xml:space="preserve"> (after addressing any underlying preventable or treatable cause of the syndrome) agree that the initial management of </w:t>
      </w:r>
      <w:r w:rsidR="0009745A">
        <w:t>heart failure with reduced ejection fraction</w:t>
      </w:r>
      <w:r w:rsidR="003A50D2">
        <w:t xml:space="preserve"> should include angiotensin converting enzyme </w:t>
      </w:r>
      <w:r w:rsidR="00F807C5">
        <w:t xml:space="preserve">inhibitors </w:t>
      </w:r>
      <w:r w:rsidR="003A50D2">
        <w:t>(ACE</w:t>
      </w:r>
      <w:r w:rsidR="00F807C5">
        <w:t xml:space="preserve">-I) </w:t>
      </w:r>
      <w:r w:rsidR="003A50D2">
        <w:t>if tolerated, otherwise</w:t>
      </w:r>
      <w:r w:rsidR="00F807C5">
        <w:t xml:space="preserve"> substituted for</w:t>
      </w:r>
      <w:r w:rsidR="003A50D2">
        <w:t xml:space="preserve"> angiotensin II receptor blocke</w:t>
      </w:r>
      <w:r w:rsidR="00F807C5">
        <w:t>rs</w:t>
      </w:r>
      <w:r w:rsidR="003A50D2">
        <w:t xml:space="preserve"> </w:t>
      </w:r>
      <w:r w:rsidR="00F807C5">
        <w:t>(</w:t>
      </w:r>
      <w:r w:rsidR="003A50D2">
        <w:t>ARB), beta blockers and low-dose mineraloc</w:t>
      </w:r>
      <w:r w:rsidR="0009745A">
        <w:t>orticoid receptor agonists</w:t>
      </w:r>
      <w:r w:rsidR="003A50D2">
        <w:t xml:space="preserve">, to improve survival and </w:t>
      </w:r>
      <w:r w:rsidR="00F807C5">
        <w:t>decrease hospitalisations for heart failure</w:t>
      </w:r>
      <w:r w:rsidR="003A50D2">
        <w:t xml:space="preserve">. Additional therapies, depending on the patient and the contributing pathology, may include diuretics, </w:t>
      </w:r>
      <w:proofErr w:type="spellStart"/>
      <w:r w:rsidR="003A50D2">
        <w:t>ivabradine</w:t>
      </w:r>
      <w:proofErr w:type="spellEnd"/>
      <w:r w:rsidR="003A50D2">
        <w:t>, or change from ACE-I/ARB to an angiotensin rece</w:t>
      </w:r>
      <w:r w:rsidR="0009745A">
        <w:t xml:space="preserve">ptor </w:t>
      </w:r>
      <w:proofErr w:type="spellStart"/>
      <w:r w:rsidR="0009745A">
        <w:t>neprilysin</w:t>
      </w:r>
      <w:proofErr w:type="spellEnd"/>
      <w:r w:rsidR="0009745A">
        <w:t xml:space="preserve"> inhibitor</w:t>
      </w:r>
      <w:r w:rsidR="003A50D2">
        <w:t xml:space="preserve">, for example </w:t>
      </w:r>
      <w:proofErr w:type="spellStart"/>
      <w:r w:rsidR="003A50D2">
        <w:t>sacubitril</w:t>
      </w:r>
      <w:proofErr w:type="spellEnd"/>
      <w:r w:rsidR="003A50D2">
        <w:t xml:space="preserve">-valsartan. Patients with </w:t>
      </w:r>
      <w:r w:rsidR="0009745A">
        <w:t>heart failure with preserved ejection fraction</w:t>
      </w:r>
      <w:r w:rsidR="003A50D2">
        <w:t xml:space="preserve"> may be adequately treated with diuretics and management of hypertension if present; patients with valvular, pericardial or congenital heart disease may benefit from a surgical intervention, including implanted electronic devices. A multidisciplinary approach that involves physiotherapy, exercise interventions, </w:t>
      </w:r>
      <w:r w:rsidR="00B0381E">
        <w:t>dietitians, psychologists and heart failure</w:t>
      </w:r>
      <w:r w:rsidR="003A50D2">
        <w:t xml:space="preserve"> nurses may also improve survival and</w:t>
      </w:r>
      <w:r w:rsidR="00B0381E">
        <w:t xml:space="preserve"> decrease re</w:t>
      </w:r>
      <w:r w:rsidR="00B0381E">
        <w:noBreakHyphen/>
      </w:r>
      <w:r w:rsidR="003A50D2">
        <w:t>hospitalisations.</w:t>
      </w:r>
    </w:p>
    <w:p w14:paraId="348EA7F1" w14:textId="77777777" w:rsidR="003A50D2" w:rsidRDefault="003A50D2" w:rsidP="003A50D2">
      <w:r>
        <w:t xml:space="preserve">More recently, some sodium glucose co-transporter 2 (SGLT2) inhibitors have shown improved outcomes in patients with </w:t>
      </w:r>
      <w:r w:rsidR="00B0381E">
        <w:t>heart failure and type 2 diabetes m</w:t>
      </w:r>
      <w:r>
        <w:t>ellitus (T2DM). A</w:t>
      </w:r>
      <w:r w:rsidR="00B0381E">
        <w:t xml:space="preserve">mong those, </w:t>
      </w:r>
      <w:proofErr w:type="spellStart"/>
      <w:r w:rsidR="00B0381E">
        <w:t>dapagliflozin</w:t>
      </w:r>
      <w:proofErr w:type="spellEnd"/>
      <w:r>
        <w:t xml:space="preserve"> is a selective competitive SGLT2 inhibitor that was first approved in Australia in 2012 as a treatment for T2DM, based on its </w:t>
      </w:r>
      <w:proofErr w:type="spellStart"/>
      <w:r>
        <w:t>glucuretic</w:t>
      </w:r>
      <w:proofErr w:type="spellEnd"/>
      <w:r>
        <w:t xml:space="preserve"> properties. Mo</w:t>
      </w:r>
      <w:r w:rsidR="00B0381E">
        <w:t>re recent research (</w:t>
      </w:r>
      <w:r w:rsidR="0009745A">
        <w:t xml:space="preserve">from </w:t>
      </w:r>
      <w:r w:rsidR="00B0381E">
        <w:t>the DECLARE</w:t>
      </w:r>
      <w:r w:rsidR="00B0381E">
        <w:noBreakHyphen/>
        <w:t>TIMI 58 trial</w:t>
      </w:r>
      <w:r>
        <w:t xml:space="preserve">) reported that </w:t>
      </w:r>
      <w:proofErr w:type="spellStart"/>
      <w:r w:rsidR="001C6492">
        <w:t>dapagliflozin</w:t>
      </w:r>
      <w:proofErr w:type="spellEnd"/>
      <w:r>
        <w:t xml:space="preserve"> can reduce the risk of hospitalisation for heart failure in adults with T2DM together with established cardiovascular disease or with risk factors for cardiovascular disease.</w:t>
      </w:r>
      <w:r w:rsidR="0009745A">
        <w:rPr>
          <w:rStyle w:val="FootnoteReference"/>
        </w:rPr>
        <w:footnoteReference w:id="8"/>
      </w:r>
    </w:p>
    <w:p w14:paraId="5FCD93B4" w14:textId="77777777" w:rsidR="003A50D2" w:rsidRDefault="00B0381E" w:rsidP="003A50D2">
      <w:proofErr w:type="spellStart"/>
      <w:r>
        <w:t>Dapagliflozin</w:t>
      </w:r>
      <w:proofErr w:type="spellEnd"/>
      <w:r w:rsidR="003A50D2">
        <w:t xml:space="preserve"> is a reversible inhibitor of SGLT2, a receptor selectively expressed in the proximal convoluted tubules in the kidney. SGLT2 is the major transporter for glucose reabsorption in the kidney. The inhibition of renal glucose reabsorption results in increased glucose excretion in the urine (glycosuria). SGLT2 inhibitors also promote renal sodium excretion (</w:t>
      </w:r>
      <w:proofErr w:type="spellStart"/>
      <w:r w:rsidR="003A50D2">
        <w:t>natriuresis</w:t>
      </w:r>
      <w:proofErr w:type="spellEnd"/>
      <w:r w:rsidR="003A50D2">
        <w:t xml:space="preserve">) and activate tubule-glomerular feedback. This leads to a reduced </w:t>
      </w:r>
      <w:proofErr w:type="spellStart"/>
      <w:r w:rsidR="003A50D2">
        <w:t>transcapillary</w:t>
      </w:r>
      <w:proofErr w:type="spellEnd"/>
      <w:r w:rsidR="003A50D2">
        <w:t xml:space="preserve"> pressure gradient and reduced albumin excretion by the kidney. The diuretic effect of glycosuria and </w:t>
      </w:r>
      <w:proofErr w:type="spellStart"/>
      <w:r w:rsidR="003A50D2">
        <w:t>natriuresis</w:t>
      </w:r>
      <w:proofErr w:type="spellEnd"/>
      <w:r w:rsidR="003A50D2">
        <w:t xml:space="preserve"> causes a reduction in plasma volume, decreased cardiac pre-load and wall stress.</w:t>
      </w:r>
    </w:p>
    <w:p w14:paraId="6CA84158" w14:textId="77777777" w:rsidR="008E7846" w:rsidRDefault="00386150" w:rsidP="008E7846">
      <w:pPr>
        <w:pStyle w:val="Heading3"/>
      </w:pPr>
      <w:bookmarkStart w:id="17" w:name="_Toc314842485"/>
      <w:bookmarkStart w:id="18" w:name="_Toc247691504"/>
      <w:bookmarkStart w:id="19" w:name="_Toc69894097"/>
      <w:r>
        <w:t>Regulatory s</w:t>
      </w:r>
      <w:r w:rsidR="008E7846">
        <w:t>tatus</w:t>
      </w:r>
      <w:bookmarkEnd w:id="17"/>
      <w:bookmarkEnd w:id="18"/>
      <w:bookmarkEnd w:id="19"/>
    </w:p>
    <w:p w14:paraId="0DDFCED3" w14:textId="77777777" w:rsidR="006B370E" w:rsidRPr="006B370E" w:rsidRDefault="006B370E" w:rsidP="006B370E">
      <w:pPr>
        <w:pStyle w:val="Heading4"/>
      </w:pPr>
      <w:r>
        <w:t>Australian regulatory status</w:t>
      </w:r>
    </w:p>
    <w:p w14:paraId="5E0E1FE2" w14:textId="77777777" w:rsidR="00006FAB" w:rsidRDefault="00B0381E" w:rsidP="00006FAB">
      <w:bookmarkStart w:id="20" w:name="_Toc247691505"/>
      <w:bookmarkStart w:id="21" w:name="_Toc314842486"/>
      <w:proofErr w:type="spellStart"/>
      <w:r>
        <w:t>Dapagliflozin</w:t>
      </w:r>
      <w:proofErr w:type="spellEnd"/>
      <w:r w:rsidR="00006FAB">
        <w:t xml:space="preserve"> received initial registration on the Australian Register of Therapeutic </w:t>
      </w:r>
      <w:r w:rsidR="00303D5B">
        <w:t xml:space="preserve">Goods (ARTG) </w:t>
      </w:r>
      <w:r w:rsidR="009C46EE">
        <w:t>in</w:t>
      </w:r>
      <w:r w:rsidR="00303D5B">
        <w:t xml:space="preserve"> October 2012</w:t>
      </w:r>
      <w:r w:rsidR="000E4B8F">
        <w:t xml:space="preserve"> to improve glycaemic control in type 2 diabetes mellitus with the </w:t>
      </w:r>
      <w:r>
        <w:t>following indication:</w:t>
      </w:r>
    </w:p>
    <w:p w14:paraId="5EEA19E2" w14:textId="77777777" w:rsidR="00501BC9" w:rsidRPr="000E4B8F" w:rsidRDefault="00B0381E" w:rsidP="00B0381E">
      <w:pPr>
        <w:ind w:left="720"/>
        <w:rPr>
          <w:b/>
          <w:i/>
        </w:rPr>
      </w:pPr>
      <w:r w:rsidRPr="000E4B8F">
        <w:rPr>
          <w:b/>
          <w:i/>
        </w:rPr>
        <w:t>Monotherapy</w:t>
      </w:r>
    </w:p>
    <w:p w14:paraId="55EFEBCF" w14:textId="77777777" w:rsidR="00501BC9" w:rsidRPr="00B0381E" w:rsidRDefault="00501BC9" w:rsidP="009C46EE">
      <w:pPr>
        <w:ind w:left="720"/>
        <w:rPr>
          <w:i/>
        </w:rPr>
      </w:pPr>
      <w:proofErr w:type="spellStart"/>
      <w:r w:rsidRPr="00B0381E">
        <w:rPr>
          <w:i/>
        </w:rPr>
        <w:t>Dapagliflozin</w:t>
      </w:r>
      <w:proofErr w:type="spellEnd"/>
      <w:r w:rsidRPr="00B0381E">
        <w:rPr>
          <w:i/>
        </w:rPr>
        <w:t xml:space="preserve"> is indicated as an adjunct to diet and exercise in patients with type 2 diabetes mellitus for whom metformin is otherwise indicated but was not tolerated.</w:t>
      </w:r>
    </w:p>
    <w:p w14:paraId="703655F0" w14:textId="77777777" w:rsidR="00501BC9" w:rsidRPr="000E4B8F" w:rsidRDefault="00501BC9" w:rsidP="00B0381E">
      <w:pPr>
        <w:ind w:left="720"/>
        <w:rPr>
          <w:b/>
          <w:i/>
        </w:rPr>
      </w:pPr>
      <w:r w:rsidRPr="000E4B8F">
        <w:rPr>
          <w:b/>
          <w:i/>
        </w:rPr>
        <w:t>Initial combination</w:t>
      </w:r>
    </w:p>
    <w:p w14:paraId="6F8BCE0C" w14:textId="02DDE043" w:rsidR="00501BC9" w:rsidRPr="00B0381E" w:rsidRDefault="00501BC9" w:rsidP="009C46EE">
      <w:pPr>
        <w:ind w:left="720"/>
        <w:rPr>
          <w:i/>
        </w:rPr>
      </w:pPr>
      <w:proofErr w:type="spellStart"/>
      <w:r w:rsidRPr="00B0381E">
        <w:rPr>
          <w:i/>
        </w:rPr>
        <w:t>Dapagliflozin</w:t>
      </w:r>
      <w:proofErr w:type="spellEnd"/>
      <w:r w:rsidRPr="00B0381E">
        <w:rPr>
          <w:i/>
        </w:rPr>
        <w:t xml:space="preserve"> is indicated for use as initial combination therapy with metformin, as an adjunct to diet and exercise, to improve glyc</w:t>
      </w:r>
      <w:r w:rsidR="00723348">
        <w:rPr>
          <w:i/>
        </w:rPr>
        <w:t>a</w:t>
      </w:r>
      <w:r w:rsidRPr="00B0381E">
        <w:rPr>
          <w:i/>
        </w:rPr>
        <w:t>emic control in patients with type 2 diabetes mellitus when diet and exercise have failed to provide adequate glyc</w:t>
      </w:r>
      <w:r w:rsidR="00723348">
        <w:rPr>
          <w:i/>
        </w:rPr>
        <w:t>a</w:t>
      </w:r>
      <w:r w:rsidRPr="00B0381E">
        <w:rPr>
          <w:i/>
        </w:rPr>
        <w:t>emic control and there are poor prospects for response to metformin monotherapy (for example, high initial HbA1c levels).</w:t>
      </w:r>
    </w:p>
    <w:p w14:paraId="616C97EC" w14:textId="77777777" w:rsidR="00501BC9" w:rsidRPr="000E4B8F" w:rsidRDefault="00501BC9" w:rsidP="00B0381E">
      <w:pPr>
        <w:ind w:left="720"/>
        <w:rPr>
          <w:b/>
          <w:i/>
        </w:rPr>
      </w:pPr>
      <w:r w:rsidRPr="000E4B8F">
        <w:rPr>
          <w:b/>
          <w:i/>
        </w:rPr>
        <w:t>Add-on combination</w:t>
      </w:r>
    </w:p>
    <w:p w14:paraId="1E0D126D" w14:textId="58C0E38B" w:rsidR="00501BC9" w:rsidRPr="00B0381E" w:rsidRDefault="00501BC9" w:rsidP="00B0381E">
      <w:pPr>
        <w:ind w:left="720"/>
        <w:rPr>
          <w:i/>
        </w:rPr>
      </w:pPr>
      <w:proofErr w:type="spellStart"/>
      <w:r w:rsidRPr="00B0381E">
        <w:rPr>
          <w:i/>
        </w:rPr>
        <w:t>Dapagliflozin</w:t>
      </w:r>
      <w:proofErr w:type="spellEnd"/>
      <w:r w:rsidRPr="00B0381E">
        <w:rPr>
          <w:i/>
        </w:rPr>
        <w:t xml:space="preserve"> is indicated in patients with type 2 diabetes mellitus to improve glyc</w:t>
      </w:r>
      <w:r w:rsidR="00723348">
        <w:rPr>
          <w:i/>
        </w:rPr>
        <w:t>a</w:t>
      </w:r>
      <w:r w:rsidRPr="00B0381E">
        <w:rPr>
          <w:i/>
        </w:rPr>
        <w:t>emic control:</w:t>
      </w:r>
    </w:p>
    <w:p w14:paraId="7688A354" w14:textId="7AE62ACD" w:rsidR="00501BC9" w:rsidRPr="00B0381E" w:rsidRDefault="00501BC9" w:rsidP="009C46EE">
      <w:pPr>
        <w:ind w:left="720"/>
        <w:rPr>
          <w:i/>
        </w:rPr>
      </w:pPr>
      <w:r w:rsidRPr="00B0381E">
        <w:rPr>
          <w:i/>
        </w:rPr>
        <w:t>in combination with metformin, when metformin alone with diet and exercise does not provide adequate glyc</w:t>
      </w:r>
      <w:r w:rsidR="00723348">
        <w:rPr>
          <w:i/>
        </w:rPr>
        <w:t>a</w:t>
      </w:r>
      <w:r w:rsidRPr="00B0381E">
        <w:rPr>
          <w:i/>
        </w:rPr>
        <w:t>emic control;</w:t>
      </w:r>
    </w:p>
    <w:p w14:paraId="72EED582" w14:textId="6B04FC79" w:rsidR="00501BC9" w:rsidRPr="00B0381E" w:rsidRDefault="00501BC9" w:rsidP="009C46EE">
      <w:pPr>
        <w:ind w:left="720"/>
        <w:rPr>
          <w:i/>
        </w:rPr>
      </w:pPr>
      <w:r w:rsidRPr="00B0381E">
        <w:rPr>
          <w:i/>
        </w:rPr>
        <w:t>in combination with a sulfonylurea (SU), when a SU alone with diet and exercise does not provide adequate glyc</w:t>
      </w:r>
      <w:r w:rsidR="00723348">
        <w:rPr>
          <w:i/>
        </w:rPr>
        <w:t>a</w:t>
      </w:r>
      <w:r w:rsidRPr="00B0381E">
        <w:rPr>
          <w:i/>
        </w:rPr>
        <w:t>emic control;</w:t>
      </w:r>
    </w:p>
    <w:p w14:paraId="4F81D024" w14:textId="39568D7E" w:rsidR="00501BC9" w:rsidRDefault="00501BC9" w:rsidP="009C46EE">
      <w:pPr>
        <w:ind w:left="720"/>
        <w:rPr>
          <w:i/>
        </w:rPr>
      </w:pPr>
      <w:r w:rsidRPr="00B0381E">
        <w:rPr>
          <w:i/>
        </w:rPr>
        <w:t>in combination with insulin (alone or with one or both of metformin or a sulfonylurea [SU]) when the existing therapy, along with diet and exercise, does not provide adequate glyc</w:t>
      </w:r>
      <w:r w:rsidR="00723348">
        <w:rPr>
          <w:i/>
        </w:rPr>
        <w:t>a</w:t>
      </w:r>
      <w:r w:rsidRPr="00B0381E">
        <w:rPr>
          <w:i/>
        </w:rPr>
        <w:t>emic control.</w:t>
      </w:r>
    </w:p>
    <w:p w14:paraId="421ACEEB" w14:textId="77777777" w:rsidR="000E4B8F" w:rsidRPr="009C46EE" w:rsidRDefault="009C46EE" w:rsidP="009C46EE">
      <w:r>
        <w:t>The current indication to improve glycaemic control in adults with type 2 diabetes mellitus is as follows:</w:t>
      </w:r>
    </w:p>
    <w:p w14:paraId="1980DF0C" w14:textId="77777777" w:rsidR="009C46EE" w:rsidRPr="009C46EE" w:rsidRDefault="00303D5B" w:rsidP="009C46EE">
      <w:pPr>
        <w:ind w:left="720"/>
        <w:rPr>
          <w:b/>
          <w:i/>
        </w:rPr>
      </w:pPr>
      <w:r w:rsidRPr="009C46EE">
        <w:rPr>
          <w:b/>
          <w:i/>
        </w:rPr>
        <w:t>Type 2 diabete</w:t>
      </w:r>
      <w:r w:rsidR="009C46EE" w:rsidRPr="009C46EE">
        <w:rPr>
          <w:b/>
          <w:i/>
        </w:rPr>
        <w:t>s mellitus - Glycaemic control:</w:t>
      </w:r>
    </w:p>
    <w:p w14:paraId="7FF98262" w14:textId="77777777" w:rsidR="009C46EE" w:rsidRDefault="009C46EE" w:rsidP="009C46EE">
      <w:pPr>
        <w:ind w:left="720"/>
        <w:rPr>
          <w:i/>
        </w:rPr>
      </w:pPr>
      <w:proofErr w:type="spellStart"/>
      <w:r w:rsidRPr="009C46EE">
        <w:rPr>
          <w:i/>
        </w:rPr>
        <w:t>Forxiga</w:t>
      </w:r>
      <w:proofErr w:type="spellEnd"/>
      <w:r w:rsidR="00303D5B" w:rsidRPr="009C46EE">
        <w:rPr>
          <w:i/>
        </w:rPr>
        <w:t xml:space="preserve"> is indicated in adults with type 2 diabetes mellitus as monotherapy as an adjunct to diet and exercise in patients for whom metformin is otherwise indicated but was not tolerated; as initial combination therapy with metformin, as an adjunct to diet and exercise, to improve glycaemic control when diet and exercise have failed to provide adequate glycaemic control and there are poor prospects for response to metformin monotherapy (for example, high initial haemoglobin A1c [HbA1c] levels); in combination with other anti-hyperglycaemic agents to improve glycaemic control, when these together with diet and exercise, do not provide adequate glycaemic control (see section 5.1 Pharmacodynamic properties - Clinical trials and section 4.4 Special warnings and precautions for use for available data on different</w:t>
      </w:r>
      <w:r w:rsidRPr="009C46EE">
        <w:rPr>
          <w:i/>
        </w:rPr>
        <w:t xml:space="preserve"> add-on combination therapies).</w:t>
      </w:r>
    </w:p>
    <w:p w14:paraId="220BDE31" w14:textId="77777777" w:rsidR="009C46EE" w:rsidRPr="009C46EE" w:rsidRDefault="009C46EE" w:rsidP="00C13FAD">
      <w:r>
        <w:t xml:space="preserve">In April 2020 </w:t>
      </w:r>
      <w:proofErr w:type="spellStart"/>
      <w:r>
        <w:t>dapagliflozin</w:t>
      </w:r>
      <w:proofErr w:type="spellEnd"/>
      <w:r>
        <w:t xml:space="preserve"> was approved for use in the prevention of hospitalisation for heart failure in adults with type 2 diabetes mellitu</w:t>
      </w:r>
      <w:r w:rsidR="0009745A">
        <w:t>s with the following indication:</w:t>
      </w:r>
    </w:p>
    <w:p w14:paraId="3C57C98E" w14:textId="77777777" w:rsidR="009C46EE" w:rsidRPr="009C46EE" w:rsidRDefault="00303D5B" w:rsidP="0009745A">
      <w:pPr>
        <w:keepNext/>
        <w:ind w:left="720"/>
        <w:rPr>
          <w:b/>
          <w:i/>
        </w:rPr>
      </w:pPr>
      <w:r w:rsidRPr="009C46EE">
        <w:rPr>
          <w:b/>
          <w:i/>
        </w:rPr>
        <w:t>Type 2 diabetes mellitus - Prevention of hos</w:t>
      </w:r>
      <w:r w:rsidR="009C46EE" w:rsidRPr="009C46EE">
        <w:rPr>
          <w:b/>
          <w:i/>
        </w:rPr>
        <w:t>pitalisation for heart failure:</w:t>
      </w:r>
    </w:p>
    <w:p w14:paraId="0EDC1891" w14:textId="77777777" w:rsidR="00303D5B" w:rsidRPr="009C46EE" w:rsidRDefault="009C46EE" w:rsidP="0009745A">
      <w:pPr>
        <w:keepNext/>
        <w:ind w:left="720"/>
        <w:rPr>
          <w:i/>
        </w:rPr>
      </w:pPr>
      <w:proofErr w:type="spellStart"/>
      <w:r w:rsidRPr="009C46EE">
        <w:rPr>
          <w:i/>
        </w:rPr>
        <w:t>Forxiga</w:t>
      </w:r>
      <w:proofErr w:type="spellEnd"/>
      <w:r w:rsidR="00303D5B" w:rsidRPr="009C46EE">
        <w:rPr>
          <w:i/>
        </w:rPr>
        <w:t xml:space="preserve"> is indicated in adults with type 2 diabetes mellitus and established cardiovascular disease or risk factors for cardiovascular disease to reduce the risk of hospitalization for heart failure (see section 5.1 Pharmacodynamic</w:t>
      </w:r>
      <w:r w:rsidRPr="009C46EE">
        <w:rPr>
          <w:i/>
        </w:rPr>
        <w:t xml:space="preserve"> properties - Clinical trials).</w:t>
      </w:r>
    </w:p>
    <w:p w14:paraId="2CA72D32" w14:textId="77777777" w:rsidR="00006FAB" w:rsidRDefault="006B370E" w:rsidP="006B370E">
      <w:pPr>
        <w:pStyle w:val="Heading4"/>
      </w:pPr>
      <w:r>
        <w:t>International regulatory status</w:t>
      </w:r>
    </w:p>
    <w:p w14:paraId="247DABAF" w14:textId="77777777" w:rsidR="00501BC9" w:rsidRPr="00501BC9" w:rsidRDefault="00505556" w:rsidP="00501BC9">
      <w:proofErr w:type="spellStart"/>
      <w:r>
        <w:t>Dapagliflozin</w:t>
      </w:r>
      <w:proofErr w:type="spellEnd"/>
      <w:r>
        <w:t xml:space="preserve"> was submitted to the European Medicines Agency</w:t>
      </w:r>
      <w:r w:rsidR="0009745A">
        <w:t xml:space="preserve"> (EMA)</w:t>
      </w:r>
      <w:r>
        <w:t xml:space="preserve"> in November 2019 and </w:t>
      </w:r>
      <w:r w:rsidR="00501BC9" w:rsidRPr="00501BC9">
        <w:t>is under evaluation</w:t>
      </w:r>
      <w:r>
        <w:t xml:space="preserve"> for use</w:t>
      </w:r>
      <w:r w:rsidR="00501BC9" w:rsidRPr="00501BC9">
        <w:t xml:space="preserve"> in the European Union</w:t>
      </w:r>
      <w:r w:rsidR="0009745A">
        <w:t xml:space="preserve"> (EU)</w:t>
      </w:r>
      <w:r w:rsidR="00501BC9" w:rsidRPr="00501BC9">
        <w:t xml:space="preserve"> </w:t>
      </w:r>
      <w:r>
        <w:t>for the following proposed indication:</w:t>
      </w:r>
    </w:p>
    <w:p w14:paraId="04302E39" w14:textId="77777777" w:rsidR="00501BC9" w:rsidRPr="00501BC9" w:rsidRDefault="00501BC9" w:rsidP="00501BC9">
      <w:pPr>
        <w:ind w:left="720"/>
        <w:rPr>
          <w:i/>
        </w:rPr>
      </w:pPr>
      <w:proofErr w:type="spellStart"/>
      <w:r w:rsidRPr="00501BC9">
        <w:rPr>
          <w:i/>
        </w:rPr>
        <w:t>Forxiga</w:t>
      </w:r>
      <w:proofErr w:type="spellEnd"/>
      <w:r w:rsidRPr="00501BC9">
        <w:rPr>
          <w:i/>
        </w:rPr>
        <w:t xml:space="preserve"> is indicated in adults for the treatment of symptomatic chronic heart failure with reduced ejection fraction</w:t>
      </w:r>
      <w:r w:rsidR="00505556">
        <w:rPr>
          <w:i/>
        </w:rPr>
        <w:t>.</w:t>
      </w:r>
    </w:p>
    <w:p w14:paraId="4769E56C" w14:textId="77777777" w:rsidR="00501BC9" w:rsidRPr="00501BC9" w:rsidRDefault="00505556" w:rsidP="00501BC9">
      <w:proofErr w:type="spellStart"/>
      <w:r>
        <w:t>Dapagliflozin</w:t>
      </w:r>
      <w:proofErr w:type="spellEnd"/>
      <w:r w:rsidR="00501BC9" w:rsidRPr="00501BC9">
        <w:t xml:space="preserve"> was</w:t>
      </w:r>
      <w:r>
        <w:t xml:space="preserve"> submitted to Health Canada in December 2019 and approved in June </w:t>
      </w:r>
      <w:r w:rsidR="00501BC9" w:rsidRPr="00501BC9">
        <w:t>202</w:t>
      </w:r>
      <w:r>
        <w:t>0 with the following indication:</w:t>
      </w:r>
    </w:p>
    <w:p w14:paraId="44933A39" w14:textId="77777777" w:rsidR="00501BC9" w:rsidRPr="00505556" w:rsidRDefault="00501BC9" w:rsidP="00505556">
      <w:pPr>
        <w:ind w:left="720"/>
        <w:rPr>
          <w:i/>
        </w:rPr>
      </w:pPr>
      <w:proofErr w:type="spellStart"/>
      <w:r w:rsidRPr="00505556">
        <w:rPr>
          <w:i/>
        </w:rPr>
        <w:t>Forxiga</w:t>
      </w:r>
      <w:proofErr w:type="spellEnd"/>
      <w:r w:rsidRPr="00505556">
        <w:rPr>
          <w:i/>
        </w:rPr>
        <w:t xml:space="preserve"> is indicated in adults, as an adjunct to standard of care therapy, for the treatment of heart failure with reduced ejection fraction (</w:t>
      </w:r>
      <w:proofErr w:type="spellStart"/>
      <w:r w:rsidRPr="00505556">
        <w:rPr>
          <w:i/>
        </w:rPr>
        <w:t>HFrEF</w:t>
      </w:r>
      <w:proofErr w:type="spellEnd"/>
      <w:r w:rsidRPr="00505556">
        <w:rPr>
          <w:i/>
        </w:rPr>
        <w:t xml:space="preserve">) to reduce the risk of cardiovascular death, hospitalization for heart failure </w:t>
      </w:r>
      <w:r w:rsidR="00505556" w:rsidRPr="00505556">
        <w:rPr>
          <w:i/>
        </w:rPr>
        <w:t>and urgent heart failure visit.</w:t>
      </w:r>
    </w:p>
    <w:p w14:paraId="5F2D7C50" w14:textId="77777777" w:rsidR="00501BC9" w:rsidRPr="00501BC9" w:rsidRDefault="00501BC9" w:rsidP="00501BC9">
      <w:r w:rsidRPr="00501BC9">
        <w:t xml:space="preserve">Under the trade name </w:t>
      </w:r>
      <w:proofErr w:type="spellStart"/>
      <w:r w:rsidRPr="00501BC9">
        <w:t>F</w:t>
      </w:r>
      <w:r w:rsidR="00505556" w:rsidRPr="00501BC9">
        <w:t>arxiga</w:t>
      </w:r>
      <w:proofErr w:type="spellEnd"/>
      <w:r w:rsidR="00505556">
        <w:t>,</w:t>
      </w:r>
      <w:r w:rsidRPr="00501BC9">
        <w:t xml:space="preserve"> </w:t>
      </w:r>
      <w:proofErr w:type="spellStart"/>
      <w:r w:rsidRPr="00501BC9">
        <w:t>dapagliflozin</w:t>
      </w:r>
      <w:proofErr w:type="spellEnd"/>
      <w:r w:rsidRPr="00501BC9">
        <w:t xml:space="preserve"> was </w:t>
      </w:r>
      <w:r w:rsidR="00505556">
        <w:t xml:space="preserve">submitted to the United States </w:t>
      </w:r>
      <w:r w:rsidR="0009745A">
        <w:t>(US) Food </w:t>
      </w:r>
      <w:r w:rsidR="00505556">
        <w:t>and Drug Administration</w:t>
      </w:r>
      <w:r w:rsidR="0009745A">
        <w:t xml:space="preserve"> (FDA)</w:t>
      </w:r>
      <w:r w:rsidR="00505556">
        <w:t xml:space="preserve"> in November 2019 and </w:t>
      </w:r>
      <w:r w:rsidRPr="00501BC9">
        <w:t>ap</w:t>
      </w:r>
      <w:r w:rsidR="00505556">
        <w:t xml:space="preserve">proved </w:t>
      </w:r>
      <w:r w:rsidRPr="00501BC9">
        <w:t xml:space="preserve">in May 2020 for </w:t>
      </w:r>
      <w:r w:rsidR="00505556">
        <w:t xml:space="preserve">use in </w:t>
      </w:r>
      <w:r w:rsidRPr="00501BC9">
        <w:t>heart failure with</w:t>
      </w:r>
      <w:r w:rsidR="00505556">
        <w:t xml:space="preserve"> the following indication:</w:t>
      </w:r>
    </w:p>
    <w:p w14:paraId="6F070092" w14:textId="77777777" w:rsidR="00501BC9" w:rsidRDefault="00501BC9" w:rsidP="00505556">
      <w:pPr>
        <w:ind w:left="720"/>
        <w:rPr>
          <w:i/>
        </w:rPr>
      </w:pPr>
      <w:r w:rsidRPr="00505556">
        <w:rPr>
          <w:i/>
        </w:rPr>
        <w:t>To reduce the risk of cardiovascular death and hospitalization for heart failure in adults with heart failure with reduced eject</w:t>
      </w:r>
      <w:r w:rsidR="00505556" w:rsidRPr="00505556">
        <w:rPr>
          <w:i/>
        </w:rPr>
        <w:t>ion fraction (NYHA class II-IV).</w:t>
      </w:r>
    </w:p>
    <w:p w14:paraId="7AADD660" w14:textId="2D2FCF72" w:rsidR="001C6492" w:rsidRPr="001C6492" w:rsidRDefault="001C6492" w:rsidP="001C6492">
      <w:r>
        <w:t>Similar applications have been sub</w:t>
      </w:r>
      <w:r w:rsidR="0044420A">
        <w:t>mitted in Singapore (submitted:</w:t>
      </w:r>
      <w:r>
        <w:t xml:space="preserve"> 30 October 2019; approved: 7 July 2020), Switzerland (submitted: 27 January 2020; approved: 2 July 2020) and New Zealand (submitted: 19 February 2020;</w:t>
      </w:r>
      <w:r w:rsidR="009F05A9">
        <w:t xml:space="preserve"> </w:t>
      </w:r>
      <w:r w:rsidR="00A02710">
        <w:t>under evaluation).</w:t>
      </w:r>
    </w:p>
    <w:p w14:paraId="7A060C18" w14:textId="77777777" w:rsidR="006B370E" w:rsidRPr="006B370E" w:rsidRDefault="006B370E" w:rsidP="006B370E">
      <w:r w:rsidRPr="00501BC9">
        <w:t xml:space="preserve">The sponsor stated that there are no significant differences between the data in the Australian submission and the data packages submitted in the </w:t>
      </w:r>
      <w:r w:rsidR="0044420A">
        <w:t>EU</w:t>
      </w:r>
      <w:r w:rsidRPr="00501BC9">
        <w:t xml:space="preserve">, the </w:t>
      </w:r>
      <w:r w:rsidR="0044420A">
        <w:t>USA</w:t>
      </w:r>
      <w:r w:rsidRPr="00501BC9">
        <w:t xml:space="preserve"> and Sing</w:t>
      </w:r>
      <w:r w:rsidR="0044420A">
        <w:t>apore.</w:t>
      </w:r>
    </w:p>
    <w:p w14:paraId="550AF239" w14:textId="77777777" w:rsidR="008E7846" w:rsidRDefault="008E7846" w:rsidP="00940A89">
      <w:pPr>
        <w:pStyle w:val="Heading3"/>
      </w:pPr>
      <w:bookmarkStart w:id="22" w:name="_Toc69894098"/>
      <w:r>
        <w:t>Product Information</w:t>
      </w:r>
      <w:bookmarkEnd w:id="20"/>
      <w:bookmarkEnd w:id="21"/>
      <w:bookmarkEnd w:id="22"/>
    </w:p>
    <w:p w14:paraId="1FFB5824" w14:textId="13996EA5" w:rsidR="00940A89" w:rsidRDefault="006136D7" w:rsidP="00940A89">
      <w:bookmarkStart w:id="23" w:name="_Toc247691506"/>
      <w:bookmarkStart w:id="24"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6" w:history="1">
        <w:r w:rsidR="00441C3F" w:rsidRPr="00441C3F">
          <w:rPr>
            <w:rStyle w:val="Hyperlink"/>
          </w:rPr>
          <w:t>https://www.tga.gov.au/product-information-pi</w:t>
        </w:r>
      </w:hyperlink>
      <w:r w:rsidR="00441C3F">
        <w:t>&gt;</w:t>
      </w:r>
      <w:r w:rsidR="00940A89" w:rsidRPr="00940A89">
        <w:t>.</w:t>
      </w:r>
    </w:p>
    <w:p w14:paraId="087111FB" w14:textId="77777777" w:rsidR="00500337" w:rsidRDefault="00500337" w:rsidP="00500337">
      <w:pPr>
        <w:pStyle w:val="Heading2"/>
      </w:pPr>
      <w:bookmarkStart w:id="25" w:name="_Toc504480011"/>
      <w:bookmarkStart w:id="26" w:name="_Toc69894099"/>
      <w:r>
        <w:t>II. Registration timeline</w:t>
      </w:r>
      <w:bookmarkEnd w:id="25"/>
      <w:bookmarkEnd w:id="26"/>
    </w:p>
    <w:p w14:paraId="74CB86CC" w14:textId="77777777" w:rsidR="00500337" w:rsidRPr="00377BD4" w:rsidRDefault="00500337" w:rsidP="00971E73">
      <w:r>
        <w:t>The following table captures the key steps and dates for this application and which are detaile</w:t>
      </w:r>
      <w:r w:rsidR="00575168">
        <w:t>d and discussed in this AusPAR.</w:t>
      </w:r>
    </w:p>
    <w:p w14:paraId="3EFF3E4A" w14:textId="5C780BD0" w:rsidR="00971E73" w:rsidRDefault="00971E73" w:rsidP="00971E73">
      <w:pPr>
        <w:pStyle w:val="TableTitle"/>
      </w:pPr>
      <w:r>
        <w:t xml:space="preserve">Table </w:t>
      </w:r>
      <w:fldSimple w:instr=" SEQ Table \* ARABIC ">
        <w:r w:rsidR="00504D2B">
          <w:rPr>
            <w:noProof/>
          </w:rPr>
          <w:t>3</w:t>
        </w:r>
      </w:fldSimple>
      <w:r>
        <w:t xml:space="preserve">: </w:t>
      </w:r>
      <w:r w:rsidRPr="006A58A8">
        <w:t>Timeline for Submission PM-20</w:t>
      </w:r>
      <w:r>
        <w:t>19-05370-1-3</w:t>
      </w:r>
    </w:p>
    <w:tbl>
      <w:tblPr>
        <w:tblStyle w:val="TableTGAblue"/>
        <w:tblW w:w="0" w:type="auto"/>
        <w:tblLook w:val="04A0" w:firstRow="1" w:lastRow="0" w:firstColumn="1" w:lastColumn="0" w:noHBand="0" w:noVBand="1"/>
      </w:tblPr>
      <w:tblGrid>
        <w:gridCol w:w="6232"/>
        <w:gridCol w:w="2262"/>
      </w:tblGrid>
      <w:tr w:rsidR="00500337" w14:paraId="644B87B0" w14:textId="77777777" w:rsidTr="00C13FAD">
        <w:trPr>
          <w:cnfStyle w:val="100000000000" w:firstRow="1" w:lastRow="0" w:firstColumn="0" w:lastColumn="0" w:oddVBand="0" w:evenVBand="0" w:oddHBand="0" w:evenHBand="0" w:firstRowFirstColumn="0" w:firstRowLastColumn="0" w:lastRowFirstColumn="0" w:lastRowLastColumn="0"/>
          <w:cantSplit/>
        </w:trPr>
        <w:tc>
          <w:tcPr>
            <w:tcW w:w="6232" w:type="dxa"/>
            <w:tcBorders>
              <w:top w:val="single" w:sz="4" w:space="0" w:color="auto"/>
              <w:left w:val="single" w:sz="4" w:space="0" w:color="auto"/>
              <w:bottom w:val="single" w:sz="4" w:space="0" w:color="auto"/>
              <w:right w:val="single" w:sz="4" w:space="0" w:color="auto"/>
            </w:tcBorders>
          </w:tcPr>
          <w:p w14:paraId="61057239" w14:textId="77777777" w:rsidR="00500337" w:rsidRDefault="00500337" w:rsidP="00500337">
            <w:pPr>
              <w:ind w:left="0" w:right="0"/>
            </w:pPr>
            <w:r>
              <w:t>Description</w:t>
            </w:r>
          </w:p>
        </w:tc>
        <w:tc>
          <w:tcPr>
            <w:tcW w:w="2262" w:type="dxa"/>
            <w:tcBorders>
              <w:top w:val="single" w:sz="4" w:space="0" w:color="auto"/>
              <w:left w:val="single" w:sz="4" w:space="0" w:color="auto"/>
              <w:bottom w:val="single" w:sz="4" w:space="0" w:color="auto"/>
              <w:right w:val="single" w:sz="4" w:space="0" w:color="auto"/>
            </w:tcBorders>
          </w:tcPr>
          <w:p w14:paraId="28FBF0A4" w14:textId="77777777" w:rsidR="00500337" w:rsidRDefault="00500337" w:rsidP="00500337">
            <w:pPr>
              <w:ind w:left="0" w:right="0"/>
            </w:pPr>
            <w:r>
              <w:t>Date</w:t>
            </w:r>
          </w:p>
        </w:tc>
      </w:tr>
      <w:tr w:rsidR="00500337" w14:paraId="65610BE3" w14:textId="77777777" w:rsidTr="00C13FAD">
        <w:tc>
          <w:tcPr>
            <w:tcW w:w="6232" w:type="dxa"/>
            <w:tcBorders>
              <w:top w:val="single" w:sz="4" w:space="0" w:color="auto"/>
            </w:tcBorders>
          </w:tcPr>
          <w:p w14:paraId="40A1490C" w14:textId="77777777" w:rsidR="00500337" w:rsidRDefault="00500337" w:rsidP="00500337">
            <w:pPr>
              <w:ind w:left="0" w:right="0"/>
            </w:pPr>
            <w:r>
              <w:t>Submission dossier accepted and first round evaluation commenced</w:t>
            </w:r>
          </w:p>
        </w:tc>
        <w:tc>
          <w:tcPr>
            <w:tcW w:w="2262" w:type="dxa"/>
            <w:tcBorders>
              <w:top w:val="single" w:sz="4" w:space="0" w:color="auto"/>
            </w:tcBorders>
          </w:tcPr>
          <w:p w14:paraId="067C3099" w14:textId="77777777" w:rsidR="00500337" w:rsidRDefault="00B265B3" w:rsidP="00500337">
            <w:pPr>
              <w:ind w:left="0" w:right="0"/>
            </w:pPr>
            <w:r>
              <w:t>18 December 2019</w:t>
            </w:r>
          </w:p>
        </w:tc>
      </w:tr>
      <w:tr w:rsidR="00500337" w14:paraId="0631AAE8" w14:textId="77777777" w:rsidTr="00C13FAD">
        <w:tc>
          <w:tcPr>
            <w:tcW w:w="6232" w:type="dxa"/>
          </w:tcPr>
          <w:p w14:paraId="5711E70B" w14:textId="77777777" w:rsidR="00500337" w:rsidRDefault="00500337" w:rsidP="00500337">
            <w:pPr>
              <w:ind w:left="0" w:right="0"/>
            </w:pPr>
            <w:r>
              <w:t>First round evaluation completed</w:t>
            </w:r>
          </w:p>
        </w:tc>
        <w:tc>
          <w:tcPr>
            <w:tcW w:w="2262" w:type="dxa"/>
          </w:tcPr>
          <w:p w14:paraId="64D97A32" w14:textId="77777777" w:rsidR="00500337" w:rsidRDefault="00B265B3" w:rsidP="00500337">
            <w:pPr>
              <w:ind w:left="0" w:right="0"/>
            </w:pPr>
            <w:r>
              <w:t>29 May 2020</w:t>
            </w:r>
          </w:p>
        </w:tc>
      </w:tr>
      <w:tr w:rsidR="00500337" w14:paraId="145D180E" w14:textId="77777777" w:rsidTr="00C13FAD">
        <w:tc>
          <w:tcPr>
            <w:tcW w:w="6232" w:type="dxa"/>
          </w:tcPr>
          <w:p w14:paraId="3A76387C" w14:textId="77777777" w:rsidR="00500337" w:rsidRDefault="00500337" w:rsidP="00500337">
            <w:pPr>
              <w:ind w:left="0" w:right="0"/>
            </w:pPr>
            <w:r>
              <w:t>Sponsor provides responses on questions raised in first round evaluation</w:t>
            </w:r>
          </w:p>
        </w:tc>
        <w:tc>
          <w:tcPr>
            <w:tcW w:w="2262" w:type="dxa"/>
          </w:tcPr>
          <w:p w14:paraId="6461BB58" w14:textId="4F556AAE" w:rsidR="00500337" w:rsidRDefault="004377E5" w:rsidP="00500337">
            <w:pPr>
              <w:ind w:left="0" w:right="0"/>
            </w:pPr>
            <w:r>
              <w:t xml:space="preserve">25 </w:t>
            </w:r>
            <w:r w:rsidR="00B265B3">
              <w:t>June 2020</w:t>
            </w:r>
          </w:p>
        </w:tc>
      </w:tr>
      <w:tr w:rsidR="00500337" w14:paraId="044B7433" w14:textId="77777777" w:rsidTr="00C13FAD">
        <w:tc>
          <w:tcPr>
            <w:tcW w:w="6232" w:type="dxa"/>
          </w:tcPr>
          <w:p w14:paraId="527098F1" w14:textId="77777777" w:rsidR="00500337" w:rsidRDefault="00500337" w:rsidP="00500337">
            <w:pPr>
              <w:ind w:left="0" w:right="0"/>
            </w:pPr>
            <w:r>
              <w:t>Second round evaluation completed</w:t>
            </w:r>
          </w:p>
        </w:tc>
        <w:tc>
          <w:tcPr>
            <w:tcW w:w="2262" w:type="dxa"/>
          </w:tcPr>
          <w:p w14:paraId="44A836CF" w14:textId="77777777" w:rsidR="00500337" w:rsidRDefault="00B265B3" w:rsidP="00500337">
            <w:pPr>
              <w:ind w:left="0" w:right="0"/>
            </w:pPr>
            <w:r>
              <w:t>4 August 2020</w:t>
            </w:r>
          </w:p>
        </w:tc>
      </w:tr>
      <w:tr w:rsidR="00500337" w14:paraId="676784DE" w14:textId="77777777" w:rsidTr="00C13FAD">
        <w:tc>
          <w:tcPr>
            <w:tcW w:w="6232" w:type="dxa"/>
          </w:tcPr>
          <w:p w14:paraId="5DB58990" w14:textId="77777777" w:rsidR="00500337" w:rsidRDefault="00324E45" w:rsidP="00B265B3">
            <w:pPr>
              <w:ind w:left="0" w:right="0"/>
            </w:pPr>
            <w:r>
              <w:t xml:space="preserve">Delegate’s Overall benefit-risk assessment </w:t>
            </w:r>
            <w:r w:rsidRPr="00B265B3">
              <w:rPr>
                <w:color w:val="auto"/>
              </w:rPr>
              <w:t>and request</w:t>
            </w:r>
            <w:r w:rsidR="00B265B3" w:rsidRPr="00B265B3">
              <w:rPr>
                <w:color w:val="auto"/>
              </w:rPr>
              <w:t xml:space="preserve"> for Advisory Committee advice</w:t>
            </w:r>
          </w:p>
        </w:tc>
        <w:tc>
          <w:tcPr>
            <w:tcW w:w="2262" w:type="dxa"/>
          </w:tcPr>
          <w:p w14:paraId="186B4CA1" w14:textId="77777777" w:rsidR="00500337" w:rsidRDefault="00B265B3" w:rsidP="00500337">
            <w:pPr>
              <w:ind w:left="0" w:right="0"/>
            </w:pPr>
            <w:r>
              <w:t>27 August 2020</w:t>
            </w:r>
          </w:p>
        </w:tc>
      </w:tr>
      <w:tr w:rsidR="00500337" w14:paraId="1F6BCC00" w14:textId="77777777" w:rsidTr="00C13FAD">
        <w:tc>
          <w:tcPr>
            <w:tcW w:w="6232" w:type="dxa"/>
          </w:tcPr>
          <w:p w14:paraId="09612453" w14:textId="77777777" w:rsidR="00500337" w:rsidRDefault="00500337" w:rsidP="00500337">
            <w:pPr>
              <w:ind w:left="0" w:right="0"/>
            </w:pPr>
            <w:r>
              <w:t>Sponsor’s pre-Advisory Committee response</w:t>
            </w:r>
          </w:p>
        </w:tc>
        <w:tc>
          <w:tcPr>
            <w:tcW w:w="2262" w:type="dxa"/>
          </w:tcPr>
          <w:p w14:paraId="6EBB384D" w14:textId="09724617" w:rsidR="00500337" w:rsidRDefault="00917EC5" w:rsidP="00500337">
            <w:pPr>
              <w:ind w:left="0" w:right="0"/>
            </w:pPr>
            <w:r>
              <w:t>15 September 2020</w:t>
            </w:r>
          </w:p>
        </w:tc>
      </w:tr>
      <w:tr w:rsidR="00500337" w14:paraId="611C7C59" w14:textId="77777777" w:rsidTr="00C13FAD">
        <w:tc>
          <w:tcPr>
            <w:tcW w:w="6232" w:type="dxa"/>
          </w:tcPr>
          <w:p w14:paraId="057DD061" w14:textId="77777777" w:rsidR="00500337" w:rsidRDefault="00500337" w:rsidP="00500337">
            <w:pPr>
              <w:ind w:left="0" w:right="0"/>
            </w:pPr>
            <w:r>
              <w:t>Advisory Committee meeting</w:t>
            </w:r>
          </w:p>
        </w:tc>
        <w:tc>
          <w:tcPr>
            <w:tcW w:w="2262" w:type="dxa"/>
          </w:tcPr>
          <w:p w14:paraId="46AFCB71" w14:textId="476D3429" w:rsidR="00500337" w:rsidRDefault="004377E5" w:rsidP="00500337">
            <w:pPr>
              <w:ind w:left="0" w:right="0"/>
            </w:pPr>
            <w:r>
              <w:t>2</w:t>
            </w:r>
            <w:r w:rsidR="00B265B3">
              <w:t xml:space="preserve"> October 2020</w:t>
            </w:r>
          </w:p>
        </w:tc>
      </w:tr>
      <w:tr w:rsidR="00500337" w14:paraId="3AE9C3D4" w14:textId="77777777" w:rsidTr="00C13FAD">
        <w:tc>
          <w:tcPr>
            <w:tcW w:w="6232" w:type="dxa"/>
          </w:tcPr>
          <w:p w14:paraId="1CDB5B6B" w14:textId="77777777" w:rsidR="00500337" w:rsidRDefault="00500337" w:rsidP="00500337">
            <w:pPr>
              <w:ind w:left="0" w:right="0"/>
            </w:pPr>
            <w:r>
              <w:t>Registration decision (Outcome)</w:t>
            </w:r>
          </w:p>
        </w:tc>
        <w:tc>
          <w:tcPr>
            <w:tcW w:w="2262" w:type="dxa"/>
          </w:tcPr>
          <w:p w14:paraId="264EDFBB" w14:textId="77777777" w:rsidR="00500337" w:rsidRDefault="0044420A" w:rsidP="00500337">
            <w:pPr>
              <w:ind w:left="0" w:right="0"/>
            </w:pPr>
            <w:r>
              <w:t xml:space="preserve">4 </w:t>
            </w:r>
            <w:r w:rsidR="00B265B3">
              <w:t>November 2020</w:t>
            </w:r>
          </w:p>
        </w:tc>
      </w:tr>
      <w:tr w:rsidR="00500337" w14:paraId="14FDF5BA" w14:textId="77777777" w:rsidTr="00C13FAD">
        <w:tc>
          <w:tcPr>
            <w:tcW w:w="6232" w:type="dxa"/>
          </w:tcPr>
          <w:p w14:paraId="350A6D04" w14:textId="77777777" w:rsidR="00500337" w:rsidRDefault="00500337" w:rsidP="00500337">
            <w:pPr>
              <w:ind w:left="0" w:right="0"/>
            </w:pPr>
            <w:r>
              <w:t xml:space="preserve">Completion of administrative activities and registration on </w:t>
            </w:r>
            <w:r w:rsidR="00006FAB">
              <w:t xml:space="preserve">the </w:t>
            </w:r>
            <w:r>
              <w:t>ARTG</w:t>
            </w:r>
          </w:p>
        </w:tc>
        <w:tc>
          <w:tcPr>
            <w:tcW w:w="2262" w:type="dxa"/>
          </w:tcPr>
          <w:p w14:paraId="6C04F37D" w14:textId="77777777" w:rsidR="00500337" w:rsidRDefault="00B265B3" w:rsidP="00500337">
            <w:pPr>
              <w:ind w:left="0" w:right="0"/>
            </w:pPr>
            <w:r>
              <w:t>5 November 2020</w:t>
            </w:r>
          </w:p>
        </w:tc>
      </w:tr>
      <w:tr w:rsidR="00500337" w14:paraId="6B9577D4" w14:textId="77777777" w:rsidTr="00C13FAD">
        <w:tc>
          <w:tcPr>
            <w:tcW w:w="6232" w:type="dxa"/>
          </w:tcPr>
          <w:p w14:paraId="6DC8A906" w14:textId="77777777" w:rsidR="00500337" w:rsidRDefault="00500337" w:rsidP="00500337">
            <w:pPr>
              <w:ind w:left="0" w:right="0"/>
            </w:pPr>
            <w:r>
              <w:t>Number of working days from submission dossier acceptance to registration decision*</w:t>
            </w:r>
          </w:p>
        </w:tc>
        <w:tc>
          <w:tcPr>
            <w:tcW w:w="2262" w:type="dxa"/>
          </w:tcPr>
          <w:p w14:paraId="46093DD2" w14:textId="77777777" w:rsidR="00500337" w:rsidRDefault="00B265B3" w:rsidP="00500337">
            <w:pPr>
              <w:ind w:left="0" w:right="0"/>
            </w:pPr>
            <w:r>
              <w:t>200 days</w:t>
            </w:r>
          </w:p>
        </w:tc>
      </w:tr>
    </w:tbl>
    <w:p w14:paraId="6022F859" w14:textId="77777777" w:rsidR="00500337" w:rsidRDefault="00500337" w:rsidP="00500337">
      <w:pPr>
        <w:pStyle w:val="TableDescription"/>
      </w:pPr>
      <w:r>
        <w:t>*</w:t>
      </w:r>
      <w:r w:rsidR="00BF3774" w:rsidRPr="00BF3774">
        <w:t xml:space="preserve">Statutory </w:t>
      </w:r>
      <w:r>
        <w:t>timeframe for standard applications is 2</w:t>
      </w:r>
      <w:r w:rsidR="00BF3774">
        <w:t>55</w:t>
      </w:r>
      <w:r>
        <w:t xml:space="preserve"> working days</w:t>
      </w:r>
    </w:p>
    <w:p w14:paraId="389E63BF" w14:textId="77777777" w:rsidR="008E7846" w:rsidRPr="00792A32" w:rsidRDefault="00456765" w:rsidP="008E7846">
      <w:pPr>
        <w:pStyle w:val="Heading2"/>
      </w:pPr>
      <w:bookmarkStart w:id="27" w:name="_Toc196046504"/>
      <w:bookmarkStart w:id="28" w:name="_Toc247691527"/>
      <w:bookmarkStart w:id="29" w:name="_Toc314842510"/>
      <w:bookmarkStart w:id="30" w:name="_Toc69894100"/>
      <w:bookmarkStart w:id="31" w:name="_Toc163441390"/>
      <w:bookmarkEnd w:id="23"/>
      <w:bookmarkEnd w:id="24"/>
      <w:bookmarkEnd w:id="1"/>
      <w:r>
        <w:t>I</w:t>
      </w:r>
      <w:r w:rsidR="00DA64CB">
        <w:t>I</w:t>
      </w:r>
      <w:r w:rsidR="008E7846">
        <w:t xml:space="preserve">I. </w:t>
      </w:r>
      <w:r w:rsidR="00006FAB" w:rsidRPr="00006FAB">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27"/>
      <w:bookmarkEnd w:id="28"/>
      <w:bookmarkEnd w:id="29"/>
      <w:bookmarkEnd w:id="30"/>
    </w:p>
    <w:p w14:paraId="2F656211" w14:textId="77777777" w:rsidR="00006FAB" w:rsidRDefault="00006FAB" w:rsidP="00006FAB">
      <w:bookmarkStart w:id="32" w:name="_Toc247691528"/>
      <w:r>
        <w:t>The submission was summarised in the following Delegate’s overview and recommendations.</w:t>
      </w:r>
    </w:p>
    <w:p w14:paraId="5F6FEB2F" w14:textId="77777777" w:rsidR="008E7846" w:rsidRDefault="008E7846" w:rsidP="008E7846">
      <w:pPr>
        <w:pStyle w:val="Heading3"/>
      </w:pPr>
      <w:bookmarkStart w:id="33" w:name="_Toc314842511"/>
      <w:bookmarkStart w:id="34" w:name="_Toc69894101"/>
      <w:r>
        <w:t>Quality</w:t>
      </w:r>
      <w:bookmarkEnd w:id="32"/>
      <w:bookmarkEnd w:id="33"/>
      <w:bookmarkEnd w:id="34"/>
    </w:p>
    <w:p w14:paraId="639E4F13" w14:textId="77777777" w:rsidR="00E45619" w:rsidRDefault="00006FAB" w:rsidP="00006FAB">
      <w:r>
        <w:t>There was no requirement for a quality evaluation in a submission of this type.</w:t>
      </w:r>
    </w:p>
    <w:p w14:paraId="4B4C8669" w14:textId="77777777" w:rsidR="008E7846" w:rsidRDefault="008E7846" w:rsidP="008E7846">
      <w:pPr>
        <w:pStyle w:val="Heading3"/>
      </w:pPr>
      <w:bookmarkStart w:id="35" w:name="_Toc314842512"/>
      <w:bookmarkStart w:id="36" w:name="_Toc69894102"/>
      <w:r>
        <w:t>Nonclinical</w:t>
      </w:r>
      <w:bookmarkEnd w:id="35"/>
      <w:bookmarkEnd w:id="36"/>
    </w:p>
    <w:p w14:paraId="51CD434F" w14:textId="77777777" w:rsidR="00505556" w:rsidRDefault="00505556" w:rsidP="00505556">
      <w:r>
        <w:t xml:space="preserve">The submitted nonclinical data package consisted of one </w:t>
      </w:r>
      <w:r w:rsidRPr="00D37103">
        <w:rPr>
          <w:i/>
        </w:rPr>
        <w:t>in vitro</w:t>
      </w:r>
      <w:r>
        <w:t xml:space="preserve"> and two </w:t>
      </w:r>
      <w:r w:rsidRPr="00D37103">
        <w:rPr>
          <w:i/>
        </w:rPr>
        <w:t>in vivo</w:t>
      </w:r>
      <w:r>
        <w:t xml:space="preserve"> primary pharmacology studies. The </w:t>
      </w:r>
      <w:r w:rsidRPr="006B370E">
        <w:rPr>
          <w:i/>
        </w:rPr>
        <w:t>in vivo</w:t>
      </w:r>
      <w:r>
        <w:t xml:space="preserve"> studies investigated the efficacy and/or potential mechanism of action of </w:t>
      </w:r>
      <w:proofErr w:type="spellStart"/>
      <w:r w:rsidR="00D37103">
        <w:t>dapagliflozin</w:t>
      </w:r>
      <w:proofErr w:type="spellEnd"/>
      <w:r>
        <w:t xml:space="preserve"> in pre-diabetic and diabetic mouse models that exhibit features of </w:t>
      </w:r>
      <w:r w:rsidR="006B370E">
        <w:t>heart failure with reduced, and with preserved ejection fraction.</w:t>
      </w:r>
      <w:r>
        <w:t xml:space="preserve"> The study experimental designs, number of animals used, and the dosing routes (oral: drinking water or food) were appropriate. In the absence of direct pharmacokinetic measurements, the doses used in these studies (1 to 4</w:t>
      </w:r>
      <w:r w:rsidR="00D37103">
        <w:t> </w:t>
      </w:r>
      <w:r>
        <w:t>mg/kg) ranged from approximately one to four times the anticipated clinical exposure at the maximum recommended human dose, on a body surface area (BSA)-adjusted basis.</w:t>
      </w:r>
    </w:p>
    <w:p w14:paraId="4A9C0D62" w14:textId="77777777" w:rsidR="00505556" w:rsidRPr="00505556" w:rsidRDefault="00505556" w:rsidP="00505556">
      <w:r>
        <w:t xml:space="preserve">Overall, the submitted nonclinical primary pharmacology data showed </w:t>
      </w:r>
      <w:proofErr w:type="spellStart"/>
      <w:r>
        <w:t>cardioprotective</w:t>
      </w:r>
      <w:proofErr w:type="spellEnd"/>
      <w:r>
        <w:t xml:space="preserve"> effects of </w:t>
      </w:r>
      <w:proofErr w:type="spellStart"/>
      <w:r w:rsidR="00D37103">
        <w:t>dapagliflozin</w:t>
      </w:r>
      <w:proofErr w:type="spellEnd"/>
      <w:r>
        <w:t xml:space="preserve"> in</w:t>
      </w:r>
      <w:r w:rsidRPr="00D37103">
        <w:rPr>
          <w:i/>
        </w:rPr>
        <w:t xml:space="preserve"> in vivo </w:t>
      </w:r>
      <w:r w:rsidR="00971E73">
        <w:t>mouse models of heart failure</w:t>
      </w:r>
      <w:r>
        <w:t xml:space="preserve">, and suggested a mechanism involving the attenuation of the NLRP3 </w:t>
      </w:r>
      <w:proofErr w:type="spellStart"/>
      <w:r>
        <w:t>inflammasome</w:t>
      </w:r>
      <w:proofErr w:type="spellEnd"/>
      <w:r w:rsidR="0044420A">
        <w:t>,</w:t>
      </w:r>
      <w:r w:rsidR="0044420A">
        <w:rPr>
          <w:rStyle w:val="FootnoteReference"/>
        </w:rPr>
        <w:footnoteReference w:id="9"/>
      </w:r>
      <w:r>
        <w:t xml:space="preserve"> (with involvement of </w:t>
      </w:r>
      <w:r w:rsidR="0044420A">
        <w:t>AMP-activated protein kinase (</w:t>
      </w:r>
      <w:r>
        <w:t>AMPK</w:t>
      </w:r>
      <w:r w:rsidR="0044420A">
        <w:t>)</w:t>
      </w:r>
      <w:r>
        <w:t xml:space="preserve"> phosphorylation). These properties support the potential utility of </w:t>
      </w:r>
      <w:proofErr w:type="spellStart"/>
      <w:r w:rsidR="00B0381E">
        <w:t>dapagliflozin</w:t>
      </w:r>
      <w:proofErr w:type="spellEnd"/>
      <w:r>
        <w:t xml:space="preserve"> in the amelioration of </w:t>
      </w:r>
      <w:r w:rsidR="006B370E">
        <w:t>heart failure with reduced ejection fraction, and possibly heart failure with preserved ejection fraction.</w:t>
      </w:r>
    </w:p>
    <w:p w14:paraId="5FBA40B7" w14:textId="77777777" w:rsidR="008E7846" w:rsidRDefault="008E7846" w:rsidP="008E7846">
      <w:pPr>
        <w:pStyle w:val="Heading3"/>
      </w:pPr>
      <w:bookmarkStart w:id="37" w:name="_Toc247691530"/>
      <w:bookmarkStart w:id="38" w:name="_Toc314842513"/>
      <w:bookmarkStart w:id="39" w:name="_Toc69894103"/>
      <w:r>
        <w:t>Clinical</w:t>
      </w:r>
      <w:bookmarkEnd w:id="37"/>
      <w:bookmarkEnd w:id="38"/>
      <w:bookmarkEnd w:id="39"/>
    </w:p>
    <w:p w14:paraId="07519DB3" w14:textId="77777777" w:rsidR="00505556" w:rsidRDefault="00505556" w:rsidP="00505556">
      <w:r>
        <w:t>The TGA has adopted the following EU guideline regarding heart failure:</w:t>
      </w:r>
    </w:p>
    <w:p w14:paraId="611BA11C" w14:textId="77777777" w:rsidR="00505556" w:rsidRDefault="00505556" w:rsidP="0044420A">
      <w:pPr>
        <w:pStyle w:val="ListBullet"/>
      </w:pPr>
      <w:r>
        <w:t>Note for guidance on clinical investigational of medicinal products for the treatment of</w:t>
      </w:r>
      <w:r w:rsidR="00D37103">
        <w:t xml:space="preserve"> cardiac failure</w:t>
      </w:r>
      <w:r>
        <w:t xml:space="preserve"> (CPMP/EWP/235/95, Rev.1; 16 December 1999)</w:t>
      </w:r>
      <w:r w:rsidR="00D37103">
        <w:t>.</w:t>
      </w:r>
    </w:p>
    <w:p w14:paraId="7C009B24" w14:textId="77777777" w:rsidR="00505556" w:rsidRDefault="00505556" w:rsidP="00505556">
      <w:r>
        <w:t xml:space="preserve">This guidance document indicates that the most important objectives in the treatment of </w:t>
      </w:r>
      <w:r w:rsidR="006B370E">
        <w:t>heart failure</w:t>
      </w:r>
      <w:r>
        <w:t xml:space="preserve"> are improvements in symptoms, cardiovascular morbidity and mortality. Primary endpoints for the purposes of regulatory approval of drugs to treat chronic HF are stated to be clinical symptoms, cardiovascular morbidity and all-cause mortality, and secondary endpoints are stated to be quality of life, exercise capacity, physical s</w:t>
      </w:r>
      <w:r w:rsidR="006B370E">
        <w:t xml:space="preserve">ymptoms, haemodynamic changes (for example, </w:t>
      </w:r>
      <w:r>
        <w:t xml:space="preserve">ejection fraction), renal function and </w:t>
      </w:r>
      <w:proofErr w:type="spellStart"/>
      <w:r>
        <w:t>neurohumoral</w:t>
      </w:r>
      <w:proofErr w:type="spellEnd"/>
      <w:r>
        <w:t xml:space="preserve"> variables. The document states that whatever the endpoints selected, it must be shown that the drug does not have adverse effects on morbidity or survival.</w:t>
      </w:r>
    </w:p>
    <w:p w14:paraId="3E4CAA77" w14:textId="77777777" w:rsidR="00505556" w:rsidRDefault="00D37103" w:rsidP="00505556">
      <w:r>
        <w:t>The s</w:t>
      </w:r>
      <w:r w:rsidR="00505556">
        <w:t xml:space="preserve">ponsor has also referred to the following </w:t>
      </w:r>
      <w:proofErr w:type="spellStart"/>
      <w:r w:rsidR="00505556">
        <w:t>guidances</w:t>
      </w:r>
      <w:proofErr w:type="spellEnd"/>
      <w:r w:rsidR="00505556">
        <w:t xml:space="preserve"> not formally adopted by the TGA:</w:t>
      </w:r>
    </w:p>
    <w:p w14:paraId="1E3470C6" w14:textId="77777777" w:rsidR="00505556" w:rsidRDefault="00505556" w:rsidP="0044420A">
      <w:pPr>
        <w:pStyle w:val="ListBullet"/>
      </w:pPr>
      <w:r>
        <w:t>European</w:t>
      </w:r>
      <w:r w:rsidR="006B370E">
        <w:t xml:space="preserve"> Union (EMA): </w:t>
      </w:r>
      <w:r>
        <w:t>Guideline on clinical investigational medicinal products for the tre</w:t>
      </w:r>
      <w:r w:rsidR="006B370E">
        <w:t>atment of chronic heart failure</w:t>
      </w:r>
      <w:r>
        <w:t xml:space="preserve"> (CPMP/EWP/235/95, Rev.2; 20 July 2017)</w:t>
      </w:r>
      <w:r w:rsidR="0044420A">
        <w:t>; and</w:t>
      </w:r>
    </w:p>
    <w:p w14:paraId="5CD711BA" w14:textId="77777777" w:rsidR="00505556" w:rsidRPr="00505556" w:rsidRDefault="006B370E" w:rsidP="0044420A">
      <w:pPr>
        <w:pStyle w:val="ListBullet"/>
      </w:pPr>
      <w:r>
        <w:t xml:space="preserve">United States (FDA): </w:t>
      </w:r>
      <w:r w:rsidR="00505556">
        <w:t>Treatment for Heart Failure:</w:t>
      </w:r>
      <w:r>
        <w:t xml:space="preserve"> Endpoints for Drug Development</w:t>
      </w:r>
      <w:r w:rsidR="00505556">
        <w:t xml:space="preserve"> (June 2019).</w:t>
      </w:r>
    </w:p>
    <w:p w14:paraId="41CFF672" w14:textId="77777777" w:rsidR="001064CA" w:rsidRPr="001064CA" w:rsidRDefault="0044420A" w:rsidP="006B370E">
      <w:pPr>
        <w:pStyle w:val="Heading4"/>
        <w:rPr>
          <w:lang w:val="en-GB"/>
        </w:rPr>
      </w:pPr>
      <w:bookmarkStart w:id="40" w:name="_Toc314842514"/>
      <w:r>
        <w:rPr>
          <w:lang w:val="en-GB"/>
        </w:rPr>
        <w:t>Pharmacology</w:t>
      </w:r>
    </w:p>
    <w:p w14:paraId="622E4024" w14:textId="77777777" w:rsidR="001064CA" w:rsidRPr="001064CA" w:rsidRDefault="006B370E" w:rsidP="006B370E">
      <w:pPr>
        <w:pStyle w:val="Heading5"/>
        <w:rPr>
          <w:rFonts w:eastAsiaTheme="minorHAnsi"/>
          <w:lang w:val="en-GB"/>
        </w:rPr>
      </w:pPr>
      <w:r>
        <w:rPr>
          <w:rFonts w:eastAsiaTheme="minorHAnsi"/>
          <w:lang w:val="en-GB"/>
        </w:rPr>
        <w:t>Pharmacokinetics</w:t>
      </w:r>
    </w:p>
    <w:p w14:paraId="235F7EEB" w14:textId="77777777" w:rsidR="001064CA" w:rsidRPr="001064CA" w:rsidRDefault="006B370E" w:rsidP="001064CA">
      <w:pPr>
        <w:autoSpaceDE w:val="0"/>
        <w:autoSpaceDN w:val="0"/>
        <w:adjustRightInd w:val="0"/>
        <w:spacing w:before="0" w:after="0" w:line="240" w:lineRule="auto"/>
        <w:rPr>
          <w:rFonts w:eastAsiaTheme="minorHAnsi" w:cs="Cambria"/>
          <w:color w:val="000000"/>
          <w:lang w:val="en-GB"/>
        </w:rPr>
      </w:pPr>
      <w:r>
        <w:rPr>
          <w:rFonts w:eastAsiaTheme="minorHAnsi" w:cs="Cambria"/>
          <w:color w:val="000000"/>
          <w:lang w:val="en-GB"/>
        </w:rPr>
        <w:t>No new pharmacokinetic</w:t>
      </w:r>
      <w:r w:rsidR="001064CA" w:rsidRPr="001064CA">
        <w:rPr>
          <w:rFonts w:eastAsiaTheme="minorHAnsi" w:cs="Cambria"/>
          <w:color w:val="000000"/>
          <w:lang w:val="en-GB"/>
        </w:rPr>
        <w:t xml:space="preserve"> data </w:t>
      </w:r>
      <w:r>
        <w:rPr>
          <w:rFonts w:eastAsiaTheme="minorHAnsi" w:cs="Cambria"/>
          <w:color w:val="000000"/>
          <w:lang w:val="en-GB"/>
        </w:rPr>
        <w:t xml:space="preserve">were </w:t>
      </w:r>
      <w:r w:rsidR="0044420A">
        <w:rPr>
          <w:rFonts w:eastAsiaTheme="minorHAnsi" w:cs="Cambria"/>
          <w:color w:val="000000"/>
          <w:lang w:val="en-GB"/>
        </w:rPr>
        <w:t>submitted.</w:t>
      </w:r>
    </w:p>
    <w:p w14:paraId="2194CF0C" w14:textId="77777777" w:rsidR="001064CA" w:rsidRPr="001064CA" w:rsidRDefault="006B370E" w:rsidP="006B370E">
      <w:pPr>
        <w:pStyle w:val="Heading5"/>
        <w:rPr>
          <w:rFonts w:eastAsiaTheme="minorHAnsi"/>
          <w:lang w:val="en-GB"/>
        </w:rPr>
      </w:pPr>
      <w:r>
        <w:rPr>
          <w:rFonts w:eastAsiaTheme="minorHAnsi"/>
          <w:lang w:val="en-GB"/>
        </w:rPr>
        <w:t>Population pharmacokinetic data</w:t>
      </w:r>
    </w:p>
    <w:p w14:paraId="64D7B262" w14:textId="77777777" w:rsidR="001064CA" w:rsidRPr="001064CA" w:rsidRDefault="006B370E" w:rsidP="001064CA">
      <w:pPr>
        <w:autoSpaceDE w:val="0"/>
        <w:autoSpaceDN w:val="0"/>
        <w:adjustRightInd w:val="0"/>
        <w:spacing w:before="0" w:after="0" w:line="240" w:lineRule="auto"/>
        <w:rPr>
          <w:rFonts w:eastAsiaTheme="minorHAnsi" w:cs="Cambria"/>
          <w:color w:val="000000"/>
          <w:lang w:val="en-GB"/>
        </w:rPr>
      </w:pPr>
      <w:r>
        <w:rPr>
          <w:rFonts w:eastAsiaTheme="minorHAnsi" w:cs="Cambria"/>
          <w:color w:val="000000"/>
          <w:lang w:val="en-GB"/>
        </w:rPr>
        <w:t>No population pharmacokinetic</w:t>
      </w:r>
      <w:r w:rsidR="001064CA" w:rsidRPr="001064CA">
        <w:rPr>
          <w:rFonts w:eastAsiaTheme="minorHAnsi" w:cs="Cambria"/>
          <w:color w:val="000000"/>
          <w:lang w:val="en-GB"/>
        </w:rPr>
        <w:t xml:space="preserve"> data</w:t>
      </w:r>
      <w:r>
        <w:rPr>
          <w:rFonts w:eastAsiaTheme="minorHAnsi" w:cs="Cambria"/>
          <w:color w:val="000000"/>
          <w:lang w:val="en-GB"/>
        </w:rPr>
        <w:t xml:space="preserve"> were</w:t>
      </w:r>
      <w:r w:rsidR="0044420A">
        <w:rPr>
          <w:rFonts w:eastAsiaTheme="minorHAnsi" w:cs="Cambria"/>
          <w:color w:val="000000"/>
          <w:lang w:val="en-GB"/>
        </w:rPr>
        <w:t xml:space="preserve"> submitted.</w:t>
      </w:r>
    </w:p>
    <w:p w14:paraId="41E34E31" w14:textId="77777777" w:rsidR="001064CA" w:rsidRPr="001064CA" w:rsidRDefault="006B370E" w:rsidP="006B370E">
      <w:pPr>
        <w:pStyle w:val="Heading5"/>
        <w:rPr>
          <w:rFonts w:eastAsiaTheme="minorHAnsi"/>
          <w:lang w:val="en-GB"/>
        </w:rPr>
      </w:pPr>
      <w:r>
        <w:rPr>
          <w:rFonts w:eastAsiaTheme="minorHAnsi"/>
          <w:lang w:val="en-GB"/>
        </w:rPr>
        <w:t>Pharmacodynamics</w:t>
      </w:r>
    </w:p>
    <w:p w14:paraId="483B798E" w14:textId="35906760" w:rsidR="001064CA" w:rsidRPr="001064CA" w:rsidRDefault="000A07A7" w:rsidP="001064CA">
      <w:pPr>
        <w:autoSpaceDE w:val="0"/>
        <w:autoSpaceDN w:val="0"/>
        <w:adjustRightInd w:val="0"/>
        <w:spacing w:before="0" w:after="0" w:line="240" w:lineRule="auto"/>
        <w:rPr>
          <w:rFonts w:eastAsiaTheme="minorHAnsi" w:cs="Cambria"/>
          <w:color w:val="000000"/>
          <w:lang w:val="en-GB"/>
        </w:rPr>
      </w:pPr>
      <w:r>
        <w:rPr>
          <w:rFonts w:eastAsiaTheme="minorHAnsi" w:cs="Cambria"/>
          <w:color w:val="000000"/>
          <w:lang w:val="en-GB"/>
        </w:rPr>
        <w:t>No new pharmacodynamic</w:t>
      </w:r>
      <w:r w:rsidR="001064CA" w:rsidRPr="001064CA">
        <w:rPr>
          <w:rFonts w:eastAsiaTheme="minorHAnsi" w:cs="Cambria"/>
          <w:color w:val="000000"/>
          <w:lang w:val="en-GB"/>
        </w:rPr>
        <w:t xml:space="preserve"> data</w:t>
      </w:r>
      <w:r>
        <w:rPr>
          <w:rFonts w:eastAsiaTheme="minorHAnsi" w:cs="Cambria"/>
          <w:color w:val="000000"/>
          <w:lang w:val="en-GB"/>
        </w:rPr>
        <w:t xml:space="preserve"> were</w:t>
      </w:r>
      <w:r w:rsidR="001064CA" w:rsidRPr="001064CA">
        <w:rPr>
          <w:rFonts w:eastAsiaTheme="minorHAnsi" w:cs="Cambria"/>
          <w:color w:val="000000"/>
          <w:lang w:val="en-GB"/>
        </w:rPr>
        <w:t xml:space="preserve"> submitted.</w:t>
      </w:r>
    </w:p>
    <w:p w14:paraId="2CB30891" w14:textId="77777777" w:rsidR="001064CA" w:rsidRDefault="001064CA" w:rsidP="001064CA">
      <w:pPr>
        <w:rPr>
          <w:rFonts w:eastAsiaTheme="minorHAnsi" w:cs="Cambria"/>
          <w:color w:val="000000"/>
          <w:lang w:val="en-GB"/>
        </w:rPr>
      </w:pPr>
      <w:r w:rsidRPr="001064CA">
        <w:rPr>
          <w:rFonts w:eastAsiaTheme="minorHAnsi" w:cs="Cambria"/>
          <w:color w:val="000000"/>
          <w:lang w:val="en-GB"/>
        </w:rPr>
        <w:t xml:space="preserve">The </w:t>
      </w:r>
      <w:proofErr w:type="spellStart"/>
      <w:r w:rsidR="00B0381E">
        <w:rPr>
          <w:rFonts w:eastAsiaTheme="minorHAnsi" w:cs="Cambria"/>
          <w:color w:val="000000"/>
          <w:lang w:val="en-GB"/>
        </w:rPr>
        <w:t>dapagliflozin</w:t>
      </w:r>
      <w:proofErr w:type="spellEnd"/>
      <w:r w:rsidRPr="001064CA">
        <w:rPr>
          <w:rFonts w:eastAsiaTheme="minorHAnsi" w:cs="Cambria"/>
          <w:color w:val="000000"/>
          <w:lang w:val="en-GB"/>
        </w:rPr>
        <w:t xml:space="preserve"> dose selected for the pivo</w:t>
      </w:r>
      <w:r w:rsidR="000A07A7">
        <w:rPr>
          <w:rFonts w:eastAsiaTheme="minorHAnsi" w:cs="Cambria"/>
          <w:color w:val="000000"/>
          <w:lang w:val="en-GB"/>
        </w:rPr>
        <w:t>tal study for the treatment of</w:t>
      </w:r>
      <w:r w:rsidR="000A07A7" w:rsidRPr="000A07A7">
        <w:t xml:space="preserve"> </w:t>
      </w:r>
      <w:r w:rsidR="000A07A7">
        <w:t>heart failure</w:t>
      </w:r>
      <w:r w:rsidRPr="001064CA">
        <w:rPr>
          <w:rFonts w:eastAsiaTheme="minorHAnsi" w:cs="Cambria"/>
          <w:color w:val="000000"/>
          <w:lang w:val="en-GB"/>
        </w:rPr>
        <w:t xml:space="preserve"> was based on evidence that the 10</w:t>
      </w:r>
      <w:r w:rsidR="000A07A7">
        <w:rPr>
          <w:rFonts w:eastAsiaTheme="minorHAnsi" w:cs="Cambria"/>
          <w:color w:val="000000"/>
          <w:lang w:val="en-GB"/>
        </w:rPr>
        <w:t xml:space="preserve"> </w:t>
      </w:r>
      <w:r w:rsidRPr="001064CA">
        <w:rPr>
          <w:rFonts w:eastAsiaTheme="minorHAnsi" w:cs="Cambria"/>
          <w:color w:val="000000"/>
          <w:lang w:val="en-GB"/>
        </w:rPr>
        <w:t>mg daily dose that is marketed for the treatment of T2DM and for the prevention of cardiovascular events in patients with T2DM is well tolerated and effective. The sponsor states that 10</w:t>
      </w:r>
      <w:r w:rsidR="0044420A">
        <w:rPr>
          <w:rFonts w:eastAsiaTheme="minorHAnsi" w:cs="Cambria"/>
          <w:color w:val="000000"/>
          <w:lang w:val="en-GB"/>
        </w:rPr>
        <w:t xml:space="preserve"> </w:t>
      </w:r>
      <w:r w:rsidRPr="001064CA">
        <w:rPr>
          <w:rFonts w:eastAsiaTheme="minorHAnsi" w:cs="Cambria"/>
          <w:color w:val="000000"/>
          <w:lang w:val="en-GB"/>
        </w:rPr>
        <w:t>mg daily is expected to near maximally inhibit SGLT2 in the kidney.</w:t>
      </w:r>
    </w:p>
    <w:p w14:paraId="6B5C5D31" w14:textId="77777777" w:rsidR="001064CA" w:rsidRPr="001064CA" w:rsidRDefault="000A07A7" w:rsidP="000A07A7">
      <w:pPr>
        <w:pStyle w:val="Heading4"/>
        <w:rPr>
          <w:lang w:val="en-GB"/>
        </w:rPr>
      </w:pPr>
      <w:r>
        <w:rPr>
          <w:lang w:val="en-GB"/>
        </w:rPr>
        <w:t>Efficacy</w:t>
      </w:r>
    </w:p>
    <w:p w14:paraId="51701BAF" w14:textId="77777777" w:rsidR="000A07A7" w:rsidRDefault="000A07A7" w:rsidP="000A07A7">
      <w:r>
        <w:t>The follow study was evaluated for efficacy:</w:t>
      </w:r>
    </w:p>
    <w:p w14:paraId="54E2DE37" w14:textId="0BF07AA9" w:rsidR="001064CA" w:rsidRPr="000A07A7" w:rsidRDefault="000A07A7" w:rsidP="0044420A">
      <w:pPr>
        <w:pStyle w:val="ListBullet"/>
      </w:pPr>
      <w:r w:rsidRPr="0044420A">
        <w:rPr>
          <w:i/>
        </w:rPr>
        <w:t xml:space="preserve">Study </w:t>
      </w:r>
      <w:r w:rsidR="001064CA" w:rsidRPr="0044420A">
        <w:rPr>
          <w:i/>
        </w:rPr>
        <w:t>D1699C00001</w:t>
      </w:r>
      <w:r>
        <w:rPr>
          <w:bCs/>
          <w:iCs/>
          <w:lang w:val="en-GB"/>
        </w:rPr>
        <w:t>: a</w:t>
      </w:r>
      <w:r>
        <w:rPr>
          <w:b/>
          <w:bCs/>
          <w:i/>
          <w:iCs/>
          <w:lang w:val="en-GB"/>
        </w:rPr>
        <w:t xml:space="preserve"> </w:t>
      </w:r>
      <w:r w:rsidRPr="001064CA">
        <w:rPr>
          <w:lang w:val="en-GB"/>
        </w:rPr>
        <w:t xml:space="preserve">study to evaluate the effect of </w:t>
      </w:r>
      <w:proofErr w:type="spellStart"/>
      <w:r w:rsidRPr="001064CA">
        <w:rPr>
          <w:lang w:val="en-GB"/>
        </w:rPr>
        <w:t>dapagliflozin</w:t>
      </w:r>
      <w:proofErr w:type="spellEnd"/>
      <w:r w:rsidRPr="001064CA">
        <w:rPr>
          <w:lang w:val="en-GB"/>
        </w:rPr>
        <w:t xml:space="preserve"> on the incidence of worsening heart failure or cardiovascular death in patients with chronic heart failure</w:t>
      </w:r>
      <w:r>
        <w:rPr>
          <w:lang w:val="en-GB"/>
        </w:rPr>
        <w:t xml:space="preserve"> with reduced ejection fraction</w:t>
      </w:r>
      <w:r w:rsidR="001064CA" w:rsidRPr="001064CA">
        <w:rPr>
          <w:lang w:val="en-GB"/>
        </w:rPr>
        <w:t xml:space="preserve"> </w:t>
      </w:r>
      <w:r w:rsidR="001064CA" w:rsidRPr="000A07A7">
        <w:t>(</w:t>
      </w:r>
      <w:r>
        <w:t xml:space="preserve">also known as the </w:t>
      </w:r>
      <w:proofErr w:type="spellStart"/>
      <w:r w:rsidR="001064CA" w:rsidRPr="000A07A7">
        <w:t>Dapagliflo</w:t>
      </w:r>
      <w:r w:rsidR="0044420A">
        <w:t>zin</w:t>
      </w:r>
      <w:proofErr w:type="spellEnd"/>
      <w:r w:rsidR="0044420A">
        <w:t xml:space="preserve"> And Prevention of Adverse </w:t>
      </w:r>
      <w:r w:rsidR="001064CA" w:rsidRPr="000A07A7">
        <w:t>outcomes in Heart F</w:t>
      </w:r>
      <w:r>
        <w:t>ailure; or</w:t>
      </w:r>
      <w:r w:rsidR="001064CA" w:rsidRPr="000A07A7">
        <w:t xml:space="preserve"> </w:t>
      </w:r>
      <w:r w:rsidR="00CF3228">
        <w:t xml:space="preserve">the </w:t>
      </w:r>
      <w:r>
        <w:t>DAPA</w:t>
      </w:r>
      <w:r w:rsidRPr="000A07A7">
        <w:t>-HF</w:t>
      </w:r>
      <w:r>
        <w:t xml:space="preserve"> trial</w:t>
      </w:r>
      <w:r w:rsidRPr="000A07A7">
        <w:t>).</w:t>
      </w:r>
    </w:p>
    <w:p w14:paraId="1E73D56D" w14:textId="77777777" w:rsidR="001064CA" w:rsidRPr="001064CA" w:rsidRDefault="001064CA" w:rsidP="000A07A7">
      <w:pPr>
        <w:rPr>
          <w:lang w:val="en-GB"/>
        </w:rPr>
      </w:pPr>
      <w:r w:rsidRPr="001064CA">
        <w:rPr>
          <w:lang w:val="en-GB"/>
        </w:rPr>
        <w:t xml:space="preserve">This study is a multinational, multicentre, event-driven, randomised, double-blind, placebo-controlled Phase III trial in 4744 adult patients with chronic </w:t>
      </w:r>
      <w:r w:rsidR="000A07A7">
        <w:t>heart failure with reduced ejection fraction</w:t>
      </w:r>
      <w:r w:rsidRPr="001064CA">
        <w:rPr>
          <w:lang w:val="en-GB"/>
        </w:rPr>
        <w:t xml:space="preserve">. The study compared the effect of </w:t>
      </w:r>
      <w:proofErr w:type="spellStart"/>
      <w:r w:rsidR="00B0381E">
        <w:rPr>
          <w:lang w:val="en-GB"/>
        </w:rPr>
        <w:t>dapagliflozin</w:t>
      </w:r>
      <w:proofErr w:type="spellEnd"/>
      <w:r w:rsidRPr="001064CA">
        <w:rPr>
          <w:lang w:val="en-GB"/>
        </w:rPr>
        <w:t xml:space="preserve"> 10</w:t>
      </w:r>
      <w:r w:rsidR="000A07A7">
        <w:rPr>
          <w:lang w:val="en-GB"/>
        </w:rPr>
        <w:t> </w:t>
      </w:r>
      <w:r w:rsidRPr="001064CA">
        <w:rPr>
          <w:lang w:val="en-GB"/>
        </w:rPr>
        <w:t xml:space="preserve">mg once daily in addition to regional standard of care therapies for </w:t>
      </w:r>
      <w:r w:rsidR="000A07A7">
        <w:t>heart failure</w:t>
      </w:r>
      <w:r w:rsidRPr="001064CA">
        <w:rPr>
          <w:lang w:val="en-GB"/>
        </w:rPr>
        <w:t xml:space="preserve"> to placebo in addition to standard of care on the occurrence of cardiovascular (CV) death, hospitalisation for </w:t>
      </w:r>
      <w:r w:rsidR="000A07A7">
        <w:t>heart failure</w:t>
      </w:r>
      <w:r w:rsidRPr="001064CA">
        <w:rPr>
          <w:lang w:val="en-GB"/>
        </w:rPr>
        <w:t xml:space="preserve"> or urgent </w:t>
      </w:r>
      <w:r w:rsidR="000A07A7">
        <w:t>heart failure</w:t>
      </w:r>
      <w:r w:rsidRPr="001064CA">
        <w:rPr>
          <w:lang w:val="en-GB"/>
        </w:rPr>
        <w:t xml:space="preserve"> visit,</w:t>
      </w:r>
      <w:r w:rsidR="0044420A">
        <w:rPr>
          <w:lang w:val="en-GB"/>
        </w:rPr>
        <w:t xml:space="preserve"> patient reported outcomes</w:t>
      </w:r>
      <w:r w:rsidRPr="001064CA">
        <w:rPr>
          <w:lang w:val="en-GB"/>
        </w:rPr>
        <w:t xml:space="preserve"> and renal outcomes. </w:t>
      </w:r>
    </w:p>
    <w:p w14:paraId="5CCF6A39" w14:textId="2C14FF03" w:rsidR="001064CA" w:rsidRPr="000A07A7" w:rsidRDefault="001064CA" w:rsidP="000A07A7">
      <w:r w:rsidRPr="001064CA">
        <w:rPr>
          <w:lang w:val="en-GB"/>
        </w:rPr>
        <w:t>After</w:t>
      </w:r>
      <w:r w:rsidR="000A07A7">
        <w:rPr>
          <w:lang w:val="en-GB"/>
        </w:rPr>
        <w:t xml:space="preserve"> a baseline enrolment visit at D</w:t>
      </w:r>
      <w:r w:rsidRPr="001064CA">
        <w:rPr>
          <w:lang w:val="en-GB"/>
        </w:rPr>
        <w:t>ay -1</w:t>
      </w:r>
      <w:r w:rsidR="000A07A7">
        <w:rPr>
          <w:lang w:val="en-GB"/>
        </w:rPr>
        <w:t>4, patients were randomised on D</w:t>
      </w:r>
      <w:r w:rsidRPr="001064CA">
        <w:rPr>
          <w:lang w:val="en-GB"/>
        </w:rPr>
        <w:t>ay 0 at a ratio of 1:1 to 10</w:t>
      </w:r>
      <w:r w:rsidR="000A07A7">
        <w:rPr>
          <w:lang w:val="en-GB"/>
        </w:rPr>
        <w:t xml:space="preserve"> </w:t>
      </w:r>
      <w:r w:rsidRPr="001064CA">
        <w:rPr>
          <w:lang w:val="en-GB"/>
        </w:rPr>
        <w:t xml:space="preserve">mg </w:t>
      </w:r>
      <w:proofErr w:type="spellStart"/>
      <w:r w:rsidR="00B0381E">
        <w:rPr>
          <w:lang w:val="en-GB"/>
        </w:rPr>
        <w:t>dapagliflozin</w:t>
      </w:r>
      <w:proofErr w:type="spellEnd"/>
      <w:r w:rsidRPr="001064CA">
        <w:rPr>
          <w:lang w:val="en-GB"/>
        </w:rPr>
        <w:t xml:space="preserve"> or placebo (</w:t>
      </w:r>
      <w:r w:rsidR="00B0381E">
        <w:rPr>
          <w:lang w:val="en-GB"/>
        </w:rPr>
        <w:t>placebo</w:t>
      </w:r>
      <w:r w:rsidRPr="001064CA">
        <w:rPr>
          <w:lang w:val="en-GB"/>
        </w:rPr>
        <w:t xml:space="preserve">) arms. </w:t>
      </w:r>
      <w:r w:rsidR="001C3187" w:rsidRPr="009F05A9">
        <w:t xml:space="preserve">Patient recruitment was continuously monitored and randomisation stratified for T2DM status. In addition to T2DM status, randomisation was also monitored for geographic region, </w:t>
      </w:r>
      <w:r w:rsidR="00CF3228" w:rsidRPr="009F05A9">
        <w:t>left ventricular ejection fraction</w:t>
      </w:r>
      <w:r w:rsidR="001C3187" w:rsidRPr="009F05A9">
        <w:t xml:space="preserve"> value, NYHA class and </w:t>
      </w:r>
      <w:r w:rsidR="00CF3228" w:rsidRPr="009F05A9">
        <w:t>atrial fibrillation</w:t>
      </w:r>
      <w:r w:rsidR="009F05A9">
        <w:t xml:space="preserve"> status.</w:t>
      </w:r>
    </w:p>
    <w:p w14:paraId="1C2AEC51" w14:textId="77777777" w:rsidR="00593FCC" w:rsidRDefault="001064CA" w:rsidP="0031535E">
      <w:pPr>
        <w:rPr>
          <w:lang w:val="en-GB"/>
        </w:rPr>
      </w:pPr>
      <w:r w:rsidRPr="001064CA">
        <w:rPr>
          <w:lang w:val="en-GB"/>
        </w:rPr>
        <w:t>Key inclusion criteria for participants were a docume</w:t>
      </w:r>
      <w:r w:rsidR="000A07A7">
        <w:rPr>
          <w:lang w:val="en-GB"/>
        </w:rPr>
        <w:t xml:space="preserve">nted diagnosis of NYHA Class II to </w:t>
      </w:r>
      <w:r w:rsidRPr="001064CA">
        <w:rPr>
          <w:lang w:val="en-GB"/>
        </w:rPr>
        <w:t xml:space="preserve">IV </w:t>
      </w:r>
      <w:r w:rsidR="000A07A7">
        <w:rPr>
          <w:lang w:val="en-GB"/>
        </w:rPr>
        <w:t>heart failure with reduced ejection fraction</w:t>
      </w:r>
      <w:r w:rsidRPr="001064CA">
        <w:rPr>
          <w:lang w:val="en-GB"/>
        </w:rPr>
        <w:t xml:space="preserve"> which had been present for at least two months and was optimally treated; </w:t>
      </w:r>
      <w:r w:rsidR="0044420A">
        <w:rPr>
          <w:lang w:val="en-GB"/>
        </w:rPr>
        <w:t>left ventricular ejection fraction</w:t>
      </w:r>
      <w:r w:rsidR="0031535E">
        <w:rPr>
          <w:lang w:val="en-GB"/>
        </w:rPr>
        <w:t xml:space="preserve"> </w:t>
      </w:r>
      <w:r w:rsidRPr="001064CA">
        <w:rPr>
          <w:lang w:val="en-GB"/>
        </w:rPr>
        <w:t>≤</w:t>
      </w:r>
      <w:r w:rsidR="0031535E">
        <w:rPr>
          <w:lang w:val="en-GB"/>
        </w:rPr>
        <w:t xml:space="preserve"> </w:t>
      </w:r>
      <w:r w:rsidRPr="001064CA">
        <w:rPr>
          <w:lang w:val="en-GB"/>
        </w:rPr>
        <w:t xml:space="preserve">40% within the last 12 months prior to enrolment and at least three months after any surgical or pharmacological intervention for </w:t>
      </w:r>
      <w:r w:rsidR="0031535E">
        <w:t>heart failure</w:t>
      </w:r>
      <w:r w:rsidRPr="001064CA">
        <w:rPr>
          <w:lang w:val="en-GB"/>
        </w:rPr>
        <w:t xml:space="preserve"> (</w:t>
      </w:r>
      <w:r w:rsidR="0044420A">
        <w:rPr>
          <w:lang w:val="en-GB"/>
        </w:rPr>
        <w:t>left ventricular</w:t>
      </w:r>
      <w:r w:rsidRPr="001064CA">
        <w:rPr>
          <w:lang w:val="en-GB"/>
        </w:rPr>
        <w:t xml:space="preserve"> function was re-assessed at the enrolment visit if no assessment had been done within 12 months, or if results of prior assessments within 12 months were not available); N-terminal pro b-type natriuretic peptide (NT-</w:t>
      </w:r>
      <w:proofErr w:type="spellStart"/>
      <w:r w:rsidRPr="001064CA">
        <w:rPr>
          <w:lang w:val="en-GB"/>
        </w:rPr>
        <w:t>proBNP</w:t>
      </w:r>
      <w:proofErr w:type="spellEnd"/>
      <w:r w:rsidRPr="001064CA">
        <w:rPr>
          <w:lang w:val="en-GB"/>
        </w:rPr>
        <w:t>) ≥</w:t>
      </w:r>
      <w:r w:rsidR="0031535E">
        <w:rPr>
          <w:lang w:val="en-GB"/>
        </w:rPr>
        <w:t xml:space="preserve"> </w:t>
      </w:r>
      <w:r w:rsidRPr="001064CA">
        <w:rPr>
          <w:lang w:val="en-GB"/>
        </w:rPr>
        <w:t xml:space="preserve">600 </w:t>
      </w:r>
      <w:proofErr w:type="spellStart"/>
      <w:r w:rsidRPr="001064CA">
        <w:rPr>
          <w:lang w:val="en-GB"/>
        </w:rPr>
        <w:t>pg</w:t>
      </w:r>
      <w:proofErr w:type="spellEnd"/>
      <w:r w:rsidRPr="001064CA">
        <w:rPr>
          <w:lang w:val="en-GB"/>
        </w:rPr>
        <w:t>/mL at enrolment (≥</w:t>
      </w:r>
      <w:r w:rsidR="0031535E">
        <w:rPr>
          <w:lang w:val="en-GB"/>
        </w:rPr>
        <w:t xml:space="preserve"> </w:t>
      </w:r>
      <w:r w:rsidRPr="001064CA">
        <w:rPr>
          <w:lang w:val="en-GB"/>
        </w:rPr>
        <w:t xml:space="preserve">400 </w:t>
      </w:r>
      <w:proofErr w:type="spellStart"/>
      <w:r w:rsidRPr="001064CA">
        <w:rPr>
          <w:lang w:val="en-GB"/>
        </w:rPr>
        <w:t>pg</w:t>
      </w:r>
      <w:proofErr w:type="spellEnd"/>
      <w:r w:rsidRPr="001064CA">
        <w:rPr>
          <w:lang w:val="en-GB"/>
        </w:rPr>
        <w:t>/mL if the patient had been hospita</w:t>
      </w:r>
      <w:r w:rsidR="00593FCC">
        <w:rPr>
          <w:lang w:val="en-GB"/>
        </w:rPr>
        <w:t>lised for heart failure</w:t>
      </w:r>
      <w:r w:rsidR="0031535E">
        <w:rPr>
          <w:lang w:val="en-GB"/>
        </w:rPr>
        <w:t xml:space="preserve"> within the last 12 </w:t>
      </w:r>
      <w:r w:rsidRPr="001064CA">
        <w:rPr>
          <w:lang w:val="en-GB"/>
        </w:rPr>
        <w:t xml:space="preserve">months) and </w:t>
      </w:r>
      <w:r w:rsidR="0031535E">
        <w:rPr>
          <w:lang w:val="en-GB"/>
        </w:rPr>
        <w:t>estimated glomerular filtration rate (</w:t>
      </w:r>
      <w:proofErr w:type="spellStart"/>
      <w:r w:rsidRPr="001064CA">
        <w:rPr>
          <w:lang w:val="en-GB"/>
        </w:rPr>
        <w:t>eGFR</w:t>
      </w:r>
      <w:proofErr w:type="spellEnd"/>
      <w:r w:rsidR="0031535E">
        <w:rPr>
          <w:lang w:val="en-GB"/>
        </w:rPr>
        <w:t>)</w:t>
      </w:r>
      <w:r w:rsidRPr="001064CA">
        <w:rPr>
          <w:lang w:val="en-GB"/>
        </w:rPr>
        <w:t xml:space="preserve"> ≥</w:t>
      </w:r>
      <w:r w:rsidR="0031535E">
        <w:rPr>
          <w:lang w:val="en-GB"/>
        </w:rPr>
        <w:t xml:space="preserve"> </w:t>
      </w:r>
      <w:r w:rsidRPr="001064CA">
        <w:rPr>
          <w:lang w:val="en-GB"/>
        </w:rPr>
        <w:t>30mL/min/1.73m</w:t>
      </w:r>
      <w:r w:rsidRPr="0031535E">
        <w:rPr>
          <w:vertAlign w:val="superscript"/>
        </w:rPr>
        <w:t>2</w:t>
      </w:r>
      <w:r w:rsidRPr="001064CA">
        <w:rPr>
          <w:lang w:val="en-GB"/>
        </w:rPr>
        <w:t xml:space="preserve">. Optimal treatment of </w:t>
      </w:r>
      <w:r w:rsidR="0031535E">
        <w:t>heart failure</w:t>
      </w:r>
      <w:r w:rsidRPr="001064CA">
        <w:rPr>
          <w:lang w:val="en-GB"/>
        </w:rPr>
        <w:t xml:space="preserve"> was considered to include (unless contraindi</w:t>
      </w:r>
      <w:r w:rsidR="0031535E">
        <w:rPr>
          <w:lang w:val="en-GB"/>
        </w:rPr>
        <w:t>cated or not tolerated) an ACE-I</w:t>
      </w:r>
      <w:r w:rsidRPr="001064CA">
        <w:rPr>
          <w:lang w:val="en-GB"/>
        </w:rPr>
        <w:t xml:space="preserve"> or ARB or ARNI plus a beta-blocker plus a </w:t>
      </w:r>
      <w:r w:rsidR="00593FCC">
        <w:rPr>
          <w:lang w:val="en-GB"/>
        </w:rPr>
        <w:t>mineralocorticoid receptor antagonist</w:t>
      </w:r>
      <w:r w:rsidRPr="001064CA">
        <w:rPr>
          <w:lang w:val="en-GB"/>
        </w:rPr>
        <w:t xml:space="preserve"> (if appropriate according to treating physician). Key exclusion criteria included recent treatment with an SGLT2 inhibitor or i</w:t>
      </w:r>
      <w:r w:rsidR="0031535E">
        <w:rPr>
          <w:lang w:val="en-GB"/>
        </w:rPr>
        <w:t>ntolerance to SGLT2 inhibitor, type 1 diabetes mellitus</w:t>
      </w:r>
      <w:r w:rsidRPr="001064CA">
        <w:rPr>
          <w:lang w:val="en-GB"/>
        </w:rPr>
        <w:t xml:space="preserve">, symptomatic hypotension, acute decompensated </w:t>
      </w:r>
      <w:r w:rsidR="0031535E">
        <w:t>heart failure</w:t>
      </w:r>
      <w:r w:rsidRPr="001064CA">
        <w:rPr>
          <w:lang w:val="en-GB"/>
        </w:rPr>
        <w:t>, maj</w:t>
      </w:r>
      <w:r w:rsidR="0031535E">
        <w:rPr>
          <w:lang w:val="en-GB"/>
        </w:rPr>
        <w:t>or CV event in the preceding 12 </w:t>
      </w:r>
      <w:r w:rsidRPr="001064CA">
        <w:rPr>
          <w:lang w:val="en-GB"/>
        </w:rPr>
        <w:t xml:space="preserve">weeks, cardiac surgery or device implantation in the preceding 12 weeks, </w:t>
      </w:r>
      <w:r w:rsidR="00593FCC">
        <w:rPr>
          <w:lang w:val="en-GB"/>
        </w:rPr>
        <w:t>heart failure</w:t>
      </w:r>
      <w:r w:rsidRPr="001064CA">
        <w:rPr>
          <w:lang w:val="en-GB"/>
        </w:rPr>
        <w:t xml:space="preserve"> due to restrictive cardiomyopathy, active myocarditis, constrictive pericarditis, hypertrophic obstructive cardiomyopathy, uncorrected primary </w:t>
      </w:r>
      <w:proofErr w:type="spellStart"/>
      <w:r w:rsidRPr="001064CA">
        <w:rPr>
          <w:lang w:val="en-GB"/>
        </w:rPr>
        <w:t>valvular</w:t>
      </w:r>
      <w:proofErr w:type="spellEnd"/>
      <w:r w:rsidRPr="001064CA">
        <w:rPr>
          <w:lang w:val="en-GB"/>
        </w:rPr>
        <w:t xml:space="preserve"> disease; symptomatic </w:t>
      </w:r>
      <w:r w:rsidR="006617EE">
        <w:rPr>
          <w:lang w:val="en-GB"/>
        </w:rPr>
        <w:t>b</w:t>
      </w:r>
      <w:r w:rsidRPr="001064CA">
        <w:rPr>
          <w:lang w:val="en-GB"/>
        </w:rPr>
        <w:t xml:space="preserve">radycardia, or </w:t>
      </w:r>
      <w:r w:rsidRPr="0031535E">
        <w:t>second</w:t>
      </w:r>
      <w:r w:rsidRPr="001064CA">
        <w:rPr>
          <w:lang w:val="en-GB"/>
        </w:rPr>
        <w:t xml:space="preserve"> or third degree heart block (without pacemaker), and a number of protocol specified conditions with regard to hepatic function, infect</w:t>
      </w:r>
      <w:r w:rsidR="00593FCC">
        <w:rPr>
          <w:lang w:val="en-GB"/>
        </w:rPr>
        <w:t>ions, malignancy and pregnancy.</w:t>
      </w:r>
    </w:p>
    <w:p w14:paraId="35B8B093" w14:textId="77777777" w:rsidR="001064CA" w:rsidRPr="001064CA" w:rsidRDefault="001064CA" w:rsidP="0031535E">
      <w:pPr>
        <w:rPr>
          <w:lang w:val="en-GB"/>
        </w:rPr>
      </w:pPr>
      <w:r w:rsidRPr="001064CA">
        <w:rPr>
          <w:lang w:val="en-GB"/>
        </w:rPr>
        <w:t>The first patient was enrolled on 8 February 2017 and t</w:t>
      </w:r>
      <w:r w:rsidR="00593FCC">
        <w:rPr>
          <w:lang w:val="en-GB"/>
        </w:rPr>
        <w:t>he last patient visit was on 17 July </w:t>
      </w:r>
      <w:r w:rsidRPr="001064CA">
        <w:rPr>
          <w:lang w:val="en-GB"/>
        </w:rPr>
        <w:t xml:space="preserve">2019. The analyses were based on a database lock date of 11 August 2019. In total, 4744 patients were randomised (2373 to </w:t>
      </w:r>
      <w:proofErr w:type="spellStart"/>
      <w:r w:rsidR="00B0381E">
        <w:rPr>
          <w:lang w:val="en-GB"/>
        </w:rPr>
        <w:t>dapagliflozin</w:t>
      </w:r>
      <w:proofErr w:type="spellEnd"/>
      <w:r w:rsidRPr="001064CA">
        <w:rPr>
          <w:lang w:val="en-GB"/>
        </w:rPr>
        <w:t xml:space="preserve"> and 2371 to </w:t>
      </w:r>
      <w:r w:rsidR="00B0381E">
        <w:rPr>
          <w:lang w:val="en-GB"/>
        </w:rPr>
        <w:t>placebo</w:t>
      </w:r>
      <w:r w:rsidR="00593FCC">
        <w:rPr>
          <w:lang w:val="en-GB"/>
        </w:rPr>
        <w:t>) and 4710 </w:t>
      </w:r>
      <w:r w:rsidRPr="001064CA">
        <w:rPr>
          <w:lang w:val="en-GB"/>
        </w:rPr>
        <w:t>(99.3%) patients had complete follow-up of the primary endpoint (</w:t>
      </w:r>
      <w:proofErr w:type="spellStart"/>
      <w:r w:rsidR="00B0381E">
        <w:rPr>
          <w:lang w:val="en-GB"/>
        </w:rPr>
        <w:t>dapagliflozin</w:t>
      </w:r>
      <w:proofErr w:type="spellEnd"/>
      <w:r w:rsidRPr="001064CA">
        <w:rPr>
          <w:lang w:val="en-GB"/>
        </w:rPr>
        <w:t>, n</w:t>
      </w:r>
      <w:r w:rsidR="0031535E">
        <w:rPr>
          <w:lang w:val="en-GB"/>
        </w:rPr>
        <w:t> </w:t>
      </w:r>
      <w:r w:rsidRPr="001064CA">
        <w:rPr>
          <w:lang w:val="en-GB"/>
        </w:rPr>
        <w:t>=</w:t>
      </w:r>
      <w:r w:rsidR="0031535E">
        <w:rPr>
          <w:lang w:val="en-GB"/>
        </w:rPr>
        <w:t> 2359 (99.4%)</w:t>
      </w:r>
      <w:r w:rsidRPr="001064CA">
        <w:rPr>
          <w:lang w:val="en-GB"/>
        </w:rPr>
        <w:t xml:space="preserve">; </w:t>
      </w:r>
      <w:r w:rsidR="00B0381E">
        <w:rPr>
          <w:lang w:val="en-GB"/>
        </w:rPr>
        <w:t>placebo</w:t>
      </w:r>
      <w:r w:rsidRPr="001064CA">
        <w:rPr>
          <w:lang w:val="en-GB"/>
        </w:rPr>
        <w:t>, n</w:t>
      </w:r>
      <w:r w:rsidR="0031535E">
        <w:rPr>
          <w:lang w:val="en-GB"/>
        </w:rPr>
        <w:t> </w:t>
      </w:r>
      <w:r w:rsidRPr="001064CA">
        <w:rPr>
          <w:lang w:val="en-GB"/>
        </w:rPr>
        <w:t>=</w:t>
      </w:r>
      <w:r w:rsidR="0031535E">
        <w:rPr>
          <w:lang w:val="en-GB"/>
        </w:rPr>
        <w:t> 2351 (99.2%)</w:t>
      </w:r>
      <w:r w:rsidRPr="001064CA">
        <w:rPr>
          <w:lang w:val="en-GB"/>
        </w:rPr>
        <w:t>). Nine patients withdrew consent and the vital status was known for all nine participants. Two participants were lost to follow-up (</w:t>
      </w:r>
      <w:r w:rsidR="0031535E">
        <w:rPr>
          <w:lang w:val="en-GB"/>
        </w:rPr>
        <w:t>that is,</w:t>
      </w:r>
      <w:r w:rsidRPr="001064CA">
        <w:rPr>
          <w:lang w:val="en-GB"/>
        </w:rPr>
        <w:t xml:space="preserve"> vital status unknown). Disposition was comparable for participants in the two treatment groups. Overall, the median follow-up time until the p</w:t>
      </w:r>
      <w:r w:rsidR="0031535E">
        <w:rPr>
          <w:lang w:val="en-GB"/>
        </w:rPr>
        <w:t xml:space="preserve">rimary analysis censoring date </w:t>
      </w:r>
      <w:r w:rsidRPr="001064CA">
        <w:rPr>
          <w:lang w:val="en-GB"/>
        </w:rPr>
        <w:t xml:space="preserve">was 18.2 months (range: 0, 27.8 months). </w:t>
      </w:r>
    </w:p>
    <w:p w14:paraId="095AC661" w14:textId="77777777" w:rsidR="001064CA" w:rsidRPr="0031535E" w:rsidRDefault="001064CA" w:rsidP="0031535E">
      <w:r w:rsidRPr="001064CA">
        <w:rPr>
          <w:lang w:val="en-GB"/>
        </w:rPr>
        <w:t>The primary efficacy variable was time to the first occurrence of a comp</w:t>
      </w:r>
      <w:r w:rsidR="00593FCC">
        <w:rPr>
          <w:lang w:val="en-GB"/>
        </w:rPr>
        <w:t>osite endpoint of CV death or heart failure</w:t>
      </w:r>
      <w:r w:rsidRPr="001064CA">
        <w:rPr>
          <w:lang w:val="en-GB"/>
        </w:rPr>
        <w:t xml:space="preserve"> event (hospitalisation for </w:t>
      </w:r>
      <w:r w:rsidR="0031535E">
        <w:t>heart failure</w:t>
      </w:r>
      <w:r w:rsidRPr="001064CA">
        <w:rPr>
          <w:lang w:val="en-GB"/>
        </w:rPr>
        <w:t xml:space="preserve"> or urgent </w:t>
      </w:r>
      <w:r w:rsidR="0031535E">
        <w:t>heart failure</w:t>
      </w:r>
      <w:r w:rsidR="00593FCC">
        <w:rPr>
          <w:lang w:val="en-GB"/>
        </w:rPr>
        <w:t xml:space="preserve"> visit.</w:t>
      </w:r>
    </w:p>
    <w:p w14:paraId="7A793BF2" w14:textId="77777777" w:rsidR="001064CA" w:rsidRPr="001064CA" w:rsidRDefault="001064CA" w:rsidP="0031535E">
      <w:pPr>
        <w:rPr>
          <w:lang w:val="en-GB"/>
        </w:rPr>
      </w:pPr>
      <w:r w:rsidRPr="001064CA">
        <w:rPr>
          <w:lang w:val="en-GB"/>
        </w:rPr>
        <w:t xml:space="preserve">The secondary efficacy variables in </w:t>
      </w:r>
      <w:r w:rsidRPr="0031535E">
        <w:t>hierarchical</w:t>
      </w:r>
      <w:r w:rsidR="0031535E">
        <w:rPr>
          <w:lang w:val="en-GB"/>
        </w:rPr>
        <w:t xml:space="preserve"> order were:</w:t>
      </w:r>
    </w:p>
    <w:p w14:paraId="17FDA269" w14:textId="77777777" w:rsidR="001064CA" w:rsidRPr="0031535E" w:rsidRDefault="0031535E" w:rsidP="0031535E">
      <w:pPr>
        <w:pStyle w:val="ListBullet"/>
      </w:pPr>
      <w:r>
        <w:rPr>
          <w:lang w:val="en-GB"/>
        </w:rPr>
        <w:t>t</w:t>
      </w:r>
      <w:proofErr w:type="spellStart"/>
      <w:r w:rsidR="001064CA" w:rsidRPr="0031535E">
        <w:t>ime</w:t>
      </w:r>
      <w:proofErr w:type="spellEnd"/>
      <w:r w:rsidR="001064CA" w:rsidRPr="0031535E">
        <w:t xml:space="preserve"> </w:t>
      </w:r>
      <w:r>
        <w:t>to first occurrence of CV death</w:t>
      </w:r>
      <w:r w:rsidR="00593FCC">
        <w:t>;</w:t>
      </w:r>
    </w:p>
    <w:p w14:paraId="784C5468" w14:textId="77777777" w:rsidR="001064CA" w:rsidRPr="0031535E" w:rsidRDefault="0031535E" w:rsidP="0031535E">
      <w:pPr>
        <w:pStyle w:val="ListBullet"/>
      </w:pPr>
      <w:r>
        <w:t>t</w:t>
      </w:r>
      <w:r w:rsidR="001064CA" w:rsidRPr="0031535E">
        <w:t>ime to first occur</w:t>
      </w:r>
      <w:r w:rsidR="00593FCC">
        <w:t>rence of hospitalisation for heart failure;</w:t>
      </w:r>
    </w:p>
    <w:p w14:paraId="234F17D0" w14:textId="77777777" w:rsidR="001064CA" w:rsidRPr="0031535E" w:rsidRDefault="0031535E" w:rsidP="0031535E">
      <w:pPr>
        <w:pStyle w:val="ListBullet"/>
      </w:pPr>
      <w:r>
        <w:t>t</w:t>
      </w:r>
      <w:r w:rsidR="00593FCC">
        <w:t>otal number of heart failure</w:t>
      </w:r>
      <w:r w:rsidR="001064CA" w:rsidRPr="0031535E">
        <w:t xml:space="preserve"> hospitalisations (init</w:t>
      </w:r>
      <w:r w:rsidR="00593FCC">
        <w:t>ial and recurrent) and CV death;</w:t>
      </w:r>
    </w:p>
    <w:p w14:paraId="2C514E1F" w14:textId="71DA8B94" w:rsidR="001064CA" w:rsidRPr="0031535E" w:rsidRDefault="00A72AFB" w:rsidP="0031535E">
      <w:pPr>
        <w:pStyle w:val="ListBullet"/>
      </w:pPr>
      <w:r w:rsidRPr="00135C15">
        <w:t xml:space="preserve">Change from </w:t>
      </w:r>
      <w:r w:rsidR="00CF3228">
        <w:t>B</w:t>
      </w:r>
      <w:r w:rsidRPr="00135C15">
        <w:t xml:space="preserve">aseline measured at 8 months in the total symptom score of the KCCQ, a specific </w:t>
      </w:r>
      <w:r w:rsidR="00CF3228">
        <w:t>heart failure</w:t>
      </w:r>
      <w:r w:rsidRPr="00135C15">
        <w:t xml:space="preserve"> patient reported outcome questionnaire</w:t>
      </w:r>
      <w:r>
        <w:t xml:space="preserve"> </w:t>
      </w:r>
      <w:r w:rsidR="000C4893">
        <w:rPr>
          <w:rStyle w:val="FootnoteReference"/>
        </w:rPr>
        <w:footnoteReference w:id="10"/>
      </w:r>
    </w:p>
    <w:p w14:paraId="462EC0A5" w14:textId="77777777" w:rsidR="001064CA" w:rsidRPr="0031535E" w:rsidRDefault="0031535E" w:rsidP="0031535E">
      <w:pPr>
        <w:pStyle w:val="ListBullet"/>
      </w:pPr>
      <w:r>
        <w:t>t</w:t>
      </w:r>
      <w:r w:rsidR="001064CA" w:rsidRPr="0031535E">
        <w:t xml:space="preserve">ime to first occurrence of a composite endpoint of sustained decline in </w:t>
      </w:r>
      <w:proofErr w:type="spellStart"/>
      <w:r w:rsidR="001064CA" w:rsidRPr="0031535E">
        <w:t>eGFR</w:t>
      </w:r>
      <w:proofErr w:type="spellEnd"/>
      <w:r w:rsidR="001064CA" w:rsidRPr="0031535E">
        <w:t xml:space="preserve"> of ≥</w:t>
      </w:r>
      <w:r>
        <w:t xml:space="preserve"> </w:t>
      </w:r>
      <w:r w:rsidR="001064CA" w:rsidRPr="0031535E">
        <w:t>50%,</w:t>
      </w:r>
      <w:r w:rsidR="00593FCC">
        <w:t xml:space="preserve"> end-stage renal disease; </w:t>
      </w:r>
      <w:r w:rsidR="001064CA" w:rsidRPr="0031535E">
        <w:t>or renal death</w:t>
      </w:r>
      <w:r w:rsidR="00593FCC">
        <w:t>;</w:t>
      </w:r>
      <w:r w:rsidR="001064CA" w:rsidRPr="0031535E">
        <w:t xml:space="preserve"> </w:t>
      </w:r>
      <w:r w:rsidR="00593FCC">
        <w:t>and</w:t>
      </w:r>
    </w:p>
    <w:p w14:paraId="0AA15B6D" w14:textId="77777777" w:rsidR="001064CA" w:rsidRPr="0031535E" w:rsidRDefault="0031535E" w:rsidP="0031535E">
      <w:pPr>
        <w:pStyle w:val="ListBullet"/>
      </w:pPr>
      <w:r>
        <w:t>t</w:t>
      </w:r>
      <w:r w:rsidR="006617EE">
        <w:t>ime to death from any cause</w:t>
      </w:r>
      <w:r>
        <w:t>.</w:t>
      </w:r>
    </w:p>
    <w:p w14:paraId="6B3D2422" w14:textId="65EF14EE" w:rsidR="001064CA" w:rsidRPr="001064CA" w:rsidRDefault="001064CA" w:rsidP="005073A5">
      <w:pPr>
        <w:rPr>
          <w:lang w:val="en-GB"/>
        </w:rPr>
      </w:pPr>
      <w:r w:rsidRPr="001064CA">
        <w:rPr>
          <w:lang w:val="en-GB"/>
        </w:rPr>
        <w:t>The analysis of the primary efficacy endpoint used a Cox proportional hazards model with a factor for treatment group, stratified by T2DM status at randomisation, and adjusted for history of hospitalisation for h</w:t>
      </w:r>
      <w:r w:rsidR="00593FCC">
        <w:rPr>
          <w:lang w:val="en-GB"/>
        </w:rPr>
        <w:t xml:space="preserve">eart failure. Kaplan-Meier </w:t>
      </w:r>
      <w:r w:rsidRPr="001064CA">
        <w:rPr>
          <w:lang w:val="en-GB"/>
        </w:rPr>
        <w:t xml:space="preserve">estimates of the cumulative proportion of patients with </w:t>
      </w:r>
      <w:r w:rsidR="006617EE">
        <w:t>heart failure</w:t>
      </w:r>
      <w:r w:rsidRPr="001064CA">
        <w:rPr>
          <w:lang w:val="en-GB"/>
        </w:rPr>
        <w:t xml:space="preserve"> events were calculated and plotted by treatment group. The analysis considered withdrawal of consent, non-CV death, date of last clinical event assessment and </w:t>
      </w:r>
      <w:r w:rsidR="00593FCC">
        <w:rPr>
          <w:lang w:val="en-GB"/>
        </w:rPr>
        <w:t>primary analysis censoring date</w:t>
      </w:r>
      <w:r w:rsidRPr="001064CA">
        <w:rPr>
          <w:lang w:val="en-GB"/>
        </w:rPr>
        <w:t xml:space="preserve"> as censoring dates without a primary event. The study was event-driven with 844 pre-determined adjudicated primary endpoints required to give the study 90% power to demonstrate superiority of </w:t>
      </w:r>
      <w:proofErr w:type="spellStart"/>
      <w:r w:rsidR="00B0381E">
        <w:rPr>
          <w:lang w:val="en-GB"/>
        </w:rPr>
        <w:t>dapagliflozin</w:t>
      </w:r>
      <w:proofErr w:type="spellEnd"/>
      <w:r w:rsidRPr="001064CA">
        <w:rPr>
          <w:lang w:val="en-GB"/>
        </w:rPr>
        <w:t xml:space="preserve"> relative to </w:t>
      </w:r>
      <w:r w:rsidR="00B0381E">
        <w:rPr>
          <w:lang w:val="en-GB"/>
        </w:rPr>
        <w:t>placebo</w:t>
      </w:r>
      <w:r w:rsidRPr="001064CA">
        <w:rPr>
          <w:lang w:val="en-GB"/>
        </w:rPr>
        <w:t xml:space="preserve"> with a </w:t>
      </w:r>
      <w:r w:rsidR="006617EE">
        <w:rPr>
          <w:lang w:val="en-GB"/>
        </w:rPr>
        <w:t>hazard r</w:t>
      </w:r>
      <w:r w:rsidRPr="001064CA">
        <w:rPr>
          <w:lang w:val="en-GB"/>
        </w:rPr>
        <w:t xml:space="preserve">atio (HR) of 0.80. </w:t>
      </w:r>
      <w:r w:rsidR="00A157D4">
        <w:rPr>
          <w:lang w:val="en-GB"/>
        </w:rPr>
        <w:t>With an assumed</w:t>
      </w:r>
      <w:r w:rsidR="00A157D4" w:rsidRPr="001064CA">
        <w:rPr>
          <w:lang w:val="en-GB"/>
        </w:rPr>
        <w:t xml:space="preserve"> </w:t>
      </w:r>
      <w:r w:rsidRPr="001064CA">
        <w:rPr>
          <w:lang w:val="en-GB"/>
        </w:rPr>
        <w:t xml:space="preserve">annual event rate of 11% in the </w:t>
      </w:r>
      <w:r w:rsidR="00B0381E">
        <w:rPr>
          <w:lang w:val="en-GB"/>
        </w:rPr>
        <w:t>placebo</w:t>
      </w:r>
      <w:r w:rsidRPr="001064CA">
        <w:rPr>
          <w:lang w:val="en-GB"/>
        </w:rPr>
        <w:t xml:space="preserve"> group, 4500 patients were estimated to provide the required number of primary events, based on an anticipated recruitment period of 18 months and an average follow-up period of approximately 24 months. An interim analysis was carried out by an independent </w:t>
      </w:r>
      <w:r w:rsidR="006617EE" w:rsidRPr="001064CA">
        <w:rPr>
          <w:lang w:val="en-GB"/>
        </w:rPr>
        <w:t xml:space="preserve">data monitoring committee </w:t>
      </w:r>
      <w:r w:rsidRPr="001064CA">
        <w:rPr>
          <w:lang w:val="en-GB"/>
        </w:rPr>
        <w:t>when approximately 75% of the primary events had been adjudicated. The sponsor and investigators remained blinded to the r</w:t>
      </w:r>
      <w:r w:rsidR="00D448AF">
        <w:rPr>
          <w:lang w:val="en-GB"/>
        </w:rPr>
        <w:t>esults of the interim analysis.</w:t>
      </w:r>
    </w:p>
    <w:p w14:paraId="23A02DC1" w14:textId="60CFEC2F" w:rsidR="001064CA" w:rsidRPr="001064CA" w:rsidRDefault="001064CA" w:rsidP="005073A5">
      <w:pPr>
        <w:rPr>
          <w:lang w:val="en-GB"/>
        </w:rPr>
      </w:pPr>
      <w:r w:rsidRPr="001064CA">
        <w:rPr>
          <w:lang w:val="en-GB"/>
        </w:rPr>
        <w:t>Sensitivity an</w:t>
      </w:r>
      <w:r w:rsidR="006617EE">
        <w:rPr>
          <w:lang w:val="en-GB"/>
        </w:rPr>
        <w:t>alyses included analyses where ‘undetermined’</w:t>
      </w:r>
      <w:r w:rsidRPr="001064CA">
        <w:rPr>
          <w:lang w:val="en-GB"/>
        </w:rPr>
        <w:t xml:space="preserve"> deaths were trea</w:t>
      </w:r>
      <w:r w:rsidR="006617EE">
        <w:rPr>
          <w:lang w:val="en-GB"/>
        </w:rPr>
        <w:t>ted as censoring events, and a ‘worst case scenario’</w:t>
      </w:r>
      <w:r w:rsidRPr="001064CA">
        <w:rPr>
          <w:lang w:val="en-GB"/>
        </w:rPr>
        <w:t xml:space="preserve"> analysis where all cases censored before the </w:t>
      </w:r>
      <w:r w:rsidR="00D448AF">
        <w:rPr>
          <w:lang w:val="en-GB"/>
        </w:rPr>
        <w:t>primary analysis censoring date</w:t>
      </w:r>
      <w:r w:rsidRPr="001064CA">
        <w:rPr>
          <w:lang w:val="en-GB"/>
        </w:rPr>
        <w:t xml:space="preserve"> for any reason in the </w:t>
      </w:r>
      <w:proofErr w:type="spellStart"/>
      <w:r w:rsidR="00B0381E">
        <w:rPr>
          <w:lang w:val="en-GB"/>
        </w:rPr>
        <w:t>dapagliflozin</w:t>
      </w:r>
      <w:proofErr w:type="spellEnd"/>
      <w:r w:rsidRPr="001064CA">
        <w:rPr>
          <w:lang w:val="en-GB"/>
        </w:rPr>
        <w:t xml:space="preserve"> arm, but not in the </w:t>
      </w:r>
      <w:r w:rsidR="00B0381E">
        <w:rPr>
          <w:lang w:val="en-GB"/>
        </w:rPr>
        <w:t>placebo</w:t>
      </w:r>
      <w:r w:rsidRPr="001064CA">
        <w:rPr>
          <w:lang w:val="en-GB"/>
        </w:rPr>
        <w:t xml:space="preserve"> arm, were treated as having experienced a primary </w:t>
      </w:r>
      <w:r w:rsidR="00D448AF">
        <w:rPr>
          <w:lang w:val="en-GB"/>
        </w:rPr>
        <w:t>event at the time of censoring.</w:t>
      </w:r>
    </w:p>
    <w:p w14:paraId="53081343" w14:textId="21DEAACA" w:rsidR="001064CA" w:rsidRPr="001064CA" w:rsidRDefault="001064CA" w:rsidP="001064CA">
      <w:pPr>
        <w:autoSpaceDE w:val="0"/>
        <w:autoSpaceDN w:val="0"/>
        <w:adjustRightInd w:val="0"/>
        <w:spacing w:before="0" w:after="0" w:line="240" w:lineRule="auto"/>
        <w:rPr>
          <w:rFonts w:eastAsiaTheme="minorHAnsi" w:cs="Cambria"/>
          <w:color w:val="000000"/>
          <w:lang w:val="en-GB"/>
        </w:rPr>
      </w:pPr>
      <w:r w:rsidRPr="001064CA">
        <w:rPr>
          <w:rFonts w:eastAsiaTheme="minorHAnsi" w:cs="Cambria"/>
          <w:color w:val="000000"/>
          <w:lang w:val="en-GB"/>
        </w:rPr>
        <w:t>Descriptive exploratory sub-group analyses of the pr</w:t>
      </w:r>
      <w:r w:rsidR="006617EE">
        <w:rPr>
          <w:rFonts w:eastAsiaTheme="minorHAnsi" w:cs="Cambria"/>
          <w:color w:val="000000"/>
          <w:lang w:val="en-GB"/>
        </w:rPr>
        <w:t>imary composite endpoint and CV </w:t>
      </w:r>
      <w:r w:rsidRPr="001064CA">
        <w:rPr>
          <w:rFonts w:eastAsiaTheme="minorHAnsi" w:cs="Cambria"/>
          <w:color w:val="000000"/>
          <w:lang w:val="en-GB"/>
        </w:rPr>
        <w:t xml:space="preserve">death were presented by T2DM status and history of </w:t>
      </w:r>
      <w:r w:rsidR="006617EE">
        <w:t xml:space="preserve">heart failure </w:t>
      </w:r>
      <w:r w:rsidR="006617EE">
        <w:rPr>
          <w:rFonts w:eastAsiaTheme="minorHAnsi" w:cs="Cambria"/>
          <w:color w:val="000000"/>
          <w:lang w:val="en-GB"/>
        </w:rPr>
        <w:t>hospitalis</w:t>
      </w:r>
      <w:r w:rsidRPr="001064CA">
        <w:rPr>
          <w:rFonts w:eastAsiaTheme="minorHAnsi" w:cs="Cambria"/>
          <w:color w:val="000000"/>
          <w:lang w:val="en-GB"/>
        </w:rPr>
        <w:t xml:space="preserve">ation. The composite outcome of recurrent </w:t>
      </w:r>
      <w:r w:rsidR="006617EE">
        <w:t xml:space="preserve">heart failure </w:t>
      </w:r>
      <w:r w:rsidRPr="001064CA">
        <w:rPr>
          <w:rFonts w:eastAsiaTheme="minorHAnsi" w:cs="Cambria"/>
          <w:color w:val="000000"/>
          <w:lang w:val="en-GB"/>
        </w:rPr>
        <w:t>hospitalisations (</w:t>
      </w:r>
      <w:r w:rsidR="006617EE">
        <w:rPr>
          <w:rFonts w:eastAsiaTheme="minorHAnsi" w:cs="Cambria"/>
          <w:color w:val="000000"/>
          <w:lang w:val="en-GB"/>
        </w:rPr>
        <w:t xml:space="preserve">that is, </w:t>
      </w:r>
      <w:r w:rsidRPr="001064CA">
        <w:rPr>
          <w:rFonts w:eastAsiaTheme="minorHAnsi" w:cs="Cambria"/>
          <w:color w:val="000000"/>
          <w:lang w:val="en-GB"/>
        </w:rPr>
        <w:t>first and recurrent) or CV death was analysed using a semi-parametric proportional rates model to test for treatment effect and to quantify the treatment difference in terms of the rate ratio with 95% confidence interval and p-value. Group-level comparis</w:t>
      </w:r>
      <w:r w:rsidR="006617EE">
        <w:rPr>
          <w:rFonts w:eastAsiaTheme="minorHAnsi" w:cs="Cambria"/>
          <w:color w:val="000000"/>
          <w:lang w:val="en-GB"/>
        </w:rPr>
        <w:t>ons of change in KCCQ</w:t>
      </w:r>
      <w:r w:rsidR="00D448AF">
        <w:rPr>
          <w:rFonts w:eastAsiaTheme="minorHAnsi" w:cs="Cambria"/>
          <w:color w:val="000000"/>
          <w:lang w:val="en-GB"/>
        </w:rPr>
        <w:t xml:space="preserve"> total symptom score</w:t>
      </w:r>
      <w:r w:rsidR="00062915">
        <w:rPr>
          <w:rFonts w:eastAsiaTheme="minorHAnsi" w:cs="Cambria"/>
          <w:color w:val="000000"/>
          <w:lang w:val="en-GB"/>
        </w:rPr>
        <w:t xml:space="preserve"> (KCCQ-TSS) </w:t>
      </w:r>
      <w:r w:rsidR="006617EE">
        <w:rPr>
          <w:rFonts w:eastAsiaTheme="minorHAnsi" w:cs="Cambria"/>
          <w:color w:val="000000"/>
          <w:lang w:val="en-GB"/>
        </w:rPr>
        <w:t>from B</w:t>
      </w:r>
      <w:r w:rsidRPr="001064CA">
        <w:rPr>
          <w:rFonts w:eastAsiaTheme="minorHAnsi" w:cs="Cambria"/>
          <w:color w:val="000000"/>
          <w:lang w:val="en-GB"/>
        </w:rPr>
        <w:t>aseline to 8 mon</w:t>
      </w:r>
      <w:r w:rsidR="00062915">
        <w:rPr>
          <w:rFonts w:eastAsiaTheme="minorHAnsi" w:cs="Cambria"/>
          <w:color w:val="000000"/>
          <w:lang w:val="en-GB"/>
        </w:rPr>
        <w:t>ths were conducted using a rank</w:t>
      </w:r>
      <w:r w:rsidR="00062915">
        <w:rPr>
          <w:rFonts w:eastAsiaTheme="minorHAnsi" w:cs="Cambria"/>
          <w:color w:val="000000"/>
          <w:lang w:val="en-GB"/>
        </w:rPr>
        <w:noBreakHyphen/>
      </w:r>
      <w:r w:rsidRPr="001064CA">
        <w:rPr>
          <w:rFonts w:eastAsiaTheme="minorHAnsi" w:cs="Cambria"/>
          <w:color w:val="000000"/>
          <w:lang w:val="en-GB"/>
        </w:rPr>
        <w:t>ANCOVA and the win ratio to test the null hypothesis of no differences in the distributions of ranked outcomes between the two treatment arms. The number and percentage of patients achieving a clinically meaningful change from baseline (increase or decrease o</w:t>
      </w:r>
      <w:r w:rsidR="006617EE">
        <w:rPr>
          <w:rFonts w:eastAsiaTheme="minorHAnsi" w:cs="Cambria"/>
          <w:color w:val="000000"/>
          <w:lang w:val="en-GB"/>
        </w:rPr>
        <w:t>f score ≥ 5 points) in the KCCQ</w:t>
      </w:r>
      <w:r w:rsidR="006617EE">
        <w:rPr>
          <w:rFonts w:eastAsiaTheme="minorHAnsi" w:cs="Cambria"/>
          <w:color w:val="000000"/>
          <w:lang w:val="en-GB"/>
        </w:rPr>
        <w:noBreakHyphen/>
      </w:r>
      <w:r w:rsidRPr="001064CA">
        <w:rPr>
          <w:rFonts w:eastAsiaTheme="minorHAnsi" w:cs="Cambria"/>
          <w:color w:val="000000"/>
          <w:lang w:val="en-GB"/>
        </w:rPr>
        <w:t>TSS in each treatment group were also analysed us</w:t>
      </w:r>
      <w:r w:rsidR="00062915">
        <w:rPr>
          <w:rFonts w:eastAsiaTheme="minorHAnsi" w:cs="Cambria"/>
          <w:color w:val="000000"/>
          <w:lang w:val="en-GB"/>
        </w:rPr>
        <w:t>ing logistic regression models.</w:t>
      </w:r>
    </w:p>
    <w:p w14:paraId="77D7DC7C" w14:textId="36262685" w:rsidR="001064CA" w:rsidRPr="001064CA" w:rsidRDefault="001064CA" w:rsidP="00C13FAD">
      <w:pPr>
        <w:ind w:right="-143"/>
        <w:rPr>
          <w:lang w:val="en-GB"/>
        </w:rPr>
      </w:pPr>
      <w:r w:rsidRPr="001064CA">
        <w:rPr>
          <w:lang w:val="en-GB"/>
        </w:rPr>
        <w:t>The demographic characteristics were well balanced between the two treatment groups. The mean (</w:t>
      </w:r>
      <w:r w:rsidR="006617EE">
        <w:rPr>
          <w:lang w:val="en-GB"/>
        </w:rPr>
        <w:t xml:space="preserve">standard deviation; </w:t>
      </w:r>
      <w:r w:rsidRPr="001064CA">
        <w:rPr>
          <w:lang w:val="en-GB"/>
        </w:rPr>
        <w:t>SD) age of the total population was 66.3 (10.9) years, with 57.2% of the population aged &gt; 65 years, 76.6% male, 70.3% White, 23.5% Asian, and 4.8% Black or African American. The mean</w:t>
      </w:r>
      <w:r w:rsidR="00062915">
        <w:rPr>
          <w:lang w:val="en-GB"/>
        </w:rPr>
        <w:t xml:space="preserve"> body mass index</w:t>
      </w:r>
      <w:r w:rsidRPr="001064CA">
        <w:rPr>
          <w:lang w:val="en-GB"/>
        </w:rPr>
        <w:t xml:space="preserve"> </w:t>
      </w:r>
      <w:r w:rsidR="00062915">
        <w:rPr>
          <w:lang w:val="en-GB"/>
        </w:rPr>
        <w:t>(</w:t>
      </w:r>
      <w:r w:rsidRPr="001064CA">
        <w:rPr>
          <w:lang w:val="en-GB"/>
        </w:rPr>
        <w:t>BMI</w:t>
      </w:r>
      <w:r w:rsidR="00062915">
        <w:rPr>
          <w:lang w:val="en-GB"/>
        </w:rPr>
        <w:t>)</w:t>
      </w:r>
      <w:r w:rsidRPr="001064CA">
        <w:rPr>
          <w:lang w:val="en-GB"/>
        </w:rPr>
        <w:t xml:space="preserve"> (SD) in the total population was 28.2 (6.0) kg/m</w:t>
      </w:r>
      <w:r w:rsidRPr="006617EE">
        <w:rPr>
          <w:vertAlign w:val="superscript"/>
        </w:rPr>
        <w:t>2</w:t>
      </w:r>
      <w:r w:rsidRPr="001064CA">
        <w:rPr>
          <w:lang w:val="en-GB"/>
        </w:rPr>
        <w:t xml:space="preserve">, with 35.3% of the </w:t>
      </w:r>
      <w:r w:rsidR="00062915">
        <w:rPr>
          <w:lang w:val="en-GB"/>
        </w:rPr>
        <w:t>total population having a BMI ≥ 30 </w:t>
      </w:r>
      <w:r w:rsidRPr="001064CA">
        <w:rPr>
          <w:lang w:val="en-GB"/>
        </w:rPr>
        <w:t>kg/m</w:t>
      </w:r>
      <w:r w:rsidRPr="006617EE">
        <w:rPr>
          <w:vertAlign w:val="superscript"/>
        </w:rPr>
        <w:t>2</w:t>
      </w:r>
      <w:r w:rsidRPr="001064CA">
        <w:rPr>
          <w:lang w:val="en-GB"/>
        </w:rPr>
        <w:t>. Baseline disease characteristics were also balanced between the two groups. A similar proportion of pa</w:t>
      </w:r>
      <w:r w:rsidR="006617EE">
        <w:rPr>
          <w:lang w:val="en-GB"/>
        </w:rPr>
        <w:t>tients in each arm had T2DM at B</w:t>
      </w:r>
      <w:r w:rsidRPr="001064CA">
        <w:rPr>
          <w:lang w:val="en-GB"/>
        </w:rPr>
        <w:t>aseline (</w:t>
      </w:r>
      <w:proofErr w:type="spellStart"/>
      <w:r w:rsidR="00B0381E">
        <w:rPr>
          <w:lang w:val="en-GB"/>
        </w:rPr>
        <w:t>dapagliflozin</w:t>
      </w:r>
      <w:proofErr w:type="spellEnd"/>
      <w:r w:rsidRPr="001064CA">
        <w:rPr>
          <w:lang w:val="en-GB"/>
        </w:rPr>
        <w:t xml:space="preserve"> 45.3%, </w:t>
      </w:r>
      <w:r w:rsidR="00B0381E">
        <w:rPr>
          <w:lang w:val="en-GB"/>
        </w:rPr>
        <w:t>placebo</w:t>
      </w:r>
      <w:r w:rsidRPr="001064CA">
        <w:rPr>
          <w:lang w:val="en-GB"/>
        </w:rPr>
        <w:t xml:space="preserve"> 44.9%). At enrolment, most patients</w:t>
      </w:r>
      <w:r w:rsidR="006617EE">
        <w:rPr>
          <w:lang w:val="en-GB"/>
        </w:rPr>
        <w:t xml:space="preserve"> were classified as NYHA C</w:t>
      </w:r>
      <w:r w:rsidRPr="001064CA">
        <w:rPr>
          <w:lang w:val="en-GB"/>
        </w:rPr>
        <w:t xml:space="preserve">lass II (67.5%, </w:t>
      </w:r>
      <w:proofErr w:type="spellStart"/>
      <w:r w:rsidR="00B0381E">
        <w:rPr>
          <w:lang w:val="en-GB"/>
        </w:rPr>
        <w:t>dapagliflozin</w:t>
      </w:r>
      <w:proofErr w:type="spellEnd"/>
      <w:r w:rsidRPr="001064CA">
        <w:rPr>
          <w:lang w:val="en-GB"/>
        </w:rPr>
        <w:t xml:space="preserve"> 67.7%, </w:t>
      </w:r>
      <w:r w:rsidR="00B0381E">
        <w:rPr>
          <w:lang w:val="en-GB"/>
        </w:rPr>
        <w:t>placebo</w:t>
      </w:r>
      <w:r w:rsidR="006617EE">
        <w:rPr>
          <w:lang w:val="en-GB"/>
        </w:rPr>
        <w:t xml:space="preserve"> 67.4%), 31.6% as NYHA C</w:t>
      </w:r>
      <w:r w:rsidRPr="001064CA">
        <w:rPr>
          <w:lang w:val="en-GB"/>
        </w:rPr>
        <w:t>lass III (</w:t>
      </w:r>
      <w:proofErr w:type="spellStart"/>
      <w:r w:rsidR="00B0381E">
        <w:rPr>
          <w:lang w:val="en-GB"/>
        </w:rPr>
        <w:t>dapagliflozin</w:t>
      </w:r>
      <w:proofErr w:type="spellEnd"/>
      <w:r w:rsidRPr="001064CA">
        <w:rPr>
          <w:lang w:val="en-GB"/>
        </w:rPr>
        <w:t xml:space="preserve"> 31.5%, </w:t>
      </w:r>
      <w:r w:rsidR="00B0381E">
        <w:rPr>
          <w:lang w:val="en-GB"/>
        </w:rPr>
        <w:t>placebo</w:t>
      </w:r>
      <w:r w:rsidR="006617EE">
        <w:rPr>
          <w:lang w:val="en-GB"/>
        </w:rPr>
        <w:t xml:space="preserve"> 31.7%) and 0.9% as NYHA C</w:t>
      </w:r>
      <w:r w:rsidRPr="001064CA">
        <w:rPr>
          <w:lang w:val="en-GB"/>
        </w:rPr>
        <w:t>lass IV (</w:t>
      </w:r>
      <w:proofErr w:type="spellStart"/>
      <w:r w:rsidR="00B0381E">
        <w:rPr>
          <w:lang w:val="en-GB"/>
        </w:rPr>
        <w:t>dapagliflozin</w:t>
      </w:r>
      <w:proofErr w:type="spellEnd"/>
      <w:r w:rsidRPr="001064CA">
        <w:rPr>
          <w:lang w:val="en-GB"/>
        </w:rPr>
        <w:t xml:space="preserve"> 0.8%, </w:t>
      </w:r>
      <w:r w:rsidR="00B0381E">
        <w:rPr>
          <w:lang w:val="en-GB"/>
        </w:rPr>
        <w:t>placebo</w:t>
      </w:r>
      <w:r w:rsidRPr="001064CA">
        <w:rPr>
          <w:lang w:val="en-GB"/>
        </w:rPr>
        <w:t xml:space="preserve"> 1.0%). In the </w:t>
      </w:r>
      <w:r w:rsidR="00062915">
        <w:rPr>
          <w:lang w:val="en-GB"/>
        </w:rPr>
        <w:t>total population the median (interquartile range; IQR</w:t>
      </w:r>
      <w:r w:rsidRPr="001064CA">
        <w:rPr>
          <w:lang w:val="en-GB"/>
        </w:rPr>
        <w:t xml:space="preserve">) </w:t>
      </w:r>
      <w:r w:rsidR="00062915">
        <w:rPr>
          <w:lang w:val="en-GB"/>
        </w:rPr>
        <w:t>left ventricular ejection fraction</w:t>
      </w:r>
      <w:r w:rsidRPr="001064CA">
        <w:rPr>
          <w:lang w:val="en-GB"/>
        </w:rPr>
        <w:t xml:space="preserve"> was 32% (26%, 37%). The most common </w:t>
      </w:r>
      <w:r w:rsidR="006617EE">
        <w:t xml:space="preserve">heart failure with reduced ejection fraction </w:t>
      </w:r>
      <w:r w:rsidRPr="001064CA">
        <w:rPr>
          <w:lang w:val="en-GB"/>
        </w:rPr>
        <w:t>aetiology was ischaemic heart disease (56.4% of patients). In the total population, the median (IQR) NT-</w:t>
      </w:r>
      <w:proofErr w:type="spellStart"/>
      <w:r w:rsidRPr="001064CA">
        <w:rPr>
          <w:lang w:val="en-GB"/>
        </w:rPr>
        <w:t>proBNP</w:t>
      </w:r>
      <w:proofErr w:type="spellEnd"/>
      <w:r w:rsidRPr="001064CA">
        <w:rPr>
          <w:lang w:val="en-GB"/>
        </w:rPr>
        <w:t xml:space="preserve"> levels were 1437 </w:t>
      </w:r>
      <w:proofErr w:type="spellStart"/>
      <w:r w:rsidRPr="001064CA">
        <w:rPr>
          <w:lang w:val="en-GB"/>
        </w:rPr>
        <w:t>pg</w:t>
      </w:r>
      <w:proofErr w:type="spellEnd"/>
      <w:r w:rsidRPr="001064CA">
        <w:rPr>
          <w:lang w:val="en-GB"/>
        </w:rPr>
        <w:t xml:space="preserve">/mL (857, 2650). </w:t>
      </w:r>
      <w:r w:rsidR="006617EE">
        <w:t xml:space="preserve">Heart failure </w:t>
      </w:r>
      <w:r w:rsidRPr="001064CA">
        <w:rPr>
          <w:lang w:val="en-GB"/>
        </w:rPr>
        <w:t>treatment at randomisation was balanced between the two treatment groups. In the total group, 93.6% were being treated with an ACE</w:t>
      </w:r>
      <w:r w:rsidR="006617EE">
        <w:rPr>
          <w:lang w:val="en-GB"/>
        </w:rPr>
        <w:t>-</w:t>
      </w:r>
      <w:r w:rsidRPr="001064CA">
        <w:rPr>
          <w:lang w:val="en-GB"/>
        </w:rPr>
        <w:t xml:space="preserve">I/ARB/ARNI, 96.1% with a beta blocker, 71.0% with an </w:t>
      </w:r>
      <w:r w:rsidR="00062915">
        <w:rPr>
          <w:lang w:val="en-GB"/>
        </w:rPr>
        <w:t>mineralocorticoid receptor antagonist</w:t>
      </w:r>
      <w:r w:rsidRPr="001064CA">
        <w:rPr>
          <w:lang w:val="en-GB"/>
        </w:rPr>
        <w:t>, and 93.4% with a diuretic,</w:t>
      </w:r>
      <w:r w:rsidR="00062915">
        <w:rPr>
          <w:lang w:val="en-GB"/>
        </w:rPr>
        <w:t xml:space="preserve"> most commonly a loop diuretic.</w:t>
      </w:r>
    </w:p>
    <w:p w14:paraId="2F327783" w14:textId="09EB8035" w:rsidR="001064CA" w:rsidRDefault="006617EE" w:rsidP="001064CA">
      <w:proofErr w:type="spellStart"/>
      <w:r>
        <w:rPr>
          <w:lang w:val="en-GB"/>
        </w:rPr>
        <w:t>D</w:t>
      </w:r>
      <w:r w:rsidR="00B0381E">
        <w:rPr>
          <w:lang w:val="en-GB"/>
        </w:rPr>
        <w:t>apagliflozin</w:t>
      </w:r>
      <w:proofErr w:type="spellEnd"/>
      <w:r w:rsidR="001064CA" w:rsidRPr="001064CA">
        <w:rPr>
          <w:lang w:val="en-GB"/>
        </w:rPr>
        <w:t xml:space="preserve"> was superior to </w:t>
      </w:r>
      <w:r w:rsidR="00B0381E">
        <w:rPr>
          <w:lang w:val="en-GB"/>
        </w:rPr>
        <w:t>placebo</w:t>
      </w:r>
      <w:r w:rsidR="001064CA" w:rsidRPr="001064CA">
        <w:rPr>
          <w:lang w:val="en-GB"/>
        </w:rPr>
        <w:t xml:space="preserve"> in reducing the incidence of the primary composite endpoint of CV death or a </w:t>
      </w:r>
      <w:r>
        <w:t xml:space="preserve">heart failure </w:t>
      </w:r>
      <w:r>
        <w:rPr>
          <w:lang w:val="en-GB"/>
        </w:rPr>
        <w:t>event: h</w:t>
      </w:r>
      <w:r w:rsidR="001064CA" w:rsidRPr="001064CA">
        <w:rPr>
          <w:lang w:val="en-GB"/>
        </w:rPr>
        <w:t xml:space="preserve">azard ratio (HR) 0.74, 95% </w:t>
      </w:r>
      <w:r w:rsidR="00062915">
        <w:rPr>
          <w:lang w:val="en-GB"/>
        </w:rPr>
        <w:t>confidence interval (</w:t>
      </w:r>
      <w:r w:rsidR="001064CA" w:rsidRPr="001064CA">
        <w:rPr>
          <w:lang w:val="en-GB"/>
        </w:rPr>
        <w:t>CI</w:t>
      </w:r>
      <w:r w:rsidR="00062915">
        <w:rPr>
          <w:lang w:val="en-GB"/>
        </w:rPr>
        <w:t>)</w:t>
      </w:r>
      <w:r w:rsidR="001064CA" w:rsidRPr="001064CA">
        <w:rPr>
          <w:lang w:val="en-GB"/>
        </w:rPr>
        <w:t>: 0.65, 0.85, p</w:t>
      </w:r>
      <w:r>
        <w:rPr>
          <w:lang w:val="en-GB"/>
        </w:rPr>
        <w:t> </w:t>
      </w:r>
      <w:r w:rsidR="001064CA" w:rsidRPr="001064CA">
        <w:rPr>
          <w:lang w:val="en-GB"/>
        </w:rPr>
        <w:t xml:space="preserve">&lt; 0.0001. In the </w:t>
      </w:r>
      <w:proofErr w:type="spellStart"/>
      <w:r w:rsidR="00B0381E">
        <w:rPr>
          <w:lang w:val="en-GB"/>
        </w:rPr>
        <w:t>dapagliflozin</w:t>
      </w:r>
      <w:proofErr w:type="spellEnd"/>
      <w:r w:rsidR="001064CA" w:rsidRPr="001064CA">
        <w:rPr>
          <w:lang w:val="en-GB"/>
        </w:rPr>
        <w:t xml:space="preserve"> arm 386 (16.3%) patients experienced an event compared to 502 (21.2%) patients in the </w:t>
      </w:r>
      <w:r w:rsidR="00B0381E">
        <w:rPr>
          <w:lang w:val="en-GB"/>
        </w:rPr>
        <w:t>placebo</w:t>
      </w:r>
      <w:r w:rsidR="001064CA" w:rsidRPr="001064CA">
        <w:rPr>
          <w:lang w:val="en-GB"/>
        </w:rPr>
        <w:t xml:space="preserve"> arm. This corresponded with 11.6 events</w:t>
      </w:r>
      <w:r>
        <w:rPr>
          <w:lang w:val="en-GB"/>
        </w:rPr>
        <w:t xml:space="preserve"> </w:t>
      </w:r>
      <w:r w:rsidR="001064CA" w:rsidRPr="001064CA">
        <w:rPr>
          <w:lang w:val="en-GB"/>
        </w:rPr>
        <w:t>/</w:t>
      </w:r>
      <w:r>
        <w:rPr>
          <w:lang w:val="en-GB"/>
        </w:rPr>
        <w:t xml:space="preserve"> 100 </w:t>
      </w:r>
      <w:r w:rsidR="00062915">
        <w:rPr>
          <w:lang w:val="en-GB"/>
        </w:rPr>
        <w:t>patient years (PY</w:t>
      </w:r>
      <w:r w:rsidR="001064CA" w:rsidRPr="001064CA">
        <w:rPr>
          <w:lang w:val="en-GB"/>
        </w:rPr>
        <w:t xml:space="preserve">) of follow-up in the </w:t>
      </w:r>
      <w:proofErr w:type="spellStart"/>
      <w:r w:rsidR="00B0381E">
        <w:rPr>
          <w:lang w:val="en-GB"/>
        </w:rPr>
        <w:t>dapagliflozin</w:t>
      </w:r>
      <w:proofErr w:type="spellEnd"/>
      <w:r w:rsidR="001064CA" w:rsidRPr="001064CA">
        <w:rPr>
          <w:lang w:val="en-GB"/>
        </w:rPr>
        <w:t xml:space="preserve"> group and 15.6 in the </w:t>
      </w:r>
      <w:r w:rsidR="00B0381E">
        <w:rPr>
          <w:lang w:val="en-GB"/>
        </w:rPr>
        <w:t>placebo</w:t>
      </w:r>
      <w:r w:rsidR="001064CA" w:rsidRPr="001064CA">
        <w:rPr>
          <w:lang w:val="en-GB"/>
        </w:rPr>
        <w:t xml:space="preserve"> group (</w:t>
      </w:r>
      <w:r w:rsidR="00062915">
        <w:rPr>
          <w:lang w:val="en-GB"/>
        </w:rPr>
        <w:t xml:space="preserve">see </w:t>
      </w:r>
      <w:r w:rsidR="001064CA" w:rsidRPr="001064CA">
        <w:rPr>
          <w:lang w:val="en-GB"/>
        </w:rPr>
        <w:t>Table 4</w:t>
      </w:r>
      <w:r w:rsidR="00062915">
        <w:rPr>
          <w:lang w:val="en-GB"/>
        </w:rPr>
        <w:t>, below</w:t>
      </w:r>
      <w:r w:rsidR="001064CA" w:rsidRPr="001064CA">
        <w:rPr>
          <w:lang w:val="en-GB"/>
        </w:rPr>
        <w:t>). The annualised number</w:t>
      </w:r>
      <w:r w:rsidR="001064CA">
        <w:rPr>
          <w:lang w:val="en-GB"/>
        </w:rPr>
        <w:t xml:space="preserve"> </w:t>
      </w:r>
      <w:r w:rsidR="001064CA">
        <w:t>needed to treat (NNT) for the primary composite endpoint was 26 patients (95% CI: 18, 46).</w:t>
      </w:r>
    </w:p>
    <w:p w14:paraId="6573C2C6" w14:textId="4446EA21" w:rsidR="00062915" w:rsidRDefault="00062915" w:rsidP="00062915">
      <w:pPr>
        <w:pStyle w:val="TableTitle"/>
      </w:pPr>
      <w:r>
        <w:t xml:space="preserve">Table </w:t>
      </w:r>
      <w:fldSimple w:instr=" SEQ Table \* ARABIC ">
        <w:r w:rsidR="00504D2B">
          <w:rPr>
            <w:noProof/>
          </w:rPr>
          <w:t>4</w:t>
        </w:r>
      </w:fldSimple>
      <w:r>
        <w:t>: DAPA-HF trial Results for the primary composite end point</w:t>
      </w:r>
    </w:p>
    <w:tbl>
      <w:tblPr>
        <w:tblStyle w:val="TableTGAblue"/>
        <w:tblW w:w="8779" w:type="dxa"/>
        <w:tblLayout w:type="fixed"/>
        <w:tblLook w:val="04A0" w:firstRow="1" w:lastRow="0" w:firstColumn="1" w:lastColumn="0" w:noHBand="0" w:noVBand="1"/>
      </w:tblPr>
      <w:tblGrid>
        <w:gridCol w:w="1700"/>
        <w:gridCol w:w="1260"/>
        <w:gridCol w:w="720"/>
        <w:gridCol w:w="1260"/>
        <w:gridCol w:w="630"/>
        <w:gridCol w:w="720"/>
        <w:gridCol w:w="1225"/>
        <w:gridCol w:w="1264"/>
      </w:tblGrid>
      <w:tr w:rsidR="001E3718" w:rsidRPr="00C13FAD" w14:paraId="023B7ACB" w14:textId="77777777" w:rsidTr="00C13FAD">
        <w:trPr>
          <w:cnfStyle w:val="100000000000" w:firstRow="1" w:lastRow="0" w:firstColumn="0" w:lastColumn="0" w:oddVBand="0" w:evenVBand="0" w:oddHBand="0" w:evenHBand="0" w:firstRowFirstColumn="0" w:firstRowLastColumn="0" w:lastRowFirstColumn="0" w:lastRowLastColumn="0"/>
        </w:trPr>
        <w:tc>
          <w:tcPr>
            <w:tcW w:w="1700" w:type="dxa"/>
            <w:tcMar>
              <w:left w:w="43" w:type="dxa"/>
              <w:right w:w="43" w:type="dxa"/>
            </w:tcMar>
          </w:tcPr>
          <w:p w14:paraId="3E1F96CF" w14:textId="77777777" w:rsidR="001064CA" w:rsidRPr="00C13FAD" w:rsidRDefault="001064CA" w:rsidP="00CE75EA">
            <w:pPr>
              <w:ind w:left="29" w:right="29"/>
              <w:rPr>
                <w:sz w:val="20"/>
                <w:szCs w:val="20"/>
              </w:rPr>
            </w:pPr>
            <w:r w:rsidRPr="00C13FAD">
              <w:rPr>
                <w:sz w:val="20"/>
                <w:szCs w:val="20"/>
              </w:rPr>
              <w:t xml:space="preserve">Endpoint </w:t>
            </w:r>
          </w:p>
        </w:tc>
        <w:tc>
          <w:tcPr>
            <w:tcW w:w="1980" w:type="dxa"/>
            <w:gridSpan w:val="2"/>
            <w:tcMar>
              <w:left w:w="43" w:type="dxa"/>
              <w:right w:w="43" w:type="dxa"/>
            </w:tcMar>
          </w:tcPr>
          <w:p w14:paraId="5CE96235" w14:textId="40F2CD77" w:rsidR="001064CA" w:rsidRPr="00C13FAD" w:rsidRDefault="001064CA" w:rsidP="00CE75EA">
            <w:pPr>
              <w:ind w:left="29" w:right="29"/>
              <w:rPr>
                <w:sz w:val="20"/>
                <w:szCs w:val="20"/>
              </w:rPr>
            </w:pPr>
            <w:proofErr w:type="spellStart"/>
            <w:r w:rsidRPr="00C13FAD">
              <w:rPr>
                <w:sz w:val="20"/>
                <w:szCs w:val="20"/>
              </w:rPr>
              <w:t>Dapa</w:t>
            </w:r>
            <w:r w:rsidR="00CE75EA" w:rsidRPr="00C13FAD">
              <w:rPr>
                <w:sz w:val="20"/>
                <w:szCs w:val="20"/>
              </w:rPr>
              <w:t>gliflozin</w:t>
            </w:r>
            <w:proofErr w:type="spellEnd"/>
            <w:r w:rsidRPr="00C13FAD">
              <w:rPr>
                <w:sz w:val="20"/>
                <w:szCs w:val="20"/>
              </w:rPr>
              <w:t xml:space="preserve"> 10</w:t>
            </w:r>
            <w:r w:rsidR="00405B4C" w:rsidRPr="00C13FAD">
              <w:rPr>
                <w:sz w:val="20"/>
                <w:szCs w:val="20"/>
              </w:rPr>
              <w:t> </w:t>
            </w:r>
            <w:r w:rsidRPr="00C13FAD">
              <w:rPr>
                <w:sz w:val="20"/>
                <w:szCs w:val="20"/>
              </w:rPr>
              <w:t>mg (n</w:t>
            </w:r>
            <w:r w:rsidR="00CE75EA" w:rsidRPr="00C13FAD">
              <w:rPr>
                <w:sz w:val="20"/>
                <w:szCs w:val="20"/>
              </w:rPr>
              <w:t> </w:t>
            </w:r>
            <w:r w:rsidRPr="00C13FAD">
              <w:rPr>
                <w:sz w:val="20"/>
                <w:szCs w:val="20"/>
              </w:rPr>
              <w:t>=</w:t>
            </w:r>
            <w:r w:rsidR="00CE75EA" w:rsidRPr="00C13FAD">
              <w:rPr>
                <w:sz w:val="20"/>
                <w:szCs w:val="20"/>
              </w:rPr>
              <w:t> </w:t>
            </w:r>
            <w:r w:rsidRPr="00C13FAD">
              <w:rPr>
                <w:sz w:val="20"/>
                <w:szCs w:val="20"/>
              </w:rPr>
              <w:t>2373)</w:t>
            </w:r>
          </w:p>
        </w:tc>
        <w:tc>
          <w:tcPr>
            <w:tcW w:w="1890" w:type="dxa"/>
            <w:gridSpan w:val="2"/>
            <w:tcMar>
              <w:left w:w="43" w:type="dxa"/>
              <w:right w:w="43" w:type="dxa"/>
            </w:tcMar>
          </w:tcPr>
          <w:p w14:paraId="00697163" w14:textId="77777777" w:rsidR="001064CA" w:rsidRPr="00C13FAD" w:rsidRDefault="00CE75EA" w:rsidP="00CE75EA">
            <w:pPr>
              <w:ind w:left="29" w:right="29"/>
              <w:rPr>
                <w:sz w:val="20"/>
                <w:szCs w:val="20"/>
              </w:rPr>
            </w:pPr>
            <w:r w:rsidRPr="00C13FAD">
              <w:rPr>
                <w:sz w:val="20"/>
                <w:szCs w:val="20"/>
              </w:rPr>
              <w:t>Placebo</w:t>
            </w:r>
            <w:r w:rsidRPr="00C13FAD">
              <w:rPr>
                <w:sz w:val="20"/>
                <w:szCs w:val="20"/>
              </w:rPr>
              <w:br/>
            </w:r>
            <w:r w:rsidR="001064CA" w:rsidRPr="00C13FAD">
              <w:rPr>
                <w:sz w:val="20"/>
                <w:szCs w:val="20"/>
              </w:rPr>
              <w:t>(n</w:t>
            </w:r>
            <w:r w:rsidRPr="00C13FAD">
              <w:rPr>
                <w:sz w:val="20"/>
                <w:szCs w:val="20"/>
              </w:rPr>
              <w:t> </w:t>
            </w:r>
            <w:r w:rsidR="001064CA" w:rsidRPr="00C13FAD">
              <w:rPr>
                <w:sz w:val="20"/>
                <w:szCs w:val="20"/>
              </w:rPr>
              <w:t>=</w:t>
            </w:r>
            <w:r w:rsidRPr="00C13FAD">
              <w:rPr>
                <w:sz w:val="20"/>
                <w:szCs w:val="20"/>
              </w:rPr>
              <w:t> </w:t>
            </w:r>
            <w:r w:rsidR="001064CA" w:rsidRPr="00C13FAD">
              <w:rPr>
                <w:sz w:val="20"/>
                <w:szCs w:val="20"/>
              </w:rPr>
              <w:t xml:space="preserve">2371) </w:t>
            </w:r>
          </w:p>
        </w:tc>
        <w:tc>
          <w:tcPr>
            <w:tcW w:w="3209" w:type="dxa"/>
            <w:gridSpan w:val="3"/>
            <w:tcMar>
              <w:left w:w="43" w:type="dxa"/>
              <w:right w:w="43" w:type="dxa"/>
            </w:tcMar>
          </w:tcPr>
          <w:p w14:paraId="682F862E" w14:textId="77777777" w:rsidR="001064CA" w:rsidRPr="00C13FAD" w:rsidRDefault="00CE75EA" w:rsidP="00CE75EA">
            <w:pPr>
              <w:ind w:left="29" w:right="29"/>
              <w:rPr>
                <w:sz w:val="20"/>
                <w:szCs w:val="20"/>
              </w:rPr>
            </w:pPr>
            <w:r w:rsidRPr="00C13FAD">
              <w:rPr>
                <w:sz w:val="20"/>
                <w:szCs w:val="20"/>
              </w:rPr>
              <w:t>Results</w:t>
            </w:r>
            <w:r w:rsidRPr="00C13FAD">
              <w:rPr>
                <w:sz w:val="20"/>
                <w:szCs w:val="20"/>
              </w:rPr>
              <w:br/>
              <w:t>(</w:t>
            </w:r>
            <w:proofErr w:type="spellStart"/>
            <w:r w:rsidRPr="00C13FAD">
              <w:rPr>
                <w:sz w:val="20"/>
                <w:szCs w:val="20"/>
              </w:rPr>
              <w:t>d</w:t>
            </w:r>
            <w:r w:rsidR="001064CA" w:rsidRPr="00C13FAD">
              <w:rPr>
                <w:sz w:val="20"/>
                <w:szCs w:val="20"/>
              </w:rPr>
              <w:t>apa</w:t>
            </w:r>
            <w:r w:rsidRPr="00C13FAD">
              <w:rPr>
                <w:sz w:val="20"/>
                <w:szCs w:val="20"/>
              </w:rPr>
              <w:t>gliflozin</w:t>
            </w:r>
            <w:proofErr w:type="spellEnd"/>
            <w:r w:rsidRPr="00C13FAD">
              <w:rPr>
                <w:sz w:val="20"/>
                <w:szCs w:val="20"/>
              </w:rPr>
              <w:t>/p</w:t>
            </w:r>
            <w:r w:rsidR="001064CA" w:rsidRPr="00C13FAD">
              <w:rPr>
                <w:sz w:val="20"/>
                <w:szCs w:val="20"/>
              </w:rPr>
              <w:t xml:space="preserve">lacebo) </w:t>
            </w:r>
          </w:p>
        </w:tc>
      </w:tr>
      <w:tr w:rsidR="00405B4C" w:rsidRPr="00C13FAD" w14:paraId="03159875" w14:textId="77777777" w:rsidTr="00C13FAD">
        <w:tc>
          <w:tcPr>
            <w:tcW w:w="1700" w:type="dxa"/>
            <w:tcMar>
              <w:left w:w="43" w:type="dxa"/>
              <w:right w:w="43" w:type="dxa"/>
            </w:tcMar>
          </w:tcPr>
          <w:p w14:paraId="3EE264B6" w14:textId="77777777" w:rsidR="001064CA" w:rsidRPr="00C13FAD" w:rsidRDefault="001064CA" w:rsidP="00CE75EA">
            <w:pPr>
              <w:ind w:left="29" w:right="29"/>
              <w:rPr>
                <w:sz w:val="20"/>
                <w:szCs w:val="20"/>
              </w:rPr>
            </w:pPr>
          </w:p>
        </w:tc>
        <w:tc>
          <w:tcPr>
            <w:tcW w:w="1260" w:type="dxa"/>
            <w:tcMar>
              <w:left w:w="43" w:type="dxa"/>
              <w:right w:w="43" w:type="dxa"/>
            </w:tcMar>
          </w:tcPr>
          <w:p w14:paraId="0E3E5EFB" w14:textId="77777777" w:rsidR="001064CA" w:rsidRPr="00C13FAD" w:rsidRDefault="001064CA" w:rsidP="00CE75EA">
            <w:pPr>
              <w:ind w:left="29" w:right="29"/>
              <w:rPr>
                <w:sz w:val="20"/>
                <w:szCs w:val="20"/>
              </w:rPr>
            </w:pPr>
            <w:r w:rsidRPr="00C13FAD">
              <w:rPr>
                <w:sz w:val="20"/>
                <w:szCs w:val="20"/>
              </w:rPr>
              <w:t xml:space="preserve">n (%) </w:t>
            </w:r>
          </w:p>
        </w:tc>
        <w:tc>
          <w:tcPr>
            <w:tcW w:w="720" w:type="dxa"/>
            <w:tcMar>
              <w:left w:w="43" w:type="dxa"/>
              <w:right w:w="43" w:type="dxa"/>
            </w:tcMar>
          </w:tcPr>
          <w:p w14:paraId="09CE8AE5" w14:textId="77777777" w:rsidR="001064CA" w:rsidRPr="00C13FAD" w:rsidRDefault="001064CA" w:rsidP="00CE75EA">
            <w:pPr>
              <w:ind w:left="29" w:right="29"/>
              <w:rPr>
                <w:sz w:val="20"/>
                <w:szCs w:val="20"/>
              </w:rPr>
            </w:pPr>
            <w:r w:rsidRPr="00C13FAD">
              <w:rPr>
                <w:sz w:val="20"/>
                <w:szCs w:val="20"/>
              </w:rPr>
              <w:t xml:space="preserve">ER </w:t>
            </w:r>
          </w:p>
        </w:tc>
        <w:tc>
          <w:tcPr>
            <w:tcW w:w="1260" w:type="dxa"/>
            <w:tcMar>
              <w:left w:w="43" w:type="dxa"/>
              <w:right w:w="43" w:type="dxa"/>
            </w:tcMar>
          </w:tcPr>
          <w:p w14:paraId="53B32026" w14:textId="77777777" w:rsidR="001064CA" w:rsidRPr="00C13FAD" w:rsidRDefault="001064CA" w:rsidP="00CE75EA">
            <w:pPr>
              <w:ind w:left="29" w:right="29"/>
              <w:rPr>
                <w:sz w:val="20"/>
                <w:szCs w:val="20"/>
              </w:rPr>
            </w:pPr>
            <w:r w:rsidRPr="00C13FAD">
              <w:rPr>
                <w:sz w:val="20"/>
                <w:szCs w:val="20"/>
              </w:rPr>
              <w:t xml:space="preserve">n (%) </w:t>
            </w:r>
          </w:p>
        </w:tc>
        <w:tc>
          <w:tcPr>
            <w:tcW w:w="630" w:type="dxa"/>
            <w:tcMar>
              <w:left w:w="43" w:type="dxa"/>
              <w:right w:w="43" w:type="dxa"/>
            </w:tcMar>
          </w:tcPr>
          <w:p w14:paraId="19E52B0C" w14:textId="77777777" w:rsidR="001064CA" w:rsidRPr="00C13FAD" w:rsidRDefault="001064CA" w:rsidP="00CE75EA">
            <w:pPr>
              <w:ind w:left="29" w:right="29"/>
              <w:rPr>
                <w:sz w:val="20"/>
                <w:szCs w:val="20"/>
              </w:rPr>
            </w:pPr>
            <w:r w:rsidRPr="00C13FAD">
              <w:rPr>
                <w:sz w:val="20"/>
                <w:szCs w:val="20"/>
              </w:rPr>
              <w:t xml:space="preserve">ER </w:t>
            </w:r>
          </w:p>
        </w:tc>
        <w:tc>
          <w:tcPr>
            <w:tcW w:w="720" w:type="dxa"/>
            <w:tcMar>
              <w:left w:w="43" w:type="dxa"/>
              <w:right w:w="43" w:type="dxa"/>
            </w:tcMar>
          </w:tcPr>
          <w:p w14:paraId="07B12BA7" w14:textId="77777777" w:rsidR="001064CA" w:rsidRPr="00C13FAD" w:rsidRDefault="001064CA" w:rsidP="00CE75EA">
            <w:pPr>
              <w:ind w:left="29" w:right="29"/>
              <w:rPr>
                <w:sz w:val="20"/>
                <w:szCs w:val="20"/>
              </w:rPr>
            </w:pPr>
            <w:r w:rsidRPr="00C13FAD">
              <w:rPr>
                <w:sz w:val="20"/>
                <w:szCs w:val="20"/>
              </w:rPr>
              <w:t xml:space="preserve">HR </w:t>
            </w:r>
          </w:p>
        </w:tc>
        <w:tc>
          <w:tcPr>
            <w:tcW w:w="1225" w:type="dxa"/>
            <w:tcMar>
              <w:left w:w="43" w:type="dxa"/>
              <w:right w:w="43" w:type="dxa"/>
            </w:tcMar>
          </w:tcPr>
          <w:p w14:paraId="32E4534D" w14:textId="77777777" w:rsidR="001064CA" w:rsidRPr="00C13FAD" w:rsidRDefault="001064CA" w:rsidP="00CE75EA">
            <w:pPr>
              <w:ind w:left="29" w:right="29"/>
              <w:rPr>
                <w:sz w:val="20"/>
                <w:szCs w:val="20"/>
              </w:rPr>
            </w:pPr>
            <w:r w:rsidRPr="00C13FAD">
              <w:rPr>
                <w:sz w:val="20"/>
                <w:szCs w:val="20"/>
              </w:rPr>
              <w:t xml:space="preserve">95% CI </w:t>
            </w:r>
          </w:p>
        </w:tc>
        <w:tc>
          <w:tcPr>
            <w:tcW w:w="1264" w:type="dxa"/>
            <w:tcMar>
              <w:left w:w="43" w:type="dxa"/>
              <w:right w:w="43" w:type="dxa"/>
            </w:tcMar>
          </w:tcPr>
          <w:p w14:paraId="7C5C7C33" w14:textId="77777777" w:rsidR="001064CA" w:rsidRPr="00C13FAD" w:rsidRDefault="001064CA" w:rsidP="00CE75EA">
            <w:pPr>
              <w:ind w:left="29" w:right="29"/>
              <w:rPr>
                <w:sz w:val="20"/>
                <w:szCs w:val="20"/>
              </w:rPr>
            </w:pPr>
            <w:r w:rsidRPr="00C13FAD">
              <w:rPr>
                <w:sz w:val="20"/>
                <w:szCs w:val="20"/>
              </w:rPr>
              <w:t xml:space="preserve">p-value </w:t>
            </w:r>
          </w:p>
        </w:tc>
      </w:tr>
      <w:tr w:rsidR="00405B4C" w:rsidRPr="00C13FAD" w14:paraId="265F4387" w14:textId="77777777" w:rsidTr="00C13FAD">
        <w:tc>
          <w:tcPr>
            <w:tcW w:w="1700" w:type="dxa"/>
            <w:tcMar>
              <w:left w:w="43" w:type="dxa"/>
              <w:right w:w="43" w:type="dxa"/>
            </w:tcMar>
          </w:tcPr>
          <w:p w14:paraId="6E867194" w14:textId="77777777" w:rsidR="001064CA" w:rsidRPr="00C13FAD" w:rsidRDefault="001064CA" w:rsidP="00CE75EA">
            <w:pPr>
              <w:ind w:left="29" w:right="29"/>
              <w:rPr>
                <w:sz w:val="20"/>
                <w:szCs w:val="20"/>
              </w:rPr>
            </w:pPr>
            <w:r w:rsidRPr="00C13FAD">
              <w:rPr>
                <w:sz w:val="20"/>
                <w:szCs w:val="20"/>
              </w:rPr>
              <w:t>CV death</w:t>
            </w:r>
            <w:r w:rsidR="00CE75EA" w:rsidRPr="00C13FAD">
              <w:rPr>
                <w:sz w:val="20"/>
                <w:szCs w:val="20"/>
              </w:rPr>
              <w:t xml:space="preserve"> </w:t>
            </w:r>
            <w:r w:rsidRPr="00C13FAD">
              <w:rPr>
                <w:sz w:val="20"/>
                <w:szCs w:val="20"/>
              </w:rPr>
              <w:t>/</w:t>
            </w:r>
            <w:r w:rsidR="00CE75EA" w:rsidRPr="00C13FAD">
              <w:rPr>
                <w:sz w:val="20"/>
                <w:szCs w:val="20"/>
              </w:rPr>
              <w:t xml:space="preserve"> </w:t>
            </w:r>
            <w:r w:rsidRPr="00C13FAD">
              <w:rPr>
                <w:sz w:val="20"/>
                <w:szCs w:val="20"/>
              </w:rPr>
              <w:t>hospital for HF</w:t>
            </w:r>
            <w:r w:rsidR="00CE75EA" w:rsidRPr="00C13FAD">
              <w:rPr>
                <w:sz w:val="20"/>
                <w:szCs w:val="20"/>
              </w:rPr>
              <w:t xml:space="preserve"> </w:t>
            </w:r>
            <w:r w:rsidRPr="00C13FAD">
              <w:rPr>
                <w:sz w:val="20"/>
                <w:szCs w:val="20"/>
              </w:rPr>
              <w:t>/</w:t>
            </w:r>
            <w:r w:rsidR="00CE75EA" w:rsidRPr="00C13FAD">
              <w:rPr>
                <w:sz w:val="20"/>
                <w:szCs w:val="20"/>
              </w:rPr>
              <w:t xml:space="preserve"> </w:t>
            </w:r>
            <w:r w:rsidRPr="00C13FAD">
              <w:rPr>
                <w:sz w:val="20"/>
                <w:szCs w:val="20"/>
              </w:rPr>
              <w:t xml:space="preserve">urgent HF visit </w:t>
            </w:r>
          </w:p>
        </w:tc>
        <w:tc>
          <w:tcPr>
            <w:tcW w:w="1260" w:type="dxa"/>
            <w:tcMar>
              <w:left w:w="43" w:type="dxa"/>
              <w:right w:w="43" w:type="dxa"/>
            </w:tcMar>
          </w:tcPr>
          <w:p w14:paraId="36C039FF" w14:textId="77777777" w:rsidR="001064CA" w:rsidRPr="00C13FAD" w:rsidRDefault="001064CA" w:rsidP="00CE75EA">
            <w:pPr>
              <w:ind w:left="29" w:right="29"/>
              <w:rPr>
                <w:sz w:val="20"/>
                <w:szCs w:val="20"/>
              </w:rPr>
            </w:pPr>
            <w:r w:rsidRPr="00C13FAD">
              <w:rPr>
                <w:sz w:val="20"/>
                <w:szCs w:val="20"/>
              </w:rPr>
              <w:t xml:space="preserve">386 ( 16.3) </w:t>
            </w:r>
          </w:p>
        </w:tc>
        <w:tc>
          <w:tcPr>
            <w:tcW w:w="720" w:type="dxa"/>
            <w:tcMar>
              <w:left w:w="43" w:type="dxa"/>
              <w:right w:w="43" w:type="dxa"/>
            </w:tcMar>
          </w:tcPr>
          <w:p w14:paraId="077DC687" w14:textId="77777777" w:rsidR="001064CA" w:rsidRPr="00C13FAD" w:rsidRDefault="001064CA" w:rsidP="00CE75EA">
            <w:pPr>
              <w:ind w:left="29" w:right="29"/>
              <w:rPr>
                <w:sz w:val="20"/>
                <w:szCs w:val="20"/>
              </w:rPr>
            </w:pPr>
            <w:r w:rsidRPr="00C13FAD">
              <w:rPr>
                <w:sz w:val="20"/>
                <w:szCs w:val="20"/>
              </w:rPr>
              <w:t xml:space="preserve">11.6 </w:t>
            </w:r>
          </w:p>
        </w:tc>
        <w:tc>
          <w:tcPr>
            <w:tcW w:w="1260" w:type="dxa"/>
            <w:tcMar>
              <w:left w:w="43" w:type="dxa"/>
              <w:right w:w="43" w:type="dxa"/>
            </w:tcMar>
          </w:tcPr>
          <w:p w14:paraId="7F35E92E" w14:textId="77777777" w:rsidR="001064CA" w:rsidRPr="00C13FAD" w:rsidRDefault="001064CA" w:rsidP="00CE75EA">
            <w:pPr>
              <w:ind w:left="29" w:right="29"/>
              <w:rPr>
                <w:sz w:val="20"/>
                <w:szCs w:val="20"/>
              </w:rPr>
            </w:pPr>
            <w:r w:rsidRPr="00C13FAD">
              <w:rPr>
                <w:sz w:val="20"/>
                <w:szCs w:val="20"/>
              </w:rPr>
              <w:t xml:space="preserve">502 ( 21.2) </w:t>
            </w:r>
          </w:p>
        </w:tc>
        <w:tc>
          <w:tcPr>
            <w:tcW w:w="630" w:type="dxa"/>
            <w:tcMar>
              <w:left w:w="43" w:type="dxa"/>
              <w:right w:w="43" w:type="dxa"/>
            </w:tcMar>
          </w:tcPr>
          <w:p w14:paraId="523F7622" w14:textId="77777777" w:rsidR="001064CA" w:rsidRPr="00C13FAD" w:rsidRDefault="001064CA" w:rsidP="00CE75EA">
            <w:pPr>
              <w:ind w:left="29" w:right="29"/>
              <w:rPr>
                <w:sz w:val="20"/>
                <w:szCs w:val="20"/>
              </w:rPr>
            </w:pPr>
            <w:r w:rsidRPr="00C13FAD">
              <w:rPr>
                <w:sz w:val="20"/>
                <w:szCs w:val="20"/>
              </w:rPr>
              <w:t xml:space="preserve">15.6 </w:t>
            </w:r>
          </w:p>
        </w:tc>
        <w:tc>
          <w:tcPr>
            <w:tcW w:w="720" w:type="dxa"/>
            <w:tcMar>
              <w:left w:w="43" w:type="dxa"/>
              <w:right w:w="43" w:type="dxa"/>
            </w:tcMar>
          </w:tcPr>
          <w:p w14:paraId="67A3C9E5" w14:textId="77777777" w:rsidR="001064CA" w:rsidRPr="00C13FAD" w:rsidRDefault="001064CA" w:rsidP="00CE75EA">
            <w:pPr>
              <w:ind w:left="29" w:right="29"/>
              <w:rPr>
                <w:sz w:val="20"/>
                <w:szCs w:val="20"/>
              </w:rPr>
            </w:pPr>
            <w:r w:rsidRPr="00C13FAD">
              <w:rPr>
                <w:sz w:val="20"/>
                <w:szCs w:val="20"/>
              </w:rPr>
              <w:t xml:space="preserve">0.74 </w:t>
            </w:r>
          </w:p>
        </w:tc>
        <w:tc>
          <w:tcPr>
            <w:tcW w:w="1225" w:type="dxa"/>
            <w:tcMar>
              <w:left w:w="43" w:type="dxa"/>
              <w:right w:w="43" w:type="dxa"/>
            </w:tcMar>
          </w:tcPr>
          <w:p w14:paraId="11854457" w14:textId="2EBB0F5E" w:rsidR="001064CA" w:rsidRPr="00C13FAD" w:rsidRDefault="00CE75EA" w:rsidP="00CE75EA">
            <w:pPr>
              <w:ind w:left="29" w:right="29"/>
              <w:rPr>
                <w:sz w:val="20"/>
                <w:szCs w:val="20"/>
              </w:rPr>
            </w:pPr>
            <w:r w:rsidRPr="00C13FAD">
              <w:rPr>
                <w:sz w:val="20"/>
                <w:szCs w:val="20"/>
              </w:rPr>
              <w:t>0.65, 0.85</w:t>
            </w:r>
          </w:p>
        </w:tc>
        <w:tc>
          <w:tcPr>
            <w:tcW w:w="1264" w:type="dxa"/>
            <w:tcMar>
              <w:left w:w="43" w:type="dxa"/>
              <w:right w:w="43" w:type="dxa"/>
            </w:tcMar>
          </w:tcPr>
          <w:p w14:paraId="409B7188" w14:textId="77777777" w:rsidR="001064CA" w:rsidRPr="00C13FAD" w:rsidRDefault="001064CA" w:rsidP="00CE75EA">
            <w:pPr>
              <w:ind w:left="29" w:right="29"/>
              <w:rPr>
                <w:sz w:val="20"/>
                <w:szCs w:val="20"/>
              </w:rPr>
            </w:pPr>
            <w:r w:rsidRPr="00C13FAD">
              <w:rPr>
                <w:sz w:val="20"/>
                <w:szCs w:val="20"/>
              </w:rPr>
              <w:t>&lt;</w:t>
            </w:r>
            <w:r w:rsidR="00CE75EA" w:rsidRPr="00C13FAD">
              <w:rPr>
                <w:sz w:val="20"/>
                <w:szCs w:val="20"/>
              </w:rPr>
              <w:t> </w:t>
            </w:r>
            <w:r w:rsidRPr="00C13FAD">
              <w:rPr>
                <w:sz w:val="20"/>
                <w:szCs w:val="20"/>
              </w:rPr>
              <w:t xml:space="preserve">0.0001 </w:t>
            </w:r>
          </w:p>
        </w:tc>
      </w:tr>
      <w:tr w:rsidR="00405B4C" w:rsidRPr="00C13FAD" w14:paraId="7B67B17C" w14:textId="77777777" w:rsidTr="00C13FAD">
        <w:tc>
          <w:tcPr>
            <w:tcW w:w="1700" w:type="dxa"/>
            <w:tcMar>
              <w:left w:w="43" w:type="dxa"/>
              <w:right w:w="43" w:type="dxa"/>
            </w:tcMar>
          </w:tcPr>
          <w:p w14:paraId="2FAE52B5" w14:textId="77777777" w:rsidR="001064CA" w:rsidRPr="00C13FAD" w:rsidRDefault="001064CA" w:rsidP="00CE75EA">
            <w:pPr>
              <w:ind w:left="29" w:right="29"/>
              <w:rPr>
                <w:sz w:val="20"/>
                <w:szCs w:val="20"/>
              </w:rPr>
            </w:pPr>
            <w:r w:rsidRPr="00C13FAD">
              <w:rPr>
                <w:sz w:val="20"/>
                <w:szCs w:val="20"/>
              </w:rPr>
              <w:t>CV death</w:t>
            </w:r>
            <w:r w:rsidR="00CE75EA" w:rsidRPr="00C13FAD">
              <w:rPr>
                <w:sz w:val="20"/>
                <w:szCs w:val="20"/>
              </w:rPr>
              <w:t xml:space="preserve"> </w:t>
            </w:r>
            <w:r w:rsidRPr="00C13FAD">
              <w:rPr>
                <w:sz w:val="20"/>
                <w:szCs w:val="20"/>
              </w:rPr>
              <w:t>/</w:t>
            </w:r>
            <w:r w:rsidR="00CE75EA" w:rsidRPr="00C13FAD">
              <w:rPr>
                <w:sz w:val="20"/>
                <w:szCs w:val="20"/>
              </w:rPr>
              <w:t xml:space="preserve"> </w:t>
            </w:r>
            <w:r w:rsidRPr="00C13FAD">
              <w:rPr>
                <w:sz w:val="20"/>
                <w:szCs w:val="20"/>
              </w:rPr>
              <w:t xml:space="preserve">hospital for HF </w:t>
            </w:r>
          </w:p>
        </w:tc>
        <w:tc>
          <w:tcPr>
            <w:tcW w:w="1260" w:type="dxa"/>
            <w:tcMar>
              <w:left w:w="43" w:type="dxa"/>
              <w:right w:w="43" w:type="dxa"/>
            </w:tcMar>
          </w:tcPr>
          <w:p w14:paraId="4DA7BA3A" w14:textId="77777777" w:rsidR="001064CA" w:rsidRPr="00C13FAD" w:rsidRDefault="001064CA" w:rsidP="00CE75EA">
            <w:pPr>
              <w:ind w:left="29" w:right="29"/>
              <w:rPr>
                <w:sz w:val="20"/>
                <w:szCs w:val="20"/>
              </w:rPr>
            </w:pPr>
            <w:r w:rsidRPr="00C13FAD">
              <w:rPr>
                <w:sz w:val="20"/>
                <w:szCs w:val="20"/>
              </w:rPr>
              <w:t xml:space="preserve">382 ( 16.1) </w:t>
            </w:r>
          </w:p>
        </w:tc>
        <w:tc>
          <w:tcPr>
            <w:tcW w:w="720" w:type="dxa"/>
            <w:tcMar>
              <w:left w:w="43" w:type="dxa"/>
              <w:right w:w="43" w:type="dxa"/>
            </w:tcMar>
          </w:tcPr>
          <w:p w14:paraId="36A0200F" w14:textId="77777777" w:rsidR="001064CA" w:rsidRPr="00C13FAD" w:rsidRDefault="001064CA" w:rsidP="00CE75EA">
            <w:pPr>
              <w:ind w:left="29" w:right="29"/>
              <w:rPr>
                <w:sz w:val="20"/>
                <w:szCs w:val="20"/>
              </w:rPr>
            </w:pPr>
            <w:r w:rsidRPr="00C13FAD">
              <w:rPr>
                <w:sz w:val="20"/>
                <w:szCs w:val="20"/>
              </w:rPr>
              <w:t xml:space="preserve">11.4 </w:t>
            </w:r>
          </w:p>
        </w:tc>
        <w:tc>
          <w:tcPr>
            <w:tcW w:w="1260" w:type="dxa"/>
            <w:tcMar>
              <w:left w:w="43" w:type="dxa"/>
              <w:right w:w="43" w:type="dxa"/>
            </w:tcMar>
          </w:tcPr>
          <w:p w14:paraId="37FAA2E3" w14:textId="77777777" w:rsidR="001064CA" w:rsidRPr="00C13FAD" w:rsidRDefault="001064CA" w:rsidP="00CE75EA">
            <w:pPr>
              <w:ind w:left="29" w:right="29"/>
              <w:rPr>
                <w:sz w:val="20"/>
                <w:szCs w:val="20"/>
              </w:rPr>
            </w:pPr>
            <w:r w:rsidRPr="00C13FAD">
              <w:rPr>
                <w:sz w:val="20"/>
                <w:szCs w:val="20"/>
              </w:rPr>
              <w:t xml:space="preserve">495 ( 20.9) </w:t>
            </w:r>
          </w:p>
        </w:tc>
        <w:tc>
          <w:tcPr>
            <w:tcW w:w="630" w:type="dxa"/>
            <w:tcMar>
              <w:left w:w="43" w:type="dxa"/>
              <w:right w:w="43" w:type="dxa"/>
            </w:tcMar>
          </w:tcPr>
          <w:p w14:paraId="2547A43A" w14:textId="77777777" w:rsidR="001064CA" w:rsidRPr="00C13FAD" w:rsidRDefault="001064CA" w:rsidP="00CE75EA">
            <w:pPr>
              <w:ind w:left="29" w:right="29"/>
              <w:rPr>
                <w:sz w:val="20"/>
                <w:szCs w:val="20"/>
              </w:rPr>
            </w:pPr>
            <w:r w:rsidRPr="00C13FAD">
              <w:rPr>
                <w:sz w:val="20"/>
                <w:szCs w:val="20"/>
              </w:rPr>
              <w:t xml:space="preserve">15.3 </w:t>
            </w:r>
          </w:p>
        </w:tc>
        <w:tc>
          <w:tcPr>
            <w:tcW w:w="720" w:type="dxa"/>
            <w:tcMar>
              <w:left w:w="43" w:type="dxa"/>
              <w:right w:w="43" w:type="dxa"/>
            </w:tcMar>
          </w:tcPr>
          <w:p w14:paraId="4873FCAB" w14:textId="77777777" w:rsidR="001064CA" w:rsidRPr="00C13FAD" w:rsidRDefault="001064CA" w:rsidP="00CE75EA">
            <w:pPr>
              <w:ind w:left="29" w:right="29"/>
              <w:rPr>
                <w:sz w:val="20"/>
                <w:szCs w:val="20"/>
              </w:rPr>
            </w:pPr>
            <w:r w:rsidRPr="00C13FAD">
              <w:rPr>
                <w:sz w:val="20"/>
                <w:szCs w:val="20"/>
              </w:rPr>
              <w:t xml:space="preserve">0.75 </w:t>
            </w:r>
          </w:p>
        </w:tc>
        <w:tc>
          <w:tcPr>
            <w:tcW w:w="1225" w:type="dxa"/>
            <w:tcMar>
              <w:left w:w="43" w:type="dxa"/>
              <w:right w:w="43" w:type="dxa"/>
            </w:tcMar>
          </w:tcPr>
          <w:p w14:paraId="24B0FD6C" w14:textId="77777777" w:rsidR="001064CA" w:rsidRPr="00C13FAD" w:rsidRDefault="001064CA" w:rsidP="00CE75EA">
            <w:pPr>
              <w:ind w:left="29" w:right="29"/>
              <w:rPr>
                <w:sz w:val="20"/>
                <w:szCs w:val="20"/>
              </w:rPr>
            </w:pPr>
            <w:r w:rsidRPr="00C13FAD">
              <w:rPr>
                <w:sz w:val="20"/>
                <w:szCs w:val="20"/>
              </w:rPr>
              <w:t xml:space="preserve">0.65, 0.85 </w:t>
            </w:r>
          </w:p>
        </w:tc>
        <w:tc>
          <w:tcPr>
            <w:tcW w:w="1264" w:type="dxa"/>
            <w:tcMar>
              <w:left w:w="43" w:type="dxa"/>
              <w:right w:w="43" w:type="dxa"/>
            </w:tcMar>
          </w:tcPr>
          <w:p w14:paraId="34F6CEC8" w14:textId="77777777" w:rsidR="001064CA" w:rsidRPr="00C13FAD" w:rsidRDefault="001064CA" w:rsidP="00CE75EA">
            <w:pPr>
              <w:ind w:left="29" w:right="29"/>
              <w:rPr>
                <w:sz w:val="20"/>
                <w:szCs w:val="20"/>
              </w:rPr>
            </w:pPr>
            <w:r w:rsidRPr="00C13FAD">
              <w:rPr>
                <w:sz w:val="20"/>
                <w:szCs w:val="20"/>
              </w:rPr>
              <w:t>&lt;</w:t>
            </w:r>
            <w:r w:rsidR="00CE75EA" w:rsidRPr="00C13FAD">
              <w:rPr>
                <w:sz w:val="20"/>
                <w:szCs w:val="20"/>
              </w:rPr>
              <w:t> </w:t>
            </w:r>
            <w:r w:rsidRPr="00C13FAD">
              <w:rPr>
                <w:sz w:val="20"/>
                <w:szCs w:val="20"/>
              </w:rPr>
              <w:t xml:space="preserve">0.0001 </w:t>
            </w:r>
          </w:p>
        </w:tc>
      </w:tr>
      <w:tr w:rsidR="00405B4C" w:rsidRPr="00C13FAD" w14:paraId="32EC7F58" w14:textId="77777777" w:rsidTr="00C13FAD">
        <w:tc>
          <w:tcPr>
            <w:tcW w:w="1700" w:type="dxa"/>
            <w:tcMar>
              <w:left w:w="43" w:type="dxa"/>
              <w:right w:w="43" w:type="dxa"/>
            </w:tcMar>
          </w:tcPr>
          <w:p w14:paraId="5410D24A" w14:textId="77777777" w:rsidR="001064CA" w:rsidRPr="00C13FAD" w:rsidRDefault="001064CA" w:rsidP="00CE75EA">
            <w:pPr>
              <w:ind w:left="29" w:right="29"/>
              <w:rPr>
                <w:sz w:val="20"/>
                <w:szCs w:val="20"/>
              </w:rPr>
            </w:pPr>
            <w:r w:rsidRPr="00C13FAD">
              <w:rPr>
                <w:sz w:val="20"/>
                <w:szCs w:val="20"/>
              </w:rPr>
              <w:t xml:space="preserve">CV death </w:t>
            </w:r>
          </w:p>
        </w:tc>
        <w:tc>
          <w:tcPr>
            <w:tcW w:w="1260" w:type="dxa"/>
            <w:tcMar>
              <w:left w:w="43" w:type="dxa"/>
              <w:right w:w="43" w:type="dxa"/>
            </w:tcMar>
          </w:tcPr>
          <w:p w14:paraId="24603E9F" w14:textId="77777777" w:rsidR="001064CA" w:rsidRPr="00C13FAD" w:rsidRDefault="001064CA" w:rsidP="00CE75EA">
            <w:pPr>
              <w:ind w:left="29" w:right="29"/>
              <w:rPr>
                <w:sz w:val="20"/>
                <w:szCs w:val="20"/>
              </w:rPr>
            </w:pPr>
            <w:r w:rsidRPr="00C13FAD">
              <w:rPr>
                <w:sz w:val="20"/>
                <w:szCs w:val="20"/>
              </w:rPr>
              <w:t xml:space="preserve">227 ( 9.6) </w:t>
            </w:r>
          </w:p>
        </w:tc>
        <w:tc>
          <w:tcPr>
            <w:tcW w:w="720" w:type="dxa"/>
            <w:tcMar>
              <w:left w:w="43" w:type="dxa"/>
              <w:right w:w="43" w:type="dxa"/>
            </w:tcMar>
          </w:tcPr>
          <w:p w14:paraId="1B4F1628" w14:textId="77777777" w:rsidR="001064CA" w:rsidRPr="00C13FAD" w:rsidRDefault="001064CA" w:rsidP="00CE75EA">
            <w:pPr>
              <w:ind w:left="29" w:right="29"/>
              <w:rPr>
                <w:sz w:val="20"/>
                <w:szCs w:val="20"/>
              </w:rPr>
            </w:pPr>
            <w:r w:rsidRPr="00C13FAD">
              <w:rPr>
                <w:sz w:val="20"/>
                <w:szCs w:val="20"/>
              </w:rPr>
              <w:t xml:space="preserve">6.5 </w:t>
            </w:r>
          </w:p>
        </w:tc>
        <w:tc>
          <w:tcPr>
            <w:tcW w:w="1260" w:type="dxa"/>
            <w:tcMar>
              <w:left w:w="43" w:type="dxa"/>
              <w:right w:w="43" w:type="dxa"/>
            </w:tcMar>
          </w:tcPr>
          <w:p w14:paraId="4411BF71" w14:textId="77777777" w:rsidR="001064CA" w:rsidRPr="00C13FAD" w:rsidRDefault="001064CA" w:rsidP="00CE75EA">
            <w:pPr>
              <w:ind w:left="29" w:right="29"/>
              <w:rPr>
                <w:sz w:val="20"/>
                <w:szCs w:val="20"/>
              </w:rPr>
            </w:pPr>
            <w:r w:rsidRPr="00C13FAD">
              <w:rPr>
                <w:sz w:val="20"/>
                <w:szCs w:val="20"/>
              </w:rPr>
              <w:t xml:space="preserve">273 ( 11.5) </w:t>
            </w:r>
          </w:p>
        </w:tc>
        <w:tc>
          <w:tcPr>
            <w:tcW w:w="630" w:type="dxa"/>
            <w:tcMar>
              <w:left w:w="43" w:type="dxa"/>
              <w:right w:w="43" w:type="dxa"/>
            </w:tcMar>
          </w:tcPr>
          <w:p w14:paraId="77EA33C1" w14:textId="77777777" w:rsidR="001064CA" w:rsidRPr="00C13FAD" w:rsidRDefault="001064CA" w:rsidP="00CE75EA">
            <w:pPr>
              <w:ind w:left="29" w:right="29"/>
              <w:rPr>
                <w:sz w:val="20"/>
                <w:szCs w:val="20"/>
              </w:rPr>
            </w:pPr>
            <w:r w:rsidRPr="00C13FAD">
              <w:rPr>
                <w:sz w:val="20"/>
                <w:szCs w:val="20"/>
              </w:rPr>
              <w:t xml:space="preserve">7.9 </w:t>
            </w:r>
          </w:p>
        </w:tc>
        <w:tc>
          <w:tcPr>
            <w:tcW w:w="720" w:type="dxa"/>
            <w:tcMar>
              <w:left w:w="43" w:type="dxa"/>
              <w:right w:w="43" w:type="dxa"/>
            </w:tcMar>
          </w:tcPr>
          <w:p w14:paraId="6ED06DEB" w14:textId="77777777" w:rsidR="001064CA" w:rsidRPr="00C13FAD" w:rsidRDefault="001064CA" w:rsidP="00CE75EA">
            <w:pPr>
              <w:ind w:left="29" w:right="29"/>
              <w:rPr>
                <w:sz w:val="20"/>
                <w:szCs w:val="20"/>
              </w:rPr>
            </w:pPr>
            <w:r w:rsidRPr="00C13FAD">
              <w:rPr>
                <w:sz w:val="20"/>
                <w:szCs w:val="20"/>
              </w:rPr>
              <w:t xml:space="preserve">0.82 </w:t>
            </w:r>
          </w:p>
        </w:tc>
        <w:tc>
          <w:tcPr>
            <w:tcW w:w="1225" w:type="dxa"/>
            <w:tcMar>
              <w:left w:w="43" w:type="dxa"/>
              <w:right w:w="43" w:type="dxa"/>
            </w:tcMar>
          </w:tcPr>
          <w:p w14:paraId="4D15C57C" w14:textId="77777777" w:rsidR="001064CA" w:rsidRPr="00C13FAD" w:rsidRDefault="00CE75EA" w:rsidP="00CE75EA">
            <w:pPr>
              <w:ind w:left="29" w:right="29"/>
              <w:rPr>
                <w:sz w:val="20"/>
                <w:szCs w:val="20"/>
              </w:rPr>
            </w:pPr>
            <w:r w:rsidRPr="00C13FAD">
              <w:rPr>
                <w:sz w:val="20"/>
                <w:szCs w:val="20"/>
              </w:rPr>
              <w:t>0.69, 0.98</w:t>
            </w:r>
          </w:p>
        </w:tc>
        <w:tc>
          <w:tcPr>
            <w:tcW w:w="1264" w:type="dxa"/>
            <w:tcMar>
              <w:left w:w="43" w:type="dxa"/>
              <w:right w:w="43" w:type="dxa"/>
            </w:tcMar>
          </w:tcPr>
          <w:p w14:paraId="5745FC4A" w14:textId="77777777" w:rsidR="001064CA" w:rsidRPr="00C13FAD" w:rsidRDefault="001064CA" w:rsidP="00CE75EA">
            <w:pPr>
              <w:ind w:left="29" w:right="29"/>
              <w:rPr>
                <w:sz w:val="20"/>
                <w:szCs w:val="20"/>
              </w:rPr>
            </w:pPr>
            <w:r w:rsidRPr="00C13FAD">
              <w:rPr>
                <w:sz w:val="20"/>
                <w:szCs w:val="20"/>
              </w:rPr>
              <w:t xml:space="preserve">0.0294 </w:t>
            </w:r>
          </w:p>
        </w:tc>
      </w:tr>
      <w:tr w:rsidR="00405B4C" w:rsidRPr="00C13FAD" w14:paraId="6F254429" w14:textId="77777777" w:rsidTr="00C13FAD">
        <w:tc>
          <w:tcPr>
            <w:tcW w:w="1700" w:type="dxa"/>
            <w:tcMar>
              <w:left w:w="43" w:type="dxa"/>
              <w:right w:w="43" w:type="dxa"/>
            </w:tcMar>
          </w:tcPr>
          <w:p w14:paraId="35DE325A" w14:textId="77777777" w:rsidR="001064CA" w:rsidRPr="00C13FAD" w:rsidRDefault="001064CA" w:rsidP="00CE75EA">
            <w:pPr>
              <w:ind w:left="29" w:right="29"/>
              <w:rPr>
                <w:sz w:val="20"/>
                <w:szCs w:val="20"/>
              </w:rPr>
            </w:pPr>
            <w:r w:rsidRPr="00C13FAD">
              <w:rPr>
                <w:sz w:val="20"/>
                <w:szCs w:val="20"/>
              </w:rPr>
              <w:t>Hospital for HF</w:t>
            </w:r>
            <w:r w:rsidR="00CE75EA" w:rsidRPr="00C13FAD">
              <w:rPr>
                <w:sz w:val="20"/>
                <w:szCs w:val="20"/>
              </w:rPr>
              <w:t xml:space="preserve"> </w:t>
            </w:r>
            <w:r w:rsidRPr="00C13FAD">
              <w:rPr>
                <w:sz w:val="20"/>
                <w:szCs w:val="20"/>
              </w:rPr>
              <w:t>/</w:t>
            </w:r>
            <w:r w:rsidR="00CE75EA" w:rsidRPr="00C13FAD">
              <w:rPr>
                <w:sz w:val="20"/>
                <w:szCs w:val="20"/>
              </w:rPr>
              <w:t xml:space="preserve"> </w:t>
            </w:r>
            <w:r w:rsidRPr="00C13FAD">
              <w:rPr>
                <w:sz w:val="20"/>
                <w:szCs w:val="20"/>
              </w:rPr>
              <w:t xml:space="preserve">urgent HF visit </w:t>
            </w:r>
          </w:p>
        </w:tc>
        <w:tc>
          <w:tcPr>
            <w:tcW w:w="1260" w:type="dxa"/>
            <w:tcMar>
              <w:left w:w="43" w:type="dxa"/>
              <w:right w:w="43" w:type="dxa"/>
            </w:tcMar>
          </w:tcPr>
          <w:p w14:paraId="283E894D" w14:textId="77777777" w:rsidR="001064CA" w:rsidRPr="00C13FAD" w:rsidRDefault="001064CA" w:rsidP="00CE75EA">
            <w:pPr>
              <w:ind w:left="29" w:right="29"/>
              <w:rPr>
                <w:sz w:val="20"/>
                <w:szCs w:val="20"/>
              </w:rPr>
            </w:pPr>
            <w:r w:rsidRPr="00C13FAD">
              <w:rPr>
                <w:sz w:val="20"/>
                <w:szCs w:val="20"/>
              </w:rPr>
              <w:t xml:space="preserve">237 ( 10.0) </w:t>
            </w:r>
          </w:p>
        </w:tc>
        <w:tc>
          <w:tcPr>
            <w:tcW w:w="720" w:type="dxa"/>
            <w:tcMar>
              <w:left w:w="43" w:type="dxa"/>
              <w:right w:w="43" w:type="dxa"/>
            </w:tcMar>
          </w:tcPr>
          <w:p w14:paraId="02262A50" w14:textId="77777777" w:rsidR="001064CA" w:rsidRPr="00C13FAD" w:rsidRDefault="001064CA" w:rsidP="00CE75EA">
            <w:pPr>
              <w:ind w:left="29" w:right="29"/>
              <w:rPr>
                <w:sz w:val="20"/>
                <w:szCs w:val="20"/>
              </w:rPr>
            </w:pPr>
            <w:r w:rsidRPr="00C13FAD">
              <w:rPr>
                <w:sz w:val="20"/>
                <w:szCs w:val="20"/>
              </w:rPr>
              <w:t xml:space="preserve">7.1 </w:t>
            </w:r>
          </w:p>
        </w:tc>
        <w:tc>
          <w:tcPr>
            <w:tcW w:w="1260" w:type="dxa"/>
            <w:tcMar>
              <w:left w:w="43" w:type="dxa"/>
              <w:right w:w="43" w:type="dxa"/>
            </w:tcMar>
          </w:tcPr>
          <w:p w14:paraId="0D3202A7" w14:textId="77777777" w:rsidR="001064CA" w:rsidRPr="00C13FAD" w:rsidRDefault="001064CA" w:rsidP="00CE75EA">
            <w:pPr>
              <w:ind w:left="29" w:right="29"/>
              <w:rPr>
                <w:sz w:val="20"/>
                <w:szCs w:val="20"/>
              </w:rPr>
            </w:pPr>
            <w:r w:rsidRPr="00C13FAD">
              <w:rPr>
                <w:sz w:val="20"/>
                <w:szCs w:val="20"/>
              </w:rPr>
              <w:t xml:space="preserve">326 ( 13.7) </w:t>
            </w:r>
          </w:p>
        </w:tc>
        <w:tc>
          <w:tcPr>
            <w:tcW w:w="630" w:type="dxa"/>
            <w:tcMar>
              <w:left w:w="43" w:type="dxa"/>
              <w:right w:w="43" w:type="dxa"/>
            </w:tcMar>
          </w:tcPr>
          <w:p w14:paraId="529C6E00" w14:textId="77777777" w:rsidR="001064CA" w:rsidRPr="00C13FAD" w:rsidRDefault="001064CA" w:rsidP="00CE75EA">
            <w:pPr>
              <w:ind w:left="29" w:right="29"/>
              <w:rPr>
                <w:sz w:val="20"/>
                <w:szCs w:val="20"/>
              </w:rPr>
            </w:pPr>
            <w:r w:rsidRPr="00C13FAD">
              <w:rPr>
                <w:sz w:val="20"/>
                <w:szCs w:val="20"/>
              </w:rPr>
              <w:t xml:space="preserve">10.1 </w:t>
            </w:r>
          </w:p>
        </w:tc>
        <w:tc>
          <w:tcPr>
            <w:tcW w:w="720" w:type="dxa"/>
            <w:tcMar>
              <w:left w:w="43" w:type="dxa"/>
              <w:right w:w="43" w:type="dxa"/>
            </w:tcMar>
          </w:tcPr>
          <w:p w14:paraId="5634E2B6" w14:textId="77777777" w:rsidR="001064CA" w:rsidRPr="00C13FAD" w:rsidRDefault="001064CA" w:rsidP="00CE75EA">
            <w:pPr>
              <w:ind w:left="29" w:right="29"/>
              <w:rPr>
                <w:sz w:val="20"/>
                <w:szCs w:val="20"/>
              </w:rPr>
            </w:pPr>
            <w:r w:rsidRPr="00C13FAD">
              <w:rPr>
                <w:sz w:val="20"/>
                <w:szCs w:val="20"/>
              </w:rPr>
              <w:t xml:space="preserve">0.70 </w:t>
            </w:r>
          </w:p>
        </w:tc>
        <w:tc>
          <w:tcPr>
            <w:tcW w:w="1225" w:type="dxa"/>
            <w:tcMar>
              <w:left w:w="43" w:type="dxa"/>
              <w:right w:w="43" w:type="dxa"/>
            </w:tcMar>
          </w:tcPr>
          <w:p w14:paraId="45EA402D" w14:textId="77777777" w:rsidR="001064CA" w:rsidRPr="00C13FAD" w:rsidRDefault="00CE75EA" w:rsidP="00CE75EA">
            <w:pPr>
              <w:ind w:left="29" w:right="29"/>
              <w:rPr>
                <w:sz w:val="20"/>
                <w:szCs w:val="20"/>
              </w:rPr>
            </w:pPr>
            <w:r w:rsidRPr="00C13FAD">
              <w:rPr>
                <w:sz w:val="20"/>
                <w:szCs w:val="20"/>
              </w:rPr>
              <w:t>0.59, 0.83</w:t>
            </w:r>
          </w:p>
        </w:tc>
        <w:tc>
          <w:tcPr>
            <w:tcW w:w="1264" w:type="dxa"/>
            <w:tcMar>
              <w:left w:w="43" w:type="dxa"/>
              <w:right w:w="43" w:type="dxa"/>
            </w:tcMar>
          </w:tcPr>
          <w:p w14:paraId="46ACD2F1" w14:textId="77777777" w:rsidR="001064CA" w:rsidRPr="00C13FAD" w:rsidRDefault="001064CA" w:rsidP="00CE75EA">
            <w:pPr>
              <w:ind w:left="29" w:right="29"/>
              <w:rPr>
                <w:sz w:val="20"/>
                <w:szCs w:val="20"/>
              </w:rPr>
            </w:pPr>
            <w:r w:rsidRPr="00C13FAD">
              <w:rPr>
                <w:sz w:val="20"/>
                <w:szCs w:val="20"/>
              </w:rPr>
              <w:t>&lt;</w:t>
            </w:r>
            <w:r w:rsidR="00CE75EA" w:rsidRPr="00C13FAD">
              <w:rPr>
                <w:sz w:val="20"/>
                <w:szCs w:val="20"/>
              </w:rPr>
              <w:t> </w:t>
            </w:r>
            <w:r w:rsidRPr="00C13FAD">
              <w:rPr>
                <w:sz w:val="20"/>
                <w:szCs w:val="20"/>
              </w:rPr>
              <w:t xml:space="preserve">0.0001 </w:t>
            </w:r>
          </w:p>
        </w:tc>
      </w:tr>
      <w:tr w:rsidR="00405B4C" w:rsidRPr="00C13FAD" w14:paraId="188946E9" w14:textId="77777777" w:rsidTr="00C13FAD">
        <w:tc>
          <w:tcPr>
            <w:tcW w:w="1700" w:type="dxa"/>
            <w:tcMar>
              <w:left w:w="43" w:type="dxa"/>
              <w:right w:w="43" w:type="dxa"/>
            </w:tcMar>
          </w:tcPr>
          <w:p w14:paraId="03B4C638" w14:textId="77777777" w:rsidR="001064CA" w:rsidRPr="00C13FAD" w:rsidRDefault="001064CA" w:rsidP="00CE75EA">
            <w:pPr>
              <w:ind w:left="29" w:right="29"/>
              <w:rPr>
                <w:sz w:val="20"/>
                <w:szCs w:val="20"/>
              </w:rPr>
            </w:pPr>
            <w:r w:rsidRPr="00C13FAD">
              <w:rPr>
                <w:sz w:val="20"/>
                <w:szCs w:val="20"/>
              </w:rPr>
              <w:t xml:space="preserve">Hospital for HF </w:t>
            </w:r>
          </w:p>
        </w:tc>
        <w:tc>
          <w:tcPr>
            <w:tcW w:w="1260" w:type="dxa"/>
            <w:tcMar>
              <w:left w:w="43" w:type="dxa"/>
              <w:right w:w="43" w:type="dxa"/>
            </w:tcMar>
          </w:tcPr>
          <w:p w14:paraId="4925066B" w14:textId="77777777" w:rsidR="001064CA" w:rsidRPr="00C13FAD" w:rsidRDefault="001064CA" w:rsidP="00CE75EA">
            <w:pPr>
              <w:ind w:left="29" w:right="29"/>
              <w:rPr>
                <w:sz w:val="20"/>
                <w:szCs w:val="20"/>
              </w:rPr>
            </w:pPr>
            <w:r w:rsidRPr="00C13FAD">
              <w:rPr>
                <w:sz w:val="20"/>
                <w:szCs w:val="20"/>
              </w:rPr>
              <w:t xml:space="preserve">231 ( 9.7) </w:t>
            </w:r>
          </w:p>
        </w:tc>
        <w:tc>
          <w:tcPr>
            <w:tcW w:w="720" w:type="dxa"/>
            <w:tcMar>
              <w:left w:w="43" w:type="dxa"/>
              <w:right w:w="43" w:type="dxa"/>
            </w:tcMar>
          </w:tcPr>
          <w:p w14:paraId="2C7419EE" w14:textId="77777777" w:rsidR="001064CA" w:rsidRPr="00C13FAD" w:rsidRDefault="001064CA" w:rsidP="00CE75EA">
            <w:pPr>
              <w:ind w:left="29" w:right="29"/>
              <w:rPr>
                <w:sz w:val="20"/>
                <w:szCs w:val="20"/>
              </w:rPr>
            </w:pPr>
            <w:r w:rsidRPr="00C13FAD">
              <w:rPr>
                <w:sz w:val="20"/>
                <w:szCs w:val="20"/>
              </w:rPr>
              <w:t xml:space="preserve">6.9 </w:t>
            </w:r>
          </w:p>
        </w:tc>
        <w:tc>
          <w:tcPr>
            <w:tcW w:w="1260" w:type="dxa"/>
            <w:tcMar>
              <w:left w:w="43" w:type="dxa"/>
              <w:right w:w="43" w:type="dxa"/>
            </w:tcMar>
          </w:tcPr>
          <w:p w14:paraId="7D1377E1" w14:textId="77777777" w:rsidR="001064CA" w:rsidRPr="00C13FAD" w:rsidRDefault="001064CA" w:rsidP="00CE75EA">
            <w:pPr>
              <w:ind w:left="29" w:right="29"/>
              <w:rPr>
                <w:sz w:val="20"/>
                <w:szCs w:val="20"/>
              </w:rPr>
            </w:pPr>
            <w:r w:rsidRPr="00C13FAD">
              <w:rPr>
                <w:sz w:val="20"/>
                <w:szCs w:val="20"/>
              </w:rPr>
              <w:t xml:space="preserve">318 ( 13.4) </w:t>
            </w:r>
          </w:p>
        </w:tc>
        <w:tc>
          <w:tcPr>
            <w:tcW w:w="630" w:type="dxa"/>
            <w:tcMar>
              <w:left w:w="43" w:type="dxa"/>
              <w:right w:w="43" w:type="dxa"/>
            </w:tcMar>
          </w:tcPr>
          <w:p w14:paraId="6EEAEA52" w14:textId="77777777" w:rsidR="001064CA" w:rsidRPr="00C13FAD" w:rsidRDefault="001064CA" w:rsidP="00CE75EA">
            <w:pPr>
              <w:ind w:left="29" w:right="29"/>
              <w:rPr>
                <w:sz w:val="20"/>
                <w:szCs w:val="20"/>
              </w:rPr>
            </w:pPr>
            <w:r w:rsidRPr="00C13FAD">
              <w:rPr>
                <w:sz w:val="20"/>
                <w:szCs w:val="20"/>
              </w:rPr>
              <w:t xml:space="preserve">9.8 </w:t>
            </w:r>
          </w:p>
        </w:tc>
        <w:tc>
          <w:tcPr>
            <w:tcW w:w="720" w:type="dxa"/>
            <w:tcMar>
              <w:left w:w="43" w:type="dxa"/>
              <w:right w:w="43" w:type="dxa"/>
            </w:tcMar>
          </w:tcPr>
          <w:p w14:paraId="452C4818" w14:textId="77777777" w:rsidR="001064CA" w:rsidRPr="00C13FAD" w:rsidRDefault="001064CA" w:rsidP="00CE75EA">
            <w:pPr>
              <w:ind w:left="29" w:right="29"/>
              <w:rPr>
                <w:sz w:val="20"/>
                <w:szCs w:val="20"/>
              </w:rPr>
            </w:pPr>
            <w:r w:rsidRPr="00C13FAD">
              <w:rPr>
                <w:sz w:val="20"/>
                <w:szCs w:val="20"/>
              </w:rPr>
              <w:t xml:space="preserve">0.70 </w:t>
            </w:r>
          </w:p>
        </w:tc>
        <w:tc>
          <w:tcPr>
            <w:tcW w:w="1225" w:type="dxa"/>
            <w:tcMar>
              <w:left w:w="43" w:type="dxa"/>
              <w:right w:w="43" w:type="dxa"/>
            </w:tcMar>
          </w:tcPr>
          <w:p w14:paraId="4ED6A7BF" w14:textId="77777777" w:rsidR="001064CA" w:rsidRPr="00C13FAD" w:rsidRDefault="00CE75EA" w:rsidP="00CE75EA">
            <w:pPr>
              <w:ind w:left="29" w:right="29"/>
              <w:rPr>
                <w:sz w:val="20"/>
                <w:szCs w:val="20"/>
              </w:rPr>
            </w:pPr>
            <w:r w:rsidRPr="00C13FAD">
              <w:rPr>
                <w:sz w:val="20"/>
                <w:szCs w:val="20"/>
              </w:rPr>
              <w:t>0.59, 0.83</w:t>
            </w:r>
          </w:p>
        </w:tc>
        <w:tc>
          <w:tcPr>
            <w:tcW w:w="1264" w:type="dxa"/>
            <w:tcMar>
              <w:left w:w="43" w:type="dxa"/>
              <w:right w:w="43" w:type="dxa"/>
            </w:tcMar>
          </w:tcPr>
          <w:p w14:paraId="1BEE1ADD" w14:textId="77777777" w:rsidR="001064CA" w:rsidRPr="00C13FAD" w:rsidRDefault="001064CA" w:rsidP="00CE75EA">
            <w:pPr>
              <w:ind w:left="29" w:right="29"/>
              <w:rPr>
                <w:sz w:val="20"/>
                <w:szCs w:val="20"/>
              </w:rPr>
            </w:pPr>
            <w:r w:rsidRPr="00C13FAD">
              <w:rPr>
                <w:sz w:val="20"/>
                <w:szCs w:val="20"/>
              </w:rPr>
              <w:t>&lt;</w:t>
            </w:r>
            <w:r w:rsidR="00CE75EA" w:rsidRPr="00C13FAD">
              <w:rPr>
                <w:sz w:val="20"/>
                <w:szCs w:val="20"/>
              </w:rPr>
              <w:t> </w:t>
            </w:r>
            <w:r w:rsidRPr="00C13FAD">
              <w:rPr>
                <w:sz w:val="20"/>
                <w:szCs w:val="20"/>
              </w:rPr>
              <w:t xml:space="preserve">0.0001 </w:t>
            </w:r>
          </w:p>
        </w:tc>
      </w:tr>
      <w:tr w:rsidR="00405B4C" w:rsidRPr="00C13FAD" w14:paraId="3210BEDC" w14:textId="77777777" w:rsidTr="00C13FAD">
        <w:tc>
          <w:tcPr>
            <w:tcW w:w="1700" w:type="dxa"/>
            <w:tcMar>
              <w:left w:w="43" w:type="dxa"/>
              <w:right w:w="43" w:type="dxa"/>
            </w:tcMar>
          </w:tcPr>
          <w:p w14:paraId="65721C14" w14:textId="77777777" w:rsidR="001064CA" w:rsidRPr="00C13FAD" w:rsidRDefault="001064CA" w:rsidP="00CE75EA">
            <w:pPr>
              <w:ind w:left="29" w:right="29"/>
              <w:rPr>
                <w:sz w:val="20"/>
                <w:szCs w:val="20"/>
              </w:rPr>
            </w:pPr>
            <w:r w:rsidRPr="00C13FAD">
              <w:rPr>
                <w:sz w:val="20"/>
                <w:szCs w:val="20"/>
              </w:rPr>
              <w:t xml:space="preserve">Urgent HF visit </w:t>
            </w:r>
          </w:p>
        </w:tc>
        <w:tc>
          <w:tcPr>
            <w:tcW w:w="1260" w:type="dxa"/>
            <w:tcMar>
              <w:left w:w="43" w:type="dxa"/>
              <w:right w:w="43" w:type="dxa"/>
            </w:tcMar>
          </w:tcPr>
          <w:p w14:paraId="65AC1763" w14:textId="77777777" w:rsidR="001064CA" w:rsidRPr="00C13FAD" w:rsidRDefault="001064CA" w:rsidP="00CE75EA">
            <w:pPr>
              <w:ind w:left="29" w:right="29"/>
              <w:rPr>
                <w:sz w:val="20"/>
                <w:szCs w:val="20"/>
              </w:rPr>
            </w:pPr>
            <w:r w:rsidRPr="00C13FAD">
              <w:rPr>
                <w:sz w:val="20"/>
                <w:szCs w:val="20"/>
              </w:rPr>
              <w:t xml:space="preserve">10 ( 0.4) </w:t>
            </w:r>
          </w:p>
        </w:tc>
        <w:tc>
          <w:tcPr>
            <w:tcW w:w="720" w:type="dxa"/>
            <w:tcMar>
              <w:left w:w="43" w:type="dxa"/>
              <w:right w:w="43" w:type="dxa"/>
            </w:tcMar>
          </w:tcPr>
          <w:p w14:paraId="160A0EEE" w14:textId="77777777" w:rsidR="001064CA" w:rsidRPr="00C13FAD" w:rsidRDefault="001064CA" w:rsidP="00CE75EA">
            <w:pPr>
              <w:ind w:left="29" w:right="29"/>
              <w:rPr>
                <w:sz w:val="20"/>
                <w:szCs w:val="20"/>
              </w:rPr>
            </w:pPr>
            <w:r w:rsidRPr="00C13FAD">
              <w:rPr>
                <w:sz w:val="20"/>
                <w:szCs w:val="20"/>
              </w:rPr>
              <w:t xml:space="preserve">0.3 </w:t>
            </w:r>
          </w:p>
        </w:tc>
        <w:tc>
          <w:tcPr>
            <w:tcW w:w="1260" w:type="dxa"/>
            <w:tcMar>
              <w:left w:w="43" w:type="dxa"/>
              <w:right w:w="43" w:type="dxa"/>
            </w:tcMar>
          </w:tcPr>
          <w:p w14:paraId="1AEB6B66" w14:textId="77777777" w:rsidR="001064CA" w:rsidRPr="00C13FAD" w:rsidRDefault="001064CA" w:rsidP="00CE75EA">
            <w:pPr>
              <w:ind w:left="29" w:right="29"/>
              <w:rPr>
                <w:sz w:val="20"/>
                <w:szCs w:val="20"/>
              </w:rPr>
            </w:pPr>
            <w:r w:rsidRPr="00C13FAD">
              <w:rPr>
                <w:sz w:val="20"/>
                <w:szCs w:val="20"/>
              </w:rPr>
              <w:t xml:space="preserve">23 ( 1.0) </w:t>
            </w:r>
          </w:p>
        </w:tc>
        <w:tc>
          <w:tcPr>
            <w:tcW w:w="630" w:type="dxa"/>
            <w:tcMar>
              <w:left w:w="43" w:type="dxa"/>
              <w:right w:w="43" w:type="dxa"/>
            </w:tcMar>
          </w:tcPr>
          <w:p w14:paraId="5483DE9A" w14:textId="77777777" w:rsidR="001064CA" w:rsidRPr="00C13FAD" w:rsidRDefault="001064CA" w:rsidP="00CE75EA">
            <w:pPr>
              <w:ind w:left="29" w:right="29"/>
              <w:rPr>
                <w:sz w:val="20"/>
                <w:szCs w:val="20"/>
              </w:rPr>
            </w:pPr>
            <w:r w:rsidRPr="00C13FAD">
              <w:rPr>
                <w:sz w:val="20"/>
                <w:szCs w:val="20"/>
              </w:rPr>
              <w:t xml:space="preserve">0.7 </w:t>
            </w:r>
          </w:p>
        </w:tc>
        <w:tc>
          <w:tcPr>
            <w:tcW w:w="720" w:type="dxa"/>
            <w:tcMar>
              <w:left w:w="43" w:type="dxa"/>
              <w:right w:w="43" w:type="dxa"/>
            </w:tcMar>
          </w:tcPr>
          <w:p w14:paraId="61FF9CC6" w14:textId="77777777" w:rsidR="001064CA" w:rsidRPr="00C13FAD" w:rsidRDefault="001064CA" w:rsidP="00CE75EA">
            <w:pPr>
              <w:ind w:left="29" w:right="29"/>
              <w:rPr>
                <w:sz w:val="20"/>
                <w:szCs w:val="20"/>
              </w:rPr>
            </w:pPr>
            <w:r w:rsidRPr="00C13FAD">
              <w:rPr>
                <w:sz w:val="20"/>
                <w:szCs w:val="20"/>
              </w:rPr>
              <w:t xml:space="preserve">0.43 </w:t>
            </w:r>
          </w:p>
        </w:tc>
        <w:tc>
          <w:tcPr>
            <w:tcW w:w="1225" w:type="dxa"/>
            <w:tcMar>
              <w:left w:w="43" w:type="dxa"/>
              <w:right w:w="43" w:type="dxa"/>
            </w:tcMar>
          </w:tcPr>
          <w:p w14:paraId="262E482D" w14:textId="77777777" w:rsidR="001064CA" w:rsidRPr="00C13FAD" w:rsidRDefault="00CE75EA" w:rsidP="00CE75EA">
            <w:pPr>
              <w:ind w:left="29" w:right="29"/>
              <w:rPr>
                <w:sz w:val="20"/>
                <w:szCs w:val="20"/>
              </w:rPr>
            </w:pPr>
            <w:r w:rsidRPr="00C13FAD">
              <w:rPr>
                <w:sz w:val="20"/>
                <w:szCs w:val="20"/>
              </w:rPr>
              <w:t>0.20, 0.90</w:t>
            </w:r>
          </w:p>
        </w:tc>
        <w:tc>
          <w:tcPr>
            <w:tcW w:w="1264" w:type="dxa"/>
            <w:tcMar>
              <w:left w:w="43" w:type="dxa"/>
              <w:right w:w="43" w:type="dxa"/>
            </w:tcMar>
          </w:tcPr>
          <w:p w14:paraId="58939D92" w14:textId="77777777" w:rsidR="001064CA" w:rsidRPr="00C13FAD" w:rsidRDefault="001064CA" w:rsidP="00CE75EA">
            <w:pPr>
              <w:ind w:left="29" w:right="29"/>
              <w:rPr>
                <w:sz w:val="20"/>
                <w:szCs w:val="20"/>
              </w:rPr>
            </w:pPr>
            <w:r w:rsidRPr="00C13FAD">
              <w:rPr>
                <w:sz w:val="20"/>
                <w:szCs w:val="20"/>
              </w:rPr>
              <w:t xml:space="preserve">0.0213 </w:t>
            </w:r>
          </w:p>
        </w:tc>
      </w:tr>
    </w:tbl>
    <w:p w14:paraId="48DEE8C2" w14:textId="44F3F6E2" w:rsidR="00062915" w:rsidRDefault="00062915" w:rsidP="007514B0">
      <w:pPr>
        <w:pStyle w:val="TableDescription"/>
      </w:pPr>
      <w:r>
        <w:t>CV = cardiovascular; HF = heart failure; n = number of subjects; ER = event rate; HR = hazard ratio; CI = confidence interval.</w:t>
      </w:r>
    </w:p>
    <w:p w14:paraId="4776C913" w14:textId="62288E10" w:rsidR="001064CA" w:rsidRDefault="007514B0" w:rsidP="007514B0">
      <w:pPr>
        <w:pStyle w:val="TableDescription"/>
      </w:pPr>
      <w:r w:rsidRPr="007514B0">
        <w:t xml:space="preserve">Source: </w:t>
      </w:r>
      <w:r w:rsidR="00062915">
        <w:t>Adapted from the clinical study report</w:t>
      </w:r>
      <w:r w:rsidRPr="007514B0">
        <w:t xml:space="preserve">, Table 14.2.2.1. The number of events for the individual components are the actual number of first events for each component and their sum exceeds the number of events for the composite endpoint. Event rates are presented as the number of subjects with event per 100 patient years of follow-up. Hazard ratio for </w:t>
      </w:r>
      <w:proofErr w:type="spellStart"/>
      <w:r w:rsidRPr="007514B0">
        <w:t>dapagliflozin</w:t>
      </w:r>
      <w:proofErr w:type="spellEnd"/>
      <w:r w:rsidRPr="007514B0">
        <w:t xml:space="preserve"> 10 mg</w:t>
      </w:r>
      <w:r w:rsidR="00B0381E">
        <w:t xml:space="preserve"> versus </w:t>
      </w:r>
      <w:r w:rsidRPr="007514B0">
        <w:t>placebo, 95% confidence intervals and 2-sided p-value are calculated from Cox proportional hazards model (score test) stratified by T2DM status at randomisation, with factors for treatment group and history of HF hospitalisation.</w:t>
      </w:r>
    </w:p>
    <w:p w14:paraId="330CBEDC" w14:textId="53FD824C" w:rsidR="001064CA" w:rsidRPr="001064CA" w:rsidRDefault="001064CA" w:rsidP="007514B0">
      <w:pPr>
        <w:rPr>
          <w:lang w:val="en-GB"/>
        </w:rPr>
      </w:pPr>
      <w:r w:rsidRPr="001064CA">
        <w:rPr>
          <w:lang w:val="en-GB"/>
        </w:rPr>
        <w:t xml:space="preserve">Each of the three components of the primary composite endpoint individually contributed to the overall treatment effect. Treatment with </w:t>
      </w:r>
      <w:proofErr w:type="spellStart"/>
      <w:r w:rsidR="00B0381E">
        <w:rPr>
          <w:lang w:val="en-GB"/>
        </w:rPr>
        <w:t>dapagliflozin</w:t>
      </w:r>
      <w:proofErr w:type="spellEnd"/>
      <w:r w:rsidRPr="001064CA">
        <w:rPr>
          <w:lang w:val="en-GB"/>
        </w:rPr>
        <w:t xml:space="preserve"> was associated with an 18% (95% CI: 2%, 31%) reduction in the risk of CV death relative to </w:t>
      </w:r>
      <w:r w:rsidR="00B0381E">
        <w:rPr>
          <w:lang w:val="en-GB"/>
        </w:rPr>
        <w:t>placebo</w:t>
      </w:r>
      <w:r w:rsidR="006617EE">
        <w:rPr>
          <w:lang w:val="en-GB"/>
        </w:rPr>
        <w:t>, a 30% (95% CI: </w:t>
      </w:r>
      <w:r w:rsidRPr="001064CA">
        <w:rPr>
          <w:lang w:val="en-GB"/>
        </w:rPr>
        <w:t xml:space="preserve">17%, 41%) reduction in the risk of hospitalisation for </w:t>
      </w:r>
      <w:r w:rsidR="006617EE">
        <w:t xml:space="preserve">heart failure </w:t>
      </w:r>
      <w:r w:rsidRPr="001064CA">
        <w:rPr>
          <w:lang w:val="en-GB"/>
        </w:rPr>
        <w:t xml:space="preserve">relative to </w:t>
      </w:r>
      <w:r w:rsidR="00B0381E">
        <w:rPr>
          <w:lang w:val="en-GB"/>
        </w:rPr>
        <w:t>placebo</w:t>
      </w:r>
      <w:r w:rsidRPr="001064CA">
        <w:rPr>
          <w:lang w:val="en-GB"/>
        </w:rPr>
        <w:t xml:space="preserve">, and a 57% (95% CI: 10%, 80%) reduction in the risk of urgent </w:t>
      </w:r>
      <w:r w:rsidR="006617EE">
        <w:t xml:space="preserve">heart failure </w:t>
      </w:r>
      <w:r w:rsidRPr="001064CA">
        <w:rPr>
          <w:lang w:val="en-GB"/>
        </w:rPr>
        <w:t xml:space="preserve">visits relative to </w:t>
      </w:r>
      <w:r w:rsidR="00B0381E">
        <w:rPr>
          <w:lang w:val="en-GB"/>
        </w:rPr>
        <w:t>placebo</w:t>
      </w:r>
      <w:r w:rsidRPr="001064CA">
        <w:rPr>
          <w:lang w:val="en-GB"/>
        </w:rPr>
        <w:t xml:space="preserve">. Sensitivity analyses were consistent with the primary analyses. The Kaplan-Meier curves for </w:t>
      </w:r>
      <w:proofErr w:type="spellStart"/>
      <w:r w:rsidR="00B0381E">
        <w:rPr>
          <w:lang w:val="en-GB"/>
        </w:rPr>
        <w:t>dapagliflozin</w:t>
      </w:r>
      <w:proofErr w:type="spellEnd"/>
      <w:r w:rsidRPr="001064CA">
        <w:rPr>
          <w:lang w:val="en-GB"/>
        </w:rPr>
        <w:t xml:space="preserve"> and </w:t>
      </w:r>
      <w:r w:rsidR="00B0381E">
        <w:rPr>
          <w:lang w:val="en-GB"/>
        </w:rPr>
        <w:t>placebo</w:t>
      </w:r>
      <w:r w:rsidRPr="001064CA">
        <w:rPr>
          <w:lang w:val="en-GB"/>
        </w:rPr>
        <w:t xml:space="preserve"> diverged early in treatment and c</w:t>
      </w:r>
      <w:r w:rsidR="00062915">
        <w:rPr>
          <w:lang w:val="en-GB"/>
        </w:rPr>
        <w:t>ontinued to separate over time.</w:t>
      </w:r>
    </w:p>
    <w:p w14:paraId="0B02D96A" w14:textId="11BF63D8" w:rsidR="001064CA" w:rsidRPr="001064CA" w:rsidRDefault="001064CA" w:rsidP="001064CA">
      <w:pPr>
        <w:autoSpaceDE w:val="0"/>
        <w:autoSpaceDN w:val="0"/>
        <w:adjustRightInd w:val="0"/>
        <w:spacing w:before="0" w:after="0" w:line="240" w:lineRule="auto"/>
        <w:rPr>
          <w:rFonts w:eastAsiaTheme="minorHAnsi" w:cs="Cambria"/>
          <w:color w:val="000000"/>
          <w:lang w:val="en-GB"/>
        </w:rPr>
      </w:pPr>
      <w:r w:rsidRPr="001064CA">
        <w:rPr>
          <w:rFonts w:eastAsiaTheme="minorHAnsi" w:cs="Cambria"/>
          <w:color w:val="000000"/>
          <w:lang w:val="en-GB"/>
        </w:rPr>
        <w:t xml:space="preserve">The superiority of </w:t>
      </w:r>
      <w:proofErr w:type="spellStart"/>
      <w:r w:rsidR="00B0381E">
        <w:rPr>
          <w:rFonts w:eastAsiaTheme="minorHAnsi" w:cs="Cambria"/>
          <w:color w:val="000000"/>
          <w:lang w:val="en-GB"/>
        </w:rPr>
        <w:t>dapagliflozin</w:t>
      </w:r>
      <w:proofErr w:type="spellEnd"/>
      <w:r w:rsidRPr="001064CA">
        <w:rPr>
          <w:rFonts w:eastAsiaTheme="minorHAnsi" w:cs="Cambria"/>
          <w:color w:val="000000"/>
          <w:lang w:val="en-GB"/>
        </w:rPr>
        <w:t xml:space="preserve"> on the composite of CV death, hospitalisation for </w:t>
      </w:r>
      <w:r w:rsidR="006617EE">
        <w:t xml:space="preserve">heart failure </w:t>
      </w:r>
      <w:r w:rsidRPr="001064CA">
        <w:rPr>
          <w:rFonts w:eastAsiaTheme="minorHAnsi" w:cs="Cambria"/>
          <w:color w:val="000000"/>
          <w:lang w:val="en-GB"/>
        </w:rPr>
        <w:t xml:space="preserve">or urgent </w:t>
      </w:r>
      <w:r w:rsidR="006617EE">
        <w:t xml:space="preserve">heart failure </w:t>
      </w:r>
      <w:r w:rsidRPr="001064CA">
        <w:rPr>
          <w:rFonts w:eastAsiaTheme="minorHAnsi" w:cs="Cambria"/>
          <w:color w:val="000000"/>
          <w:lang w:val="en-GB"/>
        </w:rPr>
        <w:t>visit was generally c</w:t>
      </w:r>
      <w:r w:rsidR="001F7D4C">
        <w:rPr>
          <w:rFonts w:eastAsiaTheme="minorHAnsi" w:cs="Cambria"/>
          <w:color w:val="000000"/>
          <w:lang w:val="en-GB"/>
        </w:rPr>
        <w:t>onsistent across sub-groups. Of </w:t>
      </w:r>
      <w:r w:rsidRPr="001064CA">
        <w:rPr>
          <w:rFonts w:eastAsiaTheme="minorHAnsi" w:cs="Cambria"/>
          <w:color w:val="000000"/>
          <w:lang w:val="en-GB"/>
        </w:rPr>
        <w:t xml:space="preserve">particular note, the results for the sub-group analyses in </w:t>
      </w:r>
      <w:r w:rsidR="006617EE">
        <w:t xml:space="preserve">heart failure with reduced ejection fraction </w:t>
      </w:r>
      <w:r w:rsidRPr="001064CA">
        <w:rPr>
          <w:rFonts w:eastAsiaTheme="minorHAnsi" w:cs="Cambria"/>
          <w:color w:val="000000"/>
          <w:lang w:val="en-GB"/>
        </w:rPr>
        <w:t>patients with T2DM or without TD2M</w:t>
      </w:r>
      <w:r w:rsidR="006617EE">
        <w:rPr>
          <w:rFonts w:eastAsiaTheme="minorHAnsi" w:cs="Cambria"/>
          <w:color w:val="000000"/>
          <w:lang w:val="en-GB"/>
        </w:rPr>
        <w:t xml:space="preserve"> were similar. However, the sub</w:t>
      </w:r>
      <w:r w:rsidRPr="001064CA">
        <w:rPr>
          <w:rFonts w:eastAsiaTheme="minorHAnsi" w:cs="Cambria"/>
          <w:color w:val="000000"/>
          <w:lang w:val="en-GB"/>
        </w:rPr>
        <w:t>group analysis of the composite primary efficacy endpoint by NYHA Class (Class II</w:t>
      </w:r>
      <w:r w:rsidR="00B0381E">
        <w:rPr>
          <w:rFonts w:eastAsiaTheme="minorHAnsi" w:cs="Cambria"/>
          <w:color w:val="000000"/>
          <w:lang w:val="en-GB"/>
        </w:rPr>
        <w:t xml:space="preserve"> versus </w:t>
      </w:r>
      <w:r w:rsidRPr="001064CA">
        <w:rPr>
          <w:rFonts w:eastAsiaTheme="minorHAnsi" w:cs="Cambria"/>
          <w:color w:val="000000"/>
          <w:lang w:val="en-GB"/>
        </w:rPr>
        <w:t xml:space="preserve">Class III and IV combined) indicated that </w:t>
      </w:r>
      <w:proofErr w:type="spellStart"/>
      <w:r w:rsidR="00B0381E">
        <w:rPr>
          <w:rFonts w:eastAsiaTheme="minorHAnsi" w:cs="Cambria"/>
          <w:color w:val="000000"/>
          <w:lang w:val="en-GB"/>
        </w:rPr>
        <w:t>dapagliflozin</w:t>
      </w:r>
      <w:proofErr w:type="spellEnd"/>
      <w:r w:rsidRPr="001064CA">
        <w:rPr>
          <w:rFonts w:eastAsiaTheme="minorHAnsi" w:cs="Cambria"/>
          <w:color w:val="000000"/>
          <w:lang w:val="en-GB"/>
        </w:rPr>
        <w:t xml:space="preserve"> was more effective than </w:t>
      </w:r>
      <w:r w:rsidR="00B0381E">
        <w:rPr>
          <w:rFonts w:eastAsiaTheme="minorHAnsi" w:cs="Cambria"/>
          <w:color w:val="000000"/>
          <w:lang w:val="en-GB"/>
        </w:rPr>
        <w:t>placebo</w:t>
      </w:r>
      <w:r w:rsidRPr="001064CA">
        <w:rPr>
          <w:rFonts w:eastAsiaTheme="minorHAnsi" w:cs="Cambria"/>
          <w:color w:val="000000"/>
          <w:lang w:val="en-GB"/>
        </w:rPr>
        <w:t xml:space="preserve"> only i</w:t>
      </w:r>
      <w:r w:rsidR="006617EE">
        <w:rPr>
          <w:rFonts w:eastAsiaTheme="minorHAnsi" w:cs="Cambria"/>
          <w:color w:val="000000"/>
          <w:lang w:val="en-GB"/>
        </w:rPr>
        <w:t xml:space="preserve">n patients with NYHA Class II </w:t>
      </w:r>
      <w:r w:rsidR="006617EE">
        <w:t>heart failure</w:t>
      </w:r>
      <w:r w:rsidRPr="001064CA">
        <w:rPr>
          <w:rFonts w:eastAsiaTheme="minorHAnsi" w:cs="Cambria"/>
          <w:color w:val="000000"/>
          <w:lang w:val="en-GB"/>
        </w:rPr>
        <w:t xml:space="preserve"> (HR 0.63, 95% CI 0.52, 0.75) and not in the combined NYHA Class III and IV patients (HR 0.90, 95% CI 0.74, 1.09). In a response to a </w:t>
      </w:r>
      <w:r w:rsidR="006617EE">
        <w:rPr>
          <w:rFonts w:eastAsiaTheme="minorHAnsi" w:cs="Cambria"/>
          <w:color w:val="000000"/>
          <w:lang w:val="en-GB"/>
        </w:rPr>
        <w:t>TGA request for information, the s</w:t>
      </w:r>
      <w:r w:rsidRPr="001064CA">
        <w:rPr>
          <w:rFonts w:eastAsiaTheme="minorHAnsi" w:cs="Cambria"/>
          <w:color w:val="000000"/>
          <w:lang w:val="en-GB"/>
        </w:rPr>
        <w:t xml:space="preserve">ponsor provided additional </w:t>
      </w:r>
      <w:r w:rsidR="006617EE">
        <w:rPr>
          <w:rFonts w:eastAsiaTheme="minorHAnsi" w:cs="Cambria"/>
          <w:i/>
          <w:iCs/>
          <w:color w:val="000000"/>
          <w:lang w:val="en-GB"/>
        </w:rPr>
        <w:t>post </w:t>
      </w:r>
      <w:r w:rsidRPr="001064CA">
        <w:rPr>
          <w:rFonts w:eastAsiaTheme="minorHAnsi" w:cs="Cambria"/>
          <w:i/>
          <w:iCs/>
          <w:color w:val="000000"/>
          <w:lang w:val="en-GB"/>
        </w:rPr>
        <w:t xml:space="preserve">hoc </w:t>
      </w:r>
      <w:r w:rsidRPr="001064CA">
        <w:rPr>
          <w:rFonts w:eastAsiaTheme="minorHAnsi" w:cs="Cambria"/>
          <w:color w:val="000000"/>
          <w:lang w:val="en-GB"/>
        </w:rPr>
        <w:t xml:space="preserve">analyses of the primary endpoint by NYHA class to establish that the difference was not clinically important, as patients with Class IV </w:t>
      </w:r>
      <w:r w:rsidR="006617EE">
        <w:t xml:space="preserve">heart failure </w:t>
      </w:r>
      <w:r w:rsidRPr="001064CA">
        <w:rPr>
          <w:rFonts w:eastAsiaTheme="minorHAnsi" w:cs="Cambria"/>
          <w:color w:val="000000"/>
          <w:lang w:val="en-GB"/>
        </w:rPr>
        <w:t xml:space="preserve">did appear to respond better to </w:t>
      </w:r>
      <w:proofErr w:type="spellStart"/>
      <w:r w:rsidR="00B0381E">
        <w:rPr>
          <w:rFonts w:eastAsiaTheme="minorHAnsi" w:cs="Cambria"/>
          <w:color w:val="000000"/>
          <w:lang w:val="en-GB"/>
        </w:rPr>
        <w:t>dapagliflozin</w:t>
      </w:r>
      <w:proofErr w:type="spellEnd"/>
      <w:r w:rsidRPr="001064CA">
        <w:rPr>
          <w:rFonts w:eastAsiaTheme="minorHAnsi" w:cs="Cambria"/>
          <w:color w:val="000000"/>
          <w:lang w:val="en-GB"/>
        </w:rPr>
        <w:t xml:space="preserve"> than those with Class III </w:t>
      </w:r>
      <w:r w:rsidR="006617EE">
        <w:t xml:space="preserve">heart failure </w:t>
      </w:r>
      <w:r w:rsidRPr="001064CA">
        <w:rPr>
          <w:rFonts w:eastAsiaTheme="minorHAnsi" w:cs="Cambria"/>
          <w:color w:val="000000"/>
          <w:lang w:val="en-GB"/>
        </w:rPr>
        <w:t>(</w:t>
      </w:r>
      <w:r w:rsidR="001F7D4C">
        <w:rPr>
          <w:rFonts w:eastAsiaTheme="minorHAnsi" w:cs="Cambria"/>
          <w:color w:val="000000"/>
          <w:lang w:val="en-GB"/>
        </w:rPr>
        <w:t>see Table 5, below</w:t>
      </w:r>
      <w:r w:rsidRPr="001064CA">
        <w:rPr>
          <w:rFonts w:eastAsiaTheme="minorHAnsi" w:cs="Cambria"/>
          <w:color w:val="000000"/>
          <w:lang w:val="en-GB"/>
        </w:rPr>
        <w:t xml:space="preserve">). While acknowledging that the number </w:t>
      </w:r>
      <w:r w:rsidR="006617EE">
        <w:rPr>
          <w:rFonts w:eastAsiaTheme="minorHAnsi" w:cs="Cambria"/>
          <w:color w:val="000000"/>
          <w:lang w:val="en-GB"/>
        </w:rPr>
        <w:t>of enrolled patients with NYHA C</w:t>
      </w:r>
      <w:r w:rsidRPr="001064CA">
        <w:rPr>
          <w:rFonts w:eastAsiaTheme="minorHAnsi" w:cs="Cambria"/>
          <w:color w:val="000000"/>
          <w:lang w:val="en-GB"/>
        </w:rPr>
        <w:t xml:space="preserve">lass IV </w:t>
      </w:r>
      <w:r w:rsidR="006617EE">
        <w:t xml:space="preserve">heart failure </w:t>
      </w:r>
      <w:r w:rsidR="006617EE">
        <w:rPr>
          <w:rFonts w:eastAsiaTheme="minorHAnsi" w:cs="Cambria"/>
          <w:color w:val="000000"/>
          <w:lang w:val="en-GB"/>
        </w:rPr>
        <w:t>was low, the s</w:t>
      </w:r>
      <w:r w:rsidRPr="001064CA">
        <w:rPr>
          <w:rFonts w:eastAsiaTheme="minorHAnsi" w:cs="Cambria"/>
          <w:color w:val="000000"/>
          <w:lang w:val="en-GB"/>
        </w:rPr>
        <w:t xml:space="preserve">ponsor argued that it was not biologically plausible that the treatment effect of </w:t>
      </w:r>
      <w:proofErr w:type="spellStart"/>
      <w:r w:rsidRPr="001064CA">
        <w:rPr>
          <w:rFonts w:eastAsiaTheme="minorHAnsi" w:cs="Cambria"/>
          <w:color w:val="000000"/>
          <w:lang w:val="en-GB"/>
        </w:rPr>
        <w:t>dapagliflozin</w:t>
      </w:r>
      <w:proofErr w:type="spellEnd"/>
      <w:r w:rsidRPr="001064CA">
        <w:rPr>
          <w:rFonts w:eastAsiaTheme="minorHAnsi" w:cs="Cambria"/>
          <w:color w:val="000000"/>
          <w:lang w:val="en-GB"/>
        </w:rPr>
        <w:t xml:space="preserve"> could be more pronounced in both the most severely and the le</w:t>
      </w:r>
      <w:r w:rsidR="006617EE">
        <w:rPr>
          <w:rFonts w:eastAsiaTheme="minorHAnsi" w:cs="Cambria"/>
          <w:color w:val="000000"/>
          <w:lang w:val="en-GB"/>
        </w:rPr>
        <w:t>ast severely affected patients.</w:t>
      </w:r>
    </w:p>
    <w:p w14:paraId="075B62AC" w14:textId="71117E0E" w:rsidR="008F7A0C" w:rsidRDefault="001064CA" w:rsidP="001064CA">
      <w:pPr>
        <w:rPr>
          <w:rFonts w:eastAsiaTheme="minorHAnsi" w:cs="Cambria"/>
          <w:color w:val="000000"/>
          <w:lang w:val="en-GB"/>
        </w:rPr>
      </w:pPr>
      <w:r w:rsidRPr="001064CA">
        <w:rPr>
          <w:rFonts w:eastAsiaTheme="minorHAnsi" w:cs="Cambria"/>
          <w:color w:val="000000"/>
          <w:lang w:val="en-GB"/>
        </w:rPr>
        <w:t>Furthermore, additional pre-specified analyses of the primary endpoint based on diff</w:t>
      </w:r>
      <w:r w:rsidR="001F7D4C">
        <w:rPr>
          <w:rFonts w:eastAsiaTheme="minorHAnsi" w:cs="Cambria"/>
          <w:color w:val="000000"/>
          <w:lang w:val="en-GB"/>
        </w:rPr>
        <w:t>erent measures of severity of heart failure (NT-</w:t>
      </w:r>
      <w:proofErr w:type="spellStart"/>
      <w:r w:rsidR="001F7D4C">
        <w:rPr>
          <w:rFonts w:eastAsiaTheme="minorHAnsi" w:cs="Cambria"/>
          <w:color w:val="000000"/>
          <w:lang w:val="en-GB"/>
        </w:rPr>
        <w:t>proBNP</w:t>
      </w:r>
      <w:proofErr w:type="spellEnd"/>
      <w:r w:rsidR="001F7D4C">
        <w:rPr>
          <w:rFonts w:eastAsiaTheme="minorHAnsi" w:cs="Cambria"/>
          <w:color w:val="000000"/>
          <w:lang w:val="en-GB"/>
        </w:rPr>
        <w:t>, and/or left ventricular ejection fraction</w:t>
      </w:r>
      <w:r w:rsidRPr="001064CA">
        <w:rPr>
          <w:rFonts w:eastAsiaTheme="minorHAnsi" w:cs="Cambria"/>
          <w:color w:val="000000"/>
          <w:lang w:val="en-GB"/>
        </w:rPr>
        <w:t xml:space="preserve">) did not identify a significant difference in treatment effect in patients with baseline measures at or below the median level compared to measures above the median. </w:t>
      </w:r>
      <w:r w:rsidRPr="001064CA">
        <w:rPr>
          <w:rFonts w:eastAsiaTheme="minorHAnsi" w:cs="Cambria"/>
          <w:i/>
          <w:iCs/>
          <w:color w:val="000000"/>
          <w:lang w:val="en-GB"/>
        </w:rPr>
        <w:t xml:space="preserve">Post hoc </w:t>
      </w:r>
      <w:r w:rsidRPr="001064CA">
        <w:rPr>
          <w:rFonts w:eastAsiaTheme="minorHAnsi" w:cs="Cambria"/>
          <w:color w:val="000000"/>
          <w:lang w:val="en-GB"/>
        </w:rPr>
        <w:t xml:space="preserve">analyses of treatment effect by continuous baseline </w:t>
      </w:r>
      <w:r w:rsidR="001F7D4C">
        <w:rPr>
          <w:rFonts w:eastAsiaTheme="minorHAnsi" w:cs="Cambria"/>
          <w:color w:val="000000"/>
          <w:lang w:val="en-GB"/>
        </w:rPr>
        <w:t>left ventricular ejection fraction</w:t>
      </w:r>
      <w:r w:rsidRPr="001064CA">
        <w:rPr>
          <w:rFonts w:eastAsiaTheme="minorHAnsi" w:cs="Cambria"/>
          <w:color w:val="000000"/>
          <w:lang w:val="en-GB"/>
        </w:rPr>
        <w:t>, by baseline NT-</w:t>
      </w:r>
      <w:proofErr w:type="spellStart"/>
      <w:r w:rsidRPr="001064CA">
        <w:rPr>
          <w:rFonts w:eastAsiaTheme="minorHAnsi" w:cs="Cambria"/>
          <w:color w:val="000000"/>
          <w:lang w:val="en-GB"/>
        </w:rPr>
        <w:t>proBNP</w:t>
      </w:r>
      <w:proofErr w:type="spellEnd"/>
      <w:r w:rsidRPr="001064CA">
        <w:rPr>
          <w:rFonts w:eastAsiaTheme="minorHAnsi" w:cs="Cambria"/>
          <w:color w:val="000000"/>
          <w:lang w:val="en-GB"/>
        </w:rPr>
        <w:t xml:space="preserve"> levels, and MAGGIC Risk Score</w:t>
      </w:r>
      <w:r w:rsidR="004674A8">
        <w:rPr>
          <w:rStyle w:val="FootnoteReference"/>
          <w:rFonts w:eastAsiaTheme="minorHAnsi" w:cs="Cambria"/>
          <w:color w:val="000000"/>
          <w:lang w:val="en-GB"/>
        </w:rPr>
        <w:footnoteReference w:id="11"/>
      </w:r>
      <w:r w:rsidR="00405B4C">
        <w:rPr>
          <w:rFonts w:eastAsiaTheme="minorHAnsi" w:cs="Cambria"/>
          <w:color w:val="000000"/>
          <w:vertAlign w:val="superscript"/>
          <w:lang w:val="en-GB"/>
        </w:rPr>
        <w:t>,</w:t>
      </w:r>
      <w:r w:rsidR="00405B4C">
        <w:rPr>
          <w:rStyle w:val="FootnoteReference"/>
          <w:rFonts w:eastAsiaTheme="minorHAnsi" w:cs="Cambria"/>
          <w:color w:val="000000"/>
          <w:lang w:val="en-GB"/>
        </w:rPr>
        <w:footnoteReference w:id="12"/>
      </w:r>
      <w:r w:rsidRPr="001064CA">
        <w:rPr>
          <w:rFonts w:eastAsiaTheme="minorHAnsi" w:cs="Cambria"/>
          <w:color w:val="000000"/>
          <w:lang w:val="en-GB"/>
        </w:rPr>
        <w:t xml:space="preserve"> quintiles broadly supported a positive treatment effect of </w:t>
      </w:r>
      <w:proofErr w:type="spellStart"/>
      <w:r w:rsidR="00B0381E">
        <w:rPr>
          <w:rFonts w:eastAsiaTheme="minorHAnsi" w:cs="Cambria"/>
          <w:color w:val="000000"/>
          <w:lang w:val="en-GB"/>
        </w:rPr>
        <w:t>dapagliflozin</w:t>
      </w:r>
      <w:proofErr w:type="spellEnd"/>
      <w:r w:rsidRPr="001064CA">
        <w:rPr>
          <w:rFonts w:eastAsiaTheme="minorHAnsi" w:cs="Cambria"/>
          <w:color w:val="000000"/>
          <w:lang w:val="en-GB"/>
        </w:rPr>
        <w:t>, although th</w:t>
      </w:r>
      <w:r w:rsidR="004674A8">
        <w:rPr>
          <w:rFonts w:eastAsiaTheme="minorHAnsi" w:cs="Cambria"/>
          <w:color w:val="000000"/>
          <w:lang w:val="en-GB"/>
        </w:rPr>
        <w:t>e 95% CI for higher baseline NT</w:t>
      </w:r>
      <w:r w:rsidR="004674A8">
        <w:rPr>
          <w:rFonts w:eastAsiaTheme="minorHAnsi" w:cs="Cambria"/>
          <w:color w:val="000000"/>
          <w:lang w:val="en-GB"/>
        </w:rPr>
        <w:noBreakHyphen/>
      </w:r>
      <w:proofErr w:type="spellStart"/>
      <w:r w:rsidRPr="001064CA">
        <w:rPr>
          <w:rFonts w:eastAsiaTheme="minorHAnsi" w:cs="Cambria"/>
          <w:color w:val="000000"/>
          <w:lang w:val="en-GB"/>
        </w:rPr>
        <w:t>proBNP</w:t>
      </w:r>
      <w:proofErr w:type="spellEnd"/>
      <w:r w:rsidRPr="001064CA">
        <w:rPr>
          <w:rFonts w:eastAsiaTheme="minorHAnsi" w:cs="Cambria"/>
          <w:color w:val="000000"/>
          <w:lang w:val="en-GB"/>
        </w:rPr>
        <w:t xml:space="preserve"> levels crossed unity, as did the 95% CI in the lowest and</w:t>
      </w:r>
      <w:r w:rsidR="004674A8">
        <w:rPr>
          <w:rFonts w:eastAsiaTheme="minorHAnsi" w:cs="Cambria"/>
          <w:color w:val="000000"/>
          <w:lang w:val="en-GB"/>
        </w:rPr>
        <w:t xml:space="preserve"> highest MAGGIC risk quintiles.</w:t>
      </w:r>
    </w:p>
    <w:p w14:paraId="57E50593" w14:textId="10EE1DCB" w:rsidR="006617EE" w:rsidRDefault="006617EE" w:rsidP="006617EE">
      <w:pPr>
        <w:pStyle w:val="TableTitle"/>
      </w:pPr>
      <w:r>
        <w:t xml:space="preserve">Table </w:t>
      </w:r>
      <w:fldSimple w:instr=" SEQ Table \* ARABIC ">
        <w:r w:rsidR="00504D2B">
          <w:rPr>
            <w:noProof/>
          </w:rPr>
          <w:t>5</w:t>
        </w:r>
      </w:fldSimple>
      <w:r>
        <w:t xml:space="preserve">: </w:t>
      </w:r>
      <w:r w:rsidR="004674A8">
        <w:t xml:space="preserve">DAPA-HF trial </w:t>
      </w:r>
      <w:r>
        <w:t>Primary endpoint and components by NYHA Class</w:t>
      </w:r>
    </w:p>
    <w:p w14:paraId="0813AEE0" w14:textId="77777777" w:rsidR="008F7A0C" w:rsidRDefault="008F7A0C" w:rsidP="001064CA">
      <w:r w:rsidRPr="008F7A0C">
        <w:rPr>
          <w:noProof/>
          <w:lang w:eastAsia="en-AU"/>
        </w:rPr>
        <w:drawing>
          <wp:inline distT="0" distB="0" distL="0" distR="0" wp14:anchorId="1782DF65" wp14:editId="49E11832">
            <wp:extent cx="5400040" cy="3451889"/>
            <wp:effectExtent l="0" t="0" r="0" b="0"/>
            <wp:docPr id="1" name="Picture 1" descr="DAPA-HF trial Primary endpoint and components by NYHA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451889"/>
                    </a:xfrm>
                    <a:prstGeom prst="rect">
                      <a:avLst/>
                    </a:prstGeom>
                    <a:noFill/>
                    <a:ln>
                      <a:noFill/>
                    </a:ln>
                  </pic:spPr>
                </pic:pic>
              </a:graphicData>
            </a:graphic>
          </wp:inline>
        </w:drawing>
      </w:r>
    </w:p>
    <w:p w14:paraId="76286C03" w14:textId="5FB0A80F" w:rsidR="008F7A0C" w:rsidRDefault="00AE7BCC" w:rsidP="00AE7BCC">
      <w:proofErr w:type="spellStart"/>
      <w:r w:rsidRPr="00AE7BCC">
        <w:t>D</w:t>
      </w:r>
      <w:r w:rsidR="00B0381E" w:rsidRPr="00AE7BCC">
        <w:t>apagliflozin</w:t>
      </w:r>
      <w:proofErr w:type="spellEnd"/>
      <w:r w:rsidR="008F7A0C">
        <w:t xml:space="preserve"> was statistically superior to </w:t>
      </w:r>
      <w:r w:rsidR="00B0381E">
        <w:t>placebo</w:t>
      </w:r>
      <w:r w:rsidR="008F7A0C">
        <w:t xml:space="preserve"> in the analyses of the secondary composite outcome of total (first and recurrent) </w:t>
      </w:r>
      <w:r w:rsidR="004674A8">
        <w:t>heart fail</w:t>
      </w:r>
      <w:r>
        <w:t>ure</w:t>
      </w:r>
      <w:r w:rsidR="008F7A0C">
        <w:t xml:space="preserve"> hospitalisations and CV death. There were 567 and 742 events of CV death or hospitalisation for </w:t>
      </w:r>
      <w:r>
        <w:t xml:space="preserve">heart failure </w:t>
      </w:r>
      <w:r w:rsidR="00807467">
        <w:t>in</w:t>
      </w:r>
      <w:r w:rsidR="008F7A0C">
        <w:t xml:space="preserve"> the </w:t>
      </w:r>
      <w:proofErr w:type="spellStart"/>
      <w:r w:rsidR="00B0381E">
        <w:t>dapagliflozin</w:t>
      </w:r>
      <w:proofErr w:type="spellEnd"/>
      <w:r w:rsidR="008F7A0C">
        <w:t xml:space="preserve"> and </w:t>
      </w:r>
      <w:r w:rsidR="00B0381E">
        <w:t>placebo</w:t>
      </w:r>
      <w:r w:rsidR="008F7A0C">
        <w:t xml:space="preserve"> groups, respectively, corresponding to event rates of 16.3/</w:t>
      </w:r>
      <w:r>
        <w:t> 100 </w:t>
      </w:r>
      <w:r w:rsidR="008F7A0C">
        <w:t>PY and 21.6/100 PY of follow-up, respectivel</w:t>
      </w:r>
      <w:r>
        <w:t>y; the rate ratio was 0.75 (95% CI: </w:t>
      </w:r>
      <w:r w:rsidR="008F7A0C">
        <w:t>0.65, 0.88), p</w:t>
      </w:r>
      <w:r>
        <w:t> </w:t>
      </w:r>
      <w:r w:rsidR="008F7A0C">
        <w:t>=</w:t>
      </w:r>
      <w:r>
        <w:t> </w:t>
      </w:r>
      <w:r w:rsidR="008F7A0C">
        <w:t>0.0002. Each of the two components of the composite endpoint contributed to the observed treatment effect.</w:t>
      </w:r>
    </w:p>
    <w:p w14:paraId="07C4A87A" w14:textId="77777777" w:rsidR="008F7A0C" w:rsidRDefault="00AE7BCC" w:rsidP="00AE7BCC">
      <w:proofErr w:type="spellStart"/>
      <w:r w:rsidRPr="00AE7BCC">
        <w:t>D</w:t>
      </w:r>
      <w:r w:rsidR="00B0381E" w:rsidRPr="00AE7BCC">
        <w:t>apagliflozin</w:t>
      </w:r>
      <w:proofErr w:type="spellEnd"/>
      <w:r w:rsidR="008F7A0C">
        <w:t xml:space="preserve"> was also statistically superior to </w:t>
      </w:r>
      <w:r w:rsidR="00B0381E">
        <w:t>placebo</w:t>
      </w:r>
      <w:r w:rsidR="008F7A0C">
        <w:t xml:space="preserve"> in improving patient reported outcomes according to the KCCQ-TSS questionnaire. Both the symptom f</w:t>
      </w:r>
      <w:r>
        <w:t>requency and symptom burden sub</w:t>
      </w:r>
      <w:r w:rsidR="008F7A0C">
        <w:t xml:space="preserve">domains contributed to the overall treatment effect. The win ratio for the KCCQ-TSS was 1.18 (95% CI: 1.11, 1.26, p &lt; 0.0001), in favour of </w:t>
      </w:r>
      <w:proofErr w:type="spellStart"/>
      <w:r w:rsidR="00B0381E">
        <w:t>dapagliflozin</w:t>
      </w:r>
      <w:proofErr w:type="spellEnd"/>
      <w:r w:rsidR="008F7A0C">
        <w:t xml:space="preserve"> relative to </w:t>
      </w:r>
      <w:r w:rsidR="00B0381E">
        <w:t>placebo</w:t>
      </w:r>
      <w:r>
        <w:t>. The mean (SD) change from B</w:t>
      </w:r>
      <w:r w:rsidR="008F7A0C">
        <w:t xml:space="preserve">aseline at eight months in the KCCQ-TSS was 6.11 (18.65) in the </w:t>
      </w:r>
      <w:proofErr w:type="spellStart"/>
      <w:r w:rsidR="00B0381E">
        <w:t>dapagliflozin</w:t>
      </w:r>
      <w:proofErr w:type="spellEnd"/>
      <w:r w:rsidR="008F7A0C">
        <w:t xml:space="preserve"> group and 3.30 (19.24) in the </w:t>
      </w:r>
      <w:r w:rsidR="00B0381E">
        <w:t>placebo</w:t>
      </w:r>
      <w:r>
        <w:t xml:space="preserve"> group. A </w:t>
      </w:r>
      <w:r w:rsidR="008F7A0C">
        <w:t>clinically relevant improvement or deterioration in KCCQ-TS</w:t>
      </w:r>
      <w:r>
        <w:t>S was defined as a change from B</w:t>
      </w:r>
      <w:r w:rsidR="008F7A0C">
        <w:t xml:space="preserve">aseline of ≥ 5 points. The proportion of patients with </w:t>
      </w:r>
      <w:r>
        <w:t>an improvement in KCCQ-TSS of ≥ 5 </w:t>
      </w:r>
      <w:r w:rsidR="008F7A0C">
        <w:t xml:space="preserve">points was higher in the </w:t>
      </w:r>
      <w:proofErr w:type="spellStart"/>
      <w:r w:rsidR="00B0381E">
        <w:t>dapagliflozin</w:t>
      </w:r>
      <w:proofErr w:type="spellEnd"/>
      <w:r w:rsidR="008F7A0C">
        <w:t xml:space="preserve"> treatment group (57.4%) compared to the placebo group (50.0%). The proportion of patients with a</w:t>
      </w:r>
      <w:r>
        <w:t xml:space="preserve"> deterioration in KCCQ-TSS of ≥ 5 </w:t>
      </w:r>
      <w:r w:rsidR="008F7A0C">
        <w:t xml:space="preserve">points was lower in the </w:t>
      </w:r>
      <w:proofErr w:type="spellStart"/>
      <w:r w:rsidR="00B0381E">
        <w:t>dapagliflozin</w:t>
      </w:r>
      <w:proofErr w:type="spellEnd"/>
      <w:r w:rsidR="008F7A0C">
        <w:t xml:space="preserve"> group (25.1%) compared to the </w:t>
      </w:r>
      <w:r w:rsidR="00B0381E">
        <w:t>placebo</w:t>
      </w:r>
      <w:r w:rsidR="008F7A0C">
        <w:t xml:space="preserve"> group (33.1%).</w:t>
      </w:r>
    </w:p>
    <w:p w14:paraId="1E800DB0" w14:textId="77777777" w:rsidR="008F7A0C" w:rsidRDefault="008F7A0C" w:rsidP="008F7A0C">
      <w:r>
        <w:t>There was no statistically significant difference between the two treatment groups with regard to the composite endpoint of worsening renal function (</w:t>
      </w:r>
      <w:proofErr w:type="spellStart"/>
      <w:r w:rsidR="00B0381E">
        <w:t>dapagliflozin</w:t>
      </w:r>
      <w:proofErr w:type="spellEnd"/>
      <w:r>
        <w:t xml:space="preserve"> n</w:t>
      </w:r>
      <w:r w:rsidR="00AE7BCC">
        <w:t> </w:t>
      </w:r>
      <w:r>
        <w:t>=</w:t>
      </w:r>
      <w:r w:rsidR="00AE7BCC">
        <w:t> </w:t>
      </w:r>
      <w:r>
        <w:t xml:space="preserve">28 (1.2%), </w:t>
      </w:r>
      <w:r w:rsidR="00B0381E">
        <w:t>placebo</w:t>
      </w:r>
      <w:r>
        <w:t xml:space="preserve"> n</w:t>
      </w:r>
      <w:r w:rsidR="00AE7BCC">
        <w:t> </w:t>
      </w:r>
      <w:r>
        <w:t>=</w:t>
      </w:r>
      <w:r w:rsidR="00AE7BCC">
        <w:t> </w:t>
      </w:r>
      <w:r>
        <w:t>39 (1.6%), HR: 0.71 (0.44, 1.16)). All-cause mortality was 11.6% (n</w:t>
      </w:r>
      <w:r w:rsidR="00AE7BCC">
        <w:t> </w:t>
      </w:r>
      <w:r>
        <w:t>=</w:t>
      </w:r>
      <w:r w:rsidR="00AE7BCC">
        <w:t> </w:t>
      </w:r>
      <w:r>
        <w:t xml:space="preserve">276) in the </w:t>
      </w:r>
      <w:proofErr w:type="spellStart"/>
      <w:r w:rsidR="00B0381E">
        <w:t>dapagliflozin</w:t>
      </w:r>
      <w:proofErr w:type="spellEnd"/>
      <w:r>
        <w:t xml:space="preserve"> group and 13.9% (n</w:t>
      </w:r>
      <w:r w:rsidR="00AE7BCC">
        <w:t> </w:t>
      </w:r>
      <w:r>
        <w:t>=</w:t>
      </w:r>
      <w:r w:rsidR="00AE7BCC">
        <w:t> </w:t>
      </w:r>
      <w:r>
        <w:t xml:space="preserve">329) in the </w:t>
      </w:r>
      <w:r w:rsidR="00B0381E">
        <w:t>placebo</w:t>
      </w:r>
      <w:r>
        <w:t xml:space="preserve"> group. Time to death from any cause was not statistically analysed, based on hierar</w:t>
      </w:r>
      <w:r w:rsidR="00AE7BCC">
        <w:t>chical stopping rules.</w:t>
      </w:r>
    </w:p>
    <w:p w14:paraId="3199E9B6" w14:textId="77777777" w:rsidR="008F7A0C" w:rsidRDefault="008F7A0C" w:rsidP="00AE7BCC">
      <w:pPr>
        <w:pStyle w:val="Heading4"/>
      </w:pPr>
      <w:r>
        <w:t>Safety</w:t>
      </w:r>
    </w:p>
    <w:p w14:paraId="78A7BD9C" w14:textId="77777777" w:rsidR="008F7A0C" w:rsidRDefault="008F7A0C" w:rsidP="008F7A0C">
      <w:r>
        <w:t xml:space="preserve">The safety and tolerability of </w:t>
      </w:r>
      <w:proofErr w:type="spellStart"/>
      <w:r w:rsidR="00B0381E">
        <w:t>dapagliflozin</w:t>
      </w:r>
      <w:proofErr w:type="spellEnd"/>
      <w:r>
        <w:t xml:space="preserve"> in </w:t>
      </w:r>
      <w:r w:rsidR="00AE7BCC">
        <w:t xml:space="preserve">heart failure with reduced ejection fraction </w:t>
      </w:r>
      <w:r>
        <w:t>was evaluated based on assessments</w:t>
      </w:r>
      <w:r w:rsidR="00AE7BCC">
        <w:t xml:space="preserve"> of serious adverse events (SAE</w:t>
      </w:r>
      <w:r>
        <w:t xml:space="preserve">), discontinuation of the study </w:t>
      </w:r>
      <w:r w:rsidR="00AE7BCC">
        <w:t>drug due to adverse events (DAE</w:t>
      </w:r>
      <w:r>
        <w:t xml:space="preserve">), </w:t>
      </w:r>
      <w:r w:rsidR="00AE7BCC">
        <w:t>adverse events (AE)</w:t>
      </w:r>
      <w:r>
        <w:t xml:space="preserve"> of special interest, which included AEs suggestive of volume depletion, renal AEs, diabetic ketoacidosis (DKA), major hypoglycaemic events, fractures, AEs leading to amputation, and AEs leading to </w:t>
      </w:r>
      <w:r w:rsidR="00AE7BCC">
        <w:t>risk of lower limb amputation (‘preceding events’</w:t>
      </w:r>
      <w:r>
        <w:t>), and changes in centrally-analysed clinical chemistry and haematology parameters. Non-serious AEs were collected for DAEs, AEs of special interest, AEs leading to potential endpoint events, AEs leading to interruption of study drug, and AEs leading to dose reduction of study drug.</w:t>
      </w:r>
    </w:p>
    <w:p w14:paraId="56220959" w14:textId="7B631EF6" w:rsidR="008F7A0C" w:rsidRDefault="008F7A0C" w:rsidP="008F7A0C">
      <w:r>
        <w:t xml:space="preserve">Adverse events in the </w:t>
      </w:r>
      <w:r w:rsidR="004674A8">
        <w:t>safety analysis set</w:t>
      </w:r>
      <w:r>
        <w:t xml:space="preserve"> are summarised in </w:t>
      </w:r>
      <w:r w:rsidRPr="004674A8">
        <w:t>Table 6</w:t>
      </w:r>
      <w:r w:rsidR="004674A8">
        <w:t xml:space="preserve"> (shown below)</w:t>
      </w:r>
      <w:r w:rsidRPr="004674A8">
        <w:t>. The</w:t>
      </w:r>
      <w:r>
        <w:t xml:space="preserve"> </w:t>
      </w:r>
      <w:r w:rsidR="004674A8">
        <w:t>safety analysis set</w:t>
      </w:r>
      <w:r>
        <w:t xml:space="preserve"> included 2368 participants in each arm who received at least one dose of randomised treatment. Five patients in the </w:t>
      </w:r>
      <w:proofErr w:type="spellStart"/>
      <w:r w:rsidR="00B0381E">
        <w:t>dapagliflozin</w:t>
      </w:r>
      <w:proofErr w:type="spellEnd"/>
      <w:r>
        <w:t xml:space="preserve"> arm and three patients in </w:t>
      </w:r>
      <w:r w:rsidR="00B0381E">
        <w:t>placebo</w:t>
      </w:r>
      <w:r>
        <w:t xml:space="preserve"> arm were excluded from the</w:t>
      </w:r>
      <w:r w:rsidR="004674A8" w:rsidRPr="004674A8">
        <w:t xml:space="preserve"> </w:t>
      </w:r>
      <w:r w:rsidR="004674A8">
        <w:t xml:space="preserve">safety analysis set </w:t>
      </w:r>
      <w:r>
        <w:t>as they did not receive any study treatment. The median duration of ex</w:t>
      </w:r>
      <w:r w:rsidR="00A32D35">
        <w:t xml:space="preserve">posure was 17.8 months (range 0 to </w:t>
      </w:r>
      <w:r>
        <w:t xml:space="preserve">28 months) in the </w:t>
      </w:r>
      <w:proofErr w:type="spellStart"/>
      <w:r w:rsidR="00B0381E">
        <w:t>dapagliflozin</w:t>
      </w:r>
      <w:proofErr w:type="spellEnd"/>
      <w:r w:rsidR="00A32D35">
        <w:t xml:space="preserve"> group and 17.6 months (range 0 to </w:t>
      </w:r>
      <w:r>
        <w:t xml:space="preserve">28.3 months) in the </w:t>
      </w:r>
      <w:r w:rsidR="00B0381E">
        <w:t>placebo</w:t>
      </w:r>
      <w:r>
        <w:t xml:space="preserve"> group. Over 90% of participants in each arm had been exposed for ≥ six months, over 80% in each arm had been exposed for ≥ 12 months, and ar</w:t>
      </w:r>
      <w:r w:rsidR="004674A8">
        <w:t>ound 10% had been exposed for ≥ 24 </w:t>
      </w:r>
      <w:r>
        <w:t xml:space="preserve">months. Less than 2% of participants in each arm required dose reduction at any time; the most common adverse event triggering dose reduction was hypotension, affecting 20 (0.8%) participants in the </w:t>
      </w:r>
      <w:proofErr w:type="spellStart"/>
      <w:r w:rsidR="00B0381E">
        <w:t>dapagliflozin</w:t>
      </w:r>
      <w:proofErr w:type="spellEnd"/>
      <w:r>
        <w:t xml:space="preserve"> group and 11 (0.5%) in the </w:t>
      </w:r>
      <w:r w:rsidR="00B0381E">
        <w:t>placebo</w:t>
      </w:r>
      <w:r>
        <w:t xml:space="preserve"> group.</w:t>
      </w:r>
    </w:p>
    <w:p w14:paraId="72E80E41" w14:textId="65B6A6B4" w:rsidR="00C65CC2" w:rsidRDefault="00C65CC2" w:rsidP="00C65CC2">
      <w:pPr>
        <w:pStyle w:val="TableTitle"/>
      </w:pPr>
      <w:r>
        <w:t xml:space="preserve">Table </w:t>
      </w:r>
      <w:fldSimple w:instr=" SEQ Table \* ARABIC ">
        <w:r w:rsidR="00504D2B">
          <w:rPr>
            <w:noProof/>
          </w:rPr>
          <w:t>6</w:t>
        </w:r>
      </w:fldSimple>
      <w:r>
        <w:t xml:space="preserve">: </w:t>
      </w:r>
      <w:r w:rsidRPr="0013295A">
        <w:t>DAPA-HF trial Summary of adverse events (safety analysis set)</w:t>
      </w:r>
    </w:p>
    <w:p w14:paraId="520BC883" w14:textId="77777777" w:rsidR="008F7A0C" w:rsidRDefault="008F7A0C" w:rsidP="008F7A0C">
      <w:r w:rsidRPr="008F7A0C">
        <w:rPr>
          <w:noProof/>
          <w:lang w:eastAsia="en-AU"/>
        </w:rPr>
        <w:drawing>
          <wp:inline distT="0" distB="0" distL="0" distR="0" wp14:anchorId="0AB15FCC" wp14:editId="7E51856A">
            <wp:extent cx="5400040" cy="3507794"/>
            <wp:effectExtent l="0" t="0" r="0" b="0"/>
            <wp:docPr id="3" name="Picture 3" descr="DAPA-HF trial Summary of adverse events (safety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3507794"/>
                    </a:xfrm>
                    <a:prstGeom prst="rect">
                      <a:avLst/>
                    </a:prstGeom>
                    <a:noFill/>
                    <a:ln>
                      <a:noFill/>
                    </a:ln>
                  </pic:spPr>
                </pic:pic>
              </a:graphicData>
            </a:graphic>
          </wp:inline>
        </w:drawing>
      </w:r>
    </w:p>
    <w:p w14:paraId="29183BB5" w14:textId="0F213F0C" w:rsidR="008F7A0C" w:rsidRDefault="008F7A0C" w:rsidP="004674A8">
      <w:pPr>
        <w:pStyle w:val="TableDescription"/>
      </w:pPr>
      <w:r>
        <w:t>Source: Summary of Clinical Safety</w:t>
      </w:r>
      <w:r w:rsidR="004674A8">
        <w:t>, Table 1.</w:t>
      </w:r>
    </w:p>
    <w:p w14:paraId="46EA3787" w14:textId="5B2AFF3D" w:rsidR="008F7A0C" w:rsidRDefault="00B2414F" w:rsidP="004674A8">
      <w:pPr>
        <w:pStyle w:val="TableDescription"/>
      </w:pPr>
      <w:r>
        <w:t>(a)</w:t>
      </w:r>
      <w:r w:rsidR="008F7A0C">
        <w:t xml:space="preserve"> Subjects with multiple events in the same category are counted only once in that category. Subjects with events in more than 1 category are counted once in each of those categories.</w:t>
      </w:r>
      <w:r>
        <w:t>(</w:t>
      </w:r>
      <w:r w:rsidR="008F7A0C">
        <w:t>b</w:t>
      </w:r>
      <w:r>
        <w:t>)</w:t>
      </w:r>
      <w:r w:rsidR="008F7A0C">
        <w:t xml:space="preserve"> Events adjudicated as definite or p</w:t>
      </w:r>
      <w:r w:rsidR="001E3718">
        <w:t xml:space="preserve">robable diabetic ketoacidosis. </w:t>
      </w:r>
      <w:r>
        <w:t>(c)</w:t>
      </w:r>
      <w:r w:rsidR="008F7A0C">
        <w:t xml:space="preserve"> AE with the following criteria confirmed by the investigator: </w:t>
      </w:r>
      <w:proofErr w:type="spellStart"/>
      <w:r w:rsidR="008F7A0C">
        <w:t>i</w:t>
      </w:r>
      <w:proofErr w:type="spellEnd"/>
      <w:r w:rsidR="008F7A0C">
        <w:t xml:space="preserve">) Symptoms of severe impairment in consciousness or </w:t>
      </w:r>
      <w:r w:rsidR="004674A8">
        <w:t>behaviour</w:t>
      </w:r>
      <w:r w:rsidR="008F7A0C">
        <w:t>; (ii) need of external assistance; (iii) intervention to treat hypoglycaemia; (iv) prompt recovery of acute sympto</w:t>
      </w:r>
      <w:r w:rsidR="001E3718">
        <w:t xml:space="preserve">ms following the intervention. </w:t>
      </w:r>
      <w:r>
        <w:t>(d)</w:t>
      </w:r>
      <w:r w:rsidR="008F7A0C">
        <w:t xml:space="preserve"> Based on pre-de</w:t>
      </w:r>
      <w:r w:rsidR="001E3718">
        <w:t xml:space="preserve">fined list of preferred terms. </w:t>
      </w:r>
      <w:r>
        <w:t>(e)</w:t>
      </w:r>
      <w:r w:rsidR="008F7A0C">
        <w:t xml:space="preserve"> Surgical or spontaneous/non-surgical amputation, excluding amputation due to trauma. </w:t>
      </w:r>
    </w:p>
    <w:p w14:paraId="22611009" w14:textId="73F69795" w:rsidR="00A32D35" w:rsidRDefault="008F7A0C" w:rsidP="004674A8">
      <w:pPr>
        <w:pStyle w:val="TableDescription"/>
      </w:pPr>
      <w:r>
        <w:t>The on-treatment columns include AEs with an onset date on or after date of first dose and up to and including 30 days following last dose of study drug. Percentages are based on the total numbers of subjects in the treatment group (N). AE Adverse event. DAE AE leading to discontinuation of IP. IP Investigational product. N Number of subjects in treatment group. SAE Serious AE. SAS Safety analysis set. Percentages are based on the total numbers of subje</w:t>
      </w:r>
      <w:r w:rsidR="001E3718">
        <w:t>cts in the treatment group (N).</w:t>
      </w:r>
    </w:p>
    <w:p w14:paraId="00B0E285" w14:textId="7BAA4659" w:rsidR="008F7A0C" w:rsidRDefault="008F7A0C" w:rsidP="00A32D35">
      <w:r>
        <w:t xml:space="preserve">In the </w:t>
      </w:r>
      <w:r>
        <w:rPr>
          <w:i/>
          <w:iCs/>
        </w:rPr>
        <w:t>on-treatment period</w:t>
      </w:r>
      <w:r>
        <w:t xml:space="preserve">, 227 patients (9.6%) in the </w:t>
      </w:r>
      <w:proofErr w:type="spellStart"/>
      <w:r w:rsidR="00B0381E">
        <w:t>dapagliflozin</w:t>
      </w:r>
      <w:proofErr w:type="spellEnd"/>
      <w:r w:rsidR="00A32D35">
        <w:t xml:space="preserve"> group and 250 </w:t>
      </w:r>
      <w:r>
        <w:t xml:space="preserve">patients (10.6%) in the </w:t>
      </w:r>
      <w:r w:rsidR="00B0381E">
        <w:t>placebo</w:t>
      </w:r>
      <w:r>
        <w:t xml:space="preserve"> group </w:t>
      </w:r>
      <w:r w:rsidR="00E84CDA">
        <w:t>who died due to AEs with an outcome of death</w:t>
      </w:r>
      <w:r>
        <w:t>. AEs resulting in death affecting ≥ 0.5% of patients in either treatment group (</w:t>
      </w:r>
      <w:proofErr w:type="spellStart"/>
      <w:r w:rsidR="00B0381E">
        <w:t>dapagliflozin</w:t>
      </w:r>
      <w:proofErr w:type="spellEnd"/>
      <w:r w:rsidR="00B0381E">
        <w:t xml:space="preserve"> </w:t>
      </w:r>
      <w:r w:rsidR="00B0381E" w:rsidRPr="00A32D35">
        <w:t>versus placebo</w:t>
      </w:r>
      <w:r w:rsidR="00A32D35">
        <w:t xml:space="preserve"> respectively), by System Organ Class (SOC) and Preferred T</w:t>
      </w:r>
      <w:r w:rsidRPr="00A32D35">
        <w:t>erm (PT) wer</w:t>
      </w:r>
      <w:r w:rsidR="00A32D35">
        <w:t>e: SOC Cardiac Disorders (total 102 (4.3%)</w:t>
      </w:r>
      <w:r w:rsidR="00B0381E" w:rsidRPr="00A32D35">
        <w:t xml:space="preserve"> versus </w:t>
      </w:r>
      <w:r w:rsidR="00A32D35">
        <w:t>120 (5.1%)): PT Cardiac Failure (42 (1.8%)</w:t>
      </w:r>
      <w:r w:rsidR="00B0381E" w:rsidRPr="00A32D35">
        <w:t xml:space="preserve"> versus </w:t>
      </w:r>
      <w:r w:rsidR="00A32D35">
        <w:t>57 (2.4%)); and SOC General Disorders and A</w:t>
      </w:r>
      <w:r w:rsidR="00A32D35" w:rsidRPr="00A32D35">
        <w:t xml:space="preserve">dministration Site Conditions </w:t>
      </w:r>
      <w:r w:rsidR="00A32D35">
        <w:t>(total 68 (2.9%)</w:t>
      </w:r>
      <w:r w:rsidR="00B0381E" w:rsidRPr="00A32D35">
        <w:t xml:space="preserve"> versus </w:t>
      </w:r>
      <w:r w:rsidR="00A32D35">
        <w:t>75 (3.2%)): PT Death (33 (1.4%)</w:t>
      </w:r>
      <w:r w:rsidR="00B0381E" w:rsidRPr="00A32D35">
        <w:t xml:space="preserve"> versus </w:t>
      </w:r>
      <w:r w:rsidR="00A32D35">
        <w:t>38 (1.6%)</w:t>
      </w:r>
      <w:r w:rsidRPr="00A32D35">
        <w:t xml:space="preserve">); PT </w:t>
      </w:r>
      <w:r w:rsidR="00A32D35" w:rsidRPr="00A32D35">
        <w:t>Sudden Cardiac Death</w:t>
      </w:r>
      <w:r w:rsidRPr="00A32D35">
        <w:t xml:space="preserve"> (17 </w:t>
      </w:r>
      <w:r w:rsidR="00A32D35">
        <w:t>(0.7%)</w:t>
      </w:r>
      <w:r w:rsidR="00B0381E">
        <w:t xml:space="preserve"> versus </w:t>
      </w:r>
      <w:r w:rsidR="00A32D35">
        <w:t>27 (1.1%)); and PT Sudden Death (17 (0.7%)</w:t>
      </w:r>
      <w:r w:rsidR="00B0381E">
        <w:t xml:space="preserve"> versus </w:t>
      </w:r>
      <w:r w:rsidR="00A32D35">
        <w:t>7 (0.3%)</w:t>
      </w:r>
      <w:r>
        <w:t>).</w:t>
      </w:r>
      <w:r w:rsidR="00A32D35">
        <w:rPr>
          <w:rStyle w:val="FootnoteReference"/>
        </w:rPr>
        <w:footnoteReference w:id="13"/>
      </w:r>
      <w:r>
        <w:t xml:space="preserve"> AE</w:t>
      </w:r>
      <w:r w:rsidR="00A32D35">
        <w:t>s</w:t>
      </w:r>
      <w:r>
        <w:t xml:space="preserve"> resulting in death by PT did n</w:t>
      </w:r>
      <w:r w:rsidR="004674A8">
        <w:t>ot reach 0.5% in any other SOC.</w:t>
      </w:r>
    </w:p>
    <w:p w14:paraId="1CEEB31A" w14:textId="30554F93" w:rsidR="008F7A0C" w:rsidRDefault="008F7A0C" w:rsidP="00A32D35">
      <w:r>
        <w:t xml:space="preserve">Serious AEs were less frequent in the </w:t>
      </w:r>
      <w:proofErr w:type="spellStart"/>
      <w:r w:rsidR="00B0381E">
        <w:t>dapagliflozin</w:t>
      </w:r>
      <w:proofErr w:type="spellEnd"/>
      <w:r>
        <w:t xml:space="preserve"> group (846, 35.7%) than in the </w:t>
      </w:r>
      <w:r w:rsidR="00B0381E">
        <w:t>placebo</w:t>
      </w:r>
      <w:r>
        <w:t xml:space="preserve"> group (951, 40.2%). The most frequent SAEs (</w:t>
      </w:r>
      <w:proofErr w:type="spellStart"/>
      <w:r w:rsidR="00B0381E">
        <w:t>dapagliflozin</w:t>
      </w:r>
      <w:proofErr w:type="spellEnd"/>
      <w:r w:rsidR="00B0381E">
        <w:t xml:space="preserve"> versus placebo</w:t>
      </w:r>
      <w:r>
        <w:t>) were cardiac failure (10.1%</w:t>
      </w:r>
      <w:r w:rsidR="00B0381E">
        <w:t xml:space="preserve"> versus </w:t>
      </w:r>
      <w:r>
        <w:t>13.7%) followed by pneumonia (3.0%</w:t>
      </w:r>
      <w:r w:rsidR="00B0381E">
        <w:t xml:space="preserve"> versus </w:t>
      </w:r>
      <w:r>
        <w:t xml:space="preserve">3.1%) and a range of CV events. </w:t>
      </w:r>
      <w:r w:rsidR="00CA432C">
        <w:t>SAEs of a</w:t>
      </w:r>
      <w:r>
        <w:t xml:space="preserve">cute kidney injury </w:t>
      </w:r>
      <w:r w:rsidR="00CA432C">
        <w:t xml:space="preserve">occurred in </w:t>
      </w:r>
      <w:r>
        <w:t>0.8% and 1.</w:t>
      </w:r>
      <w:r w:rsidR="00CA432C">
        <w:t>7</w:t>
      </w:r>
      <w:r>
        <w:t xml:space="preserve">% of </w:t>
      </w:r>
      <w:r w:rsidR="00CA432C">
        <w:t xml:space="preserve">patients </w:t>
      </w:r>
      <w:r>
        <w:t xml:space="preserve">in </w:t>
      </w:r>
      <w:proofErr w:type="spellStart"/>
      <w:r w:rsidR="00B0381E">
        <w:t>dapagliflozin</w:t>
      </w:r>
      <w:proofErr w:type="spellEnd"/>
      <w:r>
        <w:t xml:space="preserve"> and </w:t>
      </w:r>
      <w:r w:rsidR="00B0381E">
        <w:t>placebo</w:t>
      </w:r>
      <w:r>
        <w:t xml:space="preserve"> </w:t>
      </w:r>
      <w:r w:rsidR="00CA432C">
        <w:t>groups</w:t>
      </w:r>
      <w:r>
        <w:t>, respectively. Adverse events resulting in discontinuation (</w:t>
      </w:r>
      <w:proofErr w:type="spellStart"/>
      <w:r w:rsidR="00B0381E">
        <w:t>dapagliflozin</w:t>
      </w:r>
      <w:proofErr w:type="spellEnd"/>
      <w:r w:rsidR="00B0381E">
        <w:t xml:space="preserve"> versus placebo</w:t>
      </w:r>
      <w:r>
        <w:t>, respectively) included cardiac failure (0.7%</w:t>
      </w:r>
      <w:r w:rsidR="00B0381E">
        <w:t xml:space="preserve"> versus </w:t>
      </w:r>
      <w:r>
        <w:t>0.6%), dizziness (0.2%</w:t>
      </w:r>
      <w:r w:rsidR="00B0381E">
        <w:t xml:space="preserve"> versus </w:t>
      </w:r>
      <w:r>
        <w:t>0.2%), hypotension (0.2%</w:t>
      </w:r>
      <w:r w:rsidR="00B0381E">
        <w:t xml:space="preserve"> versus </w:t>
      </w:r>
      <w:r>
        <w:t>0.2%), urinary tract infection (0.2%</w:t>
      </w:r>
      <w:r w:rsidR="00B0381E">
        <w:t xml:space="preserve"> versus </w:t>
      </w:r>
      <w:r>
        <w:t>0.1%), renal impairment (0.1%</w:t>
      </w:r>
      <w:r w:rsidR="00B0381E">
        <w:t xml:space="preserve"> versus </w:t>
      </w:r>
      <w:r>
        <w:t>0.2%) and congestive cardiac failure (&lt;</w:t>
      </w:r>
      <w:r w:rsidR="00A32D35">
        <w:t> </w:t>
      </w:r>
      <w:r>
        <w:t>0.1%</w:t>
      </w:r>
      <w:r w:rsidR="00B0381E">
        <w:t xml:space="preserve"> versus </w:t>
      </w:r>
      <w:r w:rsidR="004674A8">
        <w:t>0.3%).</w:t>
      </w:r>
    </w:p>
    <w:p w14:paraId="0C59BB6D" w14:textId="2723C9F2" w:rsidR="008F7A0C" w:rsidRDefault="349CF9A4" w:rsidP="00A32D35">
      <w:r>
        <w:t xml:space="preserve">Events suggestive of volume depletion, renal AEs, DKA, major hypoglycaemic events, fractures, amputations and preceding events for lower limb amputation were all considered AEs of special interest; most of these may be considered related to the treatment of patients with T2DM. Overall, the frequency of AEs of special interest were similar in the </w:t>
      </w:r>
      <w:proofErr w:type="spellStart"/>
      <w:r>
        <w:t>dapagliflozin</w:t>
      </w:r>
      <w:proofErr w:type="spellEnd"/>
      <w:r>
        <w:t xml:space="preserve"> and placebo groups with regard to renal events (renal impairment, acute kidney injury, renal failure, pre-renal failure, anuria, azotaemia, toxic nephropathy), fractures and amputations. The frequency of events suggestive of volume depletion (including hypotension, hypovolaemia, dehydration, syncope, orthostatic hypotension, blood pressure decreased, circulatory collapse and </w:t>
      </w:r>
      <w:proofErr w:type="spellStart"/>
      <w:r>
        <w:t>hypovolaemic</w:t>
      </w:r>
      <w:proofErr w:type="spellEnd"/>
      <w:r>
        <w:t xml:space="preserve"> shock) during the on-treatment period were slightly higher in the </w:t>
      </w:r>
      <w:proofErr w:type="spellStart"/>
      <w:r>
        <w:t>dapagliflozin</w:t>
      </w:r>
      <w:proofErr w:type="spellEnd"/>
      <w:r>
        <w:t xml:space="preserve"> group (7.2%) than in the placebo group (6.5%); this difference was also seen in the combined on-and-off treatment period.</w:t>
      </w:r>
    </w:p>
    <w:p w14:paraId="6977EE71" w14:textId="2DD73E9D" w:rsidR="008F7A0C" w:rsidRDefault="008F7A0C" w:rsidP="00A32D35">
      <w:r>
        <w:t xml:space="preserve">Preceding events for lower limb amputations in the on and off treatment period were numerically higher in the </w:t>
      </w:r>
      <w:proofErr w:type="spellStart"/>
      <w:r w:rsidR="00B0381E">
        <w:t>dapagliflozin</w:t>
      </w:r>
      <w:proofErr w:type="spellEnd"/>
      <w:r>
        <w:t xml:space="preserve"> group than in </w:t>
      </w:r>
      <w:r w:rsidR="00B0381E">
        <w:t>placebo</w:t>
      </w:r>
      <w:r>
        <w:t xml:space="preserve"> (155/2368, 6.5%</w:t>
      </w:r>
      <w:r w:rsidR="00B0381E">
        <w:t xml:space="preserve"> versus </w:t>
      </w:r>
      <w:r>
        <w:t>120/2368, 5.1%, respectively). The frequencies of lower limb amputation preceding events related to diabetes complications, particularly cellulitis, were equal in the two treatment groups (1.9% each); whereas preceding events related to peripheral vascular disease (</w:t>
      </w:r>
      <w:proofErr w:type="spellStart"/>
      <w:r w:rsidR="00B0381E">
        <w:t>dapagliflozin</w:t>
      </w:r>
      <w:proofErr w:type="spellEnd"/>
      <w:r>
        <w:t>, 1.6%</w:t>
      </w:r>
      <w:r w:rsidR="00B0381E">
        <w:t xml:space="preserve"> versus placebo</w:t>
      </w:r>
      <w:r>
        <w:t>, 0.9%) and to volume depletion (</w:t>
      </w:r>
      <w:proofErr w:type="spellStart"/>
      <w:r w:rsidR="00B0381E">
        <w:t>dapagliflozin</w:t>
      </w:r>
      <w:proofErr w:type="spellEnd"/>
      <w:r>
        <w:t>, 2.9%</w:t>
      </w:r>
      <w:r w:rsidR="00B0381E">
        <w:t xml:space="preserve"> versus placebo</w:t>
      </w:r>
      <w:r>
        <w:t xml:space="preserve">, 2.2%) were more frequently reported in the </w:t>
      </w:r>
      <w:proofErr w:type="spellStart"/>
      <w:r w:rsidR="00B0381E">
        <w:t>dapagliflozin</w:t>
      </w:r>
      <w:proofErr w:type="spellEnd"/>
      <w:r>
        <w:t xml:space="preserve"> group. While preceding events were reported more frequently in the </w:t>
      </w:r>
      <w:proofErr w:type="spellStart"/>
      <w:r w:rsidR="00B0381E">
        <w:t>dapagliflozin</w:t>
      </w:r>
      <w:proofErr w:type="spellEnd"/>
      <w:r>
        <w:t xml:space="preserve"> group, similar numbers of participants in each group experienced one or more amputations affecting the lower limb (</w:t>
      </w:r>
      <w:proofErr w:type="spellStart"/>
      <w:r w:rsidR="00B0381E">
        <w:t>dapagliflozin</w:t>
      </w:r>
      <w:proofErr w:type="spellEnd"/>
      <w:r>
        <w:t xml:space="preserve"> 13, </w:t>
      </w:r>
      <w:r w:rsidR="00B0381E">
        <w:t>placebo</w:t>
      </w:r>
      <w:r>
        <w:t xml:space="preserve"> 12) at any time during the on and off treatment period. Of these, </w:t>
      </w:r>
      <w:r w:rsidR="00A37F34">
        <w:t xml:space="preserve">thirteen </w:t>
      </w:r>
      <w:r>
        <w:t xml:space="preserve">participants in the </w:t>
      </w:r>
      <w:proofErr w:type="spellStart"/>
      <w:r w:rsidR="00B0381E">
        <w:t>dapagliflozin</w:t>
      </w:r>
      <w:proofErr w:type="spellEnd"/>
      <w:r>
        <w:t xml:space="preserve"> group and </w:t>
      </w:r>
      <w:r w:rsidR="00A37F34">
        <w:t xml:space="preserve">ten </w:t>
      </w:r>
      <w:r>
        <w:t xml:space="preserve">participants in the </w:t>
      </w:r>
      <w:r w:rsidR="00B0381E">
        <w:t>placebo</w:t>
      </w:r>
      <w:r>
        <w:t xml:space="preserve"> group experienced a preceding event be</w:t>
      </w:r>
      <w:r w:rsidR="00F461F2">
        <w:t>fore the subsequent amputation.</w:t>
      </w:r>
    </w:p>
    <w:p w14:paraId="39036331" w14:textId="5EAEFB3E" w:rsidR="008F7A0C" w:rsidRDefault="008F7A0C" w:rsidP="00A32D35">
      <w:r>
        <w:t xml:space="preserve">No events of DKA were reported among participants with </w:t>
      </w:r>
      <w:r w:rsidR="00A32D35">
        <w:t>heart failure with reduced ejection fraction</w:t>
      </w:r>
      <w:r>
        <w:t xml:space="preserve"> in the absence of T2DM at baseline in either </w:t>
      </w:r>
      <w:proofErr w:type="spellStart"/>
      <w:r w:rsidR="00B0381E">
        <w:t>dapagliflozin</w:t>
      </w:r>
      <w:proofErr w:type="spellEnd"/>
      <w:r>
        <w:t xml:space="preserve"> or </w:t>
      </w:r>
      <w:r w:rsidR="00B0381E">
        <w:t>placebo</w:t>
      </w:r>
      <w:r>
        <w:t xml:space="preserve"> arms; three participants with T2DM in the </w:t>
      </w:r>
      <w:proofErr w:type="spellStart"/>
      <w:r w:rsidR="00B0381E">
        <w:t>dapagliflozin</w:t>
      </w:r>
      <w:proofErr w:type="spellEnd"/>
      <w:r>
        <w:t xml:space="preserve"> arm and no participants in the </w:t>
      </w:r>
      <w:r w:rsidR="00B0381E">
        <w:t>placebo</w:t>
      </w:r>
      <w:r>
        <w:t xml:space="preserve"> arm experienced events that were independently adjudicated as definite DKA. There was no difference between </w:t>
      </w:r>
      <w:proofErr w:type="spellStart"/>
      <w:r w:rsidR="00B0381E">
        <w:t>dapagliflozin</w:t>
      </w:r>
      <w:proofErr w:type="spellEnd"/>
      <w:r>
        <w:t xml:space="preserve"> and </w:t>
      </w:r>
      <w:r w:rsidR="00B0381E">
        <w:t>placebo</w:t>
      </w:r>
      <w:r>
        <w:t xml:space="preserve"> arms in reports of major hypoglycaemic events: all reports occ</w:t>
      </w:r>
      <w:r w:rsidR="00C65CC2">
        <w:t>urred in patients with T2DM at Baseline.</w:t>
      </w:r>
    </w:p>
    <w:p w14:paraId="520133CE" w14:textId="5CBBA957" w:rsidR="008F7A0C" w:rsidRDefault="008F7A0C" w:rsidP="00A32D35">
      <w:r>
        <w:t xml:space="preserve">Mean haematocrit and haemoglobin levels increased early in treatment and plateaued after month four in the </w:t>
      </w:r>
      <w:proofErr w:type="spellStart"/>
      <w:r w:rsidR="00B0381E">
        <w:t>dapagliflozin</w:t>
      </w:r>
      <w:proofErr w:type="spellEnd"/>
      <w:r>
        <w:t xml:space="preserve"> treatment arm, but not in the </w:t>
      </w:r>
      <w:r w:rsidR="00B0381E">
        <w:t>placebo</w:t>
      </w:r>
      <w:r>
        <w:t xml:space="preserve"> arm. This effect of </w:t>
      </w:r>
      <w:proofErr w:type="spellStart"/>
      <w:r w:rsidR="00B0381E">
        <w:t>dapagliflozin</w:t>
      </w:r>
      <w:proofErr w:type="spellEnd"/>
      <w:r>
        <w:t xml:space="preserve"> has been described previously and is a known class effect of SGLT2 inhibitors. To date, no apparent relationship has been identified between the increased haematocrit and haemoglobin with i</w:t>
      </w:r>
      <w:r w:rsidR="00C65CC2">
        <w:t>ncreased thromboembolic events.</w:t>
      </w:r>
    </w:p>
    <w:p w14:paraId="132D39FC" w14:textId="77777777" w:rsidR="008F7A0C" w:rsidRPr="001064CA" w:rsidRDefault="008F7A0C" w:rsidP="008F7A0C">
      <w:r>
        <w:t xml:space="preserve">Over the follow-up period, no clinically important differences were reported between </w:t>
      </w:r>
      <w:proofErr w:type="spellStart"/>
      <w:r w:rsidR="00B0381E">
        <w:t>dapagliflozin</w:t>
      </w:r>
      <w:proofErr w:type="spellEnd"/>
      <w:r>
        <w:t xml:space="preserve"> arm and </w:t>
      </w:r>
      <w:r w:rsidR="00B0381E">
        <w:t>placebo</w:t>
      </w:r>
      <w:r>
        <w:t xml:space="preserve"> arm with regard to other laboratory parameters or vital signs. No new safety signals were identified in </w:t>
      </w:r>
      <w:r w:rsidR="00A32D35">
        <w:t>the DAPA</w:t>
      </w:r>
      <w:r>
        <w:t>-HF</w:t>
      </w:r>
      <w:r w:rsidR="00A32D35">
        <w:t xml:space="preserve"> trial</w:t>
      </w:r>
      <w:r>
        <w:t xml:space="preserve">, with the safety profile being consistent with the known safety profile for </w:t>
      </w:r>
      <w:proofErr w:type="spellStart"/>
      <w:r w:rsidR="00B0381E">
        <w:t>dapagliflozin</w:t>
      </w:r>
      <w:proofErr w:type="spellEnd"/>
      <w:r>
        <w:t xml:space="preserve"> in the treatment of patients with T2DM, with or without heart failure.</w:t>
      </w:r>
    </w:p>
    <w:p w14:paraId="49162B59" w14:textId="77777777" w:rsidR="007B6132" w:rsidRDefault="007B6132" w:rsidP="00555280">
      <w:pPr>
        <w:pStyle w:val="Heading4"/>
      </w:pPr>
      <w:r w:rsidRPr="007B6132">
        <w:t>Clinical evaluator’s recommendation</w:t>
      </w:r>
    </w:p>
    <w:p w14:paraId="7289D503" w14:textId="77777777" w:rsidR="00456765" w:rsidRPr="00505556" w:rsidRDefault="00505556" w:rsidP="00505556">
      <w:r w:rsidRPr="00505556">
        <w:t>The clinical evaluator supports the application for registration for the intended use.</w:t>
      </w:r>
    </w:p>
    <w:p w14:paraId="2CBDD292" w14:textId="77777777" w:rsidR="008E7846" w:rsidRDefault="00386150" w:rsidP="007B6132">
      <w:pPr>
        <w:pStyle w:val="Heading3"/>
        <w:rPr>
          <w:lang w:eastAsia="en-AU"/>
        </w:rPr>
      </w:pPr>
      <w:bookmarkStart w:id="41" w:name="_Toc69894104"/>
      <w:r>
        <w:rPr>
          <w:lang w:eastAsia="en-AU"/>
        </w:rPr>
        <w:t>Risk m</w:t>
      </w:r>
      <w:r w:rsidR="008E7846">
        <w:rPr>
          <w:lang w:eastAsia="en-AU"/>
        </w:rPr>
        <w:t xml:space="preserve">anagement </w:t>
      </w:r>
      <w:r>
        <w:rPr>
          <w:lang w:eastAsia="en-AU"/>
        </w:rPr>
        <w:t>p</w:t>
      </w:r>
      <w:r w:rsidR="008E7846">
        <w:rPr>
          <w:lang w:eastAsia="en-AU"/>
        </w:rPr>
        <w:t>lan</w:t>
      </w:r>
      <w:bookmarkEnd w:id="40"/>
      <w:bookmarkEnd w:id="41"/>
    </w:p>
    <w:p w14:paraId="0943F5E5" w14:textId="6B4510FF" w:rsidR="007D53B6" w:rsidRPr="00F15498" w:rsidRDefault="007448FA" w:rsidP="00F15498">
      <w:r w:rsidRPr="00F15498">
        <w:t xml:space="preserve">The most recently accepted EU-risk management plan (RMP) was Version 15 (dated 9 August 2017, </w:t>
      </w:r>
      <w:r w:rsidR="00C65CC2">
        <w:t>data lock point (</w:t>
      </w:r>
      <w:r w:rsidRPr="00F15498">
        <w:t>DLP</w:t>
      </w:r>
      <w:r w:rsidR="00C65CC2">
        <w:t>)</w:t>
      </w:r>
      <w:r w:rsidRPr="00F15498">
        <w:t xml:space="preserve"> 9 August 2017) and Australian-</w:t>
      </w:r>
      <w:r w:rsidR="00F15498" w:rsidRPr="00F15498">
        <w:t>specific Annex (ASA) Version 9 (dated </w:t>
      </w:r>
      <w:r w:rsidRPr="00F15498">
        <w:t>15 August 2018). In support of the extended indication, the sponsor has submitted draft EU-RMP version 18 (dated 24 October 2019; DLP 30 September 2019) and ASA version 11 (dated 8 November 2019).</w:t>
      </w:r>
    </w:p>
    <w:p w14:paraId="0F3D1747" w14:textId="1833B443" w:rsidR="007D53B6" w:rsidRDefault="007D53B6" w:rsidP="007D53B6">
      <w:r>
        <w:t>The summary of safety concerns and their associated risk monitoring and mitigation strat</w:t>
      </w:r>
      <w:r w:rsidR="00C65CC2">
        <w:t>egies are summarised below in Table 7</w:t>
      </w:r>
      <w:r>
        <w:t>.</w:t>
      </w:r>
      <w:r>
        <w:rPr>
          <w:rStyle w:val="FootnoteReference"/>
        </w:rPr>
        <w:footnoteReference w:id="14"/>
      </w:r>
    </w:p>
    <w:p w14:paraId="35B2C467" w14:textId="1F57C12B" w:rsidR="00F15498" w:rsidRDefault="00F15498" w:rsidP="00F15498">
      <w:pPr>
        <w:pStyle w:val="TableTitle"/>
      </w:pPr>
      <w:r>
        <w:t xml:space="preserve">Table </w:t>
      </w:r>
      <w:fldSimple w:instr=" SEQ Table \* ARABIC ">
        <w:r w:rsidR="00504D2B">
          <w:rPr>
            <w:noProof/>
          </w:rPr>
          <w:t>7</w:t>
        </w:r>
      </w:fldSimple>
      <w:r>
        <w:t>: Summary of safety concerns</w:t>
      </w:r>
    </w:p>
    <w:tbl>
      <w:tblPr>
        <w:tblStyle w:val="TableTGAblue"/>
        <w:tblW w:w="5254" w:type="pct"/>
        <w:tblLayout w:type="fixed"/>
        <w:tblLook w:val="04A0" w:firstRow="1" w:lastRow="0" w:firstColumn="1" w:lastColumn="0" w:noHBand="0" w:noVBand="1"/>
      </w:tblPr>
      <w:tblGrid>
        <w:gridCol w:w="1556"/>
        <w:gridCol w:w="2836"/>
        <w:gridCol w:w="992"/>
        <w:gridCol w:w="1276"/>
        <w:gridCol w:w="1133"/>
        <w:gridCol w:w="1132"/>
      </w:tblGrid>
      <w:tr w:rsidR="00F15498" w:rsidRPr="00F15498" w14:paraId="041D3355" w14:textId="77777777" w:rsidTr="00C13FAD">
        <w:trPr>
          <w:cnfStyle w:val="100000000000" w:firstRow="1" w:lastRow="0" w:firstColumn="0" w:lastColumn="0" w:oddVBand="0" w:evenVBand="0" w:oddHBand="0" w:evenHBand="0" w:firstRowFirstColumn="0" w:firstRowLastColumn="0" w:lastRowFirstColumn="0" w:lastRowLastColumn="0"/>
          <w:trHeight w:val="131"/>
        </w:trPr>
        <w:tc>
          <w:tcPr>
            <w:tcW w:w="2460" w:type="pct"/>
            <w:gridSpan w:val="2"/>
            <w:vMerge w:val="restart"/>
            <w:tcBorders>
              <w:top w:val="single" w:sz="4" w:space="0" w:color="auto"/>
              <w:left w:val="single" w:sz="4" w:space="0" w:color="auto"/>
              <w:bottom w:val="single" w:sz="4" w:space="0" w:color="auto"/>
              <w:right w:val="single" w:sz="4" w:space="0" w:color="auto"/>
            </w:tcBorders>
          </w:tcPr>
          <w:p w14:paraId="26257371" w14:textId="77777777" w:rsidR="00F15498" w:rsidRPr="00F15498" w:rsidRDefault="00F15498" w:rsidP="00F15498">
            <w:pPr>
              <w:rPr>
                <w:sz w:val="20"/>
                <w:szCs w:val="20"/>
              </w:rPr>
            </w:pPr>
            <w:r w:rsidRPr="00F15498">
              <w:rPr>
                <w:sz w:val="20"/>
                <w:szCs w:val="20"/>
              </w:rPr>
              <w:t>Summary of safety concerns</w:t>
            </w:r>
          </w:p>
        </w:tc>
        <w:tc>
          <w:tcPr>
            <w:tcW w:w="1271" w:type="pct"/>
            <w:gridSpan w:val="2"/>
            <w:tcBorders>
              <w:top w:val="single" w:sz="4" w:space="0" w:color="auto"/>
              <w:left w:val="single" w:sz="4" w:space="0" w:color="auto"/>
              <w:bottom w:val="single" w:sz="4" w:space="0" w:color="auto"/>
              <w:right w:val="single" w:sz="4" w:space="0" w:color="auto"/>
            </w:tcBorders>
          </w:tcPr>
          <w:p w14:paraId="05CA8F98" w14:textId="77777777" w:rsidR="00F15498" w:rsidRPr="00F15498" w:rsidRDefault="00F15498" w:rsidP="00F15498">
            <w:pPr>
              <w:ind w:left="0"/>
              <w:rPr>
                <w:sz w:val="20"/>
                <w:szCs w:val="20"/>
              </w:rPr>
            </w:pPr>
            <w:r w:rsidRPr="00F15498">
              <w:rPr>
                <w:sz w:val="20"/>
                <w:szCs w:val="20"/>
              </w:rPr>
              <w:t>Pharmacovigilance</w:t>
            </w:r>
          </w:p>
        </w:tc>
        <w:tc>
          <w:tcPr>
            <w:tcW w:w="1269" w:type="pct"/>
            <w:gridSpan w:val="2"/>
            <w:tcBorders>
              <w:top w:val="single" w:sz="4" w:space="0" w:color="auto"/>
              <w:left w:val="single" w:sz="4" w:space="0" w:color="auto"/>
              <w:bottom w:val="single" w:sz="4" w:space="0" w:color="auto"/>
              <w:right w:val="single" w:sz="4" w:space="0" w:color="auto"/>
            </w:tcBorders>
          </w:tcPr>
          <w:p w14:paraId="46F37004" w14:textId="77777777" w:rsidR="00F15498" w:rsidRPr="00F15498" w:rsidRDefault="00F15498" w:rsidP="00F15498">
            <w:pPr>
              <w:ind w:left="0"/>
              <w:rPr>
                <w:sz w:val="20"/>
                <w:szCs w:val="20"/>
              </w:rPr>
            </w:pPr>
            <w:r w:rsidRPr="00F15498">
              <w:rPr>
                <w:sz w:val="20"/>
                <w:szCs w:val="20"/>
              </w:rPr>
              <w:t>Risk Minimisation</w:t>
            </w:r>
          </w:p>
        </w:tc>
      </w:tr>
      <w:tr w:rsidR="00C13FAD" w:rsidRPr="00F15498" w14:paraId="3FF45BD4" w14:textId="77777777" w:rsidTr="00C13FAD">
        <w:trPr>
          <w:trHeight w:val="150"/>
        </w:trPr>
        <w:tc>
          <w:tcPr>
            <w:tcW w:w="2460" w:type="pct"/>
            <w:gridSpan w:val="2"/>
            <w:vMerge/>
            <w:tcBorders>
              <w:top w:val="single" w:sz="4" w:space="0" w:color="auto"/>
              <w:left w:val="single" w:sz="4" w:space="0" w:color="auto"/>
              <w:bottom w:val="single" w:sz="4" w:space="0" w:color="auto"/>
              <w:right w:val="single" w:sz="4" w:space="0" w:color="auto"/>
            </w:tcBorders>
          </w:tcPr>
          <w:p w14:paraId="6F46EA3D" w14:textId="77777777" w:rsidR="00F15498" w:rsidRPr="00F15498" w:rsidRDefault="00F15498" w:rsidP="00F15498">
            <w:pPr>
              <w:rPr>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006DA7"/>
          </w:tcPr>
          <w:p w14:paraId="0E95265E" w14:textId="77777777" w:rsidR="00F15498" w:rsidRPr="00917EC5" w:rsidRDefault="00F15498" w:rsidP="00F15498">
            <w:pPr>
              <w:ind w:left="0" w:right="0"/>
              <w:rPr>
                <w:color w:val="FFFFFF" w:themeColor="background1"/>
                <w:sz w:val="20"/>
                <w:szCs w:val="20"/>
              </w:rPr>
            </w:pPr>
            <w:r w:rsidRPr="00917EC5">
              <w:rPr>
                <w:color w:val="FFFFFF" w:themeColor="background1"/>
                <w:sz w:val="20"/>
                <w:szCs w:val="20"/>
              </w:rPr>
              <w:t>Routine</w:t>
            </w:r>
          </w:p>
        </w:tc>
        <w:tc>
          <w:tcPr>
            <w:tcW w:w="715" w:type="pct"/>
            <w:tcBorders>
              <w:top w:val="single" w:sz="4" w:space="0" w:color="auto"/>
              <w:left w:val="single" w:sz="4" w:space="0" w:color="auto"/>
              <w:bottom w:val="single" w:sz="4" w:space="0" w:color="auto"/>
              <w:right w:val="single" w:sz="4" w:space="0" w:color="auto"/>
            </w:tcBorders>
            <w:shd w:val="clear" w:color="auto" w:fill="006DA7"/>
          </w:tcPr>
          <w:p w14:paraId="0AED8F89" w14:textId="77777777" w:rsidR="00F15498" w:rsidRPr="00917EC5" w:rsidRDefault="00F15498" w:rsidP="00F15498">
            <w:pPr>
              <w:ind w:left="0" w:right="0"/>
              <w:rPr>
                <w:color w:val="FFFFFF" w:themeColor="background1"/>
                <w:sz w:val="20"/>
                <w:szCs w:val="20"/>
              </w:rPr>
            </w:pPr>
            <w:r w:rsidRPr="00917EC5">
              <w:rPr>
                <w:color w:val="FFFFFF" w:themeColor="background1"/>
                <w:sz w:val="20"/>
                <w:szCs w:val="20"/>
              </w:rPr>
              <w:t>Additional</w:t>
            </w:r>
          </w:p>
        </w:tc>
        <w:tc>
          <w:tcPr>
            <w:tcW w:w="635" w:type="pct"/>
            <w:tcBorders>
              <w:top w:val="single" w:sz="4" w:space="0" w:color="auto"/>
              <w:left w:val="single" w:sz="4" w:space="0" w:color="auto"/>
              <w:bottom w:val="single" w:sz="4" w:space="0" w:color="auto"/>
              <w:right w:val="single" w:sz="4" w:space="0" w:color="auto"/>
            </w:tcBorders>
            <w:shd w:val="clear" w:color="auto" w:fill="006DA7"/>
          </w:tcPr>
          <w:p w14:paraId="56A834C3" w14:textId="77777777" w:rsidR="00F15498" w:rsidRPr="00917EC5" w:rsidRDefault="00F15498" w:rsidP="00F15498">
            <w:pPr>
              <w:ind w:left="0" w:right="0"/>
              <w:rPr>
                <w:color w:val="FFFFFF" w:themeColor="background1"/>
                <w:sz w:val="20"/>
                <w:szCs w:val="20"/>
              </w:rPr>
            </w:pPr>
            <w:r w:rsidRPr="00917EC5">
              <w:rPr>
                <w:color w:val="FFFFFF" w:themeColor="background1"/>
                <w:sz w:val="20"/>
                <w:szCs w:val="20"/>
              </w:rPr>
              <w:t>Routine</w:t>
            </w:r>
          </w:p>
        </w:tc>
        <w:tc>
          <w:tcPr>
            <w:tcW w:w="635" w:type="pct"/>
            <w:tcBorders>
              <w:top w:val="single" w:sz="4" w:space="0" w:color="auto"/>
              <w:left w:val="single" w:sz="4" w:space="0" w:color="auto"/>
              <w:bottom w:val="single" w:sz="4" w:space="0" w:color="auto"/>
              <w:right w:val="single" w:sz="4" w:space="0" w:color="auto"/>
            </w:tcBorders>
            <w:shd w:val="clear" w:color="auto" w:fill="006DA7"/>
          </w:tcPr>
          <w:p w14:paraId="0DFD0D50" w14:textId="77777777" w:rsidR="00F15498" w:rsidRPr="00917EC5" w:rsidRDefault="00F15498" w:rsidP="00F15498">
            <w:pPr>
              <w:ind w:left="0" w:right="0"/>
              <w:rPr>
                <w:color w:val="FFFFFF" w:themeColor="background1"/>
                <w:sz w:val="20"/>
                <w:szCs w:val="20"/>
              </w:rPr>
            </w:pPr>
            <w:r w:rsidRPr="00917EC5">
              <w:rPr>
                <w:color w:val="FFFFFF" w:themeColor="background1"/>
                <w:sz w:val="20"/>
                <w:szCs w:val="20"/>
              </w:rPr>
              <w:t>Additional</w:t>
            </w:r>
          </w:p>
        </w:tc>
      </w:tr>
      <w:tr w:rsidR="00F15498" w:rsidRPr="00F15498" w14:paraId="3C59CECC" w14:textId="77777777" w:rsidTr="00C13FAD">
        <w:trPr>
          <w:trHeight w:val="137"/>
        </w:trPr>
        <w:tc>
          <w:tcPr>
            <w:tcW w:w="871" w:type="pct"/>
            <w:vMerge w:val="restart"/>
            <w:tcBorders>
              <w:top w:val="single" w:sz="4" w:space="0" w:color="auto"/>
            </w:tcBorders>
          </w:tcPr>
          <w:p w14:paraId="1C739C79" w14:textId="77777777" w:rsidR="00F15498" w:rsidRPr="00F15498" w:rsidRDefault="00F15498" w:rsidP="00F15498">
            <w:pPr>
              <w:ind w:left="0"/>
              <w:rPr>
                <w:sz w:val="20"/>
                <w:szCs w:val="20"/>
              </w:rPr>
            </w:pPr>
            <w:r w:rsidRPr="00F15498">
              <w:rPr>
                <w:sz w:val="20"/>
                <w:szCs w:val="20"/>
              </w:rPr>
              <w:t>Important identified risks</w:t>
            </w:r>
          </w:p>
        </w:tc>
        <w:tc>
          <w:tcPr>
            <w:tcW w:w="1589" w:type="pct"/>
            <w:tcBorders>
              <w:top w:val="single" w:sz="4" w:space="0" w:color="auto"/>
            </w:tcBorders>
          </w:tcPr>
          <w:p w14:paraId="1A469A3D" w14:textId="77777777" w:rsidR="00F15498" w:rsidRPr="00F15498" w:rsidRDefault="00F15498" w:rsidP="00F15498">
            <w:pPr>
              <w:ind w:left="0"/>
              <w:rPr>
                <w:sz w:val="20"/>
                <w:szCs w:val="20"/>
              </w:rPr>
            </w:pPr>
            <w:r w:rsidRPr="00F15498">
              <w:rPr>
                <w:sz w:val="20"/>
                <w:szCs w:val="20"/>
              </w:rPr>
              <w:t>Urinary Tract Infections</w:t>
            </w:r>
          </w:p>
        </w:tc>
        <w:tc>
          <w:tcPr>
            <w:tcW w:w="556" w:type="pct"/>
            <w:tcBorders>
              <w:top w:val="single" w:sz="4" w:space="0" w:color="auto"/>
            </w:tcBorders>
          </w:tcPr>
          <w:p w14:paraId="2197C631"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715" w:type="pct"/>
            <w:tcBorders>
              <w:top w:val="single" w:sz="4" w:space="0" w:color="auto"/>
            </w:tcBorders>
          </w:tcPr>
          <w:p w14:paraId="569B09D6"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635" w:type="pct"/>
            <w:tcBorders>
              <w:top w:val="single" w:sz="4" w:space="0" w:color="auto"/>
            </w:tcBorders>
          </w:tcPr>
          <w:p w14:paraId="14D52DE3" w14:textId="77777777" w:rsidR="00F15498" w:rsidRPr="00F15498" w:rsidRDefault="00F15498" w:rsidP="00F15498">
            <w:pPr>
              <w:rPr>
                <w:sz w:val="20"/>
                <w:szCs w:val="20"/>
              </w:rPr>
            </w:pPr>
            <w:r w:rsidRPr="00F15498">
              <w:rPr>
                <w:rFonts w:ascii="Wingdings" w:eastAsia="Wingdings" w:hAnsi="Wingdings" w:cs="Wingdings"/>
                <w:sz w:val="20"/>
                <w:szCs w:val="20"/>
              </w:rPr>
              <w:t></w:t>
            </w:r>
          </w:p>
        </w:tc>
        <w:tc>
          <w:tcPr>
            <w:tcW w:w="635" w:type="pct"/>
            <w:tcBorders>
              <w:top w:val="single" w:sz="4" w:space="0" w:color="auto"/>
            </w:tcBorders>
          </w:tcPr>
          <w:p w14:paraId="514E1A75" w14:textId="77777777" w:rsidR="00F15498" w:rsidRPr="00F15498" w:rsidRDefault="00F15498" w:rsidP="00F15498">
            <w:pPr>
              <w:rPr>
                <w:sz w:val="20"/>
                <w:szCs w:val="20"/>
              </w:rPr>
            </w:pPr>
            <w:r w:rsidRPr="00F15498">
              <w:rPr>
                <w:sz w:val="20"/>
                <w:szCs w:val="20"/>
              </w:rPr>
              <w:t>–</w:t>
            </w:r>
          </w:p>
        </w:tc>
      </w:tr>
      <w:tr w:rsidR="00F15498" w:rsidRPr="00F15498" w14:paraId="174DC465" w14:textId="77777777" w:rsidTr="00C13FAD">
        <w:trPr>
          <w:trHeight w:val="94"/>
        </w:trPr>
        <w:tc>
          <w:tcPr>
            <w:tcW w:w="871" w:type="pct"/>
            <w:vMerge/>
          </w:tcPr>
          <w:p w14:paraId="5C5F4F36" w14:textId="77777777" w:rsidR="00F15498" w:rsidRPr="00F15498" w:rsidRDefault="00F15498" w:rsidP="00F15498">
            <w:pPr>
              <w:rPr>
                <w:sz w:val="20"/>
                <w:szCs w:val="20"/>
              </w:rPr>
            </w:pPr>
          </w:p>
        </w:tc>
        <w:tc>
          <w:tcPr>
            <w:tcW w:w="1589" w:type="pct"/>
          </w:tcPr>
          <w:p w14:paraId="4F6EA20F" w14:textId="77777777" w:rsidR="00F15498" w:rsidRPr="00F15498" w:rsidRDefault="00F15498" w:rsidP="00F15498">
            <w:pPr>
              <w:ind w:left="0"/>
              <w:rPr>
                <w:sz w:val="20"/>
                <w:szCs w:val="20"/>
              </w:rPr>
            </w:pPr>
            <w:r w:rsidRPr="00F15498">
              <w:rPr>
                <w:sz w:val="20"/>
                <w:szCs w:val="20"/>
              </w:rPr>
              <w:t>Diabetic Ketoacidosis, including events with atypical presentation</w:t>
            </w:r>
          </w:p>
        </w:tc>
        <w:tc>
          <w:tcPr>
            <w:tcW w:w="556" w:type="pct"/>
          </w:tcPr>
          <w:p w14:paraId="624BF250"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715" w:type="pct"/>
          </w:tcPr>
          <w:p w14:paraId="169BD13D"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§ǁ</w:t>
            </w:r>
          </w:p>
        </w:tc>
        <w:tc>
          <w:tcPr>
            <w:tcW w:w="635" w:type="pct"/>
          </w:tcPr>
          <w:p w14:paraId="72B6D365" w14:textId="77777777" w:rsidR="00F15498" w:rsidRPr="00F15498" w:rsidRDefault="00F15498" w:rsidP="00F15498">
            <w:pPr>
              <w:rPr>
                <w:sz w:val="20"/>
                <w:szCs w:val="20"/>
              </w:rPr>
            </w:pPr>
            <w:r w:rsidRPr="00F15498">
              <w:rPr>
                <w:rFonts w:ascii="Wingdings" w:eastAsia="Wingdings" w:hAnsi="Wingdings" w:cs="Wingdings"/>
                <w:sz w:val="20"/>
                <w:szCs w:val="20"/>
              </w:rPr>
              <w:t></w:t>
            </w:r>
          </w:p>
        </w:tc>
        <w:tc>
          <w:tcPr>
            <w:tcW w:w="635" w:type="pct"/>
          </w:tcPr>
          <w:p w14:paraId="6AD8B968" w14:textId="77777777" w:rsidR="00F15498" w:rsidRPr="00F15498" w:rsidRDefault="00F15498" w:rsidP="00F15498">
            <w:pPr>
              <w:rPr>
                <w:sz w:val="20"/>
                <w:szCs w:val="20"/>
              </w:rPr>
            </w:pPr>
            <w:r w:rsidRPr="00F15498">
              <w:rPr>
                <w:sz w:val="20"/>
                <w:szCs w:val="20"/>
              </w:rPr>
              <w:t>–</w:t>
            </w:r>
          </w:p>
        </w:tc>
      </w:tr>
      <w:tr w:rsidR="00F15498" w:rsidRPr="00F15498" w14:paraId="4CA6E700" w14:textId="77777777" w:rsidTr="00C13FAD">
        <w:trPr>
          <w:trHeight w:val="187"/>
        </w:trPr>
        <w:tc>
          <w:tcPr>
            <w:tcW w:w="871" w:type="pct"/>
            <w:vMerge/>
          </w:tcPr>
          <w:p w14:paraId="1D7402AD" w14:textId="77777777" w:rsidR="00F15498" w:rsidRPr="00F15498" w:rsidRDefault="00F15498" w:rsidP="00F15498">
            <w:pPr>
              <w:rPr>
                <w:sz w:val="20"/>
                <w:szCs w:val="20"/>
              </w:rPr>
            </w:pPr>
          </w:p>
        </w:tc>
        <w:tc>
          <w:tcPr>
            <w:tcW w:w="1589" w:type="pct"/>
          </w:tcPr>
          <w:p w14:paraId="0697723B" w14:textId="77777777" w:rsidR="00F15498" w:rsidRPr="00F15498" w:rsidRDefault="00F15498" w:rsidP="00F15498">
            <w:pPr>
              <w:ind w:left="0"/>
              <w:rPr>
                <w:sz w:val="20"/>
                <w:szCs w:val="20"/>
              </w:rPr>
            </w:pPr>
            <w:r w:rsidRPr="00F15498">
              <w:rPr>
                <w:sz w:val="20"/>
                <w:szCs w:val="20"/>
              </w:rPr>
              <w:t>Renal impairment</w:t>
            </w:r>
          </w:p>
        </w:tc>
        <w:tc>
          <w:tcPr>
            <w:tcW w:w="556" w:type="pct"/>
          </w:tcPr>
          <w:p w14:paraId="7B05EA91"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715" w:type="pct"/>
          </w:tcPr>
          <w:p w14:paraId="2D04B22A"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635" w:type="pct"/>
          </w:tcPr>
          <w:p w14:paraId="2833C7E8" w14:textId="77777777" w:rsidR="00F15498" w:rsidRPr="00F15498" w:rsidRDefault="00F15498" w:rsidP="00F15498">
            <w:pPr>
              <w:rPr>
                <w:sz w:val="20"/>
                <w:szCs w:val="20"/>
              </w:rPr>
            </w:pPr>
            <w:r w:rsidRPr="00F15498">
              <w:rPr>
                <w:rFonts w:ascii="Wingdings" w:eastAsia="Wingdings" w:hAnsi="Wingdings" w:cs="Wingdings"/>
                <w:sz w:val="20"/>
                <w:szCs w:val="20"/>
              </w:rPr>
              <w:t></w:t>
            </w:r>
          </w:p>
        </w:tc>
        <w:tc>
          <w:tcPr>
            <w:tcW w:w="635" w:type="pct"/>
          </w:tcPr>
          <w:p w14:paraId="6588D02B" w14:textId="77777777" w:rsidR="00F15498" w:rsidRPr="00F15498" w:rsidRDefault="00F15498" w:rsidP="00F15498">
            <w:pPr>
              <w:rPr>
                <w:sz w:val="20"/>
                <w:szCs w:val="20"/>
              </w:rPr>
            </w:pPr>
            <w:r w:rsidRPr="00F15498">
              <w:rPr>
                <w:sz w:val="20"/>
                <w:szCs w:val="20"/>
              </w:rPr>
              <w:t>–</w:t>
            </w:r>
          </w:p>
        </w:tc>
      </w:tr>
      <w:tr w:rsidR="00F15498" w:rsidRPr="00F15498" w14:paraId="69C79E3E" w14:textId="77777777" w:rsidTr="00C13FAD">
        <w:trPr>
          <w:trHeight w:val="159"/>
        </w:trPr>
        <w:tc>
          <w:tcPr>
            <w:tcW w:w="871" w:type="pct"/>
            <w:vMerge w:val="restart"/>
          </w:tcPr>
          <w:p w14:paraId="39F8BBA0" w14:textId="77777777" w:rsidR="00F15498" w:rsidRPr="00F15498" w:rsidRDefault="00F15498" w:rsidP="00F15498">
            <w:pPr>
              <w:ind w:left="0"/>
              <w:rPr>
                <w:sz w:val="20"/>
                <w:szCs w:val="20"/>
              </w:rPr>
            </w:pPr>
            <w:r w:rsidRPr="00F15498">
              <w:rPr>
                <w:sz w:val="20"/>
                <w:szCs w:val="20"/>
              </w:rPr>
              <w:t>Important potential risks</w:t>
            </w:r>
          </w:p>
        </w:tc>
        <w:tc>
          <w:tcPr>
            <w:tcW w:w="1589" w:type="pct"/>
          </w:tcPr>
          <w:p w14:paraId="1642ADB0" w14:textId="77777777" w:rsidR="00F15498" w:rsidRPr="00F15498" w:rsidRDefault="00F15498" w:rsidP="00F15498">
            <w:pPr>
              <w:ind w:left="0"/>
              <w:rPr>
                <w:sz w:val="20"/>
                <w:szCs w:val="20"/>
              </w:rPr>
            </w:pPr>
            <w:r w:rsidRPr="00F15498">
              <w:rPr>
                <w:sz w:val="20"/>
                <w:szCs w:val="20"/>
              </w:rPr>
              <w:t>Liver injury</w:t>
            </w:r>
          </w:p>
        </w:tc>
        <w:tc>
          <w:tcPr>
            <w:tcW w:w="556" w:type="pct"/>
          </w:tcPr>
          <w:p w14:paraId="170DF422"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715" w:type="pct"/>
          </w:tcPr>
          <w:p w14:paraId="0D5B82DD"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635" w:type="pct"/>
          </w:tcPr>
          <w:p w14:paraId="0AB808D8" w14:textId="77777777" w:rsidR="00F15498" w:rsidRPr="00F15498" w:rsidRDefault="00F15498" w:rsidP="00F15498">
            <w:pPr>
              <w:rPr>
                <w:sz w:val="20"/>
                <w:szCs w:val="20"/>
              </w:rPr>
            </w:pPr>
            <w:r w:rsidRPr="00F15498">
              <w:rPr>
                <w:sz w:val="20"/>
                <w:szCs w:val="20"/>
              </w:rPr>
              <w:t>–</w:t>
            </w:r>
          </w:p>
        </w:tc>
        <w:tc>
          <w:tcPr>
            <w:tcW w:w="635" w:type="pct"/>
          </w:tcPr>
          <w:p w14:paraId="5137EE8E" w14:textId="77777777" w:rsidR="00F15498" w:rsidRPr="00F15498" w:rsidRDefault="00F15498" w:rsidP="00F15498">
            <w:pPr>
              <w:rPr>
                <w:sz w:val="20"/>
                <w:szCs w:val="20"/>
              </w:rPr>
            </w:pPr>
            <w:r w:rsidRPr="00F15498">
              <w:rPr>
                <w:sz w:val="20"/>
                <w:szCs w:val="20"/>
              </w:rPr>
              <w:t>–</w:t>
            </w:r>
          </w:p>
        </w:tc>
      </w:tr>
      <w:tr w:rsidR="00F15498" w:rsidRPr="00F15498" w14:paraId="55A993A2" w14:textId="77777777" w:rsidTr="00C13FAD">
        <w:trPr>
          <w:trHeight w:val="122"/>
        </w:trPr>
        <w:tc>
          <w:tcPr>
            <w:tcW w:w="871" w:type="pct"/>
            <w:vMerge/>
          </w:tcPr>
          <w:p w14:paraId="2A0E9681" w14:textId="77777777" w:rsidR="00F15498" w:rsidRPr="00F15498" w:rsidRDefault="00F15498" w:rsidP="00F15498">
            <w:pPr>
              <w:rPr>
                <w:sz w:val="20"/>
                <w:szCs w:val="20"/>
              </w:rPr>
            </w:pPr>
          </w:p>
        </w:tc>
        <w:tc>
          <w:tcPr>
            <w:tcW w:w="1589" w:type="pct"/>
          </w:tcPr>
          <w:p w14:paraId="0CB08E82" w14:textId="77777777" w:rsidR="00F15498" w:rsidRPr="00F15498" w:rsidRDefault="00F15498" w:rsidP="00F15498">
            <w:pPr>
              <w:ind w:left="0"/>
              <w:rPr>
                <w:sz w:val="20"/>
                <w:szCs w:val="20"/>
              </w:rPr>
            </w:pPr>
            <w:r w:rsidRPr="00F15498">
              <w:rPr>
                <w:sz w:val="20"/>
                <w:szCs w:val="20"/>
              </w:rPr>
              <w:t>Amputation (ASA) / Lower limb amputation (EU-RMP)</w:t>
            </w:r>
          </w:p>
        </w:tc>
        <w:tc>
          <w:tcPr>
            <w:tcW w:w="556" w:type="pct"/>
          </w:tcPr>
          <w:p w14:paraId="6C57DB2E"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715" w:type="pct"/>
          </w:tcPr>
          <w:p w14:paraId="01805845"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635" w:type="pct"/>
          </w:tcPr>
          <w:p w14:paraId="33C6F98D" w14:textId="77777777" w:rsidR="00F15498" w:rsidRPr="00F15498" w:rsidRDefault="00F15498" w:rsidP="00F15498">
            <w:pPr>
              <w:rPr>
                <w:sz w:val="20"/>
                <w:szCs w:val="20"/>
              </w:rPr>
            </w:pPr>
            <w:r w:rsidRPr="00F15498">
              <w:rPr>
                <w:sz w:val="20"/>
                <w:szCs w:val="20"/>
              </w:rPr>
              <w:t>–</w:t>
            </w:r>
          </w:p>
        </w:tc>
        <w:tc>
          <w:tcPr>
            <w:tcW w:w="635" w:type="pct"/>
          </w:tcPr>
          <w:p w14:paraId="73606FAF" w14:textId="77777777" w:rsidR="00F15498" w:rsidRPr="00F15498" w:rsidRDefault="00F15498" w:rsidP="00F15498">
            <w:pPr>
              <w:rPr>
                <w:sz w:val="20"/>
                <w:szCs w:val="20"/>
              </w:rPr>
            </w:pPr>
            <w:r w:rsidRPr="00F15498">
              <w:rPr>
                <w:sz w:val="20"/>
                <w:szCs w:val="20"/>
              </w:rPr>
              <w:t>–</w:t>
            </w:r>
          </w:p>
        </w:tc>
      </w:tr>
      <w:tr w:rsidR="00F15498" w:rsidRPr="00F15498" w14:paraId="4283916D" w14:textId="77777777" w:rsidTr="00C13FAD">
        <w:trPr>
          <w:trHeight w:val="122"/>
        </w:trPr>
        <w:tc>
          <w:tcPr>
            <w:tcW w:w="871" w:type="pct"/>
            <w:vMerge/>
          </w:tcPr>
          <w:p w14:paraId="6591843E" w14:textId="77777777" w:rsidR="00F15498" w:rsidRPr="00F15498" w:rsidRDefault="00F15498" w:rsidP="00F15498">
            <w:pPr>
              <w:rPr>
                <w:sz w:val="20"/>
                <w:szCs w:val="20"/>
              </w:rPr>
            </w:pPr>
          </w:p>
        </w:tc>
        <w:tc>
          <w:tcPr>
            <w:tcW w:w="1589" w:type="pct"/>
          </w:tcPr>
          <w:p w14:paraId="1A8B28ED" w14:textId="77777777" w:rsidR="00F15498" w:rsidRPr="00F15498" w:rsidRDefault="00F15498" w:rsidP="00F15498">
            <w:pPr>
              <w:ind w:left="0"/>
              <w:rPr>
                <w:sz w:val="20"/>
                <w:szCs w:val="20"/>
              </w:rPr>
            </w:pPr>
            <w:r w:rsidRPr="00F15498">
              <w:rPr>
                <w:sz w:val="20"/>
                <w:szCs w:val="20"/>
              </w:rPr>
              <w:t>Bladder cancer</w:t>
            </w:r>
          </w:p>
        </w:tc>
        <w:tc>
          <w:tcPr>
            <w:tcW w:w="556" w:type="pct"/>
          </w:tcPr>
          <w:p w14:paraId="67ADBCE0"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715" w:type="pct"/>
          </w:tcPr>
          <w:p w14:paraId="0F33C0BC"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635" w:type="pct"/>
          </w:tcPr>
          <w:p w14:paraId="4F759A3A" w14:textId="77777777" w:rsidR="00F15498" w:rsidRPr="00F15498" w:rsidRDefault="00F15498" w:rsidP="00F15498">
            <w:pPr>
              <w:rPr>
                <w:sz w:val="20"/>
                <w:szCs w:val="20"/>
              </w:rPr>
            </w:pPr>
            <w:r w:rsidRPr="00F15498">
              <w:rPr>
                <w:sz w:val="20"/>
                <w:szCs w:val="20"/>
              </w:rPr>
              <w:t>–</w:t>
            </w:r>
          </w:p>
        </w:tc>
        <w:tc>
          <w:tcPr>
            <w:tcW w:w="635" w:type="pct"/>
          </w:tcPr>
          <w:p w14:paraId="6DAA8A2B" w14:textId="77777777" w:rsidR="00F15498" w:rsidRPr="00F15498" w:rsidRDefault="00F15498" w:rsidP="00F15498">
            <w:pPr>
              <w:rPr>
                <w:sz w:val="20"/>
                <w:szCs w:val="20"/>
              </w:rPr>
            </w:pPr>
            <w:r w:rsidRPr="00F15498">
              <w:rPr>
                <w:sz w:val="20"/>
                <w:szCs w:val="20"/>
              </w:rPr>
              <w:t>–</w:t>
            </w:r>
          </w:p>
        </w:tc>
      </w:tr>
      <w:tr w:rsidR="00F15498" w:rsidRPr="00F15498" w14:paraId="36F88D55" w14:textId="77777777" w:rsidTr="00C13FAD">
        <w:trPr>
          <w:trHeight w:val="122"/>
        </w:trPr>
        <w:tc>
          <w:tcPr>
            <w:tcW w:w="871" w:type="pct"/>
            <w:vMerge/>
          </w:tcPr>
          <w:p w14:paraId="4C6EDB89" w14:textId="77777777" w:rsidR="00F15498" w:rsidRPr="00F15498" w:rsidRDefault="00F15498" w:rsidP="00F15498">
            <w:pPr>
              <w:rPr>
                <w:sz w:val="20"/>
                <w:szCs w:val="20"/>
              </w:rPr>
            </w:pPr>
          </w:p>
        </w:tc>
        <w:tc>
          <w:tcPr>
            <w:tcW w:w="1589" w:type="pct"/>
          </w:tcPr>
          <w:p w14:paraId="53E907E9" w14:textId="77777777" w:rsidR="00F15498" w:rsidRPr="00F15498" w:rsidRDefault="00F15498" w:rsidP="00F15498">
            <w:pPr>
              <w:ind w:left="0"/>
              <w:rPr>
                <w:sz w:val="20"/>
                <w:szCs w:val="20"/>
              </w:rPr>
            </w:pPr>
            <w:r w:rsidRPr="00F15498">
              <w:rPr>
                <w:sz w:val="20"/>
                <w:szCs w:val="20"/>
              </w:rPr>
              <w:t>Breast cancer</w:t>
            </w:r>
          </w:p>
        </w:tc>
        <w:tc>
          <w:tcPr>
            <w:tcW w:w="556" w:type="pct"/>
          </w:tcPr>
          <w:p w14:paraId="2DE15A20"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715" w:type="pct"/>
          </w:tcPr>
          <w:p w14:paraId="394B475B"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635" w:type="pct"/>
          </w:tcPr>
          <w:p w14:paraId="17FD3DB6" w14:textId="77777777" w:rsidR="00F15498" w:rsidRPr="00F15498" w:rsidRDefault="00F15498" w:rsidP="00F15498">
            <w:pPr>
              <w:rPr>
                <w:sz w:val="20"/>
                <w:szCs w:val="20"/>
              </w:rPr>
            </w:pPr>
            <w:r w:rsidRPr="00F15498">
              <w:rPr>
                <w:sz w:val="20"/>
                <w:szCs w:val="20"/>
              </w:rPr>
              <w:t>–</w:t>
            </w:r>
          </w:p>
        </w:tc>
        <w:tc>
          <w:tcPr>
            <w:tcW w:w="635" w:type="pct"/>
          </w:tcPr>
          <w:p w14:paraId="693525D0" w14:textId="77777777" w:rsidR="00F15498" w:rsidRPr="00F15498" w:rsidRDefault="00F15498" w:rsidP="00F15498">
            <w:pPr>
              <w:rPr>
                <w:sz w:val="20"/>
                <w:szCs w:val="20"/>
              </w:rPr>
            </w:pPr>
            <w:r w:rsidRPr="00F15498">
              <w:rPr>
                <w:sz w:val="20"/>
                <w:szCs w:val="20"/>
              </w:rPr>
              <w:t>–</w:t>
            </w:r>
          </w:p>
        </w:tc>
      </w:tr>
      <w:tr w:rsidR="00F15498" w:rsidRPr="00F15498" w14:paraId="7AB936B1" w14:textId="77777777" w:rsidTr="00C13FAD">
        <w:trPr>
          <w:trHeight w:val="112"/>
        </w:trPr>
        <w:tc>
          <w:tcPr>
            <w:tcW w:w="871" w:type="pct"/>
            <w:vMerge/>
          </w:tcPr>
          <w:p w14:paraId="7852B783" w14:textId="77777777" w:rsidR="00F15498" w:rsidRPr="00F15498" w:rsidRDefault="00F15498" w:rsidP="00F15498">
            <w:pPr>
              <w:rPr>
                <w:sz w:val="20"/>
                <w:szCs w:val="20"/>
              </w:rPr>
            </w:pPr>
          </w:p>
        </w:tc>
        <w:tc>
          <w:tcPr>
            <w:tcW w:w="1589" w:type="pct"/>
          </w:tcPr>
          <w:p w14:paraId="1857214A" w14:textId="77777777" w:rsidR="00F15498" w:rsidRPr="00F15498" w:rsidRDefault="00F15498" w:rsidP="00C65CC2">
            <w:pPr>
              <w:ind w:left="0"/>
              <w:rPr>
                <w:sz w:val="20"/>
                <w:szCs w:val="20"/>
              </w:rPr>
            </w:pPr>
            <w:r w:rsidRPr="00F15498">
              <w:rPr>
                <w:sz w:val="20"/>
                <w:szCs w:val="20"/>
              </w:rPr>
              <w:t>Prostate cancer</w:t>
            </w:r>
          </w:p>
        </w:tc>
        <w:tc>
          <w:tcPr>
            <w:tcW w:w="556" w:type="pct"/>
          </w:tcPr>
          <w:p w14:paraId="61A4E1BB"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715" w:type="pct"/>
          </w:tcPr>
          <w:p w14:paraId="0D74B893" w14:textId="77777777" w:rsidR="00F15498" w:rsidRPr="00F15498" w:rsidRDefault="00F15498" w:rsidP="00F15498">
            <w:pPr>
              <w:rPr>
                <w:sz w:val="20"/>
                <w:szCs w:val="20"/>
              </w:rPr>
            </w:pPr>
            <w:r w:rsidRPr="00F15498">
              <w:rPr>
                <w:rFonts w:ascii="Wingdings" w:eastAsia="Wingdings" w:hAnsi="Wingdings" w:cs="Wingdings"/>
                <w:sz w:val="20"/>
                <w:szCs w:val="20"/>
              </w:rPr>
              <w:t></w:t>
            </w:r>
            <w:r w:rsidRPr="00F15498">
              <w:rPr>
                <w:sz w:val="20"/>
                <w:szCs w:val="20"/>
              </w:rPr>
              <w:t>†</w:t>
            </w:r>
          </w:p>
        </w:tc>
        <w:tc>
          <w:tcPr>
            <w:tcW w:w="635" w:type="pct"/>
          </w:tcPr>
          <w:p w14:paraId="51D9999F" w14:textId="77777777" w:rsidR="00F15498" w:rsidRPr="00F15498" w:rsidRDefault="00F15498" w:rsidP="00F15498">
            <w:pPr>
              <w:rPr>
                <w:sz w:val="20"/>
                <w:szCs w:val="20"/>
              </w:rPr>
            </w:pPr>
            <w:r w:rsidRPr="00F15498">
              <w:rPr>
                <w:sz w:val="20"/>
                <w:szCs w:val="20"/>
              </w:rPr>
              <w:t>–</w:t>
            </w:r>
          </w:p>
        </w:tc>
        <w:tc>
          <w:tcPr>
            <w:tcW w:w="635" w:type="pct"/>
          </w:tcPr>
          <w:p w14:paraId="23E747C6" w14:textId="77777777" w:rsidR="00F15498" w:rsidRPr="00F15498" w:rsidRDefault="00F15498" w:rsidP="00F15498">
            <w:pPr>
              <w:rPr>
                <w:sz w:val="20"/>
                <w:szCs w:val="20"/>
              </w:rPr>
            </w:pPr>
            <w:r w:rsidRPr="00F15498">
              <w:rPr>
                <w:sz w:val="20"/>
                <w:szCs w:val="20"/>
              </w:rPr>
              <w:t>–</w:t>
            </w:r>
          </w:p>
        </w:tc>
      </w:tr>
      <w:tr w:rsidR="00F15498" w:rsidRPr="00F15498" w14:paraId="120E0D24" w14:textId="77777777" w:rsidTr="00C13FAD">
        <w:trPr>
          <w:trHeight w:val="178"/>
        </w:trPr>
        <w:tc>
          <w:tcPr>
            <w:tcW w:w="871" w:type="pct"/>
            <w:vMerge w:val="restart"/>
          </w:tcPr>
          <w:p w14:paraId="2E74143F" w14:textId="77777777" w:rsidR="00F15498" w:rsidRPr="00F15498" w:rsidRDefault="00F15498" w:rsidP="00C65CC2">
            <w:pPr>
              <w:ind w:left="0"/>
              <w:rPr>
                <w:sz w:val="20"/>
                <w:szCs w:val="20"/>
              </w:rPr>
            </w:pPr>
            <w:r w:rsidRPr="00F15498">
              <w:rPr>
                <w:sz w:val="20"/>
                <w:szCs w:val="20"/>
              </w:rPr>
              <w:t>Missing information</w:t>
            </w:r>
          </w:p>
        </w:tc>
        <w:tc>
          <w:tcPr>
            <w:tcW w:w="1589" w:type="pct"/>
          </w:tcPr>
          <w:p w14:paraId="363976C0" w14:textId="77777777" w:rsidR="00F15498" w:rsidRPr="00F15498" w:rsidRDefault="00F15498" w:rsidP="00C65CC2">
            <w:pPr>
              <w:ind w:left="0"/>
              <w:rPr>
                <w:sz w:val="20"/>
                <w:szCs w:val="20"/>
              </w:rPr>
            </w:pPr>
            <w:r w:rsidRPr="00F15498">
              <w:rPr>
                <w:sz w:val="20"/>
                <w:szCs w:val="20"/>
              </w:rPr>
              <w:t>Nil</w:t>
            </w:r>
          </w:p>
        </w:tc>
        <w:tc>
          <w:tcPr>
            <w:tcW w:w="556" w:type="pct"/>
          </w:tcPr>
          <w:p w14:paraId="558D70A0" w14:textId="77777777" w:rsidR="00F15498" w:rsidRPr="00F15498" w:rsidRDefault="00F15498" w:rsidP="00F15498">
            <w:pPr>
              <w:rPr>
                <w:sz w:val="20"/>
                <w:szCs w:val="20"/>
              </w:rPr>
            </w:pPr>
          </w:p>
        </w:tc>
        <w:tc>
          <w:tcPr>
            <w:tcW w:w="715" w:type="pct"/>
          </w:tcPr>
          <w:p w14:paraId="2E2691E7" w14:textId="77777777" w:rsidR="00F15498" w:rsidRPr="00F15498" w:rsidRDefault="00F15498" w:rsidP="00F15498">
            <w:pPr>
              <w:rPr>
                <w:sz w:val="20"/>
                <w:szCs w:val="20"/>
              </w:rPr>
            </w:pPr>
          </w:p>
        </w:tc>
        <w:tc>
          <w:tcPr>
            <w:tcW w:w="635" w:type="pct"/>
          </w:tcPr>
          <w:p w14:paraId="18B8145A" w14:textId="77777777" w:rsidR="00F15498" w:rsidRPr="00F15498" w:rsidRDefault="00F15498" w:rsidP="00F15498">
            <w:pPr>
              <w:rPr>
                <w:sz w:val="20"/>
                <w:szCs w:val="20"/>
              </w:rPr>
            </w:pPr>
          </w:p>
        </w:tc>
        <w:tc>
          <w:tcPr>
            <w:tcW w:w="635" w:type="pct"/>
          </w:tcPr>
          <w:p w14:paraId="68F17478" w14:textId="77777777" w:rsidR="00F15498" w:rsidRPr="00F15498" w:rsidRDefault="00F15498" w:rsidP="00F15498">
            <w:pPr>
              <w:rPr>
                <w:sz w:val="20"/>
                <w:szCs w:val="20"/>
              </w:rPr>
            </w:pPr>
          </w:p>
        </w:tc>
      </w:tr>
      <w:tr w:rsidR="00F15498" w:rsidRPr="00F15498" w14:paraId="40A98B4A" w14:textId="77777777" w:rsidTr="00C13FAD">
        <w:trPr>
          <w:trHeight w:val="140"/>
        </w:trPr>
        <w:tc>
          <w:tcPr>
            <w:tcW w:w="871" w:type="pct"/>
            <w:vMerge/>
          </w:tcPr>
          <w:p w14:paraId="401AE6FC" w14:textId="77777777" w:rsidR="00F15498" w:rsidRPr="00F15498" w:rsidRDefault="00F15498" w:rsidP="00F15498">
            <w:pPr>
              <w:rPr>
                <w:sz w:val="20"/>
                <w:szCs w:val="20"/>
              </w:rPr>
            </w:pPr>
          </w:p>
        </w:tc>
        <w:tc>
          <w:tcPr>
            <w:tcW w:w="1589" w:type="pct"/>
          </w:tcPr>
          <w:p w14:paraId="631C2145" w14:textId="77777777" w:rsidR="00F15498" w:rsidRPr="00F15498" w:rsidRDefault="00F15498" w:rsidP="00C65CC2">
            <w:pPr>
              <w:ind w:left="0"/>
              <w:rPr>
                <w:sz w:val="20"/>
                <w:szCs w:val="20"/>
              </w:rPr>
            </w:pPr>
          </w:p>
        </w:tc>
        <w:tc>
          <w:tcPr>
            <w:tcW w:w="556" w:type="pct"/>
          </w:tcPr>
          <w:p w14:paraId="49353818" w14:textId="77777777" w:rsidR="00F15498" w:rsidRPr="00F15498" w:rsidRDefault="00F15498" w:rsidP="00F15498">
            <w:pPr>
              <w:rPr>
                <w:sz w:val="20"/>
                <w:szCs w:val="20"/>
              </w:rPr>
            </w:pPr>
          </w:p>
        </w:tc>
        <w:tc>
          <w:tcPr>
            <w:tcW w:w="715" w:type="pct"/>
          </w:tcPr>
          <w:p w14:paraId="19B5DD5E" w14:textId="77777777" w:rsidR="00F15498" w:rsidRPr="00F15498" w:rsidRDefault="00F15498" w:rsidP="00F15498">
            <w:pPr>
              <w:rPr>
                <w:sz w:val="20"/>
                <w:szCs w:val="20"/>
              </w:rPr>
            </w:pPr>
          </w:p>
        </w:tc>
        <w:tc>
          <w:tcPr>
            <w:tcW w:w="635" w:type="pct"/>
          </w:tcPr>
          <w:p w14:paraId="70FA2128" w14:textId="77777777" w:rsidR="00F15498" w:rsidRPr="00F15498" w:rsidRDefault="00F15498" w:rsidP="00F15498">
            <w:pPr>
              <w:rPr>
                <w:sz w:val="20"/>
                <w:szCs w:val="20"/>
              </w:rPr>
            </w:pPr>
          </w:p>
        </w:tc>
        <w:tc>
          <w:tcPr>
            <w:tcW w:w="635" w:type="pct"/>
          </w:tcPr>
          <w:p w14:paraId="46D6FCB5" w14:textId="77777777" w:rsidR="00F15498" w:rsidRPr="00F15498" w:rsidRDefault="00F15498" w:rsidP="00F15498">
            <w:pPr>
              <w:rPr>
                <w:sz w:val="20"/>
                <w:szCs w:val="20"/>
              </w:rPr>
            </w:pPr>
          </w:p>
        </w:tc>
      </w:tr>
    </w:tbl>
    <w:p w14:paraId="1C141F9E" w14:textId="7CB99FBA" w:rsidR="00F15498" w:rsidRDefault="00C65CC2" w:rsidP="00C65CC2">
      <w:pPr>
        <w:pStyle w:val="TableDescription"/>
      </w:pPr>
      <w:r>
        <w:t xml:space="preserve">* targeted questionnaires; </w:t>
      </w:r>
      <w:r w:rsidR="00F15498">
        <w:t>† ob</w:t>
      </w:r>
      <w:r>
        <w:t xml:space="preserve">servational study; ‡ meta-analysis; § nonclinical study; </w:t>
      </w:r>
      <w:r w:rsidR="00F15498">
        <w:t>ǁ</w:t>
      </w:r>
      <w:r>
        <w:t> retrospective cohort study</w:t>
      </w:r>
    </w:p>
    <w:p w14:paraId="4B0D9FD4" w14:textId="77777777" w:rsidR="00575168" w:rsidRDefault="00575168" w:rsidP="00575168">
      <w:pPr>
        <w:pStyle w:val="Heading4"/>
      </w:pPr>
      <w:r>
        <w:t>Summary</w:t>
      </w:r>
    </w:p>
    <w:p w14:paraId="64B96107" w14:textId="79FB662E" w:rsidR="00F15498" w:rsidRDefault="00F15498" w:rsidP="00F15498">
      <w:r>
        <w:t>The sponsor has removed Australia-specific safety concerns (</w:t>
      </w:r>
      <w:proofErr w:type="spellStart"/>
      <w:r>
        <w:t>urosepsis</w:t>
      </w:r>
      <w:proofErr w:type="spellEnd"/>
      <w:r>
        <w:t xml:space="preserve">, malignancy, patient with </w:t>
      </w:r>
      <w:r w:rsidR="001E3718">
        <w:t>body mass index</w:t>
      </w:r>
      <w:r>
        <w:t xml:space="preserve"> &gt; 45, off-label use) that had been required for the diabetes indications. This is acceptable. No new safety concern is proposed for the heart failure indication. The summary of safety concerns is acceptable.</w:t>
      </w:r>
    </w:p>
    <w:p w14:paraId="36CC41A7" w14:textId="77777777" w:rsidR="00F15498" w:rsidRDefault="00F15498" w:rsidP="00F15498">
      <w:r>
        <w:t>Routine pharmacovigilance includes targeted questionnaires for all risks. Additional pharmacovigilance activities are ongoing to support the diabetes indications. No additional pharmacovigilance activity has been proposed in relation to the heart failure indication. The pharmacovigilance plan is acceptable.</w:t>
      </w:r>
    </w:p>
    <w:p w14:paraId="54FF8406" w14:textId="77777777" w:rsidR="00F15498" w:rsidRDefault="00F15498" w:rsidP="00F15498">
      <w:r>
        <w:t>The routine risk minimisation activities are acceptable.</w:t>
      </w:r>
    </w:p>
    <w:p w14:paraId="6978CAA5" w14:textId="77777777" w:rsidR="00F15498" w:rsidRDefault="00F15498" w:rsidP="00F15498">
      <w:r>
        <w:t>Additional risk minimisation activities (prescriber education, patient brochures) have recently been discontinued for the diabetes indications, and do not need to be reintroduced for the heart failure indication.</w:t>
      </w:r>
    </w:p>
    <w:p w14:paraId="5A030E6E" w14:textId="1558F019" w:rsidR="00575168" w:rsidRDefault="00C65CC2" w:rsidP="00575168">
      <w:r>
        <w:t>There are</w:t>
      </w:r>
      <w:r w:rsidR="00575168" w:rsidRPr="00575168">
        <w:t xml:space="preserve"> no ne</w:t>
      </w:r>
      <w:r w:rsidR="00575168">
        <w:t>w or outstanding recommendations.</w:t>
      </w:r>
    </w:p>
    <w:p w14:paraId="424D80C8" w14:textId="77777777" w:rsidR="00575168" w:rsidRPr="00711545" w:rsidRDefault="00575168" w:rsidP="00575168">
      <w:pPr>
        <w:pStyle w:val="Heading4"/>
      </w:pPr>
      <w:bookmarkStart w:id="42" w:name="_Toc49505782"/>
      <w:r w:rsidRPr="00711545">
        <w:t>Wording for conditions of registration</w:t>
      </w:r>
      <w:bookmarkEnd w:id="42"/>
    </w:p>
    <w:p w14:paraId="325244EF" w14:textId="77777777" w:rsidR="00575168" w:rsidRPr="00575168" w:rsidRDefault="00575168" w:rsidP="00575168">
      <w:r w:rsidRPr="00575168">
        <w:t xml:space="preserve">Any changes to which the sponsor has agreed should be included in a revised RMP and ASA. However, irrespective of whether or not they are included in the currently available version of the RMP document, the agreed changes become part of the risk management system. </w:t>
      </w:r>
    </w:p>
    <w:p w14:paraId="192B5B38" w14:textId="77777777" w:rsidR="00575168" w:rsidRPr="00711545" w:rsidRDefault="00575168" w:rsidP="00575168">
      <w:r w:rsidRPr="00711545">
        <w:t xml:space="preserve">The suggested wording is: </w:t>
      </w:r>
    </w:p>
    <w:p w14:paraId="2F573761" w14:textId="77777777" w:rsidR="00575168" w:rsidRPr="00575168" w:rsidRDefault="00575168" w:rsidP="00575168">
      <w:pPr>
        <w:ind w:left="720"/>
        <w:rPr>
          <w:i/>
        </w:rPr>
      </w:pPr>
      <w:r w:rsidRPr="00575168">
        <w:rPr>
          <w:i/>
        </w:rPr>
        <w:t xml:space="preserve">The </w:t>
      </w:r>
      <w:proofErr w:type="spellStart"/>
      <w:r w:rsidRPr="00575168">
        <w:rPr>
          <w:i/>
        </w:rPr>
        <w:t>Forxiga</w:t>
      </w:r>
      <w:proofErr w:type="spellEnd"/>
      <w:r w:rsidRPr="00575168">
        <w:rPr>
          <w:i/>
        </w:rPr>
        <w:t xml:space="preserve"> EU-Risk Management Plan (RMP) (version 18, dated 27 October 2019, data lock point 30 September 2019), with Australian Specific Annex (version 11.0, dated 8 November 2019), included with submission PM-2019-05370-1-3, and any subsequent revisions, as agreed with the TGA will be implemented in Australia.</w:t>
      </w:r>
    </w:p>
    <w:p w14:paraId="3FF45B61" w14:textId="5B064B0D" w:rsidR="00575168" w:rsidRPr="00575168" w:rsidRDefault="00575168" w:rsidP="00575168">
      <w:pPr>
        <w:pStyle w:val="Standard"/>
      </w:pPr>
      <w:r w:rsidRPr="00711545">
        <w:t xml:space="preserve">The </w:t>
      </w:r>
      <w:r w:rsidRPr="00575168">
        <w:t xml:space="preserve">following wording is recommended for the </w:t>
      </w:r>
      <w:r w:rsidR="00C65CC2">
        <w:t>periodic safety update report (</w:t>
      </w:r>
      <w:r w:rsidRPr="00575168">
        <w:t>PSUR</w:t>
      </w:r>
      <w:r w:rsidR="00C65CC2">
        <w:t>)</w:t>
      </w:r>
      <w:r w:rsidRPr="00575168">
        <w:t xml:space="preserve"> requirement:</w:t>
      </w:r>
    </w:p>
    <w:p w14:paraId="1C627B98" w14:textId="77777777" w:rsidR="00575168" w:rsidRPr="00575168" w:rsidRDefault="00575168" w:rsidP="00575168">
      <w:pPr>
        <w:pStyle w:val="Standard"/>
        <w:ind w:left="567"/>
        <w:rPr>
          <w:i/>
        </w:rPr>
      </w:pPr>
      <w:r w:rsidRPr="00575168">
        <w:rPr>
          <w:i/>
        </w:rPr>
        <w:t>An obligatory component of risk management plans is routine pharmacovigilance. Routine pharmacovigilance includes the submission of periodic safety update reports (PSURs).</w:t>
      </w:r>
    </w:p>
    <w:p w14:paraId="092C4A84" w14:textId="77777777" w:rsidR="00575168" w:rsidRPr="00575168" w:rsidRDefault="00575168" w:rsidP="00575168">
      <w:pPr>
        <w:ind w:left="567"/>
        <w:rPr>
          <w:i/>
        </w:rPr>
      </w:pPr>
      <w:r w:rsidRPr="00575168">
        <w:rPr>
          <w:i/>
        </w:rPr>
        <w:t>Reports are to be provided in line with the current published list of EU reference dates and frequency of submission of PSURs until the period covered by such reports is not less than three years from the date of this approval letter.</w:t>
      </w:r>
    </w:p>
    <w:p w14:paraId="03336AB2" w14:textId="77777777" w:rsidR="00575168" w:rsidRPr="00575168" w:rsidRDefault="00575168" w:rsidP="00575168">
      <w:pPr>
        <w:ind w:left="567"/>
        <w:rPr>
          <w:i/>
        </w:rPr>
      </w:pPr>
      <w:r w:rsidRPr="00575168">
        <w:rPr>
          <w:i/>
        </w:rPr>
        <w:t xml:space="preserve">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 </w:t>
      </w:r>
    </w:p>
    <w:p w14:paraId="789989A3" w14:textId="77777777" w:rsidR="00575168" w:rsidRPr="00575168" w:rsidRDefault="00575168" w:rsidP="00575168">
      <w:pPr>
        <w:pStyle w:val="Heading4"/>
      </w:pPr>
      <w:r>
        <w:t>Delegate’s comments on the risk management plan</w:t>
      </w:r>
    </w:p>
    <w:p w14:paraId="3542381D" w14:textId="77777777" w:rsidR="00D37103" w:rsidRDefault="00D37103" w:rsidP="00503657">
      <w:r>
        <w:t xml:space="preserve">No new safety concerns were identified in association with the extension of indications to include </w:t>
      </w:r>
      <w:r w:rsidR="00A32D35">
        <w:t>heart failure with reduced ejection fraction</w:t>
      </w:r>
      <w:r>
        <w:t xml:space="preserve"> in patients who do not have T2DM. Routine pharmacovigilance includes targeted questionnaires for all risks. Additional pharmacovigilance activities to support the diabetes indications are ongoing. No additional pharmacovigilance activity has been proposed in relation to the heart failure indication.</w:t>
      </w:r>
    </w:p>
    <w:p w14:paraId="486F7ACA" w14:textId="4F0CCA07" w:rsidR="00D37103" w:rsidRDefault="00D37103" w:rsidP="00D37103">
      <w:pPr>
        <w:pStyle w:val="Default"/>
        <w:rPr>
          <w:sz w:val="22"/>
          <w:szCs w:val="22"/>
        </w:rPr>
      </w:pPr>
      <w:r w:rsidRPr="0081670D">
        <w:rPr>
          <w:sz w:val="22"/>
          <w:szCs w:val="22"/>
        </w:rPr>
        <w:t xml:space="preserve">The RMP evaluator recommends that </w:t>
      </w:r>
      <w:proofErr w:type="spellStart"/>
      <w:r w:rsidRPr="0081670D">
        <w:rPr>
          <w:sz w:val="22"/>
          <w:szCs w:val="22"/>
        </w:rPr>
        <w:t>dapagliflozin</w:t>
      </w:r>
      <w:proofErr w:type="spellEnd"/>
      <w:r w:rsidRPr="0081670D">
        <w:rPr>
          <w:sz w:val="22"/>
          <w:szCs w:val="22"/>
        </w:rPr>
        <w:t xml:space="preserve"> should be included in the Black Triangle Scheme</w:t>
      </w:r>
      <w:r w:rsidR="00DA3D07">
        <w:rPr>
          <w:sz w:val="22"/>
          <w:szCs w:val="22"/>
        </w:rPr>
        <w:t>,</w:t>
      </w:r>
      <w:bookmarkStart w:id="43" w:name="_Ref66948729"/>
      <w:r w:rsidR="00DA3D07">
        <w:rPr>
          <w:rStyle w:val="FootnoteReference"/>
          <w:sz w:val="22"/>
          <w:szCs w:val="22"/>
        </w:rPr>
        <w:footnoteReference w:id="15"/>
      </w:r>
      <w:bookmarkEnd w:id="43"/>
      <w:r w:rsidRPr="0081670D">
        <w:rPr>
          <w:sz w:val="22"/>
          <w:szCs w:val="22"/>
        </w:rPr>
        <w:t xml:space="preserve"> on the basis that using </w:t>
      </w:r>
      <w:proofErr w:type="spellStart"/>
      <w:r w:rsidRPr="0081670D">
        <w:rPr>
          <w:sz w:val="22"/>
          <w:szCs w:val="22"/>
        </w:rPr>
        <w:t>dapagliflozin</w:t>
      </w:r>
      <w:proofErr w:type="spellEnd"/>
      <w:r w:rsidRPr="0081670D">
        <w:rPr>
          <w:sz w:val="22"/>
          <w:szCs w:val="22"/>
        </w:rPr>
        <w:t xml:space="preserve"> in patients with heart failure who do not have T2DM is an extension of indication to a significantly different disease or condition. The medicine will be used by a new prescriber speciality in a broader population, and the medicine will be discussed in new chap</w:t>
      </w:r>
      <w:r w:rsidR="00C65CC2" w:rsidRPr="0081670D">
        <w:rPr>
          <w:sz w:val="22"/>
          <w:szCs w:val="22"/>
        </w:rPr>
        <w:t>ters of therapeutic guidelines.</w:t>
      </w:r>
    </w:p>
    <w:p w14:paraId="77C67172" w14:textId="1818D575" w:rsidR="00D37103" w:rsidRDefault="00D37103" w:rsidP="00575168">
      <w:r>
        <w:t xml:space="preserve">The sponsor argues against inclusion in the Scheme on the basis that the safety profile is not significantly different between T2DM patients and patients without diabetes with </w:t>
      </w:r>
      <w:r w:rsidR="00503657">
        <w:t xml:space="preserve">heart failure with reduced ejection fraction. In a response to the second round </w:t>
      </w:r>
      <w:r>
        <w:t>evaluation reports, the sponsor also disagreed that the prescribers for patients with heart failure without diabetes would be substantially different from prescribers for patients with heart failure with diabetes. The sponsor further argued that all of the prescribers will already be familiar with SGLT2 inhibitors by reference to published treatment guidelines. Both referenced guidelines were specific to the managem</w:t>
      </w:r>
      <w:r w:rsidR="00C65CC2">
        <w:t>ent of hyperglycaemia in T2DM.</w:t>
      </w:r>
    </w:p>
    <w:p w14:paraId="12FB08FE" w14:textId="0F89E067" w:rsidR="00D37103" w:rsidRDefault="00D37103" w:rsidP="00503657">
      <w:r>
        <w:t>The sponsor has agreed to the following conditions of registration re</w:t>
      </w:r>
      <w:r w:rsidR="00C65CC2">
        <w:t>commended by the RMP evaluator</w:t>
      </w:r>
      <w:r w:rsidR="00CE33D9">
        <w:t>:</w:t>
      </w:r>
    </w:p>
    <w:p w14:paraId="13D9B6F0" w14:textId="5057CCC6" w:rsidR="00CE33D9" w:rsidRDefault="00CE33D9" w:rsidP="00CE33D9">
      <w:pPr>
        <w:autoSpaceDE w:val="0"/>
        <w:autoSpaceDN w:val="0"/>
        <w:adjustRightInd w:val="0"/>
        <w:spacing w:before="0" w:after="0" w:line="240" w:lineRule="auto"/>
      </w:pPr>
      <w:r>
        <w:t>Regarding the risk management plan and Australian specific annex:</w:t>
      </w:r>
    </w:p>
    <w:p w14:paraId="083396FA" w14:textId="57D9D56E" w:rsidR="00CE33D9" w:rsidRPr="00CE33D9" w:rsidRDefault="00CE33D9" w:rsidP="00CE33D9">
      <w:pPr>
        <w:autoSpaceDE w:val="0"/>
        <w:autoSpaceDN w:val="0"/>
        <w:adjustRightInd w:val="0"/>
        <w:spacing w:before="0" w:after="0" w:line="240" w:lineRule="auto"/>
        <w:ind w:left="720"/>
        <w:rPr>
          <w:i/>
          <w:iCs/>
        </w:rPr>
      </w:pPr>
      <w:r w:rsidRPr="00CE33D9">
        <w:rPr>
          <w:i/>
          <w:iCs/>
        </w:rPr>
        <w:t xml:space="preserve">The </w:t>
      </w:r>
      <w:proofErr w:type="spellStart"/>
      <w:r w:rsidRPr="00CE33D9">
        <w:rPr>
          <w:i/>
          <w:iCs/>
        </w:rPr>
        <w:t>F</w:t>
      </w:r>
      <w:r w:rsidR="001E3718" w:rsidRPr="00CE33D9">
        <w:rPr>
          <w:i/>
          <w:iCs/>
        </w:rPr>
        <w:t>orxiga</w:t>
      </w:r>
      <w:proofErr w:type="spellEnd"/>
      <w:r w:rsidRPr="00CE33D9">
        <w:rPr>
          <w:i/>
          <w:iCs/>
        </w:rPr>
        <w:t xml:space="preserve"> EU-Risk Management Plan (RMP) (version 18, dated 27 October 2019, data lock point 30 September 2019), with Australian Specific Annex (version 11.0, dated 8 November 2019), included with submission PM-2019-05370-1-3, and any subsequent revisions, as agreed with the TGA will be implemented in Australia. </w:t>
      </w:r>
    </w:p>
    <w:p w14:paraId="3E33A0A7" w14:textId="07D93EC8" w:rsidR="00CE33D9" w:rsidRPr="00CE33D9" w:rsidRDefault="00CE33D9" w:rsidP="00CE33D9">
      <w:pPr>
        <w:autoSpaceDE w:val="0"/>
        <w:autoSpaceDN w:val="0"/>
        <w:adjustRightInd w:val="0"/>
        <w:spacing w:before="0" w:after="0" w:line="240" w:lineRule="auto"/>
      </w:pPr>
      <w:r w:rsidRPr="00CE33D9">
        <w:t>Regarding submission of periodic safety update reports</w:t>
      </w:r>
      <w:r w:rsidR="001E3718">
        <w:t>:</w:t>
      </w:r>
    </w:p>
    <w:p w14:paraId="28CE0552" w14:textId="021BD9A6" w:rsidR="008643B5" w:rsidRDefault="00CE33D9" w:rsidP="00057F1D">
      <w:pPr>
        <w:autoSpaceDE w:val="0"/>
        <w:autoSpaceDN w:val="0"/>
        <w:adjustRightInd w:val="0"/>
        <w:spacing w:before="0" w:after="0" w:line="240" w:lineRule="auto"/>
        <w:ind w:left="720"/>
        <w:rPr>
          <w:i/>
          <w:iCs/>
        </w:rPr>
      </w:pPr>
      <w:r w:rsidRPr="00CE33D9">
        <w:rPr>
          <w:i/>
          <w:iCs/>
        </w:rPr>
        <w:t xml:space="preserve">An obligatory component of risk management plans is routine pharmacovigilance. Routine pharmacovigilance includes the submission of periodic safety update reports (PSURs). </w:t>
      </w:r>
    </w:p>
    <w:p w14:paraId="12353937" w14:textId="5D4F855B" w:rsidR="008643B5" w:rsidRPr="008643B5" w:rsidRDefault="008643B5" w:rsidP="008643B5">
      <w:pPr>
        <w:pStyle w:val="Default"/>
        <w:rPr>
          <w:sz w:val="22"/>
          <w:szCs w:val="22"/>
          <w:lang w:val="en-AU"/>
        </w:rPr>
      </w:pPr>
      <w:r w:rsidRPr="008643B5">
        <w:rPr>
          <w:i/>
          <w:iCs/>
          <w:sz w:val="22"/>
          <w:szCs w:val="22"/>
          <w:lang w:val="en-AU"/>
        </w:rPr>
        <w:t>Reports are to be provided in line with the current published list of EU reference dates and frequency of submission of PSURs until the period covered by such reports is not less than three years from th</w:t>
      </w:r>
      <w:r w:rsidR="00F461F2">
        <w:rPr>
          <w:i/>
          <w:iCs/>
          <w:sz w:val="22"/>
          <w:szCs w:val="22"/>
          <w:lang w:val="en-AU"/>
        </w:rPr>
        <w:t>e date of this approval letter.</w:t>
      </w:r>
    </w:p>
    <w:p w14:paraId="3805357A" w14:textId="77777777" w:rsidR="005351BA" w:rsidRPr="005351BA" w:rsidRDefault="008643B5" w:rsidP="005351BA">
      <w:pPr>
        <w:rPr>
          <w:i/>
        </w:rPr>
      </w:pPr>
      <w:r w:rsidRPr="005351BA">
        <w:rPr>
          <w:i/>
        </w:rPr>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w:t>
      </w:r>
      <w:bookmarkStart w:id="44" w:name="_Toc247691531"/>
      <w:bookmarkStart w:id="45" w:name="_Toc314842515"/>
      <w:bookmarkStart w:id="46" w:name="_Toc196046505"/>
      <w:bookmarkStart w:id="47" w:name="_Toc196046949"/>
    </w:p>
    <w:p w14:paraId="5EAD9D3B" w14:textId="5893C54E" w:rsidR="008E7846" w:rsidRDefault="00AA0ED0" w:rsidP="008E7846">
      <w:pPr>
        <w:pStyle w:val="Heading3"/>
      </w:pPr>
      <w:bookmarkStart w:id="48" w:name="_Toc69894105"/>
      <w:r>
        <w:t>Risk-benefit a</w:t>
      </w:r>
      <w:r w:rsidR="008E7846">
        <w:t>nalysis</w:t>
      </w:r>
      <w:bookmarkEnd w:id="44"/>
      <w:bookmarkEnd w:id="45"/>
      <w:bookmarkEnd w:id="48"/>
    </w:p>
    <w:p w14:paraId="4575BBB2" w14:textId="77777777" w:rsidR="00D23139" w:rsidRPr="00503657" w:rsidRDefault="007D53B6" w:rsidP="00503657">
      <w:pPr>
        <w:pStyle w:val="Heading4"/>
      </w:pPr>
      <w:r>
        <w:t>Delegate’s considerations</w:t>
      </w:r>
    </w:p>
    <w:p w14:paraId="50AE7EA5" w14:textId="77777777" w:rsidR="00D37103" w:rsidRDefault="00503657" w:rsidP="00503657">
      <w:pPr>
        <w:pStyle w:val="Heading5"/>
      </w:pPr>
      <w:r>
        <w:t>Proposed indication</w:t>
      </w:r>
    </w:p>
    <w:p w14:paraId="513D57C2" w14:textId="3CE0F426" w:rsidR="00D37103" w:rsidRDefault="00D37103" w:rsidP="00503657">
      <w:r>
        <w:t>The sponsor requested approval of the following extension o</w:t>
      </w:r>
      <w:r w:rsidR="00C65CC2">
        <w:t xml:space="preserve">f indication for </w:t>
      </w:r>
      <w:proofErr w:type="spellStart"/>
      <w:r w:rsidR="00C65CC2">
        <w:t>dapagliflozin</w:t>
      </w:r>
      <w:proofErr w:type="spellEnd"/>
      <w:r w:rsidR="00C65CC2">
        <w:t>:</w:t>
      </w:r>
    </w:p>
    <w:p w14:paraId="395C82D2" w14:textId="77777777" w:rsidR="00D37103" w:rsidRPr="00503657" w:rsidRDefault="00503657" w:rsidP="00503657">
      <w:pPr>
        <w:ind w:left="720"/>
        <w:rPr>
          <w:i/>
        </w:rPr>
      </w:pPr>
      <w:proofErr w:type="spellStart"/>
      <w:r w:rsidRPr="00503657">
        <w:rPr>
          <w:i/>
        </w:rPr>
        <w:t>Forxiga</w:t>
      </w:r>
      <w:proofErr w:type="spellEnd"/>
      <w:r w:rsidR="00D37103" w:rsidRPr="00503657">
        <w:rPr>
          <w:i/>
        </w:rPr>
        <w:t xml:space="preserve"> is indicated in adults for the treatment of heart failure </w:t>
      </w:r>
      <w:r w:rsidRPr="00503657">
        <w:rPr>
          <w:i/>
        </w:rPr>
        <w:t>with reduced ejection fraction.</w:t>
      </w:r>
    </w:p>
    <w:p w14:paraId="2D1387DC" w14:textId="3D6FFE3C" w:rsidR="00D37103" w:rsidRDefault="00D37103" w:rsidP="00503657">
      <w:r>
        <w:t>In the dosage and administration instructions, the sponsor i</w:t>
      </w:r>
      <w:r w:rsidR="00C65CC2">
        <w:t>ncluded additional information:</w:t>
      </w:r>
    </w:p>
    <w:p w14:paraId="614FC708" w14:textId="1C60D17B" w:rsidR="00D37103" w:rsidRDefault="00D37103" w:rsidP="00503657">
      <w:pPr>
        <w:ind w:left="720"/>
      </w:pPr>
      <w:r>
        <w:t xml:space="preserve">The recommended dose of </w:t>
      </w:r>
      <w:proofErr w:type="spellStart"/>
      <w:r w:rsidR="00503657">
        <w:t>Forxiga</w:t>
      </w:r>
      <w:proofErr w:type="spellEnd"/>
      <w:r>
        <w:t xml:space="preserve"> is 10 mg taken orally once daily at any time of the day regardless of meals. </w:t>
      </w:r>
      <w:proofErr w:type="spellStart"/>
      <w:r w:rsidR="00503657">
        <w:t>Forxiga</w:t>
      </w:r>
      <w:proofErr w:type="spellEnd"/>
      <w:r w:rsidR="00503657">
        <w:t xml:space="preserve"> </w:t>
      </w:r>
      <w:r>
        <w:t>can be used in conjunction with</w:t>
      </w:r>
      <w:r w:rsidR="00C65CC2">
        <w:t xml:space="preserve"> other heart failure therapies.</w:t>
      </w:r>
    </w:p>
    <w:p w14:paraId="4C935C04" w14:textId="007E022E" w:rsidR="00D37103" w:rsidRDefault="00D37103" w:rsidP="00503657">
      <w:r>
        <w:t xml:space="preserve">The </w:t>
      </w:r>
      <w:r w:rsidRPr="00503657">
        <w:t>efficacy</w:t>
      </w:r>
      <w:r>
        <w:t xml:space="preserve"> data provided by </w:t>
      </w:r>
      <w:r w:rsidR="00503657">
        <w:t>DAPA</w:t>
      </w:r>
      <w:r>
        <w:t xml:space="preserve">-HF </w:t>
      </w:r>
      <w:r w:rsidR="00503657">
        <w:t xml:space="preserve">trial </w:t>
      </w:r>
      <w:r>
        <w:t xml:space="preserve">supports the proposed indication, however the evidence applies only when </w:t>
      </w:r>
      <w:proofErr w:type="spellStart"/>
      <w:r>
        <w:t>dapagliflozin</w:t>
      </w:r>
      <w:proofErr w:type="spellEnd"/>
      <w:r>
        <w:t xml:space="preserve"> is used as an adjunct to established standard of care. The addition of 10 mg </w:t>
      </w:r>
      <w:proofErr w:type="spellStart"/>
      <w:r>
        <w:t>dapagliflozin</w:t>
      </w:r>
      <w:proofErr w:type="spellEnd"/>
      <w:r>
        <w:t xml:space="preserve"> once daily to an established treatment regime was statistically significantly superior to addition of placebo in reducing the incidence of the composite primary efficacy end point of CV death, hospitalisation for </w:t>
      </w:r>
      <w:r w:rsidR="00503657">
        <w:t>heart failure or urgent heart failure</w:t>
      </w:r>
      <w:r>
        <w:t xml:space="preserve"> visit, decreasing the risk of experiencing the composite endpoint by 26% (95% CI: 15%, 35%). Treatment with </w:t>
      </w:r>
      <w:proofErr w:type="spellStart"/>
      <w:r>
        <w:t>dapagliflozin</w:t>
      </w:r>
      <w:proofErr w:type="spellEnd"/>
      <w:r>
        <w:t xml:space="preserve"> delayed the time to the first composite endpoint event relative to placebo, with the </w:t>
      </w:r>
      <w:r w:rsidR="00C65CC2">
        <w:t>Kaplan-Meier</w:t>
      </w:r>
      <w:r>
        <w:t xml:space="preserve"> curves separating in favour of </w:t>
      </w:r>
      <w:proofErr w:type="spellStart"/>
      <w:r>
        <w:t>dapagliflozin</w:t>
      </w:r>
      <w:proofErr w:type="spellEnd"/>
      <w:r>
        <w:t xml:space="preserve"> early in treatment and continuing to separate up to 24 months of follow-up. The secondary efficacy endpoints, including important patient reported outcomes, supported the primary outcome. However, the study did not establish, nor was it designed to establish, that </w:t>
      </w:r>
      <w:proofErr w:type="spellStart"/>
      <w:r>
        <w:t>dapagliflozin</w:t>
      </w:r>
      <w:proofErr w:type="spellEnd"/>
      <w:r>
        <w:t xml:space="preserve"> monotherapy has a place in the treatment of </w:t>
      </w:r>
      <w:r w:rsidR="00503657">
        <w:t>heart failure</w:t>
      </w:r>
      <w:r>
        <w:t>. The proposed instructions regarding dosage and administration do not appear to reflect this limitation. To accurately reflect the details of the supporting evidence, it would be appropriate to a</w:t>
      </w:r>
      <w:r w:rsidR="00503657">
        <w:t>mend the proposed indication to:</w:t>
      </w:r>
    </w:p>
    <w:p w14:paraId="4C3DE4B0" w14:textId="77777777" w:rsidR="00D37103" w:rsidRPr="00503657" w:rsidRDefault="00503657" w:rsidP="00503657">
      <w:pPr>
        <w:ind w:left="720"/>
        <w:rPr>
          <w:i/>
        </w:rPr>
      </w:pPr>
      <w:proofErr w:type="spellStart"/>
      <w:r w:rsidRPr="00503657">
        <w:rPr>
          <w:i/>
        </w:rPr>
        <w:t>Forxiga</w:t>
      </w:r>
      <w:proofErr w:type="spellEnd"/>
      <w:r w:rsidR="00D37103" w:rsidRPr="00503657">
        <w:rPr>
          <w:i/>
        </w:rPr>
        <w:t xml:space="preserve"> is indicated in adults for the treatment of symptomatic heart failure with reduced ejection fraction, as an adjunct to standard of care therapy. </w:t>
      </w:r>
    </w:p>
    <w:p w14:paraId="7D7B089A" w14:textId="28F6EE5F" w:rsidR="00D37103" w:rsidRDefault="00D37103" w:rsidP="00503657">
      <w:r w:rsidRPr="00503657">
        <w:t>This</w:t>
      </w:r>
      <w:r>
        <w:t xml:space="preserve"> wording reflects the study evidence and aligns with indications for other medicines used in combination therapy for heart failure. Additional changes to the dosage and administration and other sect</w:t>
      </w:r>
      <w:r w:rsidR="00C65CC2">
        <w:t>ions of the PI are addressed elsewhere [inclusion of comments on the PI is beyond the scope of the AusPAR].</w:t>
      </w:r>
    </w:p>
    <w:p w14:paraId="740605E3" w14:textId="77777777" w:rsidR="00D37103" w:rsidRDefault="00D37103" w:rsidP="00503657">
      <w:pPr>
        <w:pStyle w:val="Heading5"/>
      </w:pPr>
      <w:r>
        <w:t>Deficiencie</w:t>
      </w:r>
      <w:r w:rsidR="00503657">
        <w:t>s of the data</w:t>
      </w:r>
    </w:p>
    <w:p w14:paraId="37CE3A71" w14:textId="3B2CED44" w:rsidR="00D37103" w:rsidRDefault="00D37103" w:rsidP="001E3718">
      <w:r>
        <w:t xml:space="preserve">While the efficacy of </w:t>
      </w:r>
      <w:proofErr w:type="spellStart"/>
      <w:r w:rsidR="00B0381E">
        <w:t>dapagliflozin</w:t>
      </w:r>
      <w:proofErr w:type="spellEnd"/>
      <w:r>
        <w:t xml:space="preserve"> in the treatment of patients with NYHA Class II </w:t>
      </w:r>
      <w:r w:rsidR="00503657">
        <w:t>heart failure with reduced ejection fraction</w:t>
      </w:r>
      <w:r>
        <w:t xml:space="preserve"> has been satisfactorily established, the evidence in the more severe Class III and IV patients is somewhat equivocal. Study participants with Class IV </w:t>
      </w:r>
      <w:r w:rsidR="00503657">
        <w:t>heart failure</w:t>
      </w:r>
      <w:r>
        <w:t xml:space="preserve"> represented only around 1% of the study population and in the pre-defined statistical analysis by sub-groups the Class III and Class IV groups were combined. While the hazard ratio for the com</w:t>
      </w:r>
      <w:r w:rsidR="00C65CC2">
        <w:t xml:space="preserve">bined group and indeed for the </w:t>
      </w:r>
      <w:r>
        <w:t xml:space="preserve">separate groups indicated a possible benefit for </w:t>
      </w:r>
      <w:proofErr w:type="spellStart"/>
      <w:r w:rsidR="00B0381E">
        <w:t>dapagliflozin</w:t>
      </w:r>
      <w:proofErr w:type="spellEnd"/>
      <w:r>
        <w:t xml:space="preserve">, the 95% CI crossed unity in each case. Particularly in the case of Class IV </w:t>
      </w:r>
      <w:r w:rsidR="00C00D13">
        <w:t>heart failure</w:t>
      </w:r>
      <w:r>
        <w:t xml:space="preserve"> participants, while the HR of 0.41 indicates a potentially better response to </w:t>
      </w:r>
      <w:proofErr w:type="spellStart"/>
      <w:r w:rsidR="00B0381E">
        <w:t>dapagliflozin</w:t>
      </w:r>
      <w:proofErr w:type="spellEnd"/>
      <w:r>
        <w:t xml:space="preserve"> than in Class II </w:t>
      </w:r>
      <w:r w:rsidR="00C00D13">
        <w:t>heart failure</w:t>
      </w:r>
      <w:r>
        <w:t xml:space="preserve"> (HR 0.63), and the absolute number of primary events is lower in the </w:t>
      </w:r>
      <w:proofErr w:type="spellStart"/>
      <w:r w:rsidR="00B0381E">
        <w:t>dapagliflozin</w:t>
      </w:r>
      <w:proofErr w:type="spellEnd"/>
      <w:r>
        <w:t xml:space="preserve"> group than in the </w:t>
      </w:r>
      <w:r w:rsidR="00B0381E">
        <w:t>placebo</w:t>
      </w:r>
      <w:r>
        <w:t xml:space="preserve"> group (5/20 compared to 13/23), it is reasonable to accept that the lower </w:t>
      </w:r>
      <w:r w:rsidR="00C00D13">
        <w:t>heart failure</w:t>
      </w:r>
      <w:r>
        <w:t xml:space="preserve"> is a chance finding. The additional analyses included in attachment 2 support a positive effect for </w:t>
      </w:r>
      <w:proofErr w:type="spellStart"/>
      <w:r w:rsidR="00B0381E">
        <w:t>dapagliflozin</w:t>
      </w:r>
      <w:proofErr w:type="spellEnd"/>
      <w:r>
        <w:t xml:space="preserve"> in general, however, depending on the nature of the analysis, confidence intervals for the HR remain close to, or </w:t>
      </w:r>
      <w:r w:rsidRPr="00C00D13">
        <w:t>cross</w:t>
      </w:r>
      <w:r>
        <w:t xml:space="preserve">, unity. This uncertainty regarding efficacy in Class III and IV </w:t>
      </w:r>
      <w:r w:rsidR="00C00D13">
        <w:t>heart failure</w:t>
      </w:r>
      <w:r>
        <w:t xml:space="preserve"> is unlikely to be resolved without further investigation. </w:t>
      </w:r>
      <w:r w:rsidR="007B5106" w:rsidRPr="00FB276D">
        <w:t xml:space="preserve">The treatment effect did not reach nominal statistical significance (upper confidence limit above 1) </w:t>
      </w:r>
      <w:r>
        <w:t xml:space="preserve">in women, in patients of Black or African origin, in enrolled patients from North America, in patients who had not had a prior hospitalisation for </w:t>
      </w:r>
      <w:r w:rsidR="001E3718">
        <w:t>heart failure</w:t>
      </w:r>
      <w:r>
        <w:t xml:space="preserve"> and in patients with atrial fibrillation or flutter at</w:t>
      </w:r>
      <w:r w:rsidR="001E3718">
        <w:t xml:space="preserve"> the time of</w:t>
      </w:r>
      <w:r>
        <w:t xml:space="preserve"> </w:t>
      </w:r>
      <w:r w:rsidR="001E3718">
        <w:t xml:space="preserve">the </w:t>
      </w:r>
      <w:r>
        <w:t xml:space="preserve">enrolment </w:t>
      </w:r>
      <w:r w:rsidR="001E3718">
        <w:t>electrocardiogram</w:t>
      </w:r>
      <w:r>
        <w:t xml:space="preserve"> (</w:t>
      </w:r>
      <w:r w:rsidR="001E3718">
        <w:t>s</w:t>
      </w:r>
      <w:r w:rsidR="0033576A">
        <w:t xml:space="preserve">ee </w:t>
      </w:r>
      <w:r w:rsidR="0033576A">
        <w:fldChar w:fldCharType="begin"/>
      </w:r>
      <w:r w:rsidR="0033576A">
        <w:instrText xml:space="preserve"> REF _Ref63768806 \h </w:instrText>
      </w:r>
      <w:r w:rsidR="0033576A">
        <w:fldChar w:fldCharType="separate"/>
      </w:r>
      <w:r w:rsidR="00504D2B">
        <w:t xml:space="preserve">Figure </w:t>
      </w:r>
      <w:r w:rsidR="00504D2B">
        <w:rPr>
          <w:noProof/>
        </w:rPr>
        <w:t>1</w:t>
      </w:r>
      <w:r w:rsidR="0033576A">
        <w:fldChar w:fldCharType="end"/>
      </w:r>
      <w:r w:rsidR="0033576A">
        <w:t>, below)</w:t>
      </w:r>
      <w:r w:rsidRPr="0033576A">
        <w:t xml:space="preserve">. </w:t>
      </w:r>
      <w:r>
        <w:t xml:space="preserve">In most cases this would appear to be a result of lower enrolments from these populations; only those patients who had not had a prior </w:t>
      </w:r>
      <w:r w:rsidR="00C00D13">
        <w:t>heart failure hospitalis</w:t>
      </w:r>
      <w:r>
        <w:t xml:space="preserve">ation were represented in higher numbers than in the comparative sub-groups. Completing two years of follow-up in the entire population may assist in clarifying whether the numerical difference in CV deaths and </w:t>
      </w:r>
      <w:r w:rsidR="00C00D13">
        <w:t>heart failure</w:t>
      </w:r>
      <w:r>
        <w:t xml:space="preserve"> events in the NYHA Class</w:t>
      </w:r>
      <w:r w:rsidR="001E3718">
        <w:t> </w:t>
      </w:r>
      <w:r>
        <w:t xml:space="preserve">III and Class IV </w:t>
      </w:r>
      <w:r w:rsidR="00C00D13">
        <w:t>heart failure</w:t>
      </w:r>
      <w:r>
        <w:t xml:space="preserve">, </w:t>
      </w:r>
      <w:r w:rsidR="00C00D13">
        <w:t>and in the other population sub</w:t>
      </w:r>
      <w:r>
        <w:t xml:space="preserve">groups, is clinically meaningful. The indication recently approved by the FDA includes all three NYHA Classes II to IV. The Health Canada product monograph is silent in regard to relative efficacy in the </w:t>
      </w:r>
      <w:r w:rsidRPr="001E3718">
        <w:t>different</w:t>
      </w:r>
      <w:r>
        <w:t xml:space="preserve"> NYHA classes, apart from reporting that the </w:t>
      </w:r>
      <w:r w:rsidR="00C00D13">
        <w:t>DAPA</w:t>
      </w:r>
      <w:r w:rsidR="00C65CC2">
        <w:t>-HF clinical trial enrol</w:t>
      </w:r>
      <w:r>
        <w:t>led</w:t>
      </w:r>
      <w:r w:rsidR="00C65CC2">
        <w:t xml:space="preserve"> patients with Class II to IV heart failure</w:t>
      </w:r>
      <w:r>
        <w:t>. The Canadian product monograph included Forest plots depicting treatment effect by sub-groups with data for Class II</w:t>
      </w:r>
      <w:r w:rsidR="00B0381E">
        <w:t xml:space="preserve"> versus </w:t>
      </w:r>
      <w:r>
        <w:t xml:space="preserve">Class III or IV, </w:t>
      </w:r>
      <w:r w:rsidR="001E3718">
        <w:t>left ventricular ejection fraction</w:t>
      </w:r>
      <w:r>
        <w:t xml:space="preserve"> ≤ median</w:t>
      </w:r>
      <w:r w:rsidR="00B0381E">
        <w:t xml:space="preserve"> versus </w:t>
      </w:r>
      <w:r>
        <w:t>&gt;</w:t>
      </w:r>
      <w:r w:rsidR="001E3718">
        <w:t> </w:t>
      </w:r>
      <w:r>
        <w:t>median and NT-</w:t>
      </w:r>
      <w:proofErr w:type="spellStart"/>
      <w:r>
        <w:t>proBNP</w:t>
      </w:r>
      <w:proofErr w:type="spellEnd"/>
      <w:r>
        <w:t xml:space="preserve"> ≤ median</w:t>
      </w:r>
      <w:r w:rsidR="00B0381E">
        <w:t xml:space="preserve"> versus </w:t>
      </w:r>
      <w:r>
        <w:t xml:space="preserve">&gt; median, and other population sub-groups. The same </w:t>
      </w:r>
      <w:r w:rsidRPr="00C00D13">
        <w:t>information</w:t>
      </w:r>
      <w:r>
        <w:t xml:space="preserve"> will also be</w:t>
      </w:r>
      <w:r w:rsidR="00C65CC2">
        <w:t xml:space="preserve"> included in the Australian PI.</w:t>
      </w:r>
    </w:p>
    <w:p w14:paraId="266D92DF" w14:textId="2153FEB3" w:rsidR="0033576A" w:rsidRDefault="0033576A" w:rsidP="0033576A">
      <w:pPr>
        <w:pStyle w:val="FigureTitle"/>
      </w:pPr>
      <w:bookmarkStart w:id="49" w:name="_Ref63768806"/>
      <w:r>
        <w:t xml:space="preserve">Figure </w:t>
      </w:r>
      <w:fldSimple w:instr=" SEQ Figure \* ARABIC ">
        <w:r w:rsidR="00504D2B">
          <w:rPr>
            <w:noProof/>
          </w:rPr>
          <w:t>1</w:t>
        </w:r>
      </w:fldSimple>
      <w:bookmarkEnd w:id="49"/>
      <w:r>
        <w:t>: DAPA-HF trial</w:t>
      </w:r>
      <w:r>
        <w:rPr>
          <w:noProof/>
        </w:rPr>
        <w:t xml:space="preserve"> Forest plot of results for the primary outcome (full analysis set)</w:t>
      </w:r>
    </w:p>
    <w:p w14:paraId="0DBC44CE" w14:textId="012FD22D" w:rsidR="0033576A" w:rsidRDefault="0033576A" w:rsidP="00C00D13">
      <w:r w:rsidRPr="005A1EB7">
        <w:rPr>
          <w:noProof/>
          <w:lang w:eastAsia="en-AU"/>
        </w:rPr>
        <w:drawing>
          <wp:inline distT="0" distB="0" distL="0" distR="0" wp14:anchorId="229EAD5D" wp14:editId="0D6ACF91">
            <wp:extent cx="5400040" cy="6894264"/>
            <wp:effectExtent l="0" t="0" r="0" b="1905"/>
            <wp:docPr id="2" name="Picture 2" descr="DAPA-HF trial Forest plot of results for the primary outcome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lum bright="-20000" contrast="40000"/>
                      <a:extLst>
                        <a:ext uri="{28A0092B-C50C-407E-A947-70E740481C1C}">
                          <a14:useLocalDpi xmlns:a14="http://schemas.microsoft.com/office/drawing/2010/main" val="0"/>
                        </a:ext>
                      </a:extLst>
                    </a:blip>
                    <a:srcRect/>
                    <a:stretch>
                      <a:fillRect/>
                    </a:stretch>
                  </pic:blipFill>
                  <pic:spPr bwMode="auto">
                    <a:xfrm>
                      <a:off x="0" y="0"/>
                      <a:ext cx="5400040" cy="6894264"/>
                    </a:xfrm>
                    <a:prstGeom prst="rect">
                      <a:avLst/>
                    </a:prstGeom>
                    <a:noFill/>
                    <a:ln>
                      <a:noFill/>
                    </a:ln>
                  </pic:spPr>
                </pic:pic>
              </a:graphicData>
            </a:graphic>
          </wp:inline>
        </w:drawing>
      </w:r>
    </w:p>
    <w:p w14:paraId="7DA4DC76" w14:textId="43236A29" w:rsidR="00D37103" w:rsidRDefault="00D37103" w:rsidP="00C00D13">
      <w:r>
        <w:t xml:space="preserve">The median follow-up time in the </w:t>
      </w:r>
      <w:r w:rsidR="00C00D13">
        <w:t>DAPA</w:t>
      </w:r>
      <w:r>
        <w:t xml:space="preserve">-HF </w:t>
      </w:r>
      <w:r w:rsidR="00C65CC2">
        <w:t>trial</w:t>
      </w:r>
      <w:r>
        <w:t xml:space="preserve"> was around 18 months. At the data lock point, only around 10% of the study population had been exposed to treatment for two years or more. While the event-driven efficacy endpoint was achieved, the period of exposure is likely to have been too short to unveil any rare or unusual long term safety issues. This is partly mitigated by post-marketing safety reports on long-term use of </w:t>
      </w:r>
      <w:proofErr w:type="spellStart"/>
      <w:r>
        <w:t>dapagliflozin</w:t>
      </w:r>
      <w:proofErr w:type="spellEnd"/>
      <w:r>
        <w:t xml:space="preserve"> in patients with diabetes. In general, the safety profile of </w:t>
      </w:r>
      <w:proofErr w:type="spellStart"/>
      <w:r>
        <w:t>dapagliflozin</w:t>
      </w:r>
      <w:proofErr w:type="spellEnd"/>
      <w:r>
        <w:t xml:space="preserve"> in patients with</w:t>
      </w:r>
      <w:r w:rsidR="00C00D13">
        <w:t xml:space="preserve"> heart failure with reduced ejection fraction</w:t>
      </w:r>
      <w:r>
        <w:t xml:space="preserve"> followed for up to 24 months was similar to the established safety profile in longer term use in diabetes. Indeed, some of the safety issues associated with </w:t>
      </w:r>
      <w:proofErr w:type="spellStart"/>
      <w:r w:rsidR="00B0381E">
        <w:t>dapagliflozin</w:t>
      </w:r>
      <w:proofErr w:type="spellEnd"/>
      <w:r>
        <w:t xml:space="preserve"> use for the treatment of diabetes were not reported at a higher rate in patients with </w:t>
      </w:r>
      <w:r w:rsidR="00C00D13">
        <w:t>heart failure with reduced ejection fraction</w:t>
      </w:r>
      <w:r>
        <w:t xml:space="preserve"> treated with </w:t>
      </w:r>
      <w:proofErr w:type="spellStart"/>
      <w:r w:rsidR="00B0381E">
        <w:t>dapagliflozin</w:t>
      </w:r>
      <w:proofErr w:type="spellEnd"/>
      <w:r>
        <w:t xml:space="preserve"> than with </w:t>
      </w:r>
      <w:r w:rsidR="00B0381E">
        <w:t>placebo</w:t>
      </w:r>
      <w:r>
        <w:t>, irresp</w:t>
      </w:r>
      <w:r w:rsidR="00B522C7">
        <w:t>ective of concomitant diabetes.</w:t>
      </w:r>
    </w:p>
    <w:p w14:paraId="38AA8BC9" w14:textId="5C1D5B44" w:rsidR="00D37103" w:rsidRDefault="00B522C7" w:rsidP="00C00D13">
      <w:pPr>
        <w:pStyle w:val="Heading5"/>
      </w:pPr>
      <w:r>
        <w:t>Conditions of registration</w:t>
      </w:r>
    </w:p>
    <w:p w14:paraId="01C16DAC" w14:textId="01093E64" w:rsidR="00D37103" w:rsidRDefault="00D37103" w:rsidP="007C6F80">
      <w:r>
        <w:t>The sponsor has agreed to the follow</w:t>
      </w:r>
      <w:r w:rsidR="00B522C7">
        <w:t>ing conditions of registration:</w:t>
      </w:r>
    </w:p>
    <w:p w14:paraId="7499162E" w14:textId="77777777" w:rsidR="00D37103" w:rsidRPr="007C6F80" w:rsidRDefault="00D37103" w:rsidP="007C6F80">
      <w:pPr>
        <w:ind w:left="720"/>
        <w:rPr>
          <w:i/>
        </w:rPr>
      </w:pPr>
      <w:r w:rsidRPr="007C6F80">
        <w:rPr>
          <w:i/>
        </w:rPr>
        <w:t xml:space="preserve">The FORXIGA EU-Risk Management Plan (RMP) (version 18, dated 27 October 2019, data lock point 30 September 2019), with Australian Specific Annex (version 11.0, dated 8 November 2019), included with submission PM-2019-05370-1-3, and any subsequent revisions, as agreed with the TGA will be implemented in Australia. </w:t>
      </w:r>
    </w:p>
    <w:p w14:paraId="2FF4D37B" w14:textId="77777777" w:rsidR="00D37103" w:rsidRPr="007C6F80" w:rsidRDefault="00D37103" w:rsidP="007C6F80">
      <w:pPr>
        <w:ind w:left="720"/>
        <w:rPr>
          <w:i/>
        </w:rPr>
      </w:pPr>
      <w:r w:rsidRPr="007C6F80">
        <w:rPr>
          <w:i/>
        </w:rPr>
        <w:t xml:space="preserve">An obligatory component of risk management plans is routine pharmacovigilance. Routine pharmacovigilance includes the submission of periodic safety update reports (PSURs). </w:t>
      </w:r>
    </w:p>
    <w:p w14:paraId="5E61EE52" w14:textId="77777777" w:rsidR="00D37103" w:rsidRPr="007C6F80" w:rsidRDefault="00D37103" w:rsidP="007C6F80">
      <w:pPr>
        <w:ind w:left="720"/>
        <w:rPr>
          <w:i/>
        </w:rPr>
      </w:pPr>
      <w:r w:rsidRPr="007C6F80">
        <w:rPr>
          <w:i/>
        </w:rPr>
        <w:t xml:space="preserve">Reports are to be provided in line with the current published list of EU reference dates and frequency of submission of PSURs until the period covered by such reports is not less than three years from the date of this approval letter. </w:t>
      </w:r>
    </w:p>
    <w:p w14:paraId="6E00BB6B" w14:textId="77777777" w:rsidR="00D37103" w:rsidRPr="007C6F80" w:rsidRDefault="00D37103" w:rsidP="007C6F80">
      <w:pPr>
        <w:ind w:left="720"/>
        <w:rPr>
          <w:i/>
        </w:rPr>
      </w:pPr>
      <w:r w:rsidRPr="007C6F80">
        <w:rPr>
          <w:i/>
        </w:rPr>
        <w:t xml:space="preserve">The reports are to at least meet the requirements for PSURs as described in the European Medicines Agency’s Guideline on good pharmacovigilance practices (GVP) Module VII-periodic safety update report (Rev 1), Part VII.B Structures and processes. </w:t>
      </w:r>
    </w:p>
    <w:p w14:paraId="2D22ECD6" w14:textId="77777777" w:rsidR="00D37103" w:rsidRPr="007C6F80" w:rsidRDefault="00D37103" w:rsidP="007C6F80">
      <w:pPr>
        <w:ind w:left="720"/>
        <w:rPr>
          <w:i/>
        </w:rPr>
      </w:pPr>
      <w:r w:rsidRPr="007C6F80">
        <w:rPr>
          <w:i/>
        </w:rPr>
        <w:t xml:space="preserve">Note that submission of a PSUR does not constitute an application to vary the registration. </w:t>
      </w:r>
    </w:p>
    <w:p w14:paraId="2FE4960D" w14:textId="1A76FAB5" w:rsidR="00D37103" w:rsidRDefault="00D37103" w:rsidP="007C6F80">
      <w:r w:rsidRPr="00ED3DA9">
        <w:t xml:space="preserve">The RMP evaluator recommended that </w:t>
      </w:r>
      <w:proofErr w:type="spellStart"/>
      <w:r w:rsidRPr="00ED3DA9">
        <w:t>dapagliflozin</w:t>
      </w:r>
      <w:proofErr w:type="spellEnd"/>
      <w:r w:rsidRPr="00ED3DA9">
        <w:t xml:space="preserve"> should be included in the Black Triangle Scheme, which was implemented in 2018 to gather additional adverse event reports for new prescription medicines and medicines being used in a different population or a different disease or condition.</w:t>
      </w:r>
      <w:bookmarkStart w:id="50" w:name="_Ref66867475"/>
      <w:r w:rsidR="001819BA">
        <w:rPr>
          <w:rStyle w:val="FootnoteReference"/>
        </w:rPr>
        <w:footnoteReference w:id="16"/>
      </w:r>
      <w:bookmarkEnd w:id="50"/>
      <w:r w:rsidRPr="00ED3DA9">
        <w:t xml:space="preserve"> Inclusion in the Black Triangle Scheme does not imply that there is a safety issue with the medicine. In view of the</w:t>
      </w:r>
      <w:r w:rsidR="00B522C7" w:rsidRPr="00ED3DA9">
        <w:t xml:space="preserve"> relatively short safety follow</w:t>
      </w:r>
      <w:r w:rsidR="00B522C7" w:rsidRPr="00ED3DA9">
        <w:noBreakHyphen/>
      </w:r>
      <w:r w:rsidRPr="00ED3DA9">
        <w:t xml:space="preserve">up period presented in the DAPA-HF </w:t>
      </w:r>
      <w:r w:rsidR="007C6F80" w:rsidRPr="00ED3DA9">
        <w:t>trial study report, the D</w:t>
      </w:r>
      <w:r w:rsidRPr="00ED3DA9">
        <w:t xml:space="preserve">elegate supports this recommendation. Additionally, the pre-clinical evaluation indicates that the mechanism of action of </w:t>
      </w:r>
      <w:proofErr w:type="spellStart"/>
      <w:r w:rsidRPr="00ED3DA9">
        <w:t>dapagliflozin</w:t>
      </w:r>
      <w:proofErr w:type="spellEnd"/>
      <w:r w:rsidRPr="00ED3DA9">
        <w:t xml:space="preserve"> in heart failure may not solely be related to increased urinary excretion of glucose as has been shown in the treatment of hyperglycaemia in patients with diabetes. While acknowledging the sponsor’s assertion that the specialists who treat patients with </w:t>
      </w:r>
      <w:r w:rsidR="007C6F80" w:rsidRPr="00ED3DA9">
        <w:t xml:space="preserve">heart failure with reduced ejection fraction </w:t>
      </w:r>
      <w:r w:rsidRPr="00ED3DA9">
        <w:t xml:space="preserve">are likely to be familiar with </w:t>
      </w:r>
      <w:proofErr w:type="spellStart"/>
      <w:r w:rsidRPr="00ED3DA9">
        <w:t>dapagliflozin</w:t>
      </w:r>
      <w:proofErr w:type="spellEnd"/>
      <w:r w:rsidRPr="00ED3DA9">
        <w:t xml:space="preserve"> as they would have treated patients with diabetes as well as those without diabetes, the long term safety data for patients in the absence of concomitant diabetes is lacking. This and the other proposed conditions of registration align with TGA</w:t>
      </w:r>
      <w:r w:rsidR="00B522C7" w:rsidRPr="00ED3DA9">
        <w:t xml:space="preserve"> guidelines and usual practice.</w:t>
      </w:r>
    </w:p>
    <w:p w14:paraId="6F5D2F0F" w14:textId="3C6DF9F0" w:rsidR="00D37103" w:rsidRPr="007C6F80" w:rsidRDefault="007C6F80" w:rsidP="007C6F80">
      <w:r w:rsidRPr="007C6F80">
        <w:t>The D</w:t>
      </w:r>
      <w:r w:rsidR="00D37103" w:rsidRPr="007C6F80">
        <w:t>elegate supports the recommended condition of registration regarding the</w:t>
      </w:r>
      <w:r w:rsidR="00B522C7">
        <w:t xml:space="preserve"> Black Triangle Scheme:</w:t>
      </w:r>
    </w:p>
    <w:p w14:paraId="64E35772" w14:textId="4ED4645A" w:rsidR="00D37103" w:rsidRPr="001B1F42" w:rsidRDefault="00D37103" w:rsidP="007C6F80">
      <w:pPr>
        <w:ind w:left="720"/>
        <w:rPr>
          <w:i/>
          <w:vertAlign w:val="superscript"/>
        </w:rPr>
      </w:pPr>
      <w:proofErr w:type="spellStart"/>
      <w:r w:rsidRPr="007C6F80">
        <w:rPr>
          <w:i/>
        </w:rPr>
        <w:t>F</w:t>
      </w:r>
      <w:r w:rsidR="007C6F80" w:rsidRPr="007C6F80">
        <w:rPr>
          <w:i/>
        </w:rPr>
        <w:t>orxiga</w:t>
      </w:r>
      <w:proofErr w:type="spellEnd"/>
      <w:r w:rsidRPr="007C6F80">
        <w:rPr>
          <w:i/>
        </w:rPr>
        <w:t xml:space="preserve"> (</w:t>
      </w:r>
      <w:proofErr w:type="spellStart"/>
      <w:r w:rsidRPr="007C6F80">
        <w:rPr>
          <w:i/>
        </w:rPr>
        <w:t>dapagliflozin</w:t>
      </w:r>
      <w:proofErr w:type="spellEnd"/>
      <w:r w:rsidRPr="007C6F80">
        <w:rPr>
          <w:i/>
        </w:rPr>
        <w:t xml:space="preserve">) is to be included in the Black Triangle Scheme. The PI and CMI for </w:t>
      </w:r>
      <w:proofErr w:type="spellStart"/>
      <w:r w:rsidR="007C6F80" w:rsidRPr="007C6F80">
        <w:rPr>
          <w:i/>
        </w:rPr>
        <w:t>Forxiga</w:t>
      </w:r>
      <w:proofErr w:type="spellEnd"/>
      <w:r w:rsidR="007C6F80" w:rsidRPr="007C6F80">
        <w:rPr>
          <w:i/>
        </w:rPr>
        <w:t xml:space="preserve"> </w:t>
      </w:r>
      <w:r w:rsidRPr="007C6F80">
        <w:rPr>
          <w:i/>
        </w:rPr>
        <w:t xml:space="preserve">must include the black triangle symbol and mandatory accompanying text for five years, which starts from </w:t>
      </w:r>
      <w:r w:rsidRPr="007C6F80">
        <w:rPr>
          <w:i/>
          <w:iCs/>
        </w:rPr>
        <w:t>the date the new indication is registered.</w:t>
      </w:r>
      <w:r w:rsidR="001B1F42" w:rsidRPr="001B1F42" w:rsidDel="001B1F42">
        <w:rPr>
          <w:i/>
          <w:iCs/>
          <w:vertAlign w:val="superscript"/>
        </w:rPr>
        <w:t xml:space="preserve"> </w:t>
      </w:r>
      <w:r w:rsidR="001B1F42">
        <w:rPr>
          <w:i/>
          <w:iCs/>
          <w:vertAlign w:val="superscript"/>
        </w:rPr>
        <w:fldChar w:fldCharType="begin"/>
      </w:r>
      <w:r w:rsidR="001B1F42">
        <w:rPr>
          <w:i/>
          <w:iCs/>
          <w:vertAlign w:val="superscript"/>
        </w:rPr>
        <w:instrText xml:space="preserve"> NOTEREF _Ref66867475 \f \h </w:instrText>
      </w:r>
      <w:r w:rsidR="001B1F42">
        <w:rPr>
          <w:i/>
          <w:iCs/>
          <w:vertAlign w:val="superscript"/>
        </w:rPr>
      </w:r>
      <w:r w:rsidR="001B1F42">
        <w:rPr>
          <w:i/>
          <w:iCs/>
          <w:vertAlign w:val="superscript"/>
        </w:rPr>
        <w:fldChar w:fldCharType="separate"/>
      </w:r>
      <w:r w:rsidR="00504D2B" w:rsidRPr="00504D2B">
        <w:rPr>
          <w:rStyle w:val="FootnoteReference"/>
        </w:rPr>
        <w:t>16</w:t>
      </w:r>
      <w:r w:rsidR="001B1F42">
        <w:rPr>
          <w:i/>
          <w:iCs/>
          <w:vertAlign w:val="superscript"/>
        </w:rPr>
        <w:fldChar w:fldCharType="end"/>
      </w:r>
    </w:p>
    <w:p w14:paraId="009E9A24" w14:textId="7BAEF080" w:rsidR="00D37103" w:rsidRDefault="00B522C7" w:rsidP="00812F2B">
      <w:pPr>
        <w:pStyle w:val="Heading5"/>
      </w:pPr>
      <w:r>
        <w:t>Proposed regulatory action</w:t>
      </w:r>
    </w:p>
    <w:p w14:paraId="5F8C15DE" w14:textId="29426F7D" w:rsidR="00D37103" w:rsidRDefault="00D37103" w:rsidP="00D37103">
      <w:pPr>
        <w:pStyle w:val="Default"/>
        <w:rPr>
          <w:sz w:val="22"/>
          <w:szCs w:val="22"/>
        </w:rPr>
      </w:pPr>
      <w:r>
        <w:rPr>
          <w:sz w:val="22"/>
          <w:szCs w:val="22"/>
        </w:rPr>
        <w:t xml:space="preserve">Pending advice from </w:t>
      </w:r>
      <w:r w:rsidR="00B522C7">
        <w:rPr>
          <w:sz w:val="22"/>
          <w:szCs w:val="22"/>
        </w:rPr>
        <w:t>Advisory Committee on Medicines (</w:t>
      </w:r>
      <w:r>
        <w:rPr>
          <w:sz w:val="22"/>
          <w:szCs w:val="22"/>
        </w:rPr>
        <w:t>ACM</w:t>
      </w:r>
      <w:r w:rsidR="00B522C7">
        <w:rPr>
          <w:sz w:val="22"/>
          <w:szCs w:val="22"/>
        </w:rPr>
        <w:t>)</w:t>
      </w:r>
      <w:r>
        <w:rPr>
          <w:sz w:val="22"/>
          <w:szCs w:val="22"/>
        </w:rPr>
        <w:t xml:space="preserve"> and the s</w:t>
      </w:r>
      <w:r w:rsidR="007C6F80">
        <w:rPr>
          <w:sz w:val="22"/>
          <w:szCs w:val="22"/>
        </w:rPr>
        <w:t>ponsor’s Pre-ACM Response, the D</w:t>
      </w:r>
      <w:r>
        <w:rPr>
          <w:sz w:val="22"/>
          <w:szCs w:val="22"/>
        </w:rPr>
        <w:t>elegate considers the benefit/risk profile to be positive and recommen</w:t>
      </w:r>
      <w:r w:rsidR="00B522C7">
        <w:rPr>
          <w:sz w:val="22"/>
          <w:szCs w:val="22"/>
        </w:rPr>
        <w:t>ds approval for the indication:</w:t>
      </w:r>
    </w:p>
    <w:p w14:paraId="1C2FC7BC" w14:textId="2357A54B" w:rsidR="00D37103" w:rsidRPr="007C6F80" w:rsidRDefault="007C6F80" w:rsidP="007C6F80">
      <w:pPr>
        <w:ind w:left="720"/>
        <w:rPr>
          <w:i/>
        </w:rPr>
      </w:pPr>
      <w:proofErr w:type="spellStart"/>
      <w:r w:rsidRPr="007C6F80">
        <w:rPr>
          <w:i/>
        </w:rPr>
        <w:t>Forxiga</w:t>
      </w:r>
      <w:proofErr w:type="spellEnd"/>
      <w:r w:rsidR="00D37103" w:rsidRPr="007C6F80">
        <w:rPr>
          <w:i/>
        </w:rPr>
        <w:t xml:space="preserve"> is indicated in adults for the treatment of symptomatic heart failure with reduced ejection fraction, as an adjun</w:t>
      </w:r>
      <w:r w:rsidR="00B522C7">
        <w:rPr>
          <w:i/>
        </w:rPr>
        <w:t>ct to standard of care therapy.</w:t>
      </w:r>
    </w:p>
    <w:p w14:paraId="700E2D51" w14:textId="77777777" w:rsidR="00D37103" w:rsidRDefault="007C6F80" w:rsidP="007C6F80">
      <w:pPr>
        <w:pStyle w:val="Heading5"/>
      </w:pPr>
      <w:r>
        <w:t>Outstanding issues</w:t>
      </w:r>
    </w:p>
    <w:p w14:paraId="6AED7B34" w14:textId="1780C062" w:rsidR="00D37103" w:rsidRDefault="00D37103" w:rsidP="00D37103">
      <w:pPr>
        <w:pStyle w:val="Default"/>
        <w:rPr>
          <w:sz w:val="22"/>
          <w:szCs w:val="22"/>
        </w:rPr>
      </w:pPr>
      <w:r>
        <w:rPr>
          <w:sz w:val="22"/>
          <w:szCs w:val="22"/>
        </w:rPr>
        <w:t>The final version of the product information and consumer medicine informati</w:t>
      </w:r>
      <w:r w:rsidR="007C6F80">
        <w:rPr>
          <w:sz w:val="22"/>
          <w:szCs w:val="22"/>
        </w:rPr>
        <w:t>on will be negotiated with the s</w:t>
      </w:r>
      <w:r w:rsidR="00B522C7">
        <w:rPr>
          <w:sz w:val="22"/>
          <w:szCs w:val="22"/>
        </w:rPr>
        <w:t>ponsor.</w:t>
      </w:r>
    </w:p>
    <w:p w14:paraId="339C609E" w14:textId="77777777" w:rsidR="00D37103" w:rsidRDefault="007C6F80" w:rsidP="007C6F80">
      <w:pPr>
        <w:pStyle w:val="Heading5"/>
      </w:pPr>
      <w:r>
        <w:t>Conclusion</w:t>
      </w:r>
    </w:p>
    <w:p w14:paraId="11336871" w14:textId="6E148F94" w:rsidR="00D37103" w:rsidRDefault="007C6F80" w:rsidP="007C6F80">
      <w:r>
        <w:t>The sponsor ha</w:t>
      </w:r>
      <w:r w:rsidR="00812F2B">
        <w:t>d</w:t>
      </w:r>
      <w:r w:rsidR="00D37103">
        <w:t xml:space="preserve"> no reason to say, at th</w:t>
      </w:r>
      <w:r w:rsidR="00812F2B">
        <w:t>e</w:t>
      </w:r>
      <w:r w:rsidR="00D37103">
        <w:t xml:space="preserve"> time, that the application for </w:t>
      </w:r>
      <w:proofErr w:type="spellStart"/>
      <w:r w:rsidR="00D37103">
        <w:t>dapagliflozin</w:t>
      </w:r>
      <w:proofErr w:type="spellEnd"/>
      <w:r w:rsidR="00D37103">
        <w:t xml:space="preserve"> should no</w:t>
      </w:r>
      <w:r w:rsidR="00B522C7">
        <w:t>t be approved for registration.</w:t>
      </w:r>
    </w:p>
    <w:p w14:paraId="1102FFE2" w14:textId="77777777" w:rsidR="008E7846" w:rsidRDefault="008E7846" w:rsidP="007D53B6">
      <w:pPr>
        <w:pStyle w:val="Heading4"/>
      </w:pPr>
      <w:r>
        <w:t xml:space="preserve">Advisory Committee </w:t>
      </w:r>
      <w:r w:rsidR="007D53B6">
        <w:t>c</w:t>
      </w:r>
      <w:r>
        <w:t>onsiderations</w:t>
      </w:r>
      <w:r w:rsidR="00456765">
        <w:rPr>
          <w:rStyle w:val="FootnoteReference"/>
        </w:rPr>
        <w:footnoteReference w:id="17"/>
      </w:r>
    </w:p>
    <w:p w14:paraId="3B1F358D" w14:textId="77777777" w:rsidR="00744121" w:rsidRDefault="00744121" w:rsidP="00744121">
      <w:pPr>
        <w:rPr>
          <w:bCs/>
        </w:rPr>
      </w:pPr>
      <w:bookmarkStart w:id="51" w:name="_Toc247691532"/>
      <w:bookmarkStart w:id="52" w:name="_Toc314842516"/>
      <w:bookmarkEnd w:id="31"/>
      <w:bookmarkEnd w:id="46"/>
      <w:bookmarkEnd w:id="47"/>
      <w:r w:rsidRPr="00456765">
        <w:rPr>
          <w:bCs/>
        </w:rPr>
        <w:t>The Advisory Committee on Medicines (ACM), having considered the evaluations and the Delegate’s overview, as well as the sponsor’s response to these documents, advised the following</w:t>
      </w:r>
      <w:r>
        <w:rPr>
          <w:bCs/>
        </w:rPr>
        <w:t>.</w:t>
      </w:r>
    </w:p>
    <w:p w14:paraId="375641C2" w14:textId="77777777" w:rsidR="00744121" w:rsidRDefault="00744121" w:rsidP="00744121">
      <w:pPr>
        <w:pStyle w:val="Heading5"/>
      </w:pPr>
      <w:r>
        <w:t>Specific advice to the Delegate</w:t>
      </w:r>
    </w:p>
    <w:p w14:paraId="032579A9" w14:textId="77777777" w:rsidR="00E95F35" w:rsidRPr="00E95F35" w:rsidRDefault="00E95F35" w:rsidP="00E95F35">
      <w:pPr>
        <w:rPr>
          <w:lang w:val="en-GB"/>
        </w:rPr>
      </w:pPr>
      <w:r w:rsidRPr="00E95F35">
        <w:rPr>
          <w:lang w:val="en-GB"/>
        </w:rPr>
        <w:t xml:space="preserve">The ACM advised the </w:t>
      </w:r>
      <w:r w:rsidRPr="00E95F35">
        <w:t>following</w:t>
      </w:r>
      <w:r w:rsidRPr="00E95F35">
        <w:rPr>
          <w:lang w:val="en-GB"/>
        </w:rPr>
        <w:t xml:space="preserve"> in response to the Delegate’s specific request for advice: </w:t>
      </w:r>
    </w:p>
    <w:p w14:paraId="4FB8F520" w14:textId="77777777" w:rsidR="00E95F35" w:rsidRPr="00E95F35" w:rsidRDefault="00E95F35" w:rsidP="00E95F35">
      <w:pPr>
        <w:pStyle w:val="Numberbullet0"/>
        <w:numPr>
          <w:ilvl w:val="0"/>
          <w:numId w:val="36"/>
        </w:numPr>
        <w:rPr>
          <w:b/>
          <w:i/>
          <w:lang w:val="en-GB"/>
        </w:rPr>
      </w:pPr>
      <w:r w:rsidRPr="00E95F35">
        <w:rPr>
          <w:b/>
          <w:i/>
          <w:lang w:val="en-GB"/>
        </w:rPr>
        <w:t xml:space="preserve">What is the opinion of the committee on restricting the indication to symptomatic heart failure with reduced ejection fraction and use only in conjunction with other heart failure therapies? </w:t>
      </w:r>
    </w:p>
    <w:p w14:paraId="05A0B754" w14:textId="3E7451EF" w:rsidR="00E95F35" w:rsidRPr="00E95F35" w:rsidRDefault="00E95F35" w:rsidP="00E95F35">
      <w:pPr>
        <w:rPr>
          <w:lang w:val="en-GB"/>
        </w:rPr>
      </w:pPr>
      <w:r w:rsidRPr="00E95F35">
        <w:rPr>
          <w:lang w:val="en-GB"/>
        </w:rPr>
        <w:t xml:space="preserve">The committee was of the view that the indication should be restricted to use in patients with symptomatic heart failure with reduced ejection fraction (with or without type 2 diabetes mellitus) in conjunction with other heart failure therapies to ensure that use is targeted toward those who will gain the most benefit. </w:t>
      </w:r>
    </w:p>
    <w:p w14:paraId="01A5CED0" w14:textId="77777777" w:rsidR="00E95F35" w:rsidRPr="00E95F35" w:rsidRDefault="00E95F35" w:rsidP="00E95F35">
      <w:pPr>
        <w:pStyle w:val="Numberbullet0"/>
        <w:rPr>
          <w:b/>
          <w:i/>
          <w:lang w:val="en-GB"/>
        </w:rPr>
      </w:pPr>
      <w:r w:rsidRPr="00E95F35">
        <w:rPr>
          <w:b/>
          <w:i/>
          <w:lang w:val="en-GB"/>
        </w:rPr>
        <w:t xml:space="preserve">What is the opinion of the committee regarding the long term safety of </w:t>
      </w:r>
      <w:proofErr w:type="spellStart"/>
      <w:r w:rsidRPr="00E95F35">
        <w:rPr>
          <w:b/>
          <w:i/>
          <w:lang w:val="en-GB"/>
        </w:rPr>
        <w:t>dapaglifloz</w:t>
      </w:r>
      <w:r>
        <w:rPr>
          <w:b/>
          <w:i/>
          <w:lang w:val="en-GB"/>
        </w:rPr>
        <w:t>in</w:t>
      </w:r>
      <w:proofErr w:type="spellEnd"/>
      <w:r>
        <w:rPr>
          <w:b/>
          <w:i/>
          <w:lang w:val="en-GB"/>
        </w:rPr>
        <w:t xml:space="preserve"> in adults with symptomatic heart failure</w:t>
      </w:r>
      <w:r w:rsidRPr="00E95F35">
        <w:rPr>
          <w:b/>
          <w:i/>
          <w:lang w:val="en-GB"/>
        </w:rPr>
        <w:t xml:space="preserve"> in the absence of T2DM, given that the median follow-up period in </w:t>
      </w:r>
      <w:r>
        <w:rPr>
          <w:b/>
          <w:i/>
          <w:lang w:val="en-GB"/>
        </w:rPr>
        <w:t xml:space="preserve">the </w:t>
      </w:r>
      <w:r w:rsidRPr="00E95F35">
        <w:rPr>
          <w:b/>
          <w:i/>
          <w:lang w:val="en-GB"/>
        </w:rPr>
        <w:t>DAPA-HF</w:t>
      </w:r>
      <w:r>
        <w:rPr>
          <w:b/>
          <w:i/>
          <w:lang w:val="en-GB"/>
        </w:rPr>
        <w:t xml:space="preserve"> trial</w:t>
      </w:r>
      <w:r w:rsidRPr="00E95F35">
        <w:rPr>
          <w:b/>
          <w:i/>
          <w:lang w:val="en-GB"/>
        </w:rPr>
        <w:t xml:space="preserve"> was 18 months? </w:t>
      </w:r>
    </w:p>
    <w:p w14:paraId="50FBA501" w14:textId="416934C2" w:rsidR="00E95F35" w:rsidRPr="00E95F35" w:rsidRDefault="00E95F35" w:rsidP="00E95F35">
      <w:pPr>
        <w:rPr>
          <w:lang w:val="en-GB"/>
        </w:rPr>
      </w:pPr>
      <w:r w:rsidRPr="00E95F35">
        <w:rPr>
          <w:lang w:val="en-GB"/>
        </w:rPr>
        <w:t>The ACM noted th</w:t>
      </w:r>
      <w:r>
        <w:rPr>
          <w:lang w:val="en-GB"/>
        </w:rPr>
        <w:t xml:space="preserve">at </w:t>
      </w:r>
      <w:proofErr w:type="spellStart"/>
      <w:r>
        <w:rPr>
          <w:lang w:val="en-GB"/>
        </w:rPr>
        <w:t>dapagliflozin</w:t>
      </w:r>
      <w:proofErr w:type="spellEnd"/>
      <w:r>
        <w:rPr>
          <w:lang w:val="en-GB"/>
        </w:rPr>
        <w:t xml:space="preserve"> has been utilis</w:t>
      </w:r>
      <w:r w:rsidRPr="00E95F35">
        <w:rPr>
          <w:lang w:val="en-GB"/>
        </w:rPr>
        <w:t>ed in the type 2 diabete</w:t>
      </w:r>
      <w:r w:rsidR="00B522C7">
        <w:rPr>
          <w:lang w:val="en-GB"/>
        </w:rPr>
        <w:t>s population for several years.</w:t>
      </w:r>
    </w:p>
    <w:p w14:paraId="60F5EDFB" w14:textId="29BF6365" w:rsidR="00E95F35" w:rsidRPr="00E95F35" w:rsidRDefault="00E95F35" w:rsidP="00E95F35">
      <w:pPr>
        <w:rPr>
          <w:lang w:val="en-GB"/>
        </w:rPr>
      </w:pPr>
      <w:r w:rsidRPr="00E95F35">
        <w:rPr>
          <w:lang w:val="en-GB"/>
        </w:rPr>
        <w:t xml:space="preserve">The ACM agreed that owing to the longer history of use of </w:t>
      </w:r>
      <w:proofErr w:type="spellStart"/>
      <w:r w:rsidRPr="00E95F35">
        <w:rPr>
          <w:lang w:val="en-GB"/>
        </w:rPr>
        <w:t>dapagliflozin</w:t>
      </w:r>
      <w:proofErr w:type="spellEnd"/>
      <w:r w:rsidRPr="00E95F35">
        <w:rPr>
          <w:lang w:val="en-GB"/>
        </w:rPr>
        <w:t xml:space="preserve"> in patients with type 2 diabetes, and in the absence of new or different safety concerns arising from the DAPA-HF </w:t>
      </w:r>
      <w:r>
        <w:rPr>
          <w:lang w:val="en-GB"/>
        </w:rPr>
        <w:t>trial</w:t>
      </w:r>
      <w:r w:rsidRPr="00E95F35">
        <w:rPr>
          <w:lang w:val="en-GB"/>
        </w:rPr>
        <w:t>, the relatively short term safety follow-up in this study i</w:t>
      </w:r>
      <w:r w:rsidR="00B522C7">
        <w:rPr>
          <w:lang w:val="en-GB"/>
        </w:rPr>
        <w:t>s not an issue. Patients with heart failure</w:t>
      </w:r>
      <w:r w:rsidRPr="00E95F35">
        <w:rPr>
          <w:lang w:val="en-GB"/>
        </w:rPr>
        <w:t xml:space="preserve"> commencing on </w:t>
      </w:r>
      <w:proofErr w:type="spellStart"/>
      <w:r w:rsidRPr="00E95F35">
        <w:rPr>
          <w:lang w:val="en-GB"/>
        </w:rPr>
        <w:t>dapagliflozin</w:t>
      </w:r>
      <w:proofErr w:type="spellEnd"/>
      <w:r w:rsidRPr="00E95F35">
        <w:rPr>
          <w:lang w:val="en-GB"/>
        </w:rPr>
        <w:t xml:space="preserve"> will be monitor</w:t>
      </w:r>
      <w:r>
        <w:rPr>
          <w:lang w:val="en-GB"/>
        </w:rPr>
        <w:t>ed by a sub</w:t>
      </w:r>
      <w:r w:rsidR="00B522C7">
        <w:rPr>
          <w:lang w:val="en-GB"/>
        </w:rPr>
        <w:t>specialist group.</w:t>
      </w:r>
    </w:p>
    <w:p w14:paraId="55B79A96" w14:textId="77777777" w:rsidR="00E95F35" w:rsidRPr="00E95F35" w:rsidRDefault="00E95F35" w:rsidP="00E95F35">
      <w:pPr>
        <w:pStyle w:val="Numberbullet0"/>
        <w:rPr>
          <w:b/>
          <w:i/>
          <w:lang w:val="en-GB"/>
        </w:rPr>
      </w:pPr>
      <w:r w:rsidRPr="00E95F35">
        <w:rPr>
          <w:b/>
          <w:i/>
          <w:lang w:val="en-GB"/>
        </w:rPr>
        <w:t xml:space="preserve">The Committee is also requested to provide advice on any other issues that it thinks may be relevant to a decision on whether or not to approve this application. </w:t>
      </w:r>
    </w:p>
    <w:p w14:paraId="7FB2559D" w14:textId="3CC960CF" w:rsidR="00E95F35" w:rsidRPr="00E95F35" w:rsidRDefault="00E95F35" w:rsidP="00E95F35">
      <w:pPr>
        <w:rPr>
          <w:lang w:val="en-GB"/>
        </w:rPr>
      </w:pPr>
      <w:r w:rsidRPr="00E95F35">
        <w:rPr>
          <w:lang w:val="en-GB"/>
        </w:rPr>
        <w:t xml:space="preserve">With regard to the phrasing of the </w:t>
      </w:r>
      <w:r>
        <w:rPr>
          <w:lang w:val="en-GB"/>
        </w:rPr>
        <w:t>PI</w:t>
      </w:r>
      <w:r w:rsidRPr="00E95F35">
        <w:rPr>
          <w:lang w:val="en-GB"/>
        </w:rPr>
        <w:t xml:space="preserve">, </w:t>
      </w:r>
      <w:r>
        <w:rPr>
          <w:lang w:val="en-GB"/>
        </w:rPr>
        <w:t xml:space="preserve">the </w:t>
      </w:r>
      <w:r w:rsidRPr="00E95F35">
        <w:rPr>
          <w:lang w:val="en-GB"/>
        </w:rPr>
        <w:t xml:space="preserve">ACM advised that the particular classes of drugs that are used in conjunction with </w:t>
      </w:r>
      <w:proofErr w:type="spellStart"/>
      <w:r w:rsidRPr="00E95F35">
        <w:rPr>
          <w:lang w:val="en-GB"/>
        </w:rPr>
        <w:t>dapagliflozin</w:t>
      </w:r>
      <w:proofErr w:type="spellEnd"/>
      <w:r w:rsidRPr="00E95F35">
        <w:rPr>
          <w:lang w:val="en-GB"/>
        </w:rPr>
        <w:t xml:space="preserve"> do not need to be individually specified within the </w:t>
      </w:r>
      <w:r w:rsidR="00B522C7">
        <w:rPr>
          <w:lang w:val="en-GB"/>
        </w:rPr>
        <w:t>PI</w:t>
      </w:r>
      <w:r w:rsidRPr="00E95F35">
        <w:rPr>
          <w:lang w:val="en-GB"/>
        </w:rPr>
        <w:t xml:space="preserve"> as this is a clinical decision to be made by the treating physician based on the patient’s individual circumstances. </w:t>
      </w:r>
    </w:p>
    <w:p w14:paraId="778B622A" w14:textId="06525BF0" w:rsidR="00E95F35" w:rsidRPr="00E95F35" w:rsidRDefault="00E95F35" w:rsidP="00E95F35">
      <w:pPr>
        <w:rPr>
          <w:lang w:val="en-GB"/>
        </w:rPr>
      </w:pPr>
      <w:r w:rsidRPr="00E95F35">
        <w:t>The</w:t>
      </w:r>
      <w:r w:rsidRPr="00E95F35">
        <w:rPr>
          <w:lang w:val="en-GB"/>
        </w:rPr>
        <w:t xml:space="preserve"> Delegate also requested advice regarding the proposed removal of cautionary text in the </w:t>
      </w:r>
      <w:r>
        <w:rPr>
          <w:lang w:val="en-GB"/>
        </w:rPr>
        <w:t>PI</w:t>
      </w:r>
      <w:r w:rsidRPr="00E95F35">
        <w:rPr>
          <w:lang w:val="en-GB"/>
        </w:rPr>
        <w:t xml:space="preserve"> concerning volume depletion. The committee was of the view that the cautionary text should be retained in the </w:t>
      </w:r>
      <w:r>
        <w:rPr>
          <w:lang w:val="en-GB"/>
        </w:rPr>
        <w:t xml:space="preserve">PI </w:t>
      </w:r>
      <w:r w:rsidRPr="00E95F35">
        <w:rPr>
          <w:lang w:val="en-GB"/>
        </w:rPr>
        <w:t>as it provides a warning to patients and prescribers about a real issue that can have serious implications for a small number of patients. The ACM noted that volume depletion appears to be a class effect, and that cautionary text concerning volume depl</w:t>
      </w:r>
      <w:r>
        <w:rPr>
          <w:lang w:val="en-GB"/>
        </w:rPr>
        <w:t xml:space="preserve">etion is also included in the PI </w:t>
      </w:r>
      <w:r w:rsidR="00B522C7">
        <w:rPr>
          <w:lang w:val="en-GB"/>
        </w:rPr>
        <w:t>of other SGLT2 inhibitors.</w:t>
      </w:r>
    </w:p>
    <w:p w14:paraId="3941E875" w14:textId="77777777" w:rsidR="00E95F35" w:rsidRPr="00E95F35" w:rsidRDefault="00E95F35" w:rsidP="00E95F35">
      <w:pPr>
        <w:pStyle w:val="Heading5"/>
        <w:rPr>
          <w:rFonts w:eastAsiaTheme="minorHAnsi" w:cs="Cambria"/>
          <w:lang w:val="en-GB"/>
        </w:rPr>
      </w:pPr>
      <w:r>
        <w:rPr>
          <w:rFonts w:eastAsiaTheme="minorHAnsi"/>
          <w:lang w:val="en-GB"/>
        </w:rPr>
        <w:t>Conclusion</w:t>
      </w:r>
    </w:p>
    <w:p w14:paraId="307FAC71" w14:textId="77777777" w:rsidR="00E95F35" w:rsidRPr="00E95F35" w:rsidRDefault="00E95F35" w:rsidP="00E95F35">
      <w:pPr>
        <w:autoSpaceDE w:val="0"/>
        <w:autoSpaceDN w:val="0"/>
        <w:adjustRightInd w:val="0"/>
        <w:spacing w:before="0" w:after="0" w:line="240" w:lineRule="auto"/>
        <w:rPr>
          <w:rFonts w:eastAsiaTheme="minorHAnsi" w:cs="Cambria"/>
          <w:color w:val="000000"/>
          <w:lang w:val="en-GB"/>
        </w:rPr>
      </w:pPr>
      <w:r w:rsidRPr="00E95F35">
        <w:rPr>
          <w:rFonts w:eastAsiaTheme="minorHAnsi" w:cs="Cambria"/>
          <w:color w:val="000000"/>
          <w:lang w:val="en-GB"/>
        </w:rPr>
        <w:t xml:space="preserve">The ACM considered this product to have an overall positive benefit-risk profile for the indication: </w:t>
      </w:r>
    </w:p>
    <w:p w14:paraId="2D074005" w14:textId="77777777" w:rsidR="007C6F80" w:rsidRPr="007C6F80" w:rsidRDefault="00E95F35" w:rsidP="00E95F35">
      <w:pPr>
        <w:ind w:left="720"/>
      </w:pPr>
      <w:proofErr w:type="spellStart"/>
      <w:r w:rsidRPr="00E95F35">
        <w:rPr>
          <w:rFonts w:eastAsiaTheme="minorHAnsi" w:cs="Cambria"/>
          <w:i/>
          <w:iCs/>
          <w:color w:val="000000"/>
          <w:lang w:val="en-GB"/>
        </w:rPr>
        <w:t>Forxiga</w:t>
      </w:r>
      <w:proofErr w:type="spellEnd"/>
      <w:r w:rsidRPr="00E95F35">
        <w:rPr>
          <w:rFonts w:eastAsiaTheme="minorHAnsi" w:cs="Cambria"/>
          <w:i/>
          <w:iCs/>
          <w:color w:val="000000"/>
          <w:lang w:val="en-GB"/>
        </w:rPr>
        <w:t xml:space="preserve"> </w:t>
      </w:r>
      <w:r w:rsidRPr="00E95F35">
        <w:rPr>
          <w:rFonts w:eastAsiaTheme="minorHAnsi" w:cs="Cambria"/>
          <w:i/>
          <w:iCs/>
          <w:color w:val="000000"/>
          <w:sz w:val="21"/>
          <w:szCs w:val="21"/>
          <w:lang w:val="en-GB"/>
        </w:rPr>
        <w:t>is indicated in adults for the treatment of symptomatic heart failure with reduced ejection fraction, as an adjunct to standard of care therapy</w:t>
      </w:r>
      <w:r>
        <w:rPr>
          <w:rFonts w:eastAsiaTheme="minorHAnsi" w:cs="Cambria"/>
          <w:i/>
          <w:iCs/>
          <w:color w:val="000000"/>
          <w:sz w:val="21"/>
          <w:szCs w:val="21"/>
          <w:lang w:val="en-GB"/>
        </w:rPr>
        <w:t>.</w:t>
      </w:r>
    </w:p>
    <w:p w14:paraId="0A2FD8E9" w14:textId="77777777" w:rsidR="008E7846" w:rsidRPr="002E238E" w:rsidRDefault="008E7846" w:rsidP="008E7846">
      <w:pPr>
        <w:pStyle w:val="Heading3"/>
      </w:pPr>
      <w:bookmarkStart w:id="53" w:name="_Toc69894106"/>
      <w:r>
        <w:t>Outcome</w:t>
      </w:r>
      <w:bookmarkEnd w:id="51"/>
      <w:bookmarkEnd w:id="52"/>
      <w:bookmarkEnd w:id="53"/>
    </w:p>
    <w:p w14:paraId="68A114FF" w14:textId="7B268311" w:rsidR="00744121" w:rsidRDefault="00744121" w:rsidP="00744121">
      <w:bookmarkStart w:id="54" w:name="_Toc247691533"/>
      <w:bookmarkStart w:id="55" w:name="_Toc314842517"/>
      <w:r>
        <w:t xml:space="preserve">Based on a review of quality, safety and efficacy, the TGA approved the registration of </w:t>
      </w:r>
      <w:proofErr w:type="spellStart"/>
      <w:r w:rsidR="00C15EC1">
        <w:t>Forxiga</w:t>
      </w:r>
      <w:proofErr w:type="spellEnd"/>
      <w:r w:rsidR="00C15EC1">
        <w:t xml:space="preserve"> (</w:t>
      </w:r>
      <w:proofErr w:type="spellStart"/>
      <w:r w:rsidR="00C15EC1">
        <w:t>dapagliflozin</w:t>
      </w:r>
      <w:proofErr w:type="spellEnd"/>
      <w:r w:rsidR="00C15EC1">
        <w:t xml:space="preserve">, as </w:t>
      </w:r>
      <w:proofErr w:type="spellStart"/>
      <w:r w:rsidR="00C15EC1">
        <w:t>propanediol</w:t>
      </w:r>
      <w:proofErr w:type="spellEnd"/>
      <w:r w:rsidR="00C15EC1">
        <w:t xml:space="preserve"> monohydrate) </w:t>
      </w:r>
      <w:r w:rsidR="00B522C7">
        <w:t xml:space="preserve">10 mg film-coated tablets </w:t>
      </w:r>
      <w:r w:rsidR="00C15EC1">
        <w:t>indicated</w:t>
      </w:r>
      <w:r>
        <w:t xml:space="preserve"> for the following extension of indications:</w:t>
      </w:r>
    </w:p>
    <w:p w14:paraId="06AF56E1" w14:textId="77777777" w:rsidR="00C15EC1" w:rsidRPr="00C15EC1" w:rsidRDefault="00C15EC1" w:rsidP="00C15EC1">
      <w:pPr>
        <w:ind w:left="720"/>
        <w:rPr>
          <w:b/>
          <w:i/>
        </w:rPr>
      </w:pPr>
      <w:r w:rsidRPr="00C15EC1">
        <w:rPr>
          <w:b/>
          <w:i/>
        </w:rPr>
        <w:t>Heart failure</w:t>
      </w:r>
    </w:p>
    <w:p w14:paraId="0FA499DB" w14:textId="77777777" w:rsidR="007D53B6" w:rsidRDefault="00C15EC1" w:rsidP="00C15EC1">
      <w:pPr>
        <w:ind w:left="720"/>
        <w:rPr>
          <w:i/>
        </w:rPr>
      </w:pPr>
      <w:proofErr w:type="spellStart"/>
      <w:r w:rsidRPr="00C15EC1">
        <w:rPr>
          <w:i/>
        </w:rPr>
        <w:t>Forxiga</w:t>
      </w:r>
      <w:proofErr w:type="spellEnd"/>
      <w:r w:rsidRPr="00C15EC1">
        <w:rPr>
          <w:i/>
        </w:rPr>
        <w:t xml:space="preserve"> is indicated in adults for the treatment of symptomatic heart failure with reduced ejection fraction, as an adjunct to standard of care therapy (see section 5.1 Pharmacodynamic properties).</w:t>
      </w:r>
    </w:p>
    <w:p w14:paraId="38AF2F2A" w14:textId="77777777" w:rsidR="00C15EC1" w:rsidRDefault="00C15EC1" w:rsidP="00C15EC1">
      <w:r>
        <w:t>The full indications are now:</w:t>
      </w:r>
    </w:p>
    <w:p w14:paraId="33B13879" w14:textId="77777777" w:rsidR="00C15EC1" w:rsidRPr="00C15EC1" w:rsidRDefault="00C15EC1" w:rsidP="00C15EC1">
      <w:pPr>
        <w:ind w:left="720"/>
        <w:rPr>
          <w:b/>
          <w:i/>
        </w:rPr>
      </w:pPr>
      <w:r w:rsidRPr="00C15EC1">
        <w:rPr>
          <w:b/>
          <w:i/>
        </w:rPr>
        <w:t>Type 2 diabetes mellitus</w:t>
      </w:r>
    </w:p>
    <w:p w14:paraId="30D0481C" w14:textId="77777777" w:rsidR="00C15EC1" w:rsidRPr="00C15EC1" w:rsidRDefault="00C15EC1" w:rsidP="00C15EC1">
      <w:pPr>
        <w:ind w:left="720"/>
        <w:rPr>
          <w:i/>
        </w:rPr>
      </w:pPr>
      <w:r w:rsidRPr="00C15EC1">
        <w:rPr>
          <w:i/>
        </w:rPr>
        <w:t>Glycaemic control</w:t>
      </w:r>
    </w:p>
    <w:p w14:paraId="416B1EF5" w14:textId="77777777" w:rsidR="00C15EC1" w:rsidRPr="00C15EC1" w:rsidRDefault="007448FA" w:rsidP="00C15EC1">
      <w:pPr>
        <w:ind w:left="720"/>
        <w:rPr>
          <w:i/>
        </w:rPr>
      </w:pPr>
      <w:proofErr w:type="spellStart"/>
      <w:r w:rsidRPr="00C15EC1">
        <w:rPr>
          <w:i/>
        </w:rPr>
        <w:t>Forxiga</w:t>
      </w:r>
      <w:proofErr w:type="spellEnd"/>
      <w:r w:rsidRPr="00C15EC1">
        <w:rPr>
          <w:i/>
        </w:rPr>
        <w:t xml:space="preserve"> </w:t>
      </w:r>
      <w:r w:rsidR="00C15EC1" w:rsidRPr="00C15EC1">
        <w:rPr>
          <w:i/>
        </w:rPr>
        <w:t>is indicated in adults with type 2 diabetes mellitus:</w:t>
      </w:r>
    </w:p>
    <w:p w14:paraId="458F6D1A" w14:textId="77777777" w:rsidR="00C15EC1" w:rsidRPr="007448FA" w:rsidRDefault="00C15EC1" w:rsidP="00C15EC1">
      <w:pPr>
        <w:pStyle w:val="ListBullet3"/>
        <w:rPr>
          <w:i/>
        </w:rPr>
      </w:pPr>
      <w:r w:rsidRPr="007448FA">
        <w:rPr>
          <w:i/>
        </w:rPr>
        <w:t>as monotherapy as an adjunct to diet and exercise in patients for whom metformin is otherwise indicated but was not tolerated.</w:t>
      </w:r>
    </w:p>
    <w:p w14:paraId="2A595EF4" w14:textId="77777777" w:rsidR="00C15EC1" w:rsidRPr="007448FA" w:rsidRDefault="00C15EC1" w:rsidP="00C15EC1">
      <w:pPr>
        <w:pStyle w:val="ListBullet3"/>
        <w:rPr>
          <w:i/>
        </w:rPr>
      </w:pPr>
      <w:r w:rsidRPr="007448FA">
        <w:rPr>
          <w:i/>
        </w:rPr>
        <w:t>as initial combination therapy with metformin, as an adjunct to diet and exercise, to improve glycaemic control when diet and exercise have failed to provide adequate glycaemic control and there are poor prospects for response to metformin monotherapy (for example, high initial haemoglobin A1c [HbA1c] levels).</w:t>
      </w:r>
    </w:p>
    <w:p w14:paraId="419C8EAE" w14:textId="77777777" w:rsidR="00C15EC1" w:rsidRDefault="00C15EC1" w:rsidP="00C15EC1">
      <w:pPr>
        <w:pStyle w:val="ListBullet3"/>
        <w:rPr>
          <w:i/>
        </w:rPr>
      </w:pPr>
      <w:r w:rsidRPr="007448FA">
        <w:rPr>
          <w:i/>
        </w:rPr>
        <w:t>in combination with other anti-hyperglycaemic agents to improve glycaemic control, when these together with diet and exercise, do not provide adequate glycaemic control (see section 5.1 Pharmacodynamic properties – Clinical trials and section 4.4 Special warnings and precautions for use for available data on different add-on combination therapies.</w:t>
      </w:r>
    </w:p>
    <w:p w14:paraId="2E1A9376" w14:textId="77777777" w:rsidR="007448FA" w:rsidRPr="007448FA" w:rsidRDefault="007448FA" w:rsidP="007448FA">
      <w:pPr>
        <w:ind w:left="720"/>
        <w:rPr>
          <w:i/>
        </w:rPr>
      </w:pPr>
      <w:r w:rsidRPr="007448FA">
        <w:rPr>
          <w:i/>
        </w:rPr>
        <w:t>Prevention of hospitalisation for heart failure</w:t>
      </w:r>
    </w:p>
    <w:p w14:paraId="4C97DF12" w14:textId="77777777" w:rsidR="007448FA" w:rsidRDefault="007448FA" w:rsidP="007448FA">
      <w:pPr>
        <w:ind w:left="720"/>
        <w:rPr>
          <w:i/>
        </w:rPr>
      </w:pPr>
      <w:proofErr w:type="spellStart"/>
      <w:r>
        <w:rPr>
          <w:i/>
        </w:rPr>
        <w:t>Forxiga</w:t>
      </w:r>
      <w:proofErr w:type="spellEnd"/>
      <w:r w:rsidRPr="007448FA">
        <w:rPr>
          <w:i/>
        </w:rPr>
        <w:t xml:space="preserve"> is indicated in adults with type 2 diabetes mellitus and established cardiovascular disease or risk factors for cardiovascular disease to reduce the risk of hospitalization for heart failure (see section 5.1 Pharmacodynamic properties – Clinical trials).</w:t>
      </w:r>
    </w:p>
    <w:p w14:paraId="7955A122" w14:textId="77777777" w:rsidR="007448FA" w:rsidRPr="00C15EC1" w:rsidRDefault="007448FA" w:rsidP="007448FA">
      <w:pPr>
        <w:ind w:left="720"/>
        <w:rPr>
          <w:b/>
          <w:i/>
        </w:rPr>
      </w:pPr>
      <w:r w:rsidRPr="00C15EC1">
        <w:rPr>
          <w:b/>
          <w:i/>
        </w:rPr>
        <w:t>Heart failure</w:t>
      </w:r>
    </w:p>
    <w:p w14:paraId="65138F42" w14:textId="77777777" w:rsidR="007448FA" w:rsidRPr="007448FA" w:rsidRDefault="007448FA" w:rsidP="007448FA">
      <w:pPr>
        <w:ind w:left="720"/>
        <w:rPr>
          <w:i/>
        </w:rPr>
      </w:pPr>
      <w:proofErr w:type="spellStart"/>
      <w:r w:rsidRPr="00C15EC1">
        <w:rPr>
          <w:i/>
        </w:rPr>
        <w:t>Forxiga</w:t>
      </w:r>
      <w:proofErr w:type="spellEnd"/>
      <w:r w:rsidRPr="00C15EC1">
        <w:rPr>
          <w:i/>
        </w:rPr>
        <w:t xml:space="preserve"> is indicated in adults for the treatment of symptomatic heart failure with reduced ejection fraction, as an adjunct to standard of care therapy (see section 5.1 Pharmacodynamic properties).</w:t>
      </w:r>
    </w:p>
    <w:p w14:paraId="3A6BC532" w14:textId="77777777" w:rsidR="00D23139" w:rsidRDefault="00D23139" w:rsidP="00D23139">
      <w:pPr>
        <w:pStyle w:val="Heading4"/>
      </w:pPr>
      <w:r w:rsidRPr="00D23139">
        <w:t>Specific conditions of registration applying to these goods</w:t>
      </w:r>
    </w:p>
    <w:p w14:paraId="5378F06C" w14:textId="4CF03B78" w:rsidR="007448FA" w:rsidRDefault="007448FA" w:rsidP="00F461F2">
      <w:pPr>
        <w:pStyle w:val="ListBullet"/>
      </w:pPr>
      <w:r>
        <w:t xml:space="preserve">The </w:t>
      </w:r>
      <w:proofErr w:type="spellStart"/>
      <w:r>
        <w:t>Forxiga</w:t>
      </w:r>
      <w:proofErr w:type="spellEnd"/>
      <w:r>
        <w:t xml:space="preserve"> EU-Risk Management Plan (RMP) (version 18, dated 27 October 2019, data lock point 30 September 2019), with Australian </w:t>
      </w:r>
      <w:r w:rsidR="00812F2B">
        <w:t>s</w:t>
      </w:r>
      <w:r>
        <w:t xml:space="preserve">pecific </w:t>
      </w:r>
      <w:r w:rsidR="00812F2B">
        <w:t>a</w:t>
      </w:r>
      <w:r>
        <w:t>nnex (version 11.0, dated 8 November 2019), included with submission PM-2019-05370-1-3, and any subsequent revisions, as agreed with the TGA will be implemented in Australia.</w:t>
      </w:r>
    </w:p>
    <w:p w14:paraId="61AC303B" w14:textId="77777777" w:rsidR="008E7846" w:rsidRDefault="00A80B5B" w:rsidP="00D23139">
      <w:pPr>
        <w:pStyle w:val="Heading2"/>
      </w:pPr>
      <w:bookmarkStart w:id="56" w:name="_Toc69894107"/>
      <w:r>
        <w:t xml:space="preserve">Attachment 1. </w:t>
      </w:r>
      <w:r w:rsidR="008E7846">
        <w:t xml:space="preserve">Product </w:t>
      </w:r>
      <w:r w:rsidR="00AA0ED0">
        <w:t>I</w:t>
      </w:r>
      <w:r w:rsidR="008E7846">
        <w:t>nformation</w:t>
      </w:r>
      <w:bookmarkEnd w:id="54"/>
      <w:bookmarkEnd w:id="55"/>
      <w:bookmarkEnd w:id="56"/>
    </w:p>
    <w:p w14:paraId="7DF4040A" w14:textId="75608FC8" w:rsidR="00D37103" w:rsidRDefault="006136D7" w:rsidP="001C5328">
      <w:r w:rsidRPr="002B3624">
        <w:t xml:space="preserve">The </w:t>
      </w:r>
      <w:r>
        <w:t>PI</w:t>
      </w:r>
      <w:r w:rsidRPr="002B3624">
        <w:t xml:space="preserve"> for </w:t>
      </w:r>
      <w:proofErr w:type="spellStart"/>
      <w:r w:rsidR="007448FA">
        <w:t>Forxiga</w:t>
      </w:r>
      <w:proofErr w:type="spellEnd"/>
      <w:r w:rsidR="007448FA">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0" w:history="1">
        <w:r w:rsidR="007C6B9B" w:rsidRPr="007C6B9B">
          <w:rPr>
            <w:rStyle w:val="Hyperlink"/>
          </w:rPr>
          <w:t>https://www.tga.gov.au/product-information-pi</w:t>
        </w:r>
      </w:hyperlink>
      <w:r w:rsidR="007448FA">
        <w:t>&gt;.</w:t>
      </w:r>
    </w:p>
    <w:p w14:paraId="269C72B6" w14:textId="77777777" w:rsidR="00E42B80" w:rsidRPr="001D043B" w:rsidRDefault="00E42B80" w:rsidP="00E42B80">
      <w:pPr>
        <w:autoSpaceDE w:val="0"/>
        <w:autoSpaceDN w:val="0"/>
        <w:adjustRightInd w:val="0"/>
        <w:spacing w:after="0"/>
        <w:rPr>
          <w:lang w:eastAsia="ja-JP"/>
        </w:rPr>
        <w:sectPr w:rsidR="00E42B80" w:rsidRPr="001D043B" w:rsidSect="00B452CE">
          <w:headerReference w:type="even" r:id="rId21"/>
          <w:headerReference w:type="default" r:id="rId22"/>
          <w:headerReference w:type="first" r:id="rId23"/>
          <w:footerReference w:type="first" r:id="rId24"/>
          <w:pgSz w:w="11906" w:h="16838" w:code="9"/>
          <w:pgMar w:top="834" w:right="1701" w:bottom="1191" w:left="1701" w:header="907" w:footer="216" w:gutter="0"/>
          <w:cols w:space="708"/>
          <w:docGrid w:linePitch="360"/>
        </w:sectPr>
      </w:pPr>
      <w:r w:rsidRPr="00C80137">
        <w:rPr>
          <w:b/>
        </w:rPr>
        <w:br w:type="page"/>
      </w:r>
      <w:bookmarkStart w:id="57" w:name="_GoBack"/>
      <w:bookmarkEnd w:id="57"/>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E42B80" w:rsidRPr="00487162" w14:paraId="492B1289" w14:textId="77777777" w:rsidTr="00E42B80">
        <w:trPr>
          <w:trHeight w:hRule="exact" w:val="704"/>
        </w:trPr>
        <w:tc>
          <w:tcPr>
            <w:tcW w:w="9175" w:type="dxa"/>
          </w:tcPr>
          <w:p w14:paraId="5AE9749A" w14:textId="77777777" w:rsidR="00E42B80" w:rsidRPr="00487162" w:rsidRDefault="00E42B80" w:rsidP="00E42B80">
            <w:pPr>
              <w:pStyle w:val="TGASignoff"/>
            </w:pPr>
            <w:r w:rsidRPr="00487162">
              <w:t>Therapeutic Goods Administration</w:t>
            </w:r>
          </w:p>
        </w:tc>
      </w:tr>
      <w:tr w:rsidR="00E42B80" w:rsidRPr="004C239D" w14:paraId="688E1C7C" w14:textId="77777777" w:rsidTr="00E42B80">
        <w:trPr>
          <w:trHeight w:val="1221"/>
        </w:trPr>
        <w:tc>
          <w:tcPr>
            <w:tcW w:w="9175" w:type="dxa"/>
            <w:tcMar>
              <w:top w:w="28" w:type="dxa"/>
            </w:tcMar>
          </w:tcPr>
          <w:p w14:paraId="1472DC67" w14:textId="77777777" w:rsidR="00E42B80" w:rsidRPr="00487162" w:rsidRDefault="00E42B80" w:rsidP="00E42B80">
            <w:pPr>
              <w:pStyle w:val="Address"/>
            </w:pPr>
            <w:r w:rsidRPr="00487162">
              <w:t>PO Box 100 Woden ACT 2606 Australia</w:t>
            </w:r>
          </w:p>
          <w:p w14:paraId="157E0B9A" w14:textId="77777777" w:rsidR="00E42B80" w:rsidRPr="00487162" w:rsidRDefault="00E42B80" w:rsidP="00E42B80">
            <w:pPr>
              <w:pStyle w:val="Address"/>
            </w:pPr>
            <w:r w:rsidRPr="00487162">
              <w:t xml:space="preserve">Email: </w:t>
            </w:r>
            <w:hyperlink r:id="rId25" w:history="1">
              <w:r w:rsidRPr="004C239D">
                <w:rPr>
                  <w:rStyle w:val="Hyperlink"/>
                </w:rPr>
                <w:t>info@tga.gov.au</w:t>
              </w:r>
            </w:hyperlink>
            <w:r w:rsidRPr="00487162">
              <w:t xml:space="preserve">  Phone: 1800 020 653  Fax: 02 6232 8605</w:t>
            </w:r>
          </w:p>
          <w:p w14:paraId="1F8FBE8E" w14:textId="77777777" w:rsidR="00E42B80" w:rsidRPr="004C239D" w:rsidRDefault="00E42B80" w:rsidP="00E42B80">
            <w:pPr>
              <w:pStyle w:val="Address"/>
              <w:spacing w:line="260" w:lineRule="atLeast"/>
              <w:rPr>
                <w:b/>
                <w:color w:val="0000FF"/>
                <w:u w:val="single"/>
              </w:rPr>
            </w:pPr>
            <w:hyperlink r:id="rId26" w:history="1">
              <w:r w:rsidRPr="007C6B9B">
                <w:rPr>
                  <w:rStyle w:val="Hyperlink"/>
                  <w:b/>
                </w:rPr>
                <w:t>https://www.tga.gov.au</w:t>
              </w:r>
            </w:hyperlink>
          </w:p>
        </w:tc>
      </w:tr>
    </w:tbl>
    <w:p w14:paraId="669CC809" w14:textId="77777777" w:rsidR="00E42B80" w:rsidRPr="001C5328" w:rsidRDefault="00E42B80" w:rsidP="001C5328">
      <w:pPr>
        <w:rPr>
          <w:color w:val="000000"/>
          <w:lang w:eastAsia="en-AU"/>
        </w:rPr>
      </w:pPr>
    </w:p>
    <w:sectPr w:rsidR="00E42B80" w:rsidRPr="001C5328" w:rsidSect="00E42B80">
      <w:headerReference w:type="even" r:id="rId27"/>
      <w:headerReference w:type="default" r:id="rId28"/>
      <w:footerReference w:type="default" r:id="rId29"/>
      <w:headerReference w:type="first" r:id="rId30"/>
      <w:footerReference w:type="first" r:id="rId31"/>
      <w:pgSz w:w="11906" w:h="16838" w:code="9"/>
      <w:pgMar w:top="13183" w:right="1701" w:bottom="1191" w:left="1701" w:header="907" w:footer="21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BB0A" w16cex:dateUtc="2021-03-24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E8F29B" w16cid:durableId="23D52DAC"/>
  <w16cid:commentId w16cid:paraId="1A9C0925" w16cid:durableId="2405B3B9"/>
  <w16cid:commentId w16cid:paraId="1554F53B" w16cid:durableId="23D7C8C3"/>
  <w16cid:commentId w16cid:paraId="22044364" w16cid:durableId="2405B3BB"/>
  <w16cid:commentId w16cid:paraId="4241356C" w16cid:durableId="23D7C8F7"/>
  <w16cid:commentId w16cid:paraId="3E490F72" w16cid:durableId="2405B3BD"/>
  <w16cid:commentId w16cid:paraId="1142EED0" w16cid:durableId="23D7C900"/>
  <w16cid:commentId w16cid:paraId="2543A06C" w16cid:durableId="2405B3BF"/>
  <w16cid:commentId w16cid:paraId="45F5648C" w16cid:durableId="23D7C906"/>
  <w16cid:commentId w16cid:paraId="5A3FA8DC" w16cid:durableId="2405B3C1"/>
  <w16cid:commentId w16cid:paraId="0B296F82" w16cid:durableId="23D7C90D"/>
  <w16cid:commentId w16cid:paraId="5C2B4E66" w16cid:durableId="2405B3C3"/>
  <w16cid:commentId w16cid:paraId="6BA5B700" w16cid:durableId="23D8C537"/>
  <w16cid:commentId w16cid:paraId="41487918" w16cid:durableId="2405B3C5"/>
  <w16cid:commentId w16cid:paraId="6DC06659" w16cid:durableId="23D8C5AB"/>
  <w16cid:commentId w16cid:paraId="33EA3A68" w16cid:durableId="2405B3C7"/>
  <w16cid:commentId w16cid:paraId="43C5BAC1" w16cid:durableId="23D4E4BB"/>
  <w16cid:commentId w16cid:paraId="177E59E7" w16cid:durableId="2405B3C9"/>
  <w16cid:commentId w16cid:paraId="15CACAB2" w16cid:durableId="23D4EDFC"/>
  <w16cid:commentId w16cid:paraId="0CBE2CE5" w16cid:durableId="2405B3CB"/>
  <w16cid:commentId w16cid:paraId="2B3FB684" w16cid:durableId="23D8C604"/>
  <w16cid:commentId w16cid:paraId="303F9325" w16cid:durableId="2405B3CD"/>
  <w16cid:commentId w16cid:paraId="4A9C5F10" w16cid:durableId="2405BB0A"/>
  <w16cid:commentId w16cid:paraId="08CBF70A" w16cid:durableId="23DA428C"/>
  <w16cid:commentId w16cid:paraId="49C46D96" w16cid:durableId="2405B3CF"/>
  <w16cid:commentId w16cid:paraId="6450CD79" w16cid:durableId="23D8DBFF"/>
  <w16cid:commentId w16cid:paraId="2109F582" w16cid:durableId="2405B3D1"/>
  <w16cid:commentId w16cid:paraId="3E3E3CF2" w16cid:durableId="23D8DF65"/>
  <w16cid:commentId w16cid:paraId="07CC9A5E" w16cid:durableId="2405B3D3"/>
  <w16cid:commentId w16cid:paraId="5899E56D" w16cid:durableId="23D8E1DD"/>
  <w16cid:commentId w16cid:paraId="47F87932" w16cid:durableId="2405B3D5"/>
  <w16cid:commentId w16cid:paraId="75A26124" w16cid:durableId="23D8E46E"/>
  <w16cid:commentId w16cid:paraId="7FB759E0" w16cid:durableId="2405B3D7"/>
  <w16cid:commentId w16cid:paraId="16AA72E8" w16cid:durableId="23D8E6B3"/>
  <w16cid:commentId w16cid:paraId="260C09FD" w16cid:durableId="2405B3D9"/>
  <w16cid:commentId w16cid:paraId="60B79517" w16cid:durableId="23D8EBDC"/>
  <w16cid:commentId w16cid:paraId="11B8704F" w16cid:durableId="2405B3DB"/>
  <w16cid:commentId w16cid:paraId="5D6DAF80" w16cid:durableId="23D5384D"/>
  <w16cid:commentId w16cid:paraId="58FDCD59" w16cid:durableId="2405B3DD"/>
  <w16cid:commentId w16cid:paraId="0E73D6AF" w16cid:durableId="23D8FA60"/>
  <w16cid:commentId w16cid:paraId="2F23E07E" w16cid:durableId="2405B3DF"/>
  <w16cid:commentId w16cid:paraId="06607533" w16cid:durableId="23D8F7D1"/>
  <w16cid:commentId w16cid:paraId="2F445548" w16cid:durableId="2405B3E1"/>
  <w16cid:commentId w16cid:paraId="05D74816" w16cid:durableId="23DA0E46"/>
  <w16cid:commentId w16cid:paraId="3FCAABC3" w16cid:durableId="2405B3E3"/>
  <w16cid:commentId w16cid:paraId="6C577EC7" w16cid:durableId="23D5398F"/>
  <w16cid:commentId w16cid:paraId="27224CC2" w16cid:durableId="2405B3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370EC" w14:textId="77777777" w:rsidR="00E42B80" w:rsidRDefault="00E42B80" w:rsidP="00C40A36">
      <w:pPr>
        <w:spacing w:after="0"/>
      </w:pPr>
      <w:r>
        <w:separator/>
      </w:r>
    </w:p>
  </w:endnote>
  <w:endnote w:type="continuationSeparator" w:id="0">
    <w:p w14:paraId="6EA98E37" w14:textId="77777777" w:rsidR="00E42B80" w:rsidRDefault="00E42B80"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D347" w14:textId="77777777" w:rsidR="00E42B80" w:rsidRDefault="00E42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E42B80" w:rsidRPr="00487162" w14:paraId="292F6F60" w14:textId="77777777" w:rsidTr="00DB750B">
      <w:trPr>
        <w:trHeight w:val="269"/>
      </w:trPr>
      <w:tc>
        <w:tcPr>
          <w:tcW w:w="7371" w:type="dxa"/>
          <w:tcMar>
            <w:top w:w="142" w:type="dxa"/>
            <w:bottom w:w="0" w:type="dxa"/>
          </w:tcMar>
        </w:tcPr>
        <w:p w14:paraId="150B0B41" w14:textId="674A0864" w:rsidR="00E42B80" w:rsidRPr="00487162" w:rsidRDefault="00E42B80" w:rsidP="009F05A9">
          <w:pPr>
            <w:pStyle w:val="Footer"/>
          </w:pPr>
          <w:r w:rsidRPr="00487162">
            <w:t>AusPA</w:t>
          </w:r>
          <w:r>
            <w:t xml:space="preserve">R - </w:t>
          </w:r>
          <w:proofErr w:type="spellStart"/>
          <w:r>
            <w:t>Forxiga</w:t>
          </w:r>
          <w:proofErr w:type="spellEnd"/>
          <w:r>
            <w:t xml:space="preserve"> – </w:t>
          </w:r>
          <w:proofErr w:type="spellStart"/>
          <w:r>
            <w:t>dapagliflozin</w:t>
          </w:r>
          <w:proofErr w:type="spellEnd"/>
          <w:r w:rsidRPr="00460036">
            <w:t xml:space="preserve"> </w:t>
          </w:r>
          <w:r>
            <w:t>– AstraZeneca Pty Ltd PM-2019-05370-1-3</w:t>
          </w:r>
          <w:r>
            <w:br/>
            <w:t>FINAL</w:t>
          </w:r>
          <w:r w:rsidRPr="00487162">
            <w:t xml:space="preserve"> </w:t>
          </w:r>
          <w:r>
            <w:t>6 April 2021</w:t>
          </w:r>
        </w:p>
      </w:tc>
      <w:tc>
        <w:tcPr>
          <w:tcW w:w="1490" w:type="dxa"/>
          <w:tcMar>
            <w:top w:w="142" w:type="dxa"/>
            <w:bottom w:w="0" w:type="dxa"/>
          </w:tcMar>
        </w:tcPr>
        <w:p w14:paraId="63BB72C9" w14:textId="74931702" w:rsidR="00E42B80" w:rsidRPr="00487162" w:rsidRDefault="00E42B80" w:rsidP="00DB750B">
          <w:pPr>
            <w:pStyle w:val="Footer"/>
            <w:jc w:val="right"/>
          </w:pPr>
          <w:r w:rsidRPr="00487162">
            <w:t xml:space="preserve">Page </w:t>
          </w:r>
          <w:r>
            <w:fldChar w:fldCharType="begin"/>
          </w:r>
          <w:r>
            <w:instrText xml:space="preserve"> PAGE  \* Arabic </w:instrText>
          </w:r>
          <w:r>
            <w:fldChar w:fldCharType="separate"/>
          </w:r>
          <w:r w:rsidR="00A43A94">
            <w:rPr>
              <w:noProof/>
            </w:rPr>
            <w:t>29</w:t>
          </w:r>
          <w:r>
            <w:fldChar w:fldCharType="end"/>
          </w:r>
          <w:r w:rsidRPr="00487162">
            <w:t xml:space="preserve"> of </w:t>
          </w:r>
          <w:fldSimple w:instr=" NUMPAGES  \* Arabic ">
            <w:r w:rsidR="00A43A94">
              <w:rPr>
                <w:noProof/>
              </w:rPr>
              <w:t>30</w:t>
            </w:r>
          </w:fldSimple>
        </w:p>
      </w:tc>
    </w:tr>
  </w:tbl>
  <w:p w14:paraId="1BD06E00" w14:textId="77777777" w:rsidR="00E42B80" w:rsidRDefault="00E42B80" w:rsidP="003D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9945" w14:textId="77777777" w:rsidR="00E42B80" w:rsidRDefault="00E42B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E42B80" w:rsidRPr="00487162" w14:paraId="26CD2AA6" w14:textId="77777777" w:rsidTr="00E45619">
      <w:trPr>
        <w:trHeight w:val="269"/>
      </w:trPr>
      <w:tc>
        <w:tcPr>
          <w:tcW w:w="4519" w:type="dxa"/>
          <w:tcBorders>
            <w:top w:val="single" w:sz="4" w:space="0" w:color="auto"/>
          </w:tcBorders>
          <w:tcMar>
            <w:top w:w="142" w:type="dxa"/>
            <w:bottom w:w="0" w:type="dxa"/>
          </w:tcMar>
        </w:tcPr>
        <w:p w14:paraId="28536D93" w14:textId="77777777" w:rsidR="00E42B80" w:rsidRPr="00487162" w:rsidRDefault="00E42B80" w:rsidP="00FE1DEE">
          <w:pPr>
            <w:pStyle w:val="Footer"/>
          </w:pPr>
          <w:r w:rsidRPr="00487162">
            <w:t>Document title, Part #, Section # - Section title</w:t>
          </w:r>
        </w:p>
        <w:p w14:paraId="239F797F" w14:textId="77777777" w:rsidR="00E42B80" w:rsidRPr="00487162" w:rsidRDefault="00E42B80" w:rsidP="00FE1DEE">
          <w:pPr>
            <w:pStyle w:val="Footer"/>
          </w:pPr>
          <w:r w:rsidRPr="00487162">
            <w:t>V1.0 October 2010</w:t>
          </w:r>
        </w:p>
      </w:tc>
      <w:tc>
        <w:tcPr>
          <w:tcW w:w="4342" w:type="dxa"/>
          <w:tcBorders>
            <w:top w:val="single" w:sz="4" w:space="0" w:color="auto"/>
          </w:tcBorders>
          <w:tcMar>
            <w:top w:w="142" w:type="dxa"/>
            <w:bottom w:w="0" w:type="dxa"/>
          </w:tcMar>
        </w:tcPr>
        <w:p w14:paraId="3804AF7D" w14:textId="77777777" w:rsidR="00E42B80" w:rsidRPr="00487162" w:rsidRDefault="00E42B80"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3</w:t>
            </w:r>
          </w:fldSimple>
        </w:p>
      </w:tc>
    </w:tr>
  </w:tbl>
  <w:p w14:paraId="27E9ECC9" w14:textId="77777777" w:rsidR="00E42B80" w:rsidRDefault="00E42B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ECBF" w14:textId="5C0E51D2" w:rsidR="00E42B80" w:rsidRPr="001C32CD" w:rsidRDefault="00E42B80" w:rsidP="001C32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E42B80" w14:paraId="6B82CBF9" w14:textId="77777777" w:rsidTr="0010601F">
      <w:trPr>
        <w:trHeight w:val="108"/>
      </w:trPr>
      <w:tc>
        <w:tcPr>
          <w:tcW w:w="8875" w:type="dxa"/>
          <w:gridSpan w:val="2"/>
          <w:tcBorders>
            <w:bottom w:val="single" w:sz="4" w:space="0" w:color="auto"/>
          </w:tcBorders>
          <w:tcMar>
            <w:right w:w="284" w:type="dxa"/>
          </w:tcMar>
        </w:tcPr>
        <w:p w14:paraId="31BC8867" w14:textId="77777777" w:rsidR="00E42B80" w:rsidRDefault="00E42B80" w:rsidP="006E08B3">
          <w:pPr>
            <w:pStyle w:val="Heading3"/>
          </w:pPr>
          <w:r>
            <w:t>Copyright</w:t>
          </w:r>
        </w:p>
        <w:p w14:paraId="28C99B01" w14:textId="77777777" w:rsidR="00E42B80" w:rsidRDefault="00E42B80" w:rsidP="006E08B3">
          <w:r>
            <w:rPr>
              <w:rFonts w:cs="Arial"/>
            </w:rPr>
            <w:t>©</w:t>
          </w:r>
          <w:r>
            <w:t xml:space="preserve"> Commonwealth of Australia [add year]</w:t>
          </w:r>
        </w:p>
        <w:p w14:paraId="594C490F" w14:textId="77777777" w:rsidR="00E42B80" w:rsidRDefault="00E42B80" w:rsidP="006E08B3"/>
        <w:p w14:paraId="5E9B9A2A" w14:textId="77777777" w:rsidR="00E42B80" w:rsidRDefault="00E42B80"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127635AC" w14:textId="77777777" w:rsidR="00E42B80" w:rsidRDefault="00E42B80" w:rsidP="006E08B3"/>
        <w:p w14:paraId="5BF5B6FD" w14:textId="77777777" w:rsidR="00E42B80" w:rsidRDefault="00E42B80" w:rsidP="006E08B3">
          <w:pPr>
            <w:pStyle w:val="Heading3"/>
          </w:pPr>
          <w:r>
            <w:t>Confidentiality</w:t>
          </w:r>
        </w:p>
        <w:p w14:paraId="7C79E7E4" w14:textId="77777777" w:rsidR="00E42B80" w:rsidRDefault="00E42B80"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6BC209D1" w14:textId="77777777" w:rsidR="00E42B80" w:rsidRDefault="00E42B80" w:rsidP="006E08B3"/>
        <w:p w14:paraId="0DFF77A9" w14:textId="77777777" w:rsidR="00E42B80" w:rsidRDefault="00E42B80" w:rsidP="006E08B3">
          <w:r>
            <w:t>For submission made by individuals, all personal details, other than your name, will be removed from your submission before it is published on the TGA’s Internet site.</w:t>
          </w:r>
        </w:p>
        <w:p w14:paraId="1C9E550E" w14:textId="77777777" w:rsidR="00E42B80" w:rsidRDefault="00E42B80" w:rsidP="006E08B3"/>
        <w:p w14:paraId="0131B895" w14:textId="77777777" w:rsidR="00E42B80" w:rsidRDefault="00E42B80"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E42B80" w14:paraId="64C381B9" w14:textId="77777777" w:rsidTr="0010601F">
      <w:trPr>
        <w:trHeight w:val="417"/>
      </w:trPr>
      <w:tc>
        <w:tcPr>
          <w:tcW w:w="4519" w:type="dxa"/>
          <w:tcBorders>
            <w:top w:val="single" w:sz="4" w:space="0" w:color="auto"/>
          </w:tcBorders>
          <w:tcMar>
            <w:top w:w="142" w:type="dxa"/>
            <w:bottom w:w="0" w:type="dxa"/>
          </w:tcMar>
        </w:tcPr>
        <w:p w14:paraId="13D7F0DE" w14:textId="77777777" w:rsidR="00E42B80" w:rsidRDefault="00E42B80" w:rsidP="006E08B3">
          <w:r>
            <w:t>Document title, Part #, Section # - Section title</w:t>
          </w:r>
        </w:p>
        <w:p w14:paraId="5E4038C2" w14:textId="77777777" w:rsidR="00E42B80" w:rsidRDefault="00E42B80" w:rsidP="006E08B3">
          <w:r>
            <w:t>V1.0 October 2010</w:t>
          </w:r>
        </w:p>
      </w:tc>
      <w:tc>
        <w:tcPr>
          <w:tcW w:w="4356" w:type="dxa"/>
          <w:tcBorders>
            <w:top w:val="single" w:sz="4" w:space="0" w:color="auto"/>
          </w:tcBorders>
          <w:tcMar>
            <w:top w:w="142" w:type="dxa"/>
            <w:bottom w:w="0" w:type="dxa"/>
          </w:tcMar>
        </w:tcPr>
        <w:p w14:paraId="60CE4896" w14:textId="77777777" w:rsidR="00E42B80" w:rsidRDefault="00E42B80"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3</w:t>
            </w:r>
          </w:fldSimple>
          <w:r>
            <w:t xml:space="preserve">  </w:t>
          </w:r>
        </w:p>
      </w:tc>
    </w:tr>
  </w:tbl>
  <w:p w14:paraId="3B54913D" w14:textId="77777777" w:rsidR="00E42B80" w:rsidRDefault="00E42B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9C029" w14:textId="77777777" w:rsidR="00E42B80" w:rsidRDefault="00E42B80" w:rsidP="00C40A36">
      <w:pPr>
        <w:spacing w:after="0"/>
      </w:pPr>
      <w:r>
        <w:separator/>
      </w:r>
    </w:p>
  </w:footnote>
  <w:footnote w:type="continuationSeparator" w:id="0">
    <w:p w14:paraId="7A01F261" w14:textId="77777777" w:rsidR="00E42B80" w:rsidRDefault="00E42B80" w:rsidP="00C40A36">
      <w:pPr>
        <w:spacing w:after="0"/>
      </w:pPr>
      <w:r>
        <w:continuationSeparator/>
      </w:r>
    </w:p>
  </w:footnote>
  <w:footnote w:id="1">
    <w:p w14:paraId="1C914F54" w14:textId="5DBC0236" w:rsidR="00E42B80" w:rsidRDefault="00E42B80">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2">
    <w:p w14:paraId="0D9D046A" w14:textId="77777777" w:rsidR="00E42B80" w:rsidRPr="007C5FDB" w:rsidRDefault="00E42B80" w:rsidP="00E12974">
      <w:pPr>
        <w:pStyle w:val="FootnoteText"/>
      </w:pPr>
      <w:r>
        <w:rPr>
          <w:rStyle w:val="FootnoteReference"/>
        </w:rPr>
        <w:footnoteRef/>
      </w:r>
      <w:r>
        <w:t xml:space="preserve"> The Task Force for the diagnosis and treatment of acute and chronic heart failure of the European Society of Cardiology (ESC) (2016) 2016 ESC Guidelines for the diagnosis and treatment of acute and chronic heart failure European Heart Journal 37:2129-200 </w:t>
      </w:r>
    </w:p>
  </w:footnote>
  <w:footnote w:id="3">
    <w:p w14:paraId="5BBF0124" w14:textId="77777777" w:rsidR="00E42B80" w:rsidRPr="007C5FDB" w:rsidRDefault="00E42B80">
      <w:pPr>
        <w:pStyle w:val="FootnoteText"/>
        <w:rPr>
          <w:lang w:val="en-US"/>
        </w:rPr>
      </w:pPr>
      <w:r>
        <w:rPr>
          <w:rStyle w:val="FootnoteReference"/>
        </w:rPr>
        <w:footnoteRef/>
      </w:r>
      <w:r>
        <w:t xml:space="preserve"> Atherton JJ, </w:t>
      </w:r>
      <w:proofErr w:type="spellStart"/>
      <w:r>
        <w:t>Audehm</w:t>
      </w:r>
      <w:proofErr w:type="spellEnd"/>
      <w:r>
        <w:t xml:space="preserve"> R, Connell C (2019) Heart failure guidelines. A concise summary for the GP Medicine Today 20:14-24</w:t>
      </w:r>
    </w:p>
  </w:footnote>
  <w:footnote w:id="4">
    <w:p w14:paraId="499BA97B" w14:textId="77777777" w:rsidR="00E42B80" w:rsidRPr="00380505" w:rsidRDefault="00E42B80">
      <w:pPr>
        <w:pStyle w:val="FootnoteText"/>
        <w:rPr>
          <w:lang w:val="sv-SE"/>
        </w:rPr>
      </w:pPr>
      <w:r>
        <w:rPr>
          <w:rStyle w:val="FootnoteReference"/>
        </w:rPr>
        <w:footnoteRef/>
      </w:r>
      <w:r>
        <w:t xml:space="preserve"> </w:t>
      </w:r>
      <w:r w:rsidRPr="00E84263">
        <w:t xml:space="preserve">Australian Institute of Health and Welfare. Admitted patient care 2015–16: Australian hospital statistics. </w:t>
      </w:r>
      <w:r w:rsidRPr="00380505">
        <w:rPr>
          <w:lang w:val="sv-SE"/>
        </w:rPr>
        <w:t>Canberra: AIHW; 2017.</w:t>
      </w:r>
    </w:p>
  </w:footnote>
  <w:footnote w:id="5">
    <w:p w14:paraId="73C1A0A2" w14:textId="77777777" w:rsidR="00E42B80" w:rsidRPr="00E84263" w:rsidRDefault="00E42B80">
      <w:pPr>
        <w:pStyle w:val="FootnoteText"/>
        <w:rPr>
          <w:lang w:val="en-US"/>
        </w:rPr>
      </w:pPr>
      <w:r>
        <w:rPr>
          <w:rStyle w:val="FootnoteReference"/>
        </w:rPr>
        <w:footnoteRef/>
      </w:r>
      <w:r w:rsidRPr="00380505">
        <w:rPr>
          <w:lang w:val="sv-SE"/>
        </w:rPr>
        <w:t xml:space="preserve"> Newton PJ, Davidson PM, Reid CM, et al. </w:t>
      </w:r>
      <w:r w:rsidRPr="00E84263">
        <w:t>Acute heart failure admissions in New South Wales and the Australian Capital Territory: the NSW HF Snapshot Study. Med J Aust. 2016;204(3):113.e1-113.e1138.</w:t>
      </w:r>
    </w:p>
  </w:footnote>
  <w:footnote w:id="6">
    <w:p w14:paraId="663C5598" w14:textId="77777777" w:rsidR="00E42B80" w:rsidRPr="00E84263" w:rsidRDefault="00E42B80">
      <w:pPr>
        <w:pStyle w:val="FootnoteText"/>
        <w:rPr>
          <w:lang w:val="en-US"/>
        </w:rPr>
      </w:pPr>
      <w:r>
        <w:rPr>
          <w:rStyle w:val="FootnoteReference"/>
        </w:rPr>
        <w:footnoteRef/>
      </w:r>
      <w:r>
        <w:t xml:space="preserve"> </w:t>
      </w:r>
      <w:r w:rsidRPr="00E84263">
        <w:t>NHFA CSANZ Heart Failure Guidelines Working Group (2018) National Heart Foundation of Australia and Cardiac Society of Australia and New Zealand: Guidelines for the Prevention, Detection, and Management of Heart Failure in Australia 2018 Heart, Lung and Circulation 27:1123-1208</w:t>
      </w:r>
    </w:p>
  </w:footnote>
  <w:footnote w:id="7">
    <w:p w14:paraId="33AC940B" w14:textId="77777777" w:rsidR="00E42B80" w:rsidRPr="0009745A" w:rsidRDefault="00E42B80">
      <w:pPr>
        <w:pStyle w:val="FootnoteText"/>
        <w:rPr>
          <w:lang w:val="en-US"/>
        </w:rPr>
      </w:pPr>
      <w:r>
        <w:rPr>
          <w:rStyle w:val="FootnoteReference"/>
        </w:rPr>
        <w:footnoteRef/>
      </w:r>
      <w:r>
        <w:t xml:space="preserve"> </w:t>
      </w:r>
      <w:r w:rsidRPr="0009745A">
        <w:t>Criteria Committee, New York Heart Association , Inc. Diseases of the Heart and Blood Vessels. Nomenclature and Criteria for diagnosis, 6th edition Boston, Little, Brown and Co. 1964, p 114.</w:t>
      </w:r>
    </w:p>
  </w:footnote>
  <w:footnote w:id="8">
    <w:p w14:paraId="7EB82C14" w14:textId="77777777" w:rsidR="00E42B80" w:rsidRPr="0009745A" w:rsidRDefault="00E42B80">
      <w:pPr>
        <w:pStyle w:val="FootnoteText"/>
        <w:rPr>
          <w:lang w:val="en-US"/>
        </w:rPr>
      </w:pPr>
      <w:r>
        <w:rPr>
          <w:rStyle w:val="FootnoteReference"/>
        </w:rPr>
        <w:footnoteRef/>
      </w:r>
      <w:r w:rsidRPr="00380505">
        <w:rPr>
          <w:lang w:val="sv-SE"/>
        </w:rPr>
        <w:t xml:space="preserve"> Wiviott SD, Raz I, Bonaca MP, et al. </w:t>
      </w:r>
      <w:proofErr w:type="spellStart"/>
      <w:r w:rsidRPr="0009745A">
        <w:t>Dapagliflozin</w:t>
      </w:r>
      <w:proofErr w:type="spellEnd"/>
      <w:r w:rsidRPr="0009745A">
        <w:t xml:space="preserve"> and Cardiovascular Outcomes in Type 2 Diabetes. N </w:t>
      </w:r>
      <w:proofErr w:type="spellStart"/>
      <w:r w:rsidRPr="0009745A">
        <w:t>Engl</w:t>
      </w:r>
      <w:proofErr w:type="spellEnd"/>
      <w:r w:rsidRPr="0009745A">
        <w:t xml:space="preserve"> J Med. 2019;380(4):347-357.</w:t>
      </w:r>
    </w:p>
  </w:footnote>
  <w:footnote w:id="9">
    <w:p w14:paraId="7A800368" w14:textId="77777777" w:rsidR="00E42B80" w:rsidRPr="0044420A" w:rsidRDefault="00E42B80">
      <w:pPr>
        <w:pStyle w:val="FootnoteText"/>
        <w:rPr>
          <w:lang w:val="en-US"/>
        </w:rPr>
      </w:pPr>
      <w:r>
        <w:rPr>
          <w:rStyle w:val="FootnoteReference"/>
        </w:rPr>
        <w:footnoteRef/>
      </w:r>
      <w:r>
        <w:t xml:space="preserve"> NLRP3 = </w:t>
      </w:r>
      <w:r w:rsidRPr="0044420A">
        <w:t xml:space="preserve">NLR family pyrin domain containing </w:t>
      </w:r>
      <w:r>
        <w:t xml:space="preserve">protein </w:t>
      </w:r>
      <w:r w:rsidRPr="0044420A">
        <w:t>3</w:t>
      </w:r>
      <w:r>
        <w:t>.</w:t>
      </w:r>
    </w:p>
  </w:footnote>
  <w:footnote w:id="10">
    <w:p w14:paraId="7A4896FC" w14:textId="32B41DC1" w:rsidR="00E42B80" w:rsidRDefault="00E42B80">
      <w:pPr>
        <w:pStyle w:val="FootnoteText"/>
      </w:pPr>
      <w:r>
        <w:rPr>
          <w:rStyle w:val="FootnoteReference"/>
        </w:rPr>
        <w:footnoteRef/>
      </w:r>
      <w:r>
        <w:t xml:space="preserve"> </w:t>
      </w:r>
      <w:r w:rsidRPr="00593FCC">
        <w:t>Green CP, Porter</w:t>
      </w:r>
      <w:r>
        <w:t xml:space="preserve"> CB, </w:t>
      </w:r>
      <w:proofErr w:type="spellStart"/>
      <w:r>
        <w:t>Bresnahan</w:t>
      </w:r>
      <w:proofErr w:type="spellEnd"/>
      <w:r>
        <w:t xml:space="preserve"> DR, </w:t>
      </w:r>
      <w:proofErr w:type="spellStart"/>
      <w:r>
        <w:t>Spertus</w:t>
      </w:r>
      <w:proofErr w:type="spellEnd"/>
      <w:r>
        <w:t xml:space="preserve"> JA, </w:t>
      </w:r>
      <w:r w:rsidRPr="00593FCC">
        <w:t>Development and evaluation of the Kansas City Cardiomyopathy Questionnaire: a new health st</w:t>
      </w:r>
      <w:r>
        <w:t>atus measure for heart failure.</w:t>
      </w:r>
      <w:r w:rsidRPr="00593FCC">
        <w:t xml:space="preserve"> J Am </w:t>
      </w:r>
      <w:proofErr w:type="spellStart"/>
      <w:r w:rsidRPr="00593FCC">
        <w:t>Coll</w:t>
      </w:r>
      <w:proofErr w:type="spellEnd"/>
      <w:r w:rsidRPr="00593FCC">
        <w:t xml:space="preserve"> </w:t>
      </w:r>
      <w:proofErr w:type="spellStart"/>
      <w:r w:rsidRPr="00593FCC">
        <w:t>Cardiol</w:t>
      </w:r>
      <w:proofErr w:type="spellEnd"/>
      <w:r w:rsidRPr="00593FCC">
        <w:t>, 35:1245-5 (2000).</w:t>
      </w:r>
    </w:p>
  </w:footnote>
  <w:footnote w:id="11">
    <w:p w14:paraId="4797BF3D" w14:textId="1193C638" w:rsidR="00E42B80" w:rsidRPr="004674A8" w:rsidRDefault="00E42B80">
      <w:pPr>
        <w:pStyle w:val="FootnoteText"/>
        <w:rPr>
          <w:lang w:val="en-US"/>
        </w:rPr>
      </w:pPr>
      <w:r>
        <w:rPr>
          <w:rStyle w:val="FootnoteReference"/>
        </w:rPr>
        <w:footnoteRef/>
      </w:r>
      <w:r>
        <w:t xml:space="preserve"> </w:t>
      </w:r>
      <w:r w:rsidRPr="004674A8">
        <w:t>Meta‐Analysis Global Group in Chronic (MAGGIC) Heart Failure Risk Score</w:t>
      </w:r>
      <w:r>
        <w:t xml:space="preserve">. </w:t>
      </w:r>
      <w:proofErr w:type="spellStart"/>
      <w:r w:rsidRPr="004674A8">
        <w:t>Pocock</w:t>
      </w:r>
      <w:proofErr w:type="spellEnd"/>
      <w:r w:rsidRPr="004674A8">
        <w:t xml:space="preserve"> SJ, </w:t>
      </w:r>
      <w:proofErr w:type="spellStart"/>
      <w:r w:rsidRPr="004674A8">
        <w:t>Ariti</w:t>
      </w:r>
      <w:proofErr w:type="spellEnd"/>
      <w:r w:rsidRPr="004674A8">
        <w:t xml:space="preserve"> CA, McMurray JJ, </w:t>
      </w:r>
      <w:proofErr w:type="spellStart"/>
      <w:r w:rsidRPr="004674A8">
        <w:t>Maggioni</w:t>
      </w:r>
      <w:proofErr w:type="spellEnd"/>
      <w:r w:rsidRPr="004674A8">
        <w:t xml:space="preserve"> A, </w:t>
      </w:r>
      <w:proofErr w:type="spellStart"/>
      <w:r w:rsidRPr="004674A8">
        <w:t>Kober</w:t>
      </w:r>
      <w:proofErr w:type="spellEnd"/>
      <w:r w:rsidRPr="004674A8">
        <w:t xml:space="preserve"> L, Squire IB, </w:t>
      </w:r>
      <w:proofErr w:type="spellStart"/>
      <w:r w:rsidRPr="004674A8">
        <w:t>Swedberg</w:t>
      </w:r>
      <w:proofErr w:type="spellEnd"/>
      <w:r w:rsidRPr="004674A8">
        <w:t xml:space="preserve"> K, Dobson J, </w:t>
      </w:r>
      <w:proofErr w:type="spellStart"/>
      <w:r w:rsidRPr="004674A8">
        <w:t>Poppe</w:t>
      </w:r>
      <w:proofErr w:type="spellEnd"/>
      <w:r w:rsidRPr="004674A8">
        <w:t xml:space="preserve"> KK, </w:t>
      </w:r>
      <w:proofErr w:type="spellStart"/>
      <w:r w:rsidRPr="004674A8">
        <w:t>Whalley</w:t>
      </w:r>
      <w:proofErr w:type="spellEnd"/>
      <w:r w:rsidRPr="004674A8">
        <w:t xml:space="preserve"> GA, Doughty RN. Predicting survival in heart failure: a risk score based on 39 37</w:t>
      </w:r>
      <w:r>
        <w:t xml:space="preserve">2 patients from 30 studies. </w:t>
      </w:r>
      <w:proofErr w:type="spellStart"/>
      <w:r>
        <w:t>Eur</w:t>
      </w:r>
      <w:proofErr w:type="spellEnd"/>
      <w:r>
        <w:t> </w:t>
      </w:r>
      <w:r w:rsidRPr="004674A8">
        <w:t>Heart J. 2013; 34:1404–1413.</w:t>
      </w:r>
    </w:p>
  </w:footnote>
  <w:footnote w:id="12">
    <w:p w14:paraId="471DCC68" w14:textId="737AEDAD" w:rsidR="00E42B80" w:rsidRPr="00F461F2" w:rsidRDefault="00E42B80">
      <w:pPr>
        <w:pStyle w:val="FootnoteText"/>
        <w:rPr>
          <w:lang w:val="en-US"/>
        </w:rPr>
      </w:pPr>
      <w:r>
        <w:rPr>
          <w:rStyle w:val="FootnoteReference"/>
        </w:rPr>
        <w:footnoteRef/>
      </w:r>
      <w:r>
        <w:t xml:space="preserve"> </w:t>
      </w:r>
      <w:r>
        <w:rPr>
          <w:lang w:val="en-US"/>
        </w:rPr>
        <w:t>The MAGGIC Risk Score c</w:t>
      </w:r>
      <w:r w:rsidRPr="00405B4C">
        <w:rPr>
          <w:lang w:val="en-US"/>
        </w:rPr>
        <w:t>alculator</w:t>
      </w:r>
      <w:r>
        <w:rPr>
          <w:lang w:val="en-US"/>
        </w:rPr>
        <w:t xml:space="preserve"> in heart disease</w:t>
      </w:r>
      <w:r w:rsidRPr="00405B4C">
        <w:rPr>
          <w:lang w:val="en-US"/>
        </w:rPr>
        <w:t xml:space="preserve"> presents 1 and 3 year all-cause mortality estimates for people with heart failure</w:t>
      </w:r>
      <w:r>
        <w:rPr>
          <w:lang w:val="en-US"/>
        </w:rPr>
        <w:t xml:space="preserve"> based on patient data, cardiac and comorbidity data.</w:t>
      </w:r>
    </w:p>
  </w:footnote>
  <w:footnote w:id="13">
    <w:p w14:paraId="20AB4E73" w14:textId="45894CB3" w:rsidR="00E42B80" w:rsidRPr="00A32D35" w:rsidRDefault="00E42B80">
      <w:pPr>
        <w:pStyle w:val="FootnoteText"/>
        <w:rPr>
          <w:lang w:val="en-US"/>
        </w:rPr>
      </w:pPr>
      <w:r>
        <w:rPr>
          <w:rStyle w:val="FootnoteReference"/>
        </w:rPr>
        <w:footnoteRef/>
      </w:r>
      <w:r>
        <w:t xml:space="preserve"> </w:t>
      </w:r>
      <w:r w:rsidRPr="00A32D35">
        <w:t xml:space="preserve">Derived from </w:t>
      </w:r>
      <w:r>
        <w:t>the clinical study report,</w:t>
      </w:r>
      <w:r w:rsidRPr="00A32D35">
        <w:t xml:space="preserve"> Table 14.3.3.2; subjects with multiple events are counted once for each SOC/PT according to MedDRA version 22.0</w:t>
      </w:r>
    </w:p>
  </w:footnote>
  <w:footnote w:id="14">
    <w:p w14:paraId="66ED6432" w14:textId="77777777" w:rsidR="00E42B80" w:rsidRDefault="00E42B80" w:rsidP="007D53B6">
      <w:pPr>
        <w:pStyle w:val="FootnoteText"/>
      </w:pPr>
      <w:r>
        <w:rPr>
          <w:rStyle w:val="FootnoteReference"/>
        </w:rPr>
        <w:footnoteRef/>
      </w:r>
      <w:r>
        <w:t xml:space="preserve"> </w:t>
      </w:r>
      <w:r w:rsidRPr="007D53B6">
        <w:rPr>
          <w:i/>
        </w:rPr>
        <w:t xml:space="preserve">Routine risk minimisation </w:t>
      </w:r>
      <w:r>
        <w:t>activities may be limited to ensuring that suitable warnings are included in the product information or by careful use of labelling and packaging.</w:t>
      </w:r>
    </w:p>
    <w:p w14:paraId="3C29CAE0" w14:textId="77777777" w:rsidR="00E42B80" w:rsidRDefault="00E42B80" w:rsidP="007D53B6">
      <w:pPr>
        <w:pStyle w:val="FootnoteText"/>
      </w:pPr>
      <w:r w:rsidRPr="007D53B6">
        <w:rPr>
          <w:i/>
        </w:rPr>
        <w:t>Routine pharmacovigilance</w:t>
      </w:r>
      <w:r>
        <w:t xml:space="preserve"> practices involve the following activities:</w:t>
      </w:r>
    </w:p>
    <w:p w14:paraId="2A58BEC1" w14:textId="77777777" w:rsidR="00E42B80" w:rsidRDefault="00E42B80" w:rsidP="007D53B6">
      <w:pPr>
        <w:pStyle w:val="FootnoteText"/>
        <w:numPr>
          <w:ilvl w:val="0"/>
          <w:numId w:val="32"/>
        </w:numPr>
        <w:ind w:left="284" w:hanging="284"/>
      </w:pPr>
      <w:r>
        <w:t>All suspected adverse reactions that are reported to the personnel of the company are collected and collated in an accessible manner;</w:t>
      </w:r>
    </w:p>
    <w:p w14:paraId="299AC19D" w14:textId="77777777" w:rsidR="00E42B80" w:rsidRDefault="00E42B80" w:rsidP="007D53B6">
      <w:pPr>
        <w:pStyle w:val="FootnoteText"/>
        <w:numPr>
          <w:ilvl w:val="0"/>
          <w:numId w:val="32"/>
        </w:numPr>
        <w:ind w:left="284" w:hanging="284"/>
      </w:pPr>
      <w:r>
        <w:t>Reporting to regulatory authorities;</w:t>
      </w:r>
    </w:p>
    <w:p w14:paraId="31027329" w14:textId="77777777" w:rsidR="00E42B80" w:rsidRDefault="00E42B80" w:rsidP="007D53B6">
      <w:pPr>
        <w:pStyle w:val="FootnoteText"/>
        <w:numPr>
          <w:ilvl w:val="0"/>
          <w:numId w:val="32"/>
        </w:numPr>
        <w:ind w:left="284" w:hanging="284"/>
      </w:pPr>
      <w:r>
        <w:t>Continuous monitoring of the safety profiles of approved products including signal detection and updating of labelling;</w:t>
      </w:r>
    </w:p>
    <w:p w14:paraId="4608BE8A" w14:textId="77777777" w:rsidR="00E42B80" w:rsidRDefault="00E42B80" w:rsidP="007D53B6">
      <w:pPr>
        <w:pStyle w:val="FootnoteText"/>
        <w:numPr>
          <w:ilvl w:val="0"/>
          <w:numId w:val="32"/>
        </w:numPr>
        <w:ind w:left="284" w:hanging="284"/>
      </w:pPr>
      <w:r>
        <w:t>Submission of PSURs;</w:t>
      </w:r>
    </w:p>
    <w:p w14:paraId="58829B62" w14:textId="77777777" w:rsidR="00E42B80" w:rsidRDefault="00E42B80" w:rsidP="007D53B6">
      <w:pPr>
        <w:pStyle w:val="FootnoteText"/>
        <w:numPr>
          <w:ilvl w:val="0"/>
          <w:numId w:val="32"/>
        </w:numPr>
        <w:ind w:left="284" w:hanging="284"/>
      </w:pPr>
      <w:r>
        <w:t>Meeting other local regulatory agency requirements.</w:t>
      </w:r>
    </w:p>
  </w:footnote>
  <w:footnote w:id="15">
    <w:p w14:paraId="25B5E8FA" w14:textId="65BE9DEB" w:rsidR="00E42B80" w:rsidRPr="00DA3D07" w:rsidRDefault="00E42B80" w:rsidP="00DA3D07">
      <w:pPr>
        <w:pStyle w:val="FootnoteText"/>
      </w:pPr>
      <w:r>
        <w:rPr>
          <w:rStyle w:val="FootnoteReference"/>
        </w:rPr>
        <w:footnoteRef/>
      </w:r>
      <w:r>
        <w:t xml:space="preserve"> Post the second round of RMP evaluation and following further consultation between the RMP evaluator and the sponsor, the sponsor has presented acceptable arguments for exclusion from the Black Triangle Scheme. The RMP evaluator updated their advice to the Delegate regarding inclusion on the Black Triangle Scheme and the sponsor’s risk management strategy was considered to be approvable to the satisfaction of the TGA Delegate. Inclusion on the Black Triangle Scheme was not a requirement for approval.</w:t>
      </w:r>
    </w:p>
  </w:footnote>
  <w:footnote w:id="16">
    <w:p w14:paraId="617CA4DA" w14:textId="2671E008" w:rsidR="00E42B80" w:rsidRPr="001B1F42" w:rsidRDefault="00E42B80">
      <w:pPr>
        <w:pStyle w:val="FootnoteText"/>
        <w:rPr>
          <w:lang w:val="en-US"/>
        </w:rPr>
      </w:pPr>
      <w:r>
        <w:rPr>
          <w:rStyle w:val="FootnoteReference"/>
        </w:rPr>
        <w:footnoteRef/>
      </w:r>
      <w:r>
        <w:t xml:space="preserve"> Post the second round of RMP evaluation and following further consultation between the RMP evaluator and the sponsor, the sponsor has presented acceptable arguments for exclusion from the Black Triangle Scheme. The RMP evaluator updated their advice to the Delegate regarding inclusion on the Black Triangle Scheme and the sponsor’s risk management strategy was considered to be approvable to the satisfaction of the TGA Delegate. Inclusion on the Black Triangle Scheme was not a requirement for approval.</w:t>
      </w:r>
    </w:p>
  </w:footnote>
  <w:footnote w:id="17">
    <w:p w14:paraId="258FE3FB" w14:textId="77777777" w:rsidR="00E42B80" w:rsidRDefault="00E42B80" w:rsidP="00456765">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1C29E4CF" w14:textId="77777777" w:rsidR="00E42B80" w:rsidRPr="00456765" w:rsidRDefault="00E42B80" w:rsidP="00456765">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ACM encompass 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AF78" w14:textId="77777777" w:rsidR="00E42B80" w:rsidRDefault="00E42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C697" w14:textId="77777777" w:rsidR="00E42B80" w:rsidRDefault="00E42B80" w:rsidP="00E4561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5BC3" w14:textId="77777777" w:rsidR="00E42B80" w:rsidRDefault="00E42B80">
    <w:pPr>
      <w:rPr>
        <w:noProof/>
        <w:lang w:eastAsia="en-AU"/>
      </w:rPr>
    </w:pPr>
    <w:r w:rsidRPr="00347824">
      <w:rPr>
        <w:noProof/>
        <w:lang w:eastAsia="en-AU"/>
      </w:rPr>
      <w:drawing>
        <wp:anchor distT="0" distB="0" distL="114300" distR="114300" simplePos="0" relativeHeight="251659264" behindDoc="1" locked="0" layoutInCell="1" allowOverlap="1" wp14:anchorId="154F95AA" wp14:editId="292D4CF6">
          <wp:simplePos x="0" y="0"/>
          <wp:positionH relativeFrom="column">
            <wp:posOffset>-1089660</wp:posOffset>
          </wp:positionH>
          <wp:positionV relativeFrom="paragraph">
            <wp:posOffset>-585470</wp:posOffset>
          </wp:positionV>
          <wp:extent cx="7572375" cy="10706100"/>
          <wp:effectExtent l="19050" t="0" r="0" b="0"/>
          <wp:wrapNone/>
          <wp:docPr id="12"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0D3706EF" w14:textId="1079B98C" w:rsidR="00E42B80" w:rsidRDefault="00E42B80" w:rsidP="00593AD1">
    <w:pPr>
      <w:pStyle w:val="HeaderNoLi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A527" w14:textId="77777777" w:rsidR="00E42B80" w:rsidRDefault="00E42B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6B20" w14:textId="77777777" w:rsidR="00E42B80" w:rsidRDefault="00E42B80">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5893" w14:textId="77777777" w:rsidR="00E42B80" w:rsidRDefault="00E42B80">
    <w:pPr>
      <w:pStyle w:val="Header"/>
    </w:pPr>
    <w:r>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7BCA" w14:textId="77777777" w:rsidR="00E42B80" w:rsidRDefault="00E42B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F116" w14:textId="58A6A2FC" w:rsidR="00E42B80" w:rsidRPr="00E42B80" w:rsidRDefault="00E42B80" w:rsidP="00E42B80">
    <w:pPr>
      <w:pStyle w:val="HeaderNoLin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58D6" w14:textId="77777777" w:rsidR="00E42B80" w:rsidRDefault="00E42B80" w:rsidP="006E08B3">
    <w:r>
      <w:t>Therapeutic Goods Administration</w:t>
    </w:r>
  </w:p>
  <w:p w14:paraId="7BAFFD5A" w14:textId="77777777" w:rsidR="00E42B80" w:rsidRDefault="00E42B80"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multilevel"/>
    <w:tmpl w:val="B8320B0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F404D"/>
    <w:multiLevelType w:val="hybridMultilevel"/>
    <w:tmpl w:val="ADC286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D5EBF"/>
    <w:multiLevelType w:val="hybridMultilevel"/>
    <w:tmpl w:val="FC62E0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8F13E9"/>
    <w:multiLevelType w:val="multilevel"/>
    <w:tmpl w:val="EB48E4E0"/>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03D79D8"/>
    <w:multiLevelType w:val="hybridMultilevel"/>
    <w:tmpl w:val="D2361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9805FC"/>
    <w:multiLevelType w:val="multilevel"/>
    <w:tmpl w:val="A60A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72755F"/>
    <w:multiLevelType w:val="multilevel"/>
    <w:tmpl w:val="11E8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6D3565"/>
    <w:multiLevelType w:val="hybridMultilevel"/>
    <w:tmpl w:val="0B7258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70780075"/>
    <w:multiLevelType w:val="multilevel"/>
    <w:tmpl w:val="79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9"/>
  </w:num>
  <w:num w:numId="4">
    <w:abstractNumId w:val="9"/>
  </w:num>
  <w:num w:numId="5">
    <w:abstractNumId w:val="0"/>
  </w:num>
  <w:num w:numId="6">
    <w:abstractNumId w:val="9"/>
  </w:num>
  <w:num w:numId="7">
    <w:abstractNumId w:val="9"/>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9"/>
  </w:num>
  <w:num w:numId="14">
    <w:abstractNumId w:val="9"/>
  </w:num>
  <w:num w:numId="15">
    <w:abstractNumId w:val="9"/>
  </w:num>
  <w:num w:numId="16">
    <w:abstractNumId w:val="6"/>
  </w:num>
  <w:num w:numId="17">
    <w:abstractNumId w:val="6"/>
  </w:num>
  <w:num w:numId="18">
    <w:abstractNumId w:val="6"/>
  </w:num>
  <w:num w:numId="19">
    <w:abstractNumId w:val="9"/>
  </w:num>
  <w:num w:numId="20">
    <w:abstractNumId w:val="9"/>
  </w:num>
  <w:num w:numId="21">
    <w:abstractNumId w:val="9"/>
  </w:num>
  <w:num w:numId="22">
    <w:abstractNumId w:val="6"/>
  </w:num>
  <w:num w:numId="23">
    <w:abstractNumId w:val="6"/>
  </w:num>
  <w:num w:numId="24">
    <w:abstractNumId w:val="6"/>
  </w:num>
  <w:num w:numId="2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4"/>
  </w:num>
  <w:num w:numId="28">
    <w:abstractNumId w:val="18"/>
  </w:num>
  <w:num w:numId="29">
    <w:abstractNumId w:val="7"/>
  </w:num>
  <w:num w:numId="30">
    <w:abstractNumId w:val="12"/>
  </w:num>
  <w:num w:numId="31">
    <w:abstractNumId w:val="4"/>
  </w:num>
  <w:num w:numId="32">
    <w:abstractNumId w:val="15"/>
  </w:num>
  <w:num w:numId="33">
    <w:abstractNumId w:val="13"/>
  </w:num>
  <w:num w:numId="34">
    <w:abstractNumId w:val="17"/>
  </w:num>
  <w:num w:numId="35">
    <w:abstractNumId w:val="1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0"/>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A"/>
    <w:rsid w:val="00002031"/>
    <w:rsid w:val="000042DA"/>
    <w:rsid w:val="00004734"/>
    <w:rsid w:val="00005B7E"/>
    <w:rsid w:val="00006B22"/>
    <w:rsid w:val="00006FAB"/>
    <w:rsid w:val="0001276A"/>
    <w:rsid w:val="000246AE"/>
    <w:rsid w:val="00025C67"/>
    <w:rsid w:val="00027509"/>
    <w:rsid w:val="00032218"/>
    <w:rsid w:val="00044772"/>
    <w:rsid w:val="0004541C"/>
    <w:rsid w:val="00053282"/>
    <w:rsid w:val="0005559E"/>
    <w:rsid w:val="00057F1D"/>
    <w:rsid w:val="000604D6"/>
    <w:rsid w:val="00062915"/>
    <w:rsid w:val="000734D8"/>
    <w:rsid w:val="000747D2"/>
    <w:rsid w:val="000771C7"/>
    <w:rsid w:val="00077775"/>
    <w:rsid w:val="00087377"/>
    <w:rsid w:val="00090471"/>
    <w:rsid w:val="00096AA7"/>
    <w:rsid w:val="0009745A"/>
    <w:rsid w:val="000A07A7"/>
    <w:rsid w:val="000A0D65"/>
    <w:rsid w:val="000A1F73"/>
    <w:rsid w:val="000A3AED"/>
    <w:rsid w:val="000A4556"/>
    <w:rsid w:val="000A6C05"/>
    <w:rsid w:val="000B22BE"/>
    <w:rsid w:val="000B3532"/>
    <w:rsid w:val="000B367C"/>
    <w:rsid w:val="000B3714"/>
    <w:rsid w:val="000B3A75"/>
    <w:rsid w:val="000C00C2"/>
    <w:rsid w:val="000C326A"/>
    <w:rsid w:val="000C4893"/>
    <w:rsid w:val="000C690F"/>
    <w:rsid w:val="000D1295"/>
    <w:rsid w:val="000D391B"/>
    <w:rsid w:val="000D3D6D"/>
    <w:rsid w:val="000D4FC7"/>
    <w:rsid w:val="000D5F9E"/>
    <w:rsid w:val="000E0CE0"/>
    <w:rsid w:val="000E4B8F"/>
    <w:rsid w:val="000E6196"/>
    <w:rsid w:val="000F4869"/>
    <w:rsid w:val="000F5B42"/>
    <w:rsid w:val="000F6E6F"/>
    <w:rsid w:val="000F6FB4"/>
    <w:rsid w:val="00101D90"/>
    <w:rsid w:val="00104581"/>
    <w:rsid w:val="0010601F"/>
    <w:rsid w:val="001064CA"/>
    <w:rsid w:val="0010721C"/>
    <w:rsid w:val="0010788A"/>
    <w:rsid w:val="00107A31"/>
    <w:rsid w:val="00110EA5"/>
    <w:rsid w:val="00112F56"/>
    <w:rsid w:val="00113F46"/>
    <w:rsid w:val="001152DA"/>
    <w:rsid w:val="001155A5"/>
    <w:rsid w:val="001177ED"/>
    <w:rsid w:val="001216B9"/>
    <w:rsid w:val="00122C2E"/>
    <w:rsid w:val="001242B9"/>
    <w:rsid w:val="00124ACD"/>
    <w:rsid w:val="00125157"/>
    <w:rsid w:val="00125318"/>
    <w:rsid w:val="001277F8"/>
    <w:rsid w:val="001305A2"/>
    <w:rsid w:val="00133238"/>
    <w:rsid w:val="00133A1B"/>
    <w:rsid w:val="00135C15"/>
    <w:rsid w:val="0014197B"/>
    <w:rsid w:val="0014294D"/>
    <w:rsid w:val="001447CD"/>
    <w:rsid w:val="0014597C"/>
    <w:rsid w:val="001470BD"/>
    <w:rsid w:val="001516B1"/>
    <w:rsid w:val="001532B2"/>
    <w:rsid w:val="00154EBB"/>
    <w:rsid w:val="00156316"/>
    <w:rsid w:val="00161050"/>
    <w:rsid w:val="00161181"/>
    <w:rsid w:val="00162D14"/>
    <w:rsid w:val="00163780"/>
    <w:rsid w:val="00165389"/>
    <w:rsid w:val="0016712D"/>
    <w:rsid w:val="0017693F"/>
    <w:rsid w:val="0018110E"/>
    <w:rsid w:val="00181684"/>
    <w:rsid w:val="001819BA"/>
    <w:rsid w:val="00182CDD"/>
    <w:rsid w:val="001843C6"/>
    <w:rsid w:val="001850E0"/>
    <w:rsid w:val="001A03AF"/>
    <w:rsid w:val="001A2158"/>
    <w:rsid w:val="001A525F"/>
    <w:rsid w:val="001B09F9"/>
    <w:rsid w:val="001B1F42"/>
    <w:rsid w:val="001B4B0D"/>
    <w:rsid w:val="001B5C90"/>
    <w:rsid w:val="001B6448"/>
    <w:rsid w:val="001C3187"/>
    <w:rsid w:val="001C32CD"/>
    <w:rsid w:val="001C4228"/>
    <w:rsid w:val="001C5328"/>
    <w:rsid w:val="001C6492"/>
    <w:rsid w:val="001C6D30"/>
    <w:rsid w:val="001C7E56"/>
    <w:rsid w:val="001D0C4C"/>
    <w:rsid w:val="001D2984"/>
    <w:rsid w:val="001E0740"/>
    <w:rsid w:val="001E07CF"/>
    <w:rsid w:val="001E3718"/>
    <w:rsid w:val="001E38F6"/>
    <w:rsid w:val="001E4930"/>
    <w:rsid w:val="001E58F4"/>
    <w:rsid w:val="001E59F1"/>
    <w:rsid w:val="001E6522"/>
    <w:rsid w:val="001F2CEE"/>
    <w:rsid w:val="001F49EB"/>
    <w:rsid w:val="001F6CBA"/>
    <w:rsid w:val="001F7D4C"/>
    <w:rsid w:val="001F7ED9"/>
    <w:rsid w:val="00201D4E"/>
    <w:rsid w:val="002076C9"/>
    <w:rsid w:val="00207AA1"/>
    <w:rsid w:val="00216866"/>
    <w:rsid w:val="00220B8A"/>
    <w:rsid w:val="002240BF"/>
    <w:rsid w:val="002257F3"/>
    <w:rsid w:val="00226D8B"/>
    <w:rsid w:val="00227A0E"/>
    <w:rsid w:val="00227DE6"/>
    <w:rsid w:val="00233456"/>
    <w:rsid w:val="002339A5"/>
    <w:rsid w:val="0023552E"/>
    <w:rsid w:val="00237949"/>
    <w:rsid w:val="002451C2"/>
    <w:rsid w:val="00250271"/>
    <w:rsid w:val="002558F9"/>
    <w:rsid w:val="00257848"/>
    <w:rsid w:val="002578E8"/>
    <w:rsid w:val="00262CB3"/>
    <w:rsid w:val="002671F9"/>
    <w:rsid w:val="00270732"/>
    <w:rsid w:val="0027084A"/>
    <w:rsid w:val="00280265"/>
    <w:rsid w:val="002843B7"/>
    <w:rsid w:val="00286434"/>
    <w:rsid w:val="00286C59"/>
    <w:rsid w:val="002870B8"/>
    <w:rsid w:val="00291957"/>
    <w:rsid w:val="00293C9D"/>
    <w:rsid w:val="002942D1"/>
    <w:rsid w:val="0029501A"/>
    <w:rsid w:val="002A278E"/>
    <w:rsid w:val="002A3721"/>
    <w:rsid w:val="002A7068"/>
    <w:rsid w:val="002B1638"/>
    <w:rsid w:val="002B3624"/>
    <w:rsid w:val="002D0952"/>
    <w:rsid w:val="002D14BD"/>
    <w:rsid w:val="002D664C"/>
    <w:rsid w:val="002E2C8E"/>
    <w:rsid w:val="002E40B3"/>
    <w:rsid w:val="002E4C9A"/>
    <w:rsid w:val="002F11F8"/>
    <w:rsid w:val="002F3F56"/>
    <w:rsid w:val="002F44B5"/>
    <w:rsid w:val="002F5122"/>
    <w:rsid w:val="002F7BAD"/>
    <w:rsid w:val="00303D5B"/>
    <w:rsid w:val="003049A2"/>
    <w:rsid w:val="00311AC0"/>
    <w:rsid w:val="0031535E"/>
    <w:rsid w:val="003176FC"/>
    <w:rsid w:val="00322B2A"/>
    <w:rsid w:val="00323312"/>
    <w:rsid w:val="00324E45"/>
    <w:rsid w:val="0032583B"/>
    <w:rsid w:val="00327883"/>
    <w:rsid w:val="00331CB6"/>
    <w:rsid w:val="003347FC"/>
    <w:rsid w:val="00335504"/>
    <w:rsid w:val="0033576A"/>
    <w:rsid w:val="00340C18"/>
    <w:rsid w:val="00341E98"/>
    <w:rsid w:val="003442FD"/>
    <w:rsid w:val="00347824"/>
    <w:rsid w:val="00350567"/>
    <w:rsid w:val="003521E8"/>
    <w:rsid w:val="00366240"/>
    <w:rsid w:val="00367EC6"/>
    <w:rsid w:val="00370CE3"/>
    <w:rsid w:val="003728F3"/>
    <w:rsid w:val="00372DAC"/>
    <w:rsid w:val="003735BC"/>
    <w:rsid w:val="0037496E"/>
    <w:rsid w:val="00380505"/>
    <w:rsid w:val="00383221"/>
    <w:rsid w:val="003850D1"/>
    <w:rsid w:val="00386150"/>
    <w:rsid w:val="003874CE"/>
    <w:rsid w:val="00390900"/>
    <w:rsid w:val="0039756D"/>
    <w:rsid w:val="003A1B64"/>
    <w:rsid w:val="003A2BF4"/>
    <w:rsid w:val="003A50D2"/>
    <w:rsid w:val="003A7F6C"/>
    <w:rsid w:val="003B4D60"/>
    <w:rsid w:val="003B756F"/>
    <w:rsid w:val="003B7E39"/>
    <w:rsid w:val="003C58DC"/>
    <w:rsid w:val="003D14EF"/>
    <w:rsid w:val="003D1E62"/>
    <w:rsid w:val="003D3230"/>
    <w:rsid w:val="003D5EF7"/>
    <w:rsid w:val="003E0B99"/>
    <w:rsid w:val="003E185E"/>
    <w:rsid w:val="003E2486"/>
    <w:rsid w:val="003E3208"/>
    <w:rsid w:val="003F0B04"/>
    <w:rsid w:val="003F270B"/>
    <w:rsid w:val="003F4897"/>
    <w:rsid w:val="003F7F31"/>
    <w:rsid w:val="0040134E"/>
    <w:rsid w:val="004014F9"/>
    <w:rsid w:val="00405B4C"/>
    <w:rsid w:val="00411600"/>
    <w:rsid w:val="00421CB5"/>
    <w:rsid w:val="004257DC"/>
    <w:rsid w:val="00426331"/>
    <w:rsid w:val="004334C7"/>
    <w:rsid w:val="004361BF"/>
    <w:rsid w:val="004377E5"/>
    <w:rsid w:val="00440A2D"/>
    <w:rsid w:val="00441C3F"/>
    <w:rsid w:val="004421B9"/>
    <w:rsid w:val="0044420A"/>
    <w:rsid w:val="00444D1A"/>
    <w:rsid w:val="0045186A"/>
    <w:rsid w:val="004564A7"/>
    <w:rsid w:val="00456765"/>
    <w:rsid w:val="00460036"/>
    <w:rsid w:val="004617BF"/>
    <w:rsid w:val="00463658"/>
    <w:rsid w:val="004637A0"/>
    <w:rsid w:val="00463F5C"/>
    <w:rsid w:val="004674A8"/>
    <w:rsid w:val="004722CC"/>
    <w:rsid w:val="00474F38"/>
    <w:rsid w:val="00475FE8"/>
    <w:rsid w:val="004806F4"/>
    <w:rsid w:val="00487232"/>
    <w:rsid w:val="00490483"/>
    <w:rsid w:val="00492468"/>
    <w:rsid w:val="004936E4"/>
    <w:rsid w:val="00494E60"/>
    <w:rsid w:val="00497487"/>
    <w:rsid w:val="004A0355"/>
    <w:rsid w:val="004A12D1"/>
    <w:rsid w:val="004A1A22"/>
    <w:rsid w:val="004A2771"/>
    <w:rsid w:val="004A6189"/>
    <w:rsid w:val="004A6CBD"/>
    <w:rsid w:val="004A7390"/>
    <w:rsid w:val="004B7B76"/>
    <w:rsid w:val="004C239D"/>
    <w:rsid w:val="004C2DCA"/>
    <w:rsid w:val="004C4FBE"/>
    <w:rsid w:val="004C61D2"/>
    <w:rsid w:val="004E1376"/>
    <w:rsid w:val="004E5BF1"/>
    <w:rsid w:val="004F0C4A"/>
    <w:rsid w:val="004F0F38"/>
    <w:rsid w:val="004F2264"/>
    <w:rsid w:val="004F47D6"/>
    <w:rsid w:val="004F5532"/>
    <w:rsid w:val="004F6322"/>
    <w:rsid w:val="00500337"/>
    <w:rsid w:val="00501921"/>
    <w:rsid w:val="00501BC9"/>
    <w:rsid w:val="00503657"/>
    <w:rsid w:val="00504D2B"/>
    <w:rsid w:val="00505556"/>
    <w:rsid w:val="005060EC"/>
    <w:rsid w:val="005073A5"/>
    <w:rsid w:val="00514124"/>
    <w:rsid w:val="00514F2C"/>
    <w:rsid w:val="0052719A"/>
    <w:rsid w:val="00530354"/>
    <w:rsid w:val="005351BA"/>
    <w:rsid w:val="0053625B"/>
    <w:rsid w:val="00542C2C"/>
    <w:rsid w:val="005434C6"/>
    <w:rsid w:val="00543B39"/>
    <w:rsid w:val="00546154"/>
    <w:rsid w:val="00550096"/>
    <w:rsid w:val="00555280"/>
    <w:rsid w:val="0055617B"/>
    <w:rsid w:val="00557FF9"/>
    <w:rsid w:val="00560C9F"/>
    <w:rsid w:val="0056205D"/>
    <w:rsid w:val="00562327"/>
    <w:rsid w:val="00563B05"/>
    <w:rsid w:val="005711D5"/>
    <w:rsid w:val="00575168"/>
    <w:rsid w:val="00576013"/>
    <w:rsid w:val="00576378"/>
    <w:rsid w:val="00577130"/>
    <w:rsid w:val="00577945"/>
    <w:rsid w:val="00577E38"/>
    <w:rsid w:val="00585322"/>
    <w:rsid w:val="005857C6"/>
    <w:rsid w:val="00592F6E"/>
    <w:rsid w:val="00593AD1"/>
    <w:rsid w:val="00593FCC"/>
    <w:rsid w:val="005A49DF"/>
    <w:rsid w:val="005A68B6"/>
    <w:rsid w:val="005A7ABD"/>
    <w:rsid w:val="005B09FD"/>
    <w:rsid w:val="005C5570"/>
    <w:rsid w:val="005C5B66"/>
    <w:rsid w:val="005C67D3"/>
    <w:rsid w:val="005C79A4"/>
    <w:rsid w:val="005D5442"/>
    <w:rsid w:val="005E5A24"/>
    <w:rsid w:val="005F1AE3"/>
    <w:rsid w:val="005F2DB7"/>
    <w:rsid w:val="005F7850"/>
    <w:rsid w:val="005F788E"/>
    <w:rsid w:val="00603F32"/>
    <w:rsid w:val="00605AD4"/>
    <w:rsid w:val="006136D7"/>
    <w:rsid w:val="00625A6E"/>
    <w:rsid w:val="006265C3"/>
    <w:rsid w:val="00632398"/>
    <w:rsid w:val="00640FC3"/>
    <w:rsid w:val="00642020"/>
    <w:rsid w:val="006425E5"/>
    <w:rsid w:val="006430EE"/>
    <w:rsid w:val="0065337B"/>
    <w:rsid w:val="0065419D"/>
    <w:rsid w:val="006603BC"/>
    <w:rsid w:val="006604D8"/>
    <w:rsid w:val="006613EC"/>
    <w:rsid w:val="006617EE"/>
    <w:rsid w:val="0066484F"/>
    <w:rsid w:val="00664A5B"/>
    <w:rsid w:val="0066735C"/>
    <w:rsid w:val="006763D2"/>
    <w:rsid w:val="0067772E"/>
    <w:rsid w:val="00680C08"/>
    <w:rsid w:val="006916A0"/>
    <w:rsid w:val="006931B1"/>
    <w:rsid w:val="00694564"/>
    <w:rsid w:val="006953EB"/>
    <w:rsid w:val="006A15C0"/>
    <w:rsid w:val="006A58A8"/>
    <w:rsid w:val="006A7A28"/>
    <w:rsid w:val="006B370E"/>
    <w:rsid w:val="006C07A3"/>
    <w:rsid w:val="006C0A56"/>
    <w:rsid w:val="006C2A3D"/>
    <w:rsid w:val="006C3E2A"/>
    <w:rsid w:val="006C642F"/>
    <w:rsid w:val="006C70A2"/>
    <w:rsid w:val="006D03E5"/>
    <w:rsid w:val="006D5D3E"/>
    <w:rsid w:val="006D6BAE"/>
    <w:rsid w:val="006E08B3"/>
    <w:rsid w:val="006E26E7"/>
    <w:rsid w:val="006F17AC"/>
    <w:rsid w:val="006F2301"/>
    <w:rsid w:val="006F25B8"/>
    <w:rsid w:val="006F572E"/>
    <w:rsid w:val="006F7897"/>
    <w:rsid w:val="007046D6"/>
    <w:rsid w:val="00705DB0"/>
    <w:rsid w:val="00722B57"/>
    <w:rsid w:val="00723348"/>
    <w:rsid w:val="00723EDF"/>
    <w:rsid w:val="00725258"/>
    <w:rsid w:val="00730F8A"/>
    <w:rsid w:val="00735A8C"/>
    <w:rsid w:val="0074253D"/>
    <w:rsid w:val="00744121"/>
    <w:rsid w:val="0074429B"/>
    <w:rsid w:val="007448FA"/>
    <w:rsid w:val="007451D5"/>
    <w:rsid w:val="007514B0"/>
    <w:rsid w:val="007615BC"/>
    <w:rsid w:val="00762F05"/>
    <w:rsid w:val="007652FF"/>
    <w:rsid w:val="00770CAC"/>
    <w:rsid w:val="00770EF1"/>
    <w:rsid w:val="007715A0"/>
    <w:rsid w:val="00773652"/>
    <w:rsid w:val="00773EF7"/>
    <w:rsid w:val="00774E1D"/>
    <w:rsid w:val="007765D8"/>
    <w:rsid w:val="0077675A"/>
    <w:rsid w:val="00780142"/>
    <w:rsid w:val="00780355"/>
    <w:rsid w:val="0078076C"/>
    <w:rsid w:val="007819FD"/>
    <w:rsid w:val="00785717"/>
    <w:rsid w:val="00785721"/>
    <w:rsid w:val="00790D5C"/>
    <w:rsid w:val="00793A59"/>
    <w:rsid w:val="00796C09"/>
    <w:rsid w:val="007A045C"/>
    <w:rsid w:val="007A46F5"/>
    <w:rsid w:val="007A6505"/>
    <w:rsid w:val="007B5106"/>
    <w:rsid w:val="007B6132"/>
    <w:rsid w:val="007B6E9F"/>
    <w:rsid w:val="007C1216"/>
    <w:rsid w:val="007C1AF7"/>
    <w:rsid w:val="007C4930"/>
    <w:rsid w:val="007C5FDB"/>
    <w:rsid w:val="007C6B9B"/>
    <w:rsid w:val="007C6F80"/>
    <w:rsid w:val="007D53B6"/>
    <w:rsid w:val="007E28FD"/>
    <w:rsid w:val="007E438F"/>
    <w:rsid w:val="00804156"/>
    <w:rsid w:val="00805D27"/>
    <w:rsid w:val="00806DCB"/>
    <w:rsid w:val="008071AE"/>
    <w:rsid w:val="00807467"/>
    <w:rsid w:val="00812F2B"/>
    <w:rsid w:val="0081670D"/>
    <w:rsid w:val="00821776"/>
    <w:rsid w:val="008263FF"/>
    <w:rsid w:val="008321F5"/>
    <w:rsid w:val="00832369"/>
    <w:rsid w:val="00834660"/>
    <w:rsid w:val="00834FF9"/>
    <w:rsid w:val="00836BC2"/>
    <w:rsid w:val="00842EB1"/>
    <w:rsid w:val="0085156D"/>
    <w:rsid w:val="00852B28"/>
    <w:rsid w:val="00852BDB"/>
    <w:rsid w:val="00855490"/>
    <w:rsid w:val="0085641B"/>
    <w:rsid w:val="00857136"/>
    <w:rsid w:val="008643B5"/>
    <w:rsid w:val="00874CB0"/>
    <w:rsid w:val="00875A6B"/>
    <w:rsid w:val="00880FB9"/>
    <w:rsid w:val="00885B11"/>
    <w:rsid w:val="00886D15"/>
    <w:rsid w:val="00887D77"/>
    <w:rsid w:val="00887DD8"/>
    <w:rsid w:val="00891855"/>
    <w:rsid w:val="00891BA9"/>
    <w:rsid w:val="00896018"/>
    <w:rsid w:val="008960DD"/>
    <w:rsid w:val="0089635C"/>
    <w:rsid w:val="00897DBB"/>
    <w:rsid w:val="008A250D"/>
    <w:rsid w:val="008A2B9D"/>
    <w:rsid w:val="008A3D9F"/>
    <w:rsid w:val="008A5E0B"/>
    <w:rsid w:val="008A6D59"/>
    <w:rsid w:val="008B3BFC"/>
    <w:rsid w:val="008B4B03"/>
    <w:rsid w:val="008B4E60"/>
    <w:rsid w:val="008B596F"/>
    <w:rsid w:val="008C159F"/>
    <w:rsid w:val="008C1623"/>
    <w:rsid w:val="008C1850"/>
    <w:rsid w:val="008C51A9"/>
    <w:rsid w:val="008D7BD6"/>
    <w:rsid w:val="008E098F"/>
    <w:rsid w:val="008E245A"/>
    <w:rsid w:val="008E4006"/>
    <w:rsid w:val="008E7244"/>
    <w:rsid w:val="008E7846"/>
    <w:rsid w:val="008F02E5"/>
    <w:rsid w:val="008F1CCC"/>
    <w:rsid w:val="008F2967"/>
    <w:rsid w:val="008F6943"/>
    <w:rsid w:val="008F7A0C"/>
    <w:rsid w:val="00902A21"/>
    <w:rsid w:val="0091460E"/>
    <w:rsid w:val="0091523F"/>
    <w:rsid w:val="00917EC5"/>
    <w:rsid w:val="00920330"/>
    <w:rsid w:val="009219D7"/>
    <w:rsid w:val="00922D53"/>
    <w:rsid w:val="00923B70"/>
    <w:rsid w:val="00924482"/>
    <w:rsid w:val="00925B8B"/>
    <w:rsid w:val="00926657"/>
    <w:rsid w:val="00930237"/>
    <w:rsid w:val="00937C17"/>
    <w:rsid w:val="00940A89"/>
    <w:rsid w:val="00941F77"/>
    <w:rsid w:val="009447D0"/>
    <w:rsid w:val="00946EA5"/>
    <w:rsid w:val="00954CB1"/>
    <w:rsid w:val="00960520"/>
    <w:rsid w:val="00963C08"/>
    <w:rsid w:val="00971E73"/>
    <w:rsid w:val="009752A5"/>
    <w:rsid w:val="00977E3F"/>
    <w:rsid w:val="00981190"/>
    <w:rsid w:val="0098384C"/>
    <w:rsid w:val="0098585A"/>
    <w:rsid w:val="0099146C"/>
    <w:rsid w:val="00995B76"/>
    <w:rsid w:val="009A0022"/>
    <w:rsid w:val="009A13D5"/>
    <w:rsid w:val="009A4CED"/>
    <w:rsid w:val="009A690D"/>
    <w:rsid w:val="009B1CDB"/>
    <w:rsid w:val="009B1D12"/>
    <w:rsid w:val="009B416B"/>
    <w:rsid w:val="009B74B8"/>
    <w:rsid w:val="009C3EB7"/>
    <w:rsid w:val="009C46EE"/>
    <w:rsid w:val="009C4BD5"/>
    <w:rsid w:val="009C627B"/>
    <w:rsid w:val="009D1B4C"/>
    <w:rsid w:val="009D7B77"/>
    <w:rsid w:val="009E0BB0"/>
    <w:rsid w:val="009E3FBB"/>
    <w:rsid w:val="009E678B"/>
    <w:rsid w:val="009F05A9"/>
    <w:rsid w:val="009F7353"/>
    <w:rsid w:val="00A01672"/>
    <w:rsid w:val="00A02710"/>
    <w:rsid w:val="00A04F85"/>
    <w:rsid w:val="00A05FA4"/>
    <w:rsid w:val="00A07C4E"/>
    <w:rsid w:val="00A102E4"/>
    <w:rsid w:val="00A1219C"/>
    <w:rsid w:val="00A12C42"/>
    <w:rsid w:val="00A14DF7"/>
    <w:rsid w:val="00A157D4"/>
    <w:rsid w:val="00A22D57"/>
    <w:rsid w:val="00A2571E"/>
    <w:rsid w:val="00A31069"/>
    <w:rsid w:val="00A3246D"/>
    <w:rsid w:val="00A32D35"/>
    <w:rsid w:val="00A36FA7"/>
    <w:rsid w:val="00A37F34"/>
    <w:rsid w:val="00A423DE"/>
    <w:rsid w:val="00A43A94"/>
    <w:rsid w:val="00A44DDB"/>
    <w:rsid w:val="00A475B7"/>
    <w:rsid w:val="00A47883"/>
    <w:rsid w:val="00A47AF7"/>
    <w:rsid w:val="00A47C3E"/>
    <w:rsid w:val="00A50226"/>
    <w:rsid w:val="00A60BAD"/>
    <w:rsid w:val="00A72AFB"/>
    <w:rsid w:val="00A77F87"/>
    <w:rsid w:val="00A80939"/>
    <w:rsid w:val="00A80B5B"/>
    <w:rsid w:val="00A84E36"/>
    <w:rsid w:val="00A964D1"/>
    <w:rsid w:val="00AA0ED0"/>
    <w:rsid w:val="00AA17D9"/>
    <w:rsid w:val="00AA2BA7"/>
    <w:rsid w:val="00AA35B2"/>
    <w:rsid w:val="00AA4543"/>
    <w:rsid w:val="00AA5B63"/>
    <w:rsid w:val="00AA628C"/>
    <w:rsid w:val="00AC2B40"/>
    <w:rsid w:val="00AC2BB2"/>
    <w:rsid w:val="00AC2C3C"/>
    <w:rsid w:val="00AC512D"/>
    <w:rsid w:val="00AD0083"/>
    <w:rsid w:val="00AD0654"/>
    <w:rsid w:val="00AD3935"/>
    <w:rsid w:val="00AD55C6"/>
    <w:rsid w:val="00AE51AC"/>
    <w:rsid w:val="00AE65EB"/>
    <w:rsid w:val="00AE67A7"/>
    <w:rsid w:val="00AE7BCC"/>
    <w:rsid w:val="00AF03A9"/>
    <w:rsid w:val="00AF1D94"/>
    <w:rsid w:val="00AF60C5"/>
    <w:rsid w:val="00AF6424"/>
    <w:rsid w:val="00B009C6"/>
    <w:rsid w:val="00B01548"/>
    <w:rsid w:val="00B03803"/>
    <w:rsid w:val="00B0381E"/>
    <w:rsid w:val="00B04157"/>
    <w:rsid w:val="00B130C5"/>
    <w:rsid w:val="00B13EBD"/>
    <w:rsid w:val="00B219EF"/>
    <w:rsid w:val="00B21D29"/>
    <w:rsid w:val="00B22020"/>
    <w:rsid w:val="00B2414F"/>
    <w:rsid w:val="00B25034"/>
    <w:rsid w:val="00B265B3"/>
    <w:rsid w:val="00B33588"/>
    <w:rsid w:val="00B33863"/>
    <w:rsid w:val="00B37D17"/>
    <w:rsid w:val="00B4175E"/>
    <w:rsid w:val="00B41C85"/>
    <w:rsid w:val="00B452CE"/>
    <w:rsid w:val="00B522C7"/>
    <w:rsid w:val="00B54C25"/>
    <w:rsid w:val="00B74BF9"/>
    <w:rsid w:val="00B76B91"/>
    <w:rsid w:val="00B77EB1"/>
    <w:rsid w:val="00B811C6"/>
    <w:rsid w:val="00B82EDD"/>
    <w:rsid w:val="00B855B0"/>
    <w:rsid w:val="00B92E08"/>
    <w:rsid w:val="00BA00DD"/>
    <w:rsid w:val="00BA10DC"/>
    <w:rsid w:val="00BB3F01"/>
    <w:rsid w:val="00BB7F78"/>
    <w:rsid w:val="00BC622A"/>
    <w:rsid w:val="00BE0A78"/>
    <w:rsid w:val="00BE58A4"/>
    <w:rsid w:val="00BE79F0"/>
    <w:rsid w:val="00BF0065"/>
    <w:rsid w:val="00BF046D"/>
    <w:rsid w:val="00BF1190"/>
    <w:rsid w:val="00BF3774"/>
    <w:rsid w:val="00BF3979"/>
    <w:rsid w:val="00BF5D04"/>
    <w:rsid w:val="00C009AA"/>
    <w:rsid w:val="00C00D13"/>
    <w:rsid w:val="00C022E3"/>
    <w:rsid w:val="00C1164D"/>
    <w:rsid w:val="00C116F5"/>
    <w:rsid w:val="00C13FAD"/>
    <w:rsid w:val="00C15EC1"/>
    <w:rsid w:val="00C16861"/>
    <w:rsid w:val="00C272E0"/>
    <w:rsid w:val="00C346AB"/>
    <w:rsid w:val="00C404A6"/>
    <w:rsid w:val="00C40A36"/>
    <w:rsid w:val="00C43C6B"/>
    <w:rsid w:val="00C44419"/>
    <w:rsid w:val="00C45E7B"/>
    <w:rsid w:val="00C471B1"/>
    <w:rsid w:val="00C525A2"/>
    <w:rsid w:val="00C52E24"/>
    <w:rsid w:val="00C6316B"/>
    <w:rsid w:val="00C634A9"/>
    <w:rsid w:val="00C64586"/>
    <w:rsid w:val="00C65CC2"/>
    <w:rsid w:val="00C70A36"/>
    <w:rsid w:val="00C70D53"/>
    <w:rsid w:val="00C73D0B"/>
    <w:rsid w:val="00C74F5C"/>
    <w:rsid w:val="00C772FF"/>
    <w:rsid w:val="00C80137"/>
    <w:rsid w:val="00C801AF"/>
    <w:rsid w:val="00C80256"/>
    <w:rsid w:val="00C83C68"/>
    <w:rsid w:val="00C94CD4"/>
    <w:rsid w:val="00C9747E"/>
    <w:rsid w:val="00CA13B9"/>
    <w:rsid w:val="00CA432C"/>
    <w:rsid w:val="00CB6BC0"/>
    <w:rsid w:val="00CB6BCB"/>
    <w:rsid w:val="00CC1B7C"/>
    <w:rsid w:val="00CC5C33"/>
    <w:rsid w:val="00CC727F"/>
    <w:rsid w:val="00CD6FEF"/>
    <w:rsid w:val="00CE33D9"/>
    <w:rsid w:val="00CE75EA"/>
    <w:rsid w:val="00CF03B3"/>
    <w:rsid w:val="00CF15C3"/>
    <w:rsid w:val="00CF2B6F"/>
    <w:rsid w:val="00CF2F3E"/>
    <w:rsid w:val="00CF3228"/>
    <w:rsid w:val="00CF58B6"/>
    <w:rsid w:val="00CF5DAD"/>
    <w:rsid w:val="00D0062D"/>
    <w:rsid w:val="00D015F2"/>
    <w:rsid w:val="00D017ED"/>
    <w:rsid w:val="00D040D3"/>
    <w:rsid w:val="00D04C65"/>
    <w:rsid w:val="00D05DCB"/>
    <w:rsid w:val="00D153D8"/>
    <w:rsid w:val="00D201D2"/>
    <w:rsid w:val="00D22090"/>
    <w:rsid w:val="00D224FE"/>
    <w:rsid w:val="00D23139"/>
    <w:rsid w:val="00D37103"/>
    <w:rsid w:val="00D425BB"/>
    <w:rsid w:val="00D448AF"/>
    <w:rsid w:val="00D44A38"/>
    <w:rsid w:val="00D453FA"/>
    <w:rsid w:val="00D47E79"/>
    <w:rsid w:val="00D51A53"/>
    <w:rsid w:val="00D55969"/>
    <w:rsid w:val="00D6493E"/>
    <w:rsid w:val="00D7167F"/>
    <w:rsid w:val="00D7195D"/>
    <w:rsid w:val="00D7301E"/>
    <w:rsid w:val="00D83AE1"/>
    <w:rsid w:val="00D84122"/>
    <w:rsid w:val="00D855D4"/>
    <w:rsid w:val="00D902C9"/>
    <w:rsid w:val="00D920D9"/>
    <w:rsid w:val="00D93466"/>
    <w:rsid w:val="00DA0190"/>
    <w:rsid w:val="00DA1124"/>
    <w:rsid w:val="00DA3D07"/>
    <w:rsid w:val="00DA64CB"/>
    <w:rsid w:val="00DB06B8"/>
    <w:rsid w:val="00DB0C92"/>
    <w:rsid w:val="00DB3EC5"/>
    <w:rsid w:val="00DB6124"/>
    <w:rsid w:val="00DB750B"/>
    <w:rsid w:val="00DB75B7"/>
    <w:rsid w:val="00DC0A2F"/>
    <w:rsid w:val="00DC1948"/>
    <w:rsid w:val="00DC6E02"/>
    <w:rsid w:val="00DC6E5B"/>
    <w:rsid w:val="00DD28CD"/>
    <w:rsid w:val="00DE02AE"/>
    <w:rsid w:val="00DE39D1"/>
    <w:rsid w:val="00DE6C94"/>
    <w:rsid w:val="00DF1D7F"/>
    <w:rsid w:val="00DF4BE4"/>
    <w:rsid w:val="00DF7FF5"/>
    <w:rsid w:val="00E015B5"/>
    <w:rsid w:val="00E02382"/>
    <w:rsid w:val="00E02FB4"/>
    <w:rsid w:val="00E04BCE"/>
    <w:rsid w:val="00E07C8D"/>
    <w:rsid w:val="00E12974"/>
    <w:rsid w:val="00E13FC7"/>
    <w:rsid w:val="00E15180"/>
    <w:rsid w:val="00E1625F"/>
    <w:rsid w:val="00E20571"/>
    <w:rsid w:val="00E21EF8"/>
    <w:rsid w:val="00E235F7"/>
    <w:rsid w:val="00E23659"/>
    <w:rsid w:val="00E239D4"/>
    <w:rsid w:val="00E26130"/>
    <w:rsid w:val="00E27C1D"/>
    <w:rsid w:val="00E31138"/>
    <w:rsid w:val="00E3201F"/>
    <w:rsid w:val="00E33D42"/>
    <w:rsid w:val="00E40B22"/>
    <w:rsid w:val="00E42B80"/>
    <w:rsid w:val="00E44ED1"/>
    <w:rsid w:val="00E45619"/>
    <w:rsid w:val="00E4588F"/>
    <w:rsid w:val="00E46DA3"/>
    <w:rsid w:val="00E51BB1"/>
    <w:rsid w:val="00E55CB0"/>
    <w:rsid w:val="00E624A5"/>
    <w:rsid w:val="00E64231"/>
    <w:rsid w:val="00E64BA4"/>
    <w:rsid w:val="00E702D3"/>
    <w:rsid w:val="00E70EFB"/>
    <w:rsid w:val="00E7344E"/>
    <w:rsid w:val="00E82665"/>
    <w:rsid w:val="00E84263"/>
    <w:rsid w:val="00E84CDA"/>
    <w:rsid w:val="00E84FBA"/>
    <w:rsid w:val="00E8663F"/>
    <w:rsid w:val="00E95F35"/>
    <w:rsid w:val="00E96B2F"/>
    <w:rsid w:val="00EB0280"/>
    <w:rsid w:val="00EB0798"/>
    <w:rsid w:val="00EB2AEE"/>
    <w:rsid w:val="00EB40AD"/>
    <w:rsid w:val="00EB586E"/>
    <w:rsid w:val="00EB5FC8"/>
    <w:rsid w:val="00EC0FF8"/>
    <w:rsid w:val="00EC463D"/>
    <w:rsid w:val="00EC7A85"/>
    <w:rsid w:val="00ED2922"/>
    <w:rsid w:val="00ED3CAD"/>
    <w:rsid w:val="00ED3DA9"/>
    <w:rsid w:val="00ED5A41"/>
    <w:rsid w:val="00ED6F51"/>
    <w:rsid w:val="00EE1DE8"/>
    <w:rsid w:val="00EE27C2"/>
    <w:rsid w:val="00EE294F"/>
    <w:rsid w:val="00EE7E8B"/>
    <w:rsid w:val="00EF4BAD"/>
    <w:rsid w:val="00EF59DC"/>
    <w:rsid w:val="00F033EC"/>
    <w:rsid w:val="00F04F68"/>
    <w:rsid w:val="00F12670"/>
    <w:rsid w:val="00F14B27"/>
    <w:rsid w:val="00F15498"/>
    <w:rsid w:val="00F20E25"/>
    <w:rsid w:val="00F26C39"/>
    <w:rsid w:val="00F3148D"/>
    <w:rsid w:val="00F325C5"/>
    <w:rsid w:val="00F32FE0"/>
    <w:rsid w:val="00F35298"/>
    <w:rsid w:val="00F37163"/>
    <w:rsid w:val="00F461F2"/>
    <w:rsid w:val="00F47333"/>
    <w:rsid w:val="00F47E37"/>
    <w:rsid w:val="00F53C07"/>
    <w:rsid w:val="00F54B65"/>
    <w:rsid w:val="00F63DBF"/>
    <w:rsid w:val="00F640B6"/>
    <w:rsid w:val="00F66DF2"/>
    <w:rsid w:val="00F77B94"/>
    <w:rsid w:val="00F80183"/>
    <w:rsid w:val="00F807C5"/>
    <w:rsid w:val="00F80E40"/>
    <w:rsid w:val="00F848D9"/>
    <w:rsid w:val="00FA0871"/>
    <w:rsid w:val="00FA33AC"/>
    <w:rsid w:val="00FA5069"/>
    <w:rsid w:val="00FA5B82"/>
    <w:rsid w:val="00FA639E"/>
    <w:rsid w:val="00FA7EA6"/>
    <w:rsid w:val="00FB276D"/>
    <w:rsid w:val="00FB726A"/>
    <w:rsid w:val="00FC1FCA"/>
    <w:rsid w:val="00FC25E4"/>
    <w:rsid w:val="00FC4EF7"/>
    <w:rsid w:val="00FC7B0F"/>
    <w:rsid w:val="00FD0824"/>
    <w:rsid w:val="00FD119B"/>
    <w:rsid w:val="00FD1D7B"/>
    <w:rsid w:val="00FD1EDC"/>
    <w:rsid w:val="00FE1DEE"/>
    <w:rsid w:val="00FE238A"/>
    <w:rsid w:val="00FF2126"/>
    <w:rsid w:val="00FF3438"/>
    <w:rsid w:val="00FF5755"/>
    <w:rsid w:val="00FF69BE"/>
    <w:rsid w:val="00FF7B93"/>
    <w:rsid w:val="349CF9A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440D2F"/>
  <w15:docId w15:val="{DA8D084A-36A6-4C31-82D7-8CFDE6CD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C13FAD"/>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501BC9"/>
    <w:pPr>
      <w:autoSpaceDE w:val="0"/>
      <w:autoSpaceDN w:val="0"/>
      <w:adjustRightInd w:val="0"/>
      <w:spacing w:after="0" w:line="240" w:lineRule="auto"/>
    </w:pPr>
    <w:rPr>
      <w:rFonts w:ascii="Cambria" w:hAnsi="Cambria" w:cs="Cambria"/>
      <w:color w:val="000000"/>
      <w:sz w:val="24"/>
      <w:szCs w:val="24"/>
      <w:lang w:val="en-GB"/>
    </w:rPr>
  </w:style>
  <w:style w:type="character" w:styleId="Strong">
    <w:name w:val="Strong"/>
    <w:basedOn w:val="DefaultParagraphFont"/>
    <w:uiPriority w:val="22"/>
    <w:qFormat/>
    <w:rsid w:val="00C022E3"/>
    <w:rPr>
      <w:b/>
      <w:bCs/>
    </w:rPr>
  </w:style>
  <w:style w:type="character" w:customStyle="1" w:styleId="refseriesvolume1">
    <w:name w:val="ref__seriesvolume1"/>
    <w:basedOn w:val="DefaultParagraphFont"/>
    <w:rsid w:val="00C022E3"/>
    <w:rPr>
      <w:b/>
      <w:bCs/>
    </w:rPr>
  </w:style>
  <w:style w:type="paragraph" w:styleId="ListParagraph">
    <w:name w:val="List Paragraph"/>
    <w:basedOn w:val="Normal"/>
    <w:uiPriority w:val="34"/>
    <w:qFormat/>
    <w:rsid w:val="002671F9"/>
    <w:pPr>
      <w:ind w:left="720"/>
      <w:contextualSpacing/>
    </w:pPr>
  </w:style>
  <w:style w:type="character" w:customStyle="1" w:styleId="TabletextChar">
    <w:name w:val="Table text Char"/>
    <w:basedOn w:val="DefaultParagraphFont"/>
    <w:link w:val="Tabletext"/>
    <w:rsid w:val="00F15498"/>
    <w:rPr>
      <w:rFonts w:ascii="Cambria" w:eastAsia="Cambria" w:hAnsi="Cambria" w:cs="Times New Roman"/>
      <w:sz w:val="19"/>
    </w:rPr>
  </w:style>
  <w:style w:type="paragraph" w:customStyle="1" w:styleId="Standard">
    <w:name w:val="Standard"/>
    <w:basedOn w:val="Normal"/>
    <w:link w:val="StandardChar"/>
    <w:qFormat/>
    <w:rsid w:val="00575168"/>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575168"/>
    <w:rPr>
      <w:rFonts w:ascii="Cambria" w:eastAsia="Times New Roman" w:hAnsi="Cambria" w:cs="Times New Roman"/>
      <w:snapToGrid w:val="0"/>
      <w:kern w:val="16"/>
      <w:sz w:val="23"/>
      <w:szCs w:val="24"/>
    </w:rPr>
  </w:style>
  <w:style w:type="paragraph" w:styleId="NormalWeb">
    <w:name w:val="Normal (Web)"/>
    <w:basedOn w:val="Normal"/>
    <w:uiPriority w:val="99"/>
    <w:semiHidden/>
    <w:unhideWhenUsed/>
    <w:rsid w:val="00E64231"/>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1185">
      <w:bodyDiv w:val="1"/>
      <w:marLeft w:val="0"/>
      <w:marRight w:val="0"/>
      <w:marTop w:val="0"/>
      <w:marBottom w:val="0"/>
      <w:divBdr>
        <w:top w:val="none" w:sz="0" w:space="0" w:color="auto"/>
        <w:left w:val="none" w:sz="0" w:space="0" w:color="auto"/>
        <w:bottom w:val="none" w:sz="0" w:space="0" w:color="auto"/>
        <w:right w:val="none" w:sz="0" w:space="0" w:color="auto"/>
      </w:divBdr>
    </w:div>
    <w:div w:id="312301093">
      <w:bodyDiv w:val="1"/>
      <w:marLeft w:val="0"/>
      <w:marRight w:val="0"/>
      <w:marTop w:val="0"/>
      <w:marBottom w:val="0"/>
      <w:divBdr>
        <w:top w:val="none" w:sz="0" w:space="0" w:color="auto"/>
        <w:left w:val="none" w:sz="0" w:space="0" w:color="auto"/>
        <w:bottom w:val="none" w:sz="0" w:space="0" w:color="auto"/>
        <w:right w:val="none" w:sz="0" w:space="0" w:color="auto"/>
      </w:divBdr>
    </w:div>
    <w:div w:id="480007299">
      <w:bodyDiv w:val="1"/>
      <w:marLeft w:val="0"/>
      <w:marRight w:val="0"/>
      <w:marTop w:val="0"/>
      <w:marBottom w:val="0"/>
      <w:divBdr>
        <w:top w:val="none" w:sz="0" w:space="0" w:color="auto"/>
        <w:left w:val="none" w:sz="0" w:space="0" w:color="auto"/>
        <w:bottom w:val="none" w:sz="0" w:space="0" w:color="auto"/>
        <w:right w:val="none" w:sz="0" w:space="0" w:color="auto"/>
      </w:divBdr>
    </w:div>
    <w:div w:id="518154756">
      <w:bodyDiv w:val="1"/>
      <w:marLeft w:val="0"/>
      <w:marRight w:val="0"/>
      <w:marTop w:val="0"/>
      <w:marBottom w:val="0"/>
      <w:divBdr>
        <w:top w:val="none" w:sz="0" w:space="0" w:color="auto"/>
        <w:left w:val="none" w:sz="0" w:space="0" w:color="auto"/>
        <w:bottom w:val="none" w:sz="0" w:space="0" w:color="auto"/>
        <w:right w:val="none" w:sz="0" w:space="0" w:color="auto"/>
      </w:divBdr>
      <w:divsChild>
        <w:div w:id="747313378">
          <w:marLeft w:val="0"/>
          <w:marRight w:val="0"/>
          <w:marTop w:val="0"/>
          <w:marBottom w:val="0"/>
          <w:divBdr>
            <w:top w:val="none" w:sz="0" w:space="0" w:color="auto"/>
            <w:left w:val="none" w:sz="0" w:space="0" w:color="auto"/>
            <w:bottom w:val="none" w:sz="0" w:space="0" w:color="auto"/>
            <w:right w:val="none" w:sz="0" w:space="0" w:color="auto"/>
          </w:divBdr>
        </w:div>
      </w:divsChild>
    </w:div>
    <w:div w:id="652367283">
      <w:bodyDiv w:val="1"/>
      <w:marLeft w:val="0"/>
      <w:marRight w:val="0"/>
      <w:marTop w:val="0"/>
      <w:marBottom w:val="0"/>
      <w:divBdr>
        <w:top w:val="none" w:sz="0" w:space="0" w:color="auto"/>
        <w:left w:val="none" w:sz="0" w:space="0" w:color="auto"/>
        <w:bottom w:val="none" w:sz="0" w:space="0" w:color="auto"/>
        <w:right w:val="none" w:sz="0" w:space="0" w:color="auto"/>
      </w:divBdr>
    </w:div>
    <w:div w:id="771898961">
      <w:bodyDiv w:val="1"/>
      <w:marLeft w:val="0"/>
      <w:marRight w:val="0"/>
      <w:marTop w:val="0"/>
      <w:marBottom w:val="0"/>
      <w:divBdr>
        <w:top w:val="none" w:sz="0" w:space="0" w:color="auto"/>
        <w:left w:val="none" w:sz="0" w:space="0" w:color="auto"/>
        <w:bottom w:val="none" w:sz="0" w:space="0" w:color="auto"/>
        <w:right w:val="none" w:sz="0" w:space="0" w:color="auto"/>
      </w:divBdr>
      <w:divsChild>
        <w:div w:id="1322082585">
          <w:marLeft w:val="0"/>
          <w:marRight w:val="0"/>
          <w:marTop w:val="0"/>
          <w:marBottom w:val="0"/>
          <w:divBdr>
            <w:top w:val="none" w:sz="0" w:space="0" w:color="auto"/>
            <w:left w:val="none" w:sz="0" w:space="0" w:color="auto"/>
            <w:bottom w:val="none" w:sz="0" w:space="0" w:color="auto"/>
            <w:right w:val="none" w:sz="0" w:space="0" w:color="auto"/>
          </w:divBdr>
          <w:divsChild>
            <w:div w:id="875893193">
              <w:marLeft w:val="0"/>
              <w:marRight w:val="0"/>
              <w:marTop w:val="180"/>
              <w:marBottom w:val="450"/>
              <w:divBdr>
                <w:top w:val="none" w:sz="0" w:space="0" w:color="auto"/>
                <w:left w:val="none" w:sz="0" w:space="0" w:color="auto"/>
                <w:bottom w:val="none" w:sz="0" w:space="0" w:color="auto"/>
                <w:right w:val="none" w:sz="0" w:space="0" w:color="auto"/>
              </w:divBdr>
              <w:divsChild>
                <w:div w:id="715158864">
                  <w:marLeft w:val="0"/>
                  <w:marRight w:val="0"/>
                  <w:marTop w:val="0"/>
                  <w:marBottom w:val="75"/>
                  <w:divBdr>
                    <w:top w:val="none" w:sz="0" w:space="0" w:color="auto"/>
                    <w:left w:val="none" w:sz="0" w:space="0" w:color="auto"/>
                    <w:bottom w:val="none" w:sz="0" w:space="0" w:color="auto"/>
                    <w:right w:val="none" w:sz="0" w:space="0" w:color="auto"/>
                  </w:divBdr>
                </w:div>
                <w:div w:id="3962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76196">
      <w:bodyDiv w:val="1"/>
      <w:marLeft w:val="0"/>
      <w:marRight w:val="0"/>
      <w:marTop w:val="0"/>
      <w:marBottom w:val="0"/>
      <w:divBdr>
        <w:top w:val="none" w:sz="0" w:space="0" w:color="auto"/>
        <w:left w:val="none" w:sz="0" w:space="0" w:color="auto"/>
        <w:bottom w:val="none" w:sz="0" w:space="0" w:color="auto"/>
        <w:right w:val="none" w:sz="0" w:space="0" w:color="auto"/>
      </w:divBdr>
    </w:div>
    <w:div w:id="1044447427">
      <w:bodyDiv w:val="1"/>
      <w:marLeft w:val="0"/>
      <w:marRight w:val="0"/>
      <w:marTop w:val="0"/>
      <w:marBottom w:val="0"/>
      <w:divBdr>
        <w:top w:val="none" w:sz="0" w:space="0" w:color="auto"/>
        <w:left w:val="none" w:sz="0" w:space="0" w:color="auto"/>
        <w:bottom w:val="none" w:sz="0" w:space="0" w:color="auto"/>
        <w:right w:val="none" w:sz="0" w:space="0" w:color="auto"/>
      </w:divBdr>
    </w:div>
    <w:div w:id="1056587787">
      <w:bodyDiv w:val="1"/>
      <w:marLeft w:val="0"/>
      <w:marRight w:val="0"/>
      <w:marTop w:val="0"/>
      <w:marBottom w:val="0"/>
      <w:divBdr>
        <w:top w:val="none" w:sz="0" w:space="0" w:color="auto"/>
        <w:left w:val="none" w:sz="0" w:space="0" w:color="auto"/>
        <w:bottom w:val="none" w:sz="0" w:space="0" w:color="auto"/>
        <w:right w:val="none" w:sz="0" w:space="0" w:color="auto"/>
      </w:divBdr>
    </w:div>
    <w:div w:id="1231619327">
      <w:bodyDiv w:val="1"/>
      <w:marLeft w:val="0"/>
      <w:marRight w:val="0"/>
      <w:marTop w:val="0"/>
      <w:marBottom w:val="0"/>
      <w:divBdr>
        <w:top w:val="none" w:sz="0" w:space="0" w:color="auto"/>
        <w:left w:val="none" w:sz="0" w:space="0" w:color="auto"/>
        <w:bottom w:val="none" w:sz="0" w:space="0" w:color="auto"/>
        <w:right w:val="none" w:sz="0" w:space="0" w:color="auto"/>
      </w:divBdr>
      <w:divsChild>
        <w:div w:id="1027174079">
          <w:marLeft w:val="0"/>
          <w:marRight w:val="0"/>
          <w:marTop w:val="0"/>
          <w:marBottom w:val="0"/>
          <w:divBdr>
            <w:top w:val="none" w:sz="0" w:space="0" w:color="auto"/>
            <w:left w:val="none" w:sz="0" w:space="0" w:color="auto"/>
            <w:bottom w:val="none" w:sz="0" w:space="0" w:color="auto"/>
            <w:right w:val="none" w:sz="0" w:space="0" w:color="auto"/>
          </w:divBdr>
          <w:divsChild>
            <w:div w:id="665288421">
              <w:marLeft w:val="0"/>
              <w:marRight w:val="0"/>
              <w:marTop w:val="180"/>
              <w:marBottom w:val="450"/>
              <w:divBdr>
                <w:top w:val="none" w:sz="0" w:space="0" w:color="auto"/>
                <w:left w:val="none" w:sz="0" w:space="0" w:color="auto"/>
                <w:bottom w:val="none" w:sz="0" w:space="0" w:color="auto"/>
                <w:right w:val="none" w:sz="0" w:space="0" w:color="auto"/>
              </w:divBdr>
              <w:divsChild>
                <w:div w:id="790172212">
                  <w:marLeft w:val="0"/>
                  <w:marRight w:val="0"/>
                  <w:marTop w:val="0"/>
                  <w:marBottom w:val="75"/>
                  <w:divBdr>
                    <w:top w:val="none" w:sz="0" w:space="0" w:color="auto"/>
                    <w:left w:val="none" w:sz="0" w:space="0" w:color="auto"/>
                    <w:bottom w:val="none" w:sz="0" w:space="0" w:color="auto"/>
                    <w:right w:val="none" w:sz="0" w:space="0" w:color="auto"/>
                  </w:divBdr>
                </w:div>
                <w:div w:id="16979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54317">
      <w:bodyDiv w:val="1"/>
      <w:marLeft w:val="0"/>
      <w:marRight w:val="0"/>
      <w:marTop w:val="0"/>
      <w:marBottom w:val="0"/>
      <w:divBdr>
        <w:top w:val="none" w:sz="0" w:space="0" w:color="auto"/>
        <w:left w:val="none" w:sz="0" w:space="0" w:color="auto"/>
        <w:bottom w:val="none" w:sz="0" w:space="0" w:color="auto"/>
        <w:right w:val="none" w:sz="0" w:space="0" w:color="auto"/>
      </w:divBdr>
    </w:div>
    <w:div w:id="1333874650">
      <w:bodyDiv w:val="1"/>
      <w:marLeft w:val="0"/>
      <w:marRight w:val="0"/>
      <w:marTop w:val="0"/>
      <w:marBottom w:val="0"/>
      <w:divBdr>
        <w:top w:val="none" w:sz="0" w:space="0" w:color="auto"/>
        <w:left w:val="none" w:sz="0" w:space="0" w:color="auto"/>
        <w:bottom w:val="none" w:sz="0" w:space="0" w:color="auto"/>
        <w:right w:val="none" w:sz="0" w:space="0" w:color="auto"/>
      </w:divBdr>
    </w:div>
    <w:div w:id="1493137926">
      <w:bodyDiv w:val="1"/>
      <w:marLeft w:val="0"/>
      <w:marRight w:val="0"/>
      <w:marTop w:val="0"/>
      <w:marBottom w:val="0"/>
      <w:divBdr>
        <w:top w:val="none" w:sz="0" w:space="0" w:color="auto"/>
        <w:left w:val="none" w:sz="0" w:space="0" w:color="auto"/>
        <w:bottom w:val="none" w:sz="0" w:space="0" w:color="auto"/>
        <w:right w:val="none" w:sz="0" w:space="0" w:color="auto"/>
      </w:divBdr>
    </w:div>
    <w:div w:id="1543251760">
      <w:bodyDiv w:val="1"/>
      <w:marLeft w:val="0"/>
      <w:marRight w:val="0"/>
      <w:marTop w:val="0"/>
      <w:marBottom w:val="0"/>
      <w:divBdr>
        <w:top w:val="none" w:sz="0" w:space="0" w:color="auto"/>
        <w:left w:val="none" w:sz="0" w:space="0" w:color="auto"/>
        <w:bottom w:val="none" w:sz="0" w:space="0" w:color="auto"/>
        <w:right w:val="none" w:sz="0" w:space="0" w:color="auto"/>
      </w:divBdr>
      <w:divsChild>
        <w:div w:id="522860470">
          <w:marLeft w:val="0"/>
          <w:marRight w:val="0"/>
          <w:marTop w:val="0"/>
          <w:marBottom w:val="0"/>
          <w:divBdr>
            <w:top w:val="none" w:sz="0" w:space="0" w:color="auto"/>
            <w:left w:val="none" w:sz="0" w:space="0" w:color="auto"/>
            <w:bottom w:val="none" w:sz="0" w:space="0" w:color="auto"/>
            <w:right w:val="none" w:sz="0" w:space="0" w:color="auto"/>
          </w:divBdr>
          <w:divsChild>
            <w:div w:id="1796948427">
              <w:marLeft w:val="0"/>
              <w:marRight w:val="0"/>
              <w:marTop w:val="0"/>
              <w:marBottom w:val="0"/>
              <w:divBdr>
                <w:top w:val="none" w:sz="0" w:space="0" w:color="auto"/>
                <w:left w:val="none" w:sz="0" w:space="0" w:color="auto"/>
                <w:bottom w:val="none" w:sz="0" w:space="0" w:color="auto"/>
                <w:right w:val="none" w:sz="0" w:space="0" w:color="auto"/>
              </w:divBdr>
              <w:divsChild>
                <w:div w:id="1413576568">
                  <w:marLeft w:val="0"/>
                  <w:marRight w:val="0"/>
                  <w:marTop w:val="0"/>
                  <w:marBottom w:val="0"/>
                  <w:divBdr>
                    <w:top w:val="none" w:sz="0" w:space="0" w:color="auto"/>
                    <w:left w:val="none" w:sz="0" w:space="0" w:color="auto"/>
                    <w:bottom w:val="none" w:sz="0" w:space="0" w:color="auto"/>
                    <w:right w:val="none" w:sz="0" w:space="0" w:color="auto"/>
                  </w:divBdr>
                  <w:divsChild>
                    <w:div w:id="2040933354">
                      <w:marLeft w:val="0"/>
                      <w:marRight w:val="0"/>
                      <w:marTop w:val="0"/>
                      <w:marBottom w:val="0"/>
                      <w:divBdr>
                        <w:top w:val="none" w:sz="0" w:space="0" w:color="auto"/>
                        <w:left w:val="none" w:sz="0" w:space="0" w:color="auto"/>
                        <w:bottom w:val="none" w:sz="0" w:space="0" w:color="auto"/>
                        <w:right w:val="none" w:sz="0" w:space="0" w:color="auto"/>
                      </w:divBdr>
                      <w:divsChild>
                        <w:div w:id="570845284">
                          <w:marLeft w:val="0"/>
                          <w:marRight w:val="0"/>
                          <w:marTop w:val="0"/>
                          <w:marBottom w:val="0"/>
                          <w:divBdr>
                            <w:top w:val="none" w:sz="0" w:space="0" w:color="auto"/>
                            <w:left w:val="none" w:sz="0" w:space="0" w:color="auto"/>
                            <w:bottom w:val="none" w:sz="0" w:space="0" w:color="auto"/>
                            <w:right w:val="none" w:sz="0" w:space="0" w:color="auto"/>
                          </w:divBdr>
                          <w:divsChild>
                            <w:div w:id="1500654245">
                              <w:marLeft w:val="0"/>
                              <w:marRight w:val="0"/>
                              <w:marTop w:val="210"/>
                              <w:marBottom w:val="0"/>
                              <w:divBdr>
                                <w:top w:val="none" w:sz="0" w:space="0" w:color="auto"/>
                                <w:left w:val="none" w:sz="0" w:space="0" w:color="auto"/>
                                <w:bottom w:val="none" w:sz="0" w:space="0" w:color="auto"/>
                                <w:right w:val="none" w:sz="0" w:space="0" w:color="auto"/>
                              </w:divBdr>
                              <w:divsChild>
                                <w:div w:id="1615939228">
                                  <w:marLeft w:val="0"/>
                                  <w:marRight w:val="0"/>
                                  <w:marTop w:val="0"/>
                                  <w:marBottom w:val="0"/>
                                  <w:divBdr>
                                    <w:top w:val="none" w:sz="0" w:space="0" w:color="auto"/>
                                    <w:left w:val="none" w:sz="0" w:space="0" w:color="auto"/>
                                    <w:bottom w:val="none" w:sz="0" w:space="0" w:color="auto"/>
                                    <w:right w:val="none" w:sz="0" w:space="0" w:color="auto"/>
                                  </w:divBdr>
                                  <w:divsChild>
                                    <w:div w:id="881787907">
                                      <w:marLeft w:val="-240"/>
                                      <w:marRight w:val="-240"/>
                                      <w:marTop w:val="0"/>
                                      <w:marBottom w:val="0"/>
                                      <w:divBdr>
                                        <w:top w:val="none" w:sz="0" w:space="0" w:color="auto"/>
                                        <w:left w:val="none" w:sz="0" w:space="0" w:color="auto"/>
                                        <w:bottom w:val="none" w:sz="0" w:space="0" w:color="auto"/>
                                        <w:right w:val="none" w:sz="0" w:space="0" w:color="auto"/>
                                      </w:divBdr>
                                      <w:divsChild>
                                        <w:div w:id="547373249">
                                          <w:marLeft w:val="0"/>
                                          <w:marRight w:val="0"/>
                                          <w:marTop w:val="0"/>
                                          <w:marBottom w:val="0"/>
                                          <w:divBdr>
                                            <w:top w:val="none" w:sz="0" w:space="0" w:color="auto"/>
                                            <w:left w:val="none" w:sz="0" w:space="0" w:color="auto"/>
                                            <w:bottom w:val="none" w:sz="0" w:space="0" w:color="auto"/>
                                            <w:right w:val="none" w:sz="0" w:space="0" w:color="auto"/>
                                          </w:divBdr>
                                          <w:divsChild>
                                            <w:div w:id="2130466587">
                                              <w:marLeft w:val="0"/>
                                              <w:marRight w:val="0"/>
                                              <w:marTop w:val="150"/>
                                              <w:marBottom w:val="270"/>
                                              <w:divBdr>
                                                <w:top w:val="none" w:sz="0" w:space="0" w:color="auto"/>
                                                <w:left w:val="none" w:sz="0" w:space="0" w:color="auto"/>
                                                <w:bottom w:val="none" w:sz="0" w:space="0" w:color="auto"/>
                                                <w:right w:val="none" w:sz="0" w:space="0" w:color="auto"/>
                                              </w:divBdr>
                                            </w:div>
                                            <w:div w:id="1481117099">
                                              <w:marLeft w:val="0"/>
                                              <w:marRight w:val="0"/>
                                              <w:marTop w:val="150"/>
                                              <w:marBottom w:val="270"/>
                                              <w:divBdr>
                                                <w:top w:val="none" w:sz="0" w:space="0" w:color="auto"/>
                                                <w:left w:val="none" w:sz="0" w:space="0" w:color="auto"/>
                                                <w:bottom w:val="none" w:sz="0" w:space="0" w:color="auto"/>
                                                <w:right w:val="none" w:sz="0" w:space="0" w:color="auto"/>
                                              </w:divBdr>
                                              <w:divsChild>
                                                <w:div w:id="85663135">
                                                  <w:marLeft w:val="0"/>
                                                  <w:marRight w:val="0"/>
                                                  <w:marTop w:val="0"/>
                                                  <w:marBottom w:val="0"/>
                                                  <w:divBdr>
                                                    <w:top w:val="none" w:sz="0" w:space="0" w:color="auto"/>
                                                    <w:left w:val="none" w:sz="0" w:space="0" w:color="auto"/>
                                                    <w:bottom w:val="none" w:sz="0" w:space="0" w:color="auto"/>
                                                    <w:right w:val="none" w:sz="0" w:space="0" w:color="auto"/>
                                                  </w:divBdr>
                                                  <w:divsChild>
                                                    <w:div w:id="57748823">
                                                      <w:marLeft w:val="0"/>
                                                      <w:marRight w:val="0"/>
                                                      <w:marTop w:val="0"/>
                                                      <w:marBottom w:val="0"/>
                                                      <w:divBdr>
                                                        <w:top w:val="none" w:sz="0" w:space="0" w:color="auto"/>
                                                        <w:left w:val="none" w:sz="0" w:space="0" w:color="auto"/>
                                                        <w:bottom w:val="none" w:sz="0" w:space="0" w:color="auto"/>
                                                        <w:right w:val="none" w:sz="0" w:space="0" w:color="auto"/>
                                                      </w:divBdr>
                                                      <w:divsChild>
                                                        <w:div w:id="914440010">
                                                          <w:marLeft w:val="0"/>
                                                          <w:marRight w:val="0"/>
                                                          <w:marTop w:val="0"/>
                                                          <w:marBottom w:val="0"/>
                                                          <w:divBdr>
                                                            <w:top w:val="none" w:sz="0" w:space="0" w:color="auto"/>
                                                            <w:left w:val="none" w:sz="0" w:space="0" w:color="auto"/>
                                                            <w:bottom w:val="none" w:sz="0" w:space="0" w:color="auto"/>
                                                            <w:right w:val="none" w:sz="0" w:space="0" w:color="auto"/>
                                                          </w:divBdr>
                                                          <w:divsChild>
                                                            <w:div w:id="148835659">
                                                              <w:marLeft w:val="0"/>
                                                              <w:marRight w:val="0"/>
                                                              <w:marTop w:val="0"/>
                                                              <w:marBottom w:val="0"/>
                                                              <w:divBdr>
                                                                <w:top w:val="none" w:sz="0" w:space="0" w:color="auto"/>
                                                                <w:left w:val="none" w:sz="0" w:space="0" w:color="auto"/>
                                                                <w:bottom w:val="none" w:sz="0" w:space="0" w:color="auto"/>
                                                                <w:right w:val="none" w:sz="0" w:space="0" w:color="auto"/>
                                                              </w:divBdr>
                                                              <w:divsChild>
                                                                <w:div w:id="1542134526">
                                                                  <w:marLeft w:val="0"/>
                                                                  <w:marRight w:val="0"/>
                                                                  <w:marTop w:val="0"/>
                                                                  <w:marBottom w:val="0"/>
                                                                  <w:divBdr>
                                                                    <w:top w:val="none" w:sz="0" w:space="0" w:color="auto"/>
                                                                    <w:left w:val="none" w:sz="0" w:space="0" w:color="auto"/>
                                                                    <w:bottom w:val="none" w:sz="0" w:space="0" w:color="auto"/>
                                                                    <w:right w:val="none" w:sz="0" w:space="0" w:color="auto"/>
                                                                  </w:divBdr>
                                                                </w:div>
                                                              </w:divsChild>
                                                            </w:div>
                                                            <w:div w:id="222134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69807355">
                                                  <w:marLeft w:val="0"/>
                                                  <w:marRight w:val="0"/>
                                                  <w:marTop w:val="0"/>
                                                  <w:marBottom w:val="0"/>
                                                  <w:divBdr>
                                                    <w:top w:val="none" w:sz="0" w:space="0" w:color="auto"/>
                                                    <w:left w:val="none" w:sz="0" w:space="0" w:color="auto"/>
                                                    <w:bottom w:val="none" w:sz="0" w:space="0" w:color="auto"/>
                                                    <w:right w:val="none" w:sz="0" w:space="0" w:color="auto"/>
                                                  </w:divBdr>
                                                </w:div>
                                              </w:divsChild>
                                            </w:div>
                                            <w:div w:id="1668437055">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yperlink" Target="https://www.tga.gov.au" TargetMode="External"/><Relationship Id="rId3" Type="http://schemas.openxmlformats.org/officeDocument/2006/relationships/styles" Target="styles.xml"/><Relationship Id="rId21" Type="http://schemas.openxmlformats.org/officeDocument/2006/relationships/header" Target="header4.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yperlink" Target="mailto:info@tga.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ga.gov.au/product-information-pi" TargetMode="External"/><Relationship Id="rId20" Type="http://schemas.openxmlformats.org/officeDocument/2006/relationships/hyperlink" Target="https://www.tga.gov.au/product-information-pi"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YIN\AppData\Local\Hewlett-Packard\HP%20TRIM\TEMP\HPTRIM.67916\D19-5975236%20%20AusPAR%20-%20template%20-%20streamlined.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5063-51DA-4FDB-8440-0A2EBEA9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D19-5975236  AusPAR - template - streamlined.DOTX</Template>
  <TotalTime>86</TotalTime>
  <Pages>30</Pages>
  <Words>10773</Words>
  <Characters>58716</Characters>
  <Application>Microsoft Office Word</Application>
  <DocSecurity>0</DocSecurity>
  <Lines>1398</Lines>
  <Paragraphs>755</Paragraphs>
  <ScaleCrop>false</ScaleCrop>
  <HeadingPairs>
    <vt:vector size="2" baseType="variant">
      <vt:variant>
        <vt:lpstr>Title</vt:lpstr>
      </vt:variant>
      <vt:variant>
        <vt:i4>1</vt:i4>
      </vt:variant>
    </vt:vector>
  </HeadingPairs>
  <TitlesOfParts>
    <vt:vector size="1" baseType="lpstr">
      <vt:lpstr>Australian public assessment report for Dapagliflozin</vt:lpstr>
    </vt:vector>
  </TitlesOfParts>
  <Company>Department of Health Therapeutic Goods Administration</Company>
  <LinksUpToDate>false</LinksUpToDate>
  <CharactersWithSpaces>68734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Dapagliflozin</dc:title>
  <dc:subject>prescription medicines</dc:subject>
  <dc:creator>Therapeutic Goods Administration</dc:creator>
  <cp:keywords/>
  <cp:lastPrinted>2019-08-14T04:30:00Z</cp:lastPrinted>
  <dcterms:created xsi:type="dcterms:W3CDTF">2021-04-21T00:33:00Z</dcterms:created>
  <dcterms:modified xsi:type="dcterms:W3CDTF">2021-04-21T02:10:00Z</dcterms:modified>
  <cp:category/>
</cp:coreProperties>
</file>