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85B9" w14:textId="39A2B68A" w:rsidR="00DD22C0" w:rsidRPr="002056B2" w:rsidRDefault="008E4B19" w:rsidP="002056B2">
      <w:pPr>
        <w:ind w:firstLine="720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2056B2">
        <w:rPr>
          <w:rFonts w:ascii="Arial" w:hAnsi="Arial" w:cs="Arial"/>
          <w:b/>
          <w:sz w:val="44"/>
          <w:szCs w:val="44"/>
          <w:vertAlign w:val="superscript"/>
        </w:rPr>
        <w:t>ACZONE</w:t>
      </w:r>
      <w:r w:rsidR="00EC7CAD" w:rsidRPr="002056B2">
        <w:rPr>
          <w:rFonts w:ascii="Arial" w:hAnsi="Arial" w:cs="Arial"/>
          <w:b/>
          <w:sz w:val="44"/>
          <w:szCs w:val="44"/>
          <w:vertAlign w:val="superscript"/>
        </w:rPr>
        <w:t>®</w:t>
      </w:r>
    </w:p>
    <w:p w14:paraId="50E3EC4A" w14:textId="77777777" w:rsidR="00DD22C0" w:rsidRDefault="00DD22C0" w:rsidP="00C23C11">
      <w:pPr>
        <w:jc w:val="both"/>
        <w:rPr>
          <w:rFonts w:ascii="Arial" w:hAnsi="Arial"/>
          <w:sz w:val="22"/>
        </w:rPr>
      </w:pPr>
    </w:p>
    <w:p w14:paraId="52ECA3CE" w14:textId="77777777" w:rsidR="00DD22C0" w:rsidRDefault="00DD22C0" w:rsidP="00C23C1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name OF THE DRUG</w:t>
      </w:r>
    </w:p>
    <w:p w14:paraId="5B54F644" w14:textId="77777777" w:rsidR="00DD22C0" w:rsidRDefault="00DD22C0" w:rsidP="00C23C11">
      <w:pPr>
        <w:tabs>
          <w:tab w:val="left" w:pos="216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The active constituent of </w:t>
      </w:r>
      <w:r w:rsidR="008E4B19">
        <w:rPr>
          <w:rFonts w:ascii="Arial" w:hAnsi="Arial"/>
          <w:sz w:val="22"/>
        </w:rPr>
        <w:t>ACZONE</w:t>
      </w:r>
      <w:r w:rsidR="00EC7CAD" w:rsidRPr="00EC7CAD">
        <w:rPr>
          <w:rFonts w:ascii="Arial" w:hAnsi="Arial"/>
          <w:sz w:val="22"/>
          <w:vertAlign w:val="superscript"/>
        </w:rPr>
        <w:t>®</w:t>
      </w:r>
      <w:r>
        <w:rPr>
          <w:rFonts w:ascii="Arial" w:hAnsi="Arial"/>
          <w:color w:val="auto"/>
          <w:sz w:val="22"/>
        </w:rPr>
        <w:t xml:space="preserve"> </w:t>
      </w:r>
      <w:r w:rsidR="008E4B19" w:rsidRPr="00C23C11">
        <w:rPr>
          <w:rFonts w:ascii="Arial" w:hAnsi="Arial" w:cs="Arial"/>
          <w:sz w:val="22"/>
          <w:szCs w:val="22"/>
        </w:rPr>
        <w:t>7.</w:t>
      </w:r>
      <w:r w:rsidR="0064065D" w:rsidRPr="00C23C11">
        <w:rPr>
          <w:rFonts w:ascii="Arial" w:hAnsi="Arial" w:cs="Arial"/>
          <w:sz w:val="22"/>
          <w:szCs w:val="22"/>
        </w:rPr>
        <w:t>5% w/w gel</w:t>
      </w:r>
      <w:r w:rsidR="0064065D" w:rsidRPr="004D22B5">
        <w:rPr>
          <w:rFonts w:ascii="Arial" w:hAnsi="Arial" w:cs="Arial"/>
          <w:b/>
          <w:sz w:val="22"/>
          <w:szCs w:val="22"/>
        </w:rPr>
        <w:t xml:space="preserve"> </w:t>
      </w:r>
      <w:r w:rsidRPr="004D22B5">
        <w:rPr>
          <w:rFonts w:ascii="Arial" w:hAnsi="Arial" w:cs="Arial"/>
          <w:color w:val="auto"/>
          <w:sz w:val="22"/>
          <w:szCs w:val="22"/>
        </w:rPr>
        <w:t>is</w:t>
      </w:r>
      <w:r w:rsidR="008E4B19">
        <w:rPr>
          <w:rFonts w:ascii="Arial" w:hAnsi="Arial"/>
          <w:color w:val="auto"/>
          <w:sz w:val="22"/>
        </w:rPr>
        <w:t xml:space="preserve"> </w:t>
      </w:r>
      <w:proofErr w:type="spellStart"/>
      <w:r w:rsidR="008E4B19">
        <w:rPr>
          <w:rFonts w:ascii="Arial" w:hAnsi="Arial"/>
          <w:color w:val="auto"/>
          <w:sz w:val="22"/>
        </w:rPr>
        <w:t>dapsone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65788623" w14:textId="77777777" w:rsidR="00DD22C0" w:rsidRDefault="00DD22C0" w:rsidP="00C23C11">
      <w:pPr>
        <w:jc w:val="both"/>
        <w:rPr>
          <w:rFonts w:ascii="Arial" w:hAnsi="Arial"/>
          <w:sz w:val="22"/>
        </w:rPr>
      </w:pPr>
    </w:p>
    <w:p w14:paraId="5BBEDB15" w14:textId="77777777" w:rsidR="00DD22C0" w:rsidRDefault="00DD22C0" w:rsidP="00C23C1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Description</w:t>
      </w:r>
    </w:p>
    <w:p w14:paraId="43E7A3D3" w14:textId="78AD588C" w:rsidR="00DD22C0" w:rsidRDefault="00DD22C0" w:rsidP="00C23C1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</w:t>
      </w:r>
      <w:r w:rsidR="003007C5">
        <w:rPr>
          <w:rFonts w:ascii="Arial" w:hAnsi="Arial"/>
          <w:sz w:val="22"/>
        </w:rPr>
        <w:t xml:space="preserve">e molecular weight of </w:t>
      </w:r>
      <w:proofErr w:type="spellStart"/>
      <w:r w:rsidR="003007C5">
        <w:rPr>
          <w:rFonts w:ascii="Arial" w:hAnsi="Arial"/>
          <w:sz w:val="22"/>
        </w:rPr>
        <w:t>dapsone</w:t>
      </w:r>
      <w:proofErr w:type="spellEnd"/>
      <w:r>
        <w:rPr>
          <w:rFonts w:ascii="Arial" w:hAnsi="Arial"/>
          <w:sz w:val="22"/>
        </w:rPr>
        <w:t xml:space="preserve"> is </w:t>
      </w:r>
      <w:r w:rsidR="008E4B19">
        <w:rPr>
          <w:rFonts w:ascii="Arial" w:hAnsi="Arial"/>
          <w:sz w:val="22"/>
        </w:rPr>
        <w:t>248</w:t>
      </w:r>
      <w:r w:rsidR="006748F5">
        <w:rPr>
          <w:rFonts w:ascii="Arial" w:hAnsi="Arial"/>
          <w:sz w:val="22"/>
        </w:rPr>
        <w:t>.</w:t>
      </w:r>
    </w:p>
    <w:p w14:paraId="28849E69" w14:textId="77777777" w:rsidR="008E4B19" w:rsidRDefault="008E4B19" w:rsidP="00C23C11">
      <w:pPr>
        <w:jc w:val="both"/>
        <w:rPr>
          <w:rFonts w:ascii="Arial" w:hAnsi="Arial"/>
          <w:sz w:val="22"/>
        </w:rPr>
      </w:pPr>
    </w:p>
    <w:p w14:paraId="02BDE3F0" w14:textId="77777777" w:rsidR="00C23C11" w:rsidRPr="00C23C11" w:rsidRDefault="00C23C11" w:rsidP="00C23C11">
      <w:pPr>
        <w:jc w:val="both"/>
        <w:rPr>
          <w:rFonts w:ascii="Arial" w:hAnsi="Arial"/>
          <w:b/>
          <w:sz w:val="22"/>
        </w:rPr>
      </w:pPr>
      <w:r w:rsidRPr="00C23C11">
        <w:rPr>
          <w:rFonts w:ascii="Arial" w:hAnsi="Arial"/>
          <w:b/>
          <w:sz w:val="22"/>
        </w:rPr>
        <w:t xml:space="preserve">Chemical structure of </w:t>
      </w:r>
      <w:proofErr w:type="spellStart"/>
      <w:r w:rsidRPr="00C23C11">
        <w:rPr>
          <w:rFonts w:ascii="Arial" w:hAnsi="Arial"/>
          <w:b/>
          <w:sz w:val="22"/>
        </w:rPr>
        <w:t>dapsone</w:t>
      </w:r>
      <w:proofErr w:type="spellEnd"/>
      <w:r>
        <w:rPr>
          <w:rFonts w:ascii="Arial" w:hAnsi="Arial"/>
          <w:b/>
          <w:sz w:val="22"/>
        </w:rPr>
        <w:t>:</w:t>
      </w:r>
    </w:p>
    <w:p w14:paraId="49DE0DBB" w14:textId="77777777" w:rsidR="00DD22C0" w:rsidRDefault="00DD22C0" w:rsidP="00C23C11">
      <w:pPr>
        <w:jc w:val="both"/>
        <w:rPr>
          <w:rFonts w:ascii="Arial" w:hAnsi="Arial"/>
          <w:sz w:val="22"/>
        </w:rPr>
      </w:pPr>
    </w:p>
    <w:p w14:paraId="66C1AAD5" w14:textId="77777777" w:rsidR="00DD22C0" w:rsidRDefault="008E4B19" w:rsidP="00C23C11">
      <w:pPr>
        <w:ind w:left="2880" w:firstLine="720"/>
        <w:jc w:val="both"/>
      </w:pPr>
      <w:r>
        <w:rPr>
          <w:noProof/>
          <w:lang w:val="en-AU" w:eastAsia="en-AU"/>
        </w:rPr>
        <w:drawing>
          <wp:inline distT="0" distB="0" distL="0" distR="0" wp14:anchorId="62785BE2" wp14:editId="3E69E955">
            <wp:extent cx="202882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38D70" w14:textId="77777777" w:rsidR="00DD22C0" w:rsidRDefault="00DD22C0" w:rsidP="00C23C11">
      <w:pPr>
        <w:jc w:val="both"/>
        <w:rPr>
          <w:rFonts w:ascii="Arial" w:hAnsi="Arial"/>
          <w:sz w:val="22"/>
        </w:rPr>
      </w:pPr>
    </w:p>
    <w:p w14:paraId="1F15D649" w14:textId="3BB5E6D6" w:rsidR="00DD22C0" w:rsidRDefault="00DD22C0" w:rsidP="00C23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rFonts w:ascii="Arial" w:hAnsi="Arial"/>
          <w:sz w:val="22"/>
        </w:rPr>
      </w:pPr>
      <w:r w:rsidRPr="00C23C11">
        <w:rPr>
          <w:rFonts w:ascii="Arial" w:hAnsi="Arial"/>
          <w:b/>
          <w:sz w:val="22"/>
        </w:rPr>
        <w:t>CAS</w:t>
      </w:r>
      <w:r w:rsidR="00C23C11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 </w:t>
      </w:r>
      <w:r w:rsidR="00EA495D">
        <w:rPr>
          <w:rFonts w:ascii="Arial" w:hAnsi="Arial"/>
          <w:sz w:val="22"/>
        </w:rPr>
        <w:t>80-08-0</w:t>
      </w:r>
    </w:p>
    <w:p w14:paraId="23CA64C5" w14:textId="77777777" w:rsidR="00DD22C0" w:rsidRDefault="00DD22C0" w:rsidP="00C23C11">
      <w:pPr>
        <w:jc w:val="both"/>
        <w:rPr>
          <w:rFonts w:ascii="Arial" w:hAnsi="Arial"/>
          <w:sz w:val="22"/>
        </w:rPr>
      </w:pPr>
    </w:p>
    <w:p w14:paraId="2688A086" w14:textId="77777777" w:rsidR="00DD22C0" w:rsidRDefault="00DD22C0" w:rsidP="00C23C1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Chemical Name: </w:t>
      </w:r>
      <w:r w:rsidR="008E4B19" w:rsidRPr="008E4B19">
        <w:rPr>
          <w:rFonts w:ascii="Arial" w:hAnsi="Arial"/>
          <w:sz w:val="22"/>
        </w:rPr>
        <w:t>4</w:t>
      </w:r>
      <w:proofErr w:type="gramStart"/>
      <w:r w:rsidR="008E4B19" w:rsidRPr="008E4B19">
        <w:rPr>
          <w:rFonts w:ascii="Arial" w:hAnsi="Arial"/>
          <w:sz w:val="22"/>
        </w:rPr>
        <w:t>,4’</w:t>
      </w:r>
      <w:proofErr w:type="gramEnd"/>
      <w:r w:rsidR="008E4B19" w:rsidRPr="008E4B19">
        <w:rPr>
          <w:rFonts w:ascii="Arial" w:hAnsi="Arial"/>
          <w:sz w:val="22"/>
        </w:rPr>
        <w:t>-diaminodiphenylsulfone</w:t>
      </w:r>
      <w:r>
        <w:rPr>
          <w:rFonts w:ascii="Arial" w:hAnsi="Arial"/>
          <w:sz w:val="22"/>
        </w:rPr>
        <w:t>.</w:t>
      </w:r>
    </w:p>
    <w:p w14:paraId="62830F0B" w14:textId="77777777" w:rsidR="00DD22C0" w:rsidRDefault="00DD22C0" w:rsidP="00C23C11">
      <w:pPr>
        <w:jc w:val="both"/>
        <w:rPr>
          <w:rFonts w:ascii="Arial" w:hAnsi="Arial"/>
          <w:sz w:val="22"/>
        </w:rPr>
      </w:pPr>
    </w:p>
    <w:p w14:paraId="58E4F515" w14:textId="77777777" w:rsidR="00DD22C0" w:rsidRDefault="00DD22C0" w:rsidP="00C23C1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Empirical formula:</w:t>
      </w:r>
      <w:r>
        <w:rPr>
          <w:rFonts w:ascii="Arial" w:hAnsi="Arial"/>
          <w:sz w:val="22"/>
        </w:rPr>
        <w:tab/>
      </w:r>
      <w:r w:rsidR="008E4B19" w:rsidRPr="008E4B19">
        <w:rPr>
          <w:rFonts w:ascii="Arial" w:hAnsi="Arial"/>
          <w:sz w:val="22"/>
        </w:rPr>
        <w:t>C</w:t>
      </w:r>
      <w:r w:rsidR="008E4B19" w:rsidRPr="008E4B19">
        <w:rPr>
          <w:rFonts w:ascii="Arial" w:hAnsi="Arial"/>
          <w:sz w:val="22"/>
          <w:vertAlign w:val="subscript"/>
        </w:rPr>
        <w:t>12</w:t>
      </w:r>
      <w:r w:rsidR="008E4B19" w:rsidRPr="008E4B19">
        <w:rPr>
          <w:rFonts w:ascii="Arial" w:hAnsi="Arial"/>
          <w:sz w:val="22"/>
        </w:rPr>
        <w:t>H</w:t>
      </w:r>
      <w:r w:rsidR="008E4B19" w:rsidRPr="008E4B19">
        <w:rPr>
          <w:rFonts w:ascii="Arial" w:hAnsi="Arial"/>
          <w:sz w:val="22"/>
          <w:vertAlign w:val="subscript"/>
        </w:rPr>
        <w:t>12</w:t>
      </w:r>
      <w:r w:rsidR="008E4B19" w:rsidRPr="008E4B19">
        <w:rPr>
          <w:rFonts w:ascii="Arial" w:hAnsi="Arial"/>
          <w:sz w:val="22"/>
        </w:rPr>
        <w:t>N</w:t>
      </w:r>
      <w:r w:rsidR="008E4B19" w:rsidRPr="008E4B19">
        <w:rPr>
          <w:rFonts w:ascii="Arial" w:hAnsi="Arial"/>
          <w:sz w:val="22"/>
          <w:vertAlign w:val="subscript"/>
        </w:rPr>
        <w:t>2</w:t>
      </w:r>
      <w:r w:rsidR="008E4B19" w:rsidRPr="008E4B19">
        <w:rPr>
          <w:rFonts w:ascii="Arial" w:hAnsi="Arial"/>
          <w:sz w:val="22"/>
        </w:rPr>
        <w:t>O</w:t>
      </w:r>
      <w:r w:rsidR="008E4B19" w:rsidRPr="008E4B19">
        <w:rPr>
          <w:rFonts w:ascii="Arial" w:hAnsi="Arial"/>
          <w:sz w:val="22"/>
          <w:vertAlign w:val="subscript"/>
        </w:rPr>
        <w:t>2</w:t>
      </w:r>
      <w:r w:rsidR="008E4B19" w:rsidRPr="008E4B19">
        <w:rPr>
          <w:rFonts w:ascii="Arial" w:hAnsi="Arial"/>
          <w:sz w:val="22"/>
        </w:rPr>
        <w:t>S</w:t>
      </w:r>
    </w:p>
    <w:p w14:paraId="629B0988" w14:textId="77777777" w:rsidR="00DD22C0" w:rsidRDefault="00DD22C0" w:rsidP="00C23C11">
      <w:pPr>
        <w:jc w:val="both"/>
        <w:rPr>
          <w:rFonts w:ascii="Arial" w:hAnsi="Arial"/>
          <w:b/>
          <w:sz w:val="22"/>
        </w:rPr>
      </w:pPr>
    </w:p>
    <w:p w14:paraId="70C99D9D" w14:textId="77777777" w:rsidR="00DD22C0" w:rsidRDefault="00DD22C0" w:rsidP="00C23C1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Composition:</w:t>
      </w:r>
    </w:p>
    <w:p w14:paraId="01B08FDE" w14:textId="11BC4912" w:rsidR="00DD22C0" w:rsidRDefault="008E4B19" w:rsidP="00C23C11">
      <w:pPr>
        <w:jc w:val="both"/>
        <w:rPr>
          <w:rFonts w:ascii="Arial" w:hAnsi="Arial"/>
          <w:sz w:val="22"/>
        </w:rPr>
      </w:pPr>
      <w:r w:rsidRPr="008E4B19">
        <w:rPr>
          <w:rFonts w:ascii="Arial" w:hAnsi="Arial"/>
          <w:sz w:val="22"/>
        </w:rPr>
        <w:t>Each gram of ACZONE</w:t>
      </w:r>
      <w:r w:rsidRPr="008E4B19">
        <w:rPr>
          <w:rFonts w:ascii="Arial" w:hAnsi="Arial"/>
          <w:sz w:val="22"/>
          <w:vertAlign w:val="superscript"/>
        </w:rPr>
        <w:t>®</w:t>
      </w:r>
      <w:r>
        <w:rPr>
          <w:rFonts w:ascii="Arial" w:hAnsi="Arial"/>
          <w:sz w:val="22"/>
        </w:rPr>
        <w:t xml:space="preserve"> g</w:t>
      </w:r>
      <w:r w:rsidRPr="008E4B19">
        <w:rPr>
          <w:rFonts w:ascii="Arial" w:hAnsi="Arial"/>
          <w:sz w:val="22"/>
        </w:rPr>
        <w:t>el, 7.5%</w:t>
      </w:r>
      <w:r>
        <w:rPr>
          <w:rFonts w:ascii="Arial" w:hAnsi="Arial"/>
          <w:sz w:val="22"/>
        </w:rPr>
        <w:t xml:space="preserve"> w/w</w:t>
      </w:r>
      <w:r w:rsidRPr="008E4B19">
        <w:rPr>
          <w:rFonts w:ascii="Arial" w:hAnsi="Arial"/>
          <w:sz w:val="22"/>
        </w:rPr>
        <w:t>, contains 75 m</w:t>
      </w:r>
      <w:r>
        <w:rPr>
          <w:rFonts w:ascii="Arial" w:hAnsi="Arial"/>
          <w:sz w:val="22"/>
        </w:rPr>
        <w:t xml:space="preserve">g of </w:t>
      </w:r>
      <w:proofErr w:type="spellStart"/>
      <w:r>
        <w:rPr>
          <w:rFonts w:ascii="Arial" w:hAnsi="Arial"/>
          <w:sz w:val="22"/>
        </w:rPr>
        <w:t>dapsone</w:t>
      </w:r>
      <w:proofErr w:type="spellEnd"/>
      <w:r>
        <w:rPr>
          <w:rFonts w:ascii="Arial" w:hAnsi="Arial"/>
          <w:sz w:val="22"/>
        </w:rPr>
        <w:t xml:space="preserve">, in a gel of: </w:t>
      </w:r>
      <w:r w:rsidRPr="008E4B19">
        <w:rPr>
          <w:rFonts w:ascii="Arial" w:hAnsi="Arial"/>
          <w:sz w:val="22"/>
        </w:rPr>
        <w:t xml:space="preserve">diethylene glycol </w:t>
      </w:r>
      <w:proofErr w:type="spellStart"/>
      <w:r w:rsidRPr="008E4B19">
        <w:rPr>
          <w:rFonts w:ascii="Arial" w:hAnsi="Arial"/>
          <w:sz w:val="22"/>
        </w:rPr>
        <w:t>monoethyl</w:t>
      </w:r>
      <w:proofErr w:type="spellEnd"/>
      <w:r w:rsidRPr="008E4B19">
        <w:rPr>
          <w:rFonts w:ascii="Arial" w:hAnsi="Arial"/>
          <w:sz w:val="22"/>
        </w:rPr>
        <w:t xml:space="preserve"> ether</w:t>
      </w:r>
      <w:r w:rsidR="00320AB7">
        <w:rPr>
          <w:rFonts w:ascii="Arial" w:hAnsi="Arial"/>
          <w:sz w:val="22"/>
        </w:rPr>
        <w:t xml:space="preserve"> (DGME)</w:t>
      </w:r>
      <w:r w:rsidRPr="008E4B19">
        <w:rPr>
          <w:rFonts w:ascii="Arial" w:hAnsi="Arial"/>
          <w:sz w:val="22"/>
        </w:rPr>
        <w:t>; methyl</w:t>
      </w:r>
      <w:r w:rsidR="008469BC">
        <w:rPr>
          <w:rFonts w:ascii="Arial" w:hAnsi="Arial"/>
          <w:sz w:val="22"/>
        </w:rPr>
        <w:t xml:space="preserve"> </w:t>
      </w:r>
      <w:proofErr w:type="spellStart"/>
      <w:r w:rsidR="008469BC">
        <w:rPr>
          <w:rFonts w:ascii="Arial" w:hAnsi="Arial"/>
          <w:sz w:val="22"/>
        </w:rPr>
        <w:t>hydroxybenzoate</w:t>
      </w:r>
      <w:proofErr w:type="spellEnd"/>
      <w:r w:rsidRPr="008E4B19">
        <w:rPr>
          <w:rFonts w:ascii="Arial" w:hAnsi="Arial"/>
          <w:sz w:val="22"/>
        </w:rPr>
        <w:t xml:space="preserve">; acrylamide/sodium </w:t>
      </w:r>
      <w:proofErr w:type="spellStart"/>
      <w:r w:rsidR="008469BC">
        <w:rPr>
          <w:rFonts w:ascii="Arial" w:hAnsi="Arial"/>
          <w:sz w:val="22"/>
        </w:rPr>
        <w:t>acryloyldimethyl</w:t>
      </w:r>
      <w:r w:rsidRPr="008E4B19">
        <w:rPr>
          <w:rFonts w:ascii="Arial" w:hAnsi="Arial"/>
          <w:sz w:val="22"/>
        </w:rPr>
        <w:t>taurate</w:t>
      </w:r>
      <w:proofErr w:type="spellEnd"/>
      <w:r w:rsidRPr="008E4B19">
        <w:rPr>
          <w:rFonts w:ascii="Arial" w:hAnsi="Arial"/>
          <w:sz w:val="22"/>
        </w:rPr>
        <w:t xml:space="preserve"> copolymer</w:t>
      </w:r>
      <w:r>
        <w:rPr>
          <w:rFonts w:ascii="Arial" w:hAnsi="Arial"/>
          <w:sz w:val="22"/>
        </w:rPr>
        <w:t xml:space="preserve">; </w:t>
      </w:r>
      <w:proofErr w:type="spellStart"/>
      <w:r>
        <w:rPr>
          <w:rFonts w:ascii="Arial" w:hAnsi="Arial"/>
          <w:sz w:val="22"/>
        </w:rPr>
        <w:t>isohexadecane</w:t>
      </w:r>
      <w:proofErr w:type="spellEnd"/>
      <w:r>
        <w:rPr>
          <w:rFonts w:ascii="Arial" w:hAnsi="Arial"/>
          <w:sz w:val="22"/>
        </w:rPr>
        <w:t xml:space="preserve">; </w:t>
      </w:r>
      <w:proofErr w:type="spellStart"/>
      <w:r>
        <w:rPr>
          <w:rFonts w:ascii="Arial" w:hAnsi="Arial"/>
          <w:sz w:val="22"/>
        </w:rPr>
        <w:t>polysorbate</w:t>
      </w:r>
      <w:proofErr w:type="spellEnd"/>
      <w:r>
        <w:rPr>
          <w:rFonts w:ascii="Arial" w:hAnsi="Arial"/>
          <w:sz w:val="22"/>
        </w:rPr>
        <w:t xml:space="preserve"> 80</w:t>
      </w:r>
      <w:r w:rsidRPr="008E4B19">
        <w:rPr>
          <w:rFonts w:ascii="Arial" w:hAnsi="Arial"/>
          <w:sz w:val="22"/>
        </w:rPr>
        <w:t xml:space="preserve"> and purified water</w:t>
      </w:r>
      <w:r>
        <w:rPr>
          <w:rFonts w:ascii="Arial" w:hAnsi="Arial"/>
          <w:sz w:val="22"/>
        </w:rPr>
        <w:t>.</w:t>
      </w:r>
    </w:p>
    <w:p w14:paraId="6D8BE67A" w14:textId="77777777" w:rsidR="008E4B19" w:rsidRDefault="008E4B19" w:rsidP="00C23C11">
      <w:pPr>
        <w:jc w:val="both"/>
        <w:rPr>
          <w:rFonts w:ascii="Arial" w:hAnsi="Arial"/>
          <w:b/>
          <w:sz w:val="22"/>
        </w:rPr>
      </w:pPr>
    </w:p>
    <w:p w14:paraId="2B15C452" w14:textId="77777777" w:rsidR="00DD22C0" w:rsidRDefault="00DD22C0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Pharmacology</w:t>
      </w:r>
    </w:p>
    <w:p w14:paraId="7D193AB4" w14:textId="77777777" w:rsidR="00D74B67" w:rsidRDefault="00D74B67">
      <w:pPr>
        <w:rPr>
          <w:rFonts w:ascii="Arial" w:hAnsi="Arial"/>
          <w:b/>
          <w:sz w:val="22"/>
        </w:rPr>
      </w:pPr>
    </w:p>
    <w:p w14:paraId="4BEDFF14" w14:textId="77777777" w:rsidR="00D74B67" w:rsidRDefault="00D74B67" w:rsidP="00D74B67">
      <w:pPr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PharmacoDYNAMICS</w:t>
      </w:r>
    </w:p>
    <w:p w14:paraId="045F8D7E" w14:textId="3F39C6D6" w:rsidR="00DD22C0" w:rsidRDefault="008E4B19" w:rsidP="008E4B19">
      <w:pPr>
        <w:jc w:val="both"/>
        <w:rPr>
          <w:rFonts w:ascii="Arial" w:hAnsi="Arial"/>
          <w:sz w:val="22"/>
        </w:rPr>
      </w:pPr>
      <w:r w:rsidRPr="008E4B19">
        <w:rPr>
          <w:rFonts w:ascii="Arial" w:hAnsi="Arial"/>
          <w:sz w:val="22"/>
        </w:rPr>
        <w:t>The anti</w:t>
      </w:r>
      <w:r w:rsidR="004F444D">
        <w:rPr>
          <w:rFonts w:ascii="Arial" w:hAnsi="Arial"/>
          <w:sz w:val="22"/>
        </w:rPr>
        <w:t>-</w:t>
      </w:r>
      <w:r w:rsidRPr="008E4B19">
        <w:rPr>
          <w:rFonts w:ascii="Arial" w:hAnsi="Arial"/>
          <w:sz w:val="22"/>
        </w:rPr>
        <w:t xml:space="preserve">inflammatory properties of </w:t>
      </w:r>
      <w:proofErr w:type="spellStart"/>
      <w:r w:rsidRPr="008E4B19">
        <w:rPr>
          <w:rFonts w:ascii="Arial" w:hAnsi="Arial"/>
          <w:sz w:val="22"/>
        </w:rPr>
        <w:t>dapsone</w:t>
      </w:r>
      <w:proofErr w:type="spellEnd"/>
      <w:r w:rsidRPr="008E4B19">
        <w:rPr>
          <w:rFonts w:ascii="Arial" w:hAnsi="Arial"/>
          <w:sz w:val="22"/>
        </w:rPr>
        <w:t xml:space="preserve"> result from inhibition </w:t>
      </w:r>
      <w:proofErr w:type="gramStart"/>
      <w:r w:rsidRPr="008E4B19">
        <w:rPr>
          <w:rFonts w:ascii="Arial" w:hAnsi="Arial"/>
          <w:sz w:val="22"/>
        </w:rPr>
        <w:t>of  granulocyte</w:t>
      </w:r>
      <w:proofErr w:type="gramEnd"/>
      <w:r w:rsidRPr="008E4B19">
        <w:rPr>
          <w:rFonts w:ascii="Arial" w:hAnsi="Arial"/>
          <w:sz w:val="22"/>
        </w:rPr>
        <w:t xml:space="preserve"> cytotoxicity, via inhibition of peroxidases</w:t>
      </w:r>
      <w:r w:rsidR="00C3419D">
        <w:rPr>
          <w:rFonts w:ascii="Arial" w:hAnsi="Arial"/>
          <w:sz w:val="22"/>
        </w:rPr>
        <w:t xml:space="preserve"> and</w:t>
      </w:r>
      <w:r w:rsidR="00C3419D" w:rsidRPr="008E4B19">
        <w:rPr>
          <w:rFonts w:ascii="Arial" w:hAnsi="Arial"/>
          <w:sz w:val="22"/>
        </w:rPr>
        <w:t xml:space="preserve"> </w:t>
      </w:r>
      <w:r w:rsidRPr="008E4B19">
        <w:rPr>
          <w:rFonts w:ascii="Arial" w:hAnsi="Arial"/>
          <w:sz w:val="22"/>
        </w:rPr>
        <w:t>scaven</w:t>
      </w:r>
      <w:r>
        <w:rPr>
          <w:rFonts w:ascii="Arial" w:hAnsi="Arial"/>
          <w:sz w:val="22"/>
        </w:rPr>
        <w:t>ging of reactive oxygen species</w:t>
      </w:r>
      <w:r w:rsidR="00C3419D">
        <w:rPr>
          <w:rFonts w:ascii="Arial" w:hAnsi="Arial"/>
          <w:sz w:val="22"/>
        </w:rPr>
        <w:t>.</w:t>
      </w:r>
      <w:r w:rsidRPr="008E4B19">
        <w:rPr>
          <w:rFonts w:ascii="Arial" w:hAnsi="Arial"/>
          <w:sz w:val="22"/>
        </w:rPr>
        <w:t xml:space="preserve"> The antimicrobial properties of </w:t>
      </w:r>
      <w:proofErr w:type="spellStart"/>
      <w:r w:rsidRPr="008E4B19">
        <w:rPr>
          <w:rFonts w:ascii="Arial" w:hAnsi="Arial"/>
          <w:sz w:val="22"/>
        </w:rPr>
        <w:t>dapsone</w:t>
      </w:r>
      <w:proofErr w:type="spellEnd"/>
      <w:r w:rsidRPr="008E4B19">
        <w:rPr>
          <w:rFonts w:ascii="Arial" w:hAnsi="Arial"/>
          <w:sz w:val="22"/>
        </w:rPr>
        <w:t xml:space="preserve"> result from competitive inhibition of </w:t>
      </w:r>
      <w:proofErr w:type="spellStart"/>
      <w:r w:rsidRPr="008E4B19">
        <w:rPr>
          <w:rFonts w:ascii="Arial" w:hAnsi="Arial"/>
          <w:sz w:val="22"/>
        </w:rPr>
        <w:t>dihydropteroate</w:t>
      </w:r>
      <w:proofErr w:type="spellEnd"/>
      <w:r w:rsidRPr="008E4B19">
        <w:rPr>
          <w:rFonts w:ascii="Arial" w:hAnsi="Arial"/>
          <w:sz w:val="22"/>
        </w:rPr>
        <w:t xml:space="preserve"> synthase, a bacterial enzyme necessary for synthesis of folic acid.  The mechanism of action of </w:t>
      </w:r>
      <w:proofErr w:type="spellStart"/>
      <w:r w:rsidRPr="008E4B19">
        <w:rPr>
          <w:rFonts w:ascii="Arial" w:hAnsi="Arial"/>
          <w:sz w:val="22"/>
        </w:rPr>
        <w:t>dapsone</w:t>
      </w:r>
      <w:proofErr w:type="spellEnd"/>
      <w:r w:rsidRPr="008E4B19">
        <w:rPr>
          <w:rFonts w:ascii="Arial" w:hAnsi="Arial"/>
          <w:sz w:val="22"/>
        </w:rPr>
        <w:t xml:space="preserve"> gel in treating acne vulgaris is not known.</w:t>
      </w:r>
    </w:p>
    <w:p w14:paraId="60C3CB7A" w14:textId="77777777" w:rsidR="008E4B19" w:rsidRDefault="008E4B19" w:rsidP="008E4B19">
      <w:pPr>
        <w:jc w:val="both"/>
        <w:rPr>
          <w:rFonts w:ascii="Arial" w:hAnsi="Arial"/>
          <w:sz w:val="22"/>
        </w:rPr>
      </w:pPr>
    </w:p>
    <w:p w14:paraId="5261E3B5" w14:textId="77777777" w:rsidR="00DD22C0" w:rsidRDefault="00DD22C0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PHARMACOKINETICS</w:t>
      </w:r>
    </w:p>
    <w:p w14:paraId="35FD669C" w14:textId="77777777" w:rsidR="00863860" w:rsidRDefault="00A83500">
      <w:pPr>
        <w:rPr>
          <w:rFonts w:ascii="Arial" w:hAnsi="Arial"/>
          <w:sz w:val="22"/>
        </w:rPr>
      </w:pPr>
      <w:r w:rsidRPr="00863860">
        <w:rPr>
          <w:rFonts w:ascii="Arial" w:hAnsi="Arial"/>
          <w:sz w:val="22"/>
        </w:rPr>
        <w:t>Absorption</w:t>
      </w:r>
      <w:r>
        <w:rPr>
          <w:rFonts w:ascii="Arial" w:hAnsi="Arial"/>
          <w:sz w:val="22"/>
        </w:rPr>
        <w:t xml:space="preserve">: </w:t>
      </w:r>
    </w:p>
    <w:p w14:paraId="5AEC504B" w14:textId="049DA6BB" w:rsidR="00D74B67" w:rsidRPr="00D74B67" w:rsidRDefault="00D74B67" w:rsidP="00D74B67">
      <w:pPr>
        <w:jc w:val="both"/>
        <w:rPr>
          <w:rFonts w:ascii="Arial" w:hAnsi="Arial"/>
          <w:sz w:val="22"/>
        </w:rPr>
      </w:pPr>
      <w:r w:rsidRPr="00D74B67">
        <w:rPr>
          <w:rFonts w:ascii="Arial" w:hAnsi="Arial"/>
          <w:sz w:val="22"/>
        </w:rPr>
        <w:t xml:space="preserve">In a pharmacokinetic study, male and female subjects with acne vulgaris were </w:t>
      </w:r>
      <w:proofErr w:type="spellStart"/>
      <w:r w:rsidR="00236091" w:rsidRPr="00D74B67">
        <w:rPr>
          <w:rFonts w:ascii="Arial" w:hAnsi="Arial"/>
          <w:sz w:val="22"/>
        </w:rPr>
        <w:t>randomi</w:t>
      </w:r>
      <w:r w:rsidR="00236091">
        <w:rPr>
          <w:rFonts w:ascii="Arial" w:hAnsi="Arial"/>
          <w:sz w:val="22"/>
        </w:rPr>
        <w:t>s</w:t>
      </w:r>
      <w:r w:rsidR="00236091" w:rsidRPr="00D74B67">
        <w:rPr>
          <w:rFonts w:ascii="Arial" w:hAnsi="Arial"/>
          <w:sz w:val="22"/>
        </w:rPr>
        <w:t>ed</w:t>
      </w:r>
      <w:proofErr w:type="spellEnd"/>
      <w:r w:rsidR="00236091" w:rsidRPr="00D74B67">
        <w:rPr>
          <w:rFonts w:ascii="Arial" w:hAnsi="Arial"/>
          <w:sz w:val="22"/>
        </w:rPr>
        <w:t xml:space="preserve"> </w:t>
      </w:r>
      <w:r w:rsidRPr="00D74B67">
        <w:rPr>
          <w:rFonts w:ascii="Arial" w:hAnsi="Arial"/>
          <w:sz w:val="22"/>
        </w:rPr>
        <w:t xml:space="preserve">to receive either 2 grams of </w:t>
      </w:r>
      <w:r w:rsidR="00881ABC" w:rsidRPr="00881ABC">
        <w:rPr>
          <w:rFonts w:ascii="Arial" w:hAnsi="Arial"/>
          <w:sz w:val="22"/>
        </w:rPr>
        <w:t>ACZONE</w:t>
      </w:r>
      <w:r w:rsidR="00881ABC" w:rsidRPr="00881ABC">
        <w:rPr>
          <w:rFonts w:ascii="Arial" w:hAnsi="Arial"/>
          <w:sz w:val="22"/>
          <w:vertAlign w:val="superscript"/>
        </w:rPr>
        <w:t>®</w:t>
      </w:r>
      <w:r w:rsidR="00881ABC" w:rsidRPr="00881ABC">
        <w:rPr>
          <w:rFonts w:ascii="Arial" w:hAnsi="Arial"/>
          <w:sz w:val="22"/>
        </w:rPr>
        <w:t xml:space="preserve"> gel, 7.5% w/w</w:t>
      </w:r>
      <w:r w:rsidRPr="00D74B67">
        <w:rPr>
          <w:rFonts w:ascii="Arial" w:hAnsi="Arial"/>
          <w:sz w:val="22"/>
        </w:rPr>
        <w:t xml:space="preserve">, topically to the entire face, upper chest, upper back and shoulders once daily for 28 days (N=19) or 2 grams of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gel, 5%, topically to the same application area twice daily for 28 days (N=18).  Steady state for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was reached within 7 days of dosing for both treatment groups.  On Day 28, the mean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AUC</w:t>
      </w:r>
      <w:r w:rsidRPr="008C4590">
        <w:rPr>
          <w:rFonts w:ascii="Arial" w:hAnsi="Arial"/>
          <w:sz w:val="22"/>
          <w:vertAlign w:val="subscript"/>
        </w:rPr>
        <w:t xml:space="preserve">0-24h </w:t>
      </w:r>
      <w:r w:rsidRPr="00D74B67">
        <w:rPr>
          <w:rFonts w:ascii="Arial" w:hAnsi="Arial"/>
          <w:sz w:val="22"/>
        </w:rPr>
        <w:t xml:space="preserve">was 282 ± 146 </w:t>
      </w:r>
      <w:proofErr w:type="spellStart"/>
      <w:r w:rsidRPr="00D74B67">
        <w:rPr>
          <w:rFonts w:ascii="Arial" w:hAnsi="Arial"/>
          <w:sz w:val="22"/>
        </w:rPr>
        <w:t>ng∙h</w:t>
      </w:r>
      <w:proofErr w:type="spellEnd"/>
      <w:r w:rsidRPr="00D74B67">
        <w:rPr>
          <w:rFonts w:ascii="Arial" w:hAnsi="Arial"/>
          <w:sz w:val="22"/>
        </w:rPr>
        <w:t xml:space="preserve">/mL for </w:t>
      </w:r>
      <w:r w:rsidR="00881ABC" w:rsidRPr="00881ABC">
        <w:rPr>
          <w:rFonts w:ascii="Arial" w:hAnsi="Arial"/>
          <w:sz w:val="22"/>
        </w:rPr>
        <w:t>ACZONE</w:t>
      </w:r>
      <w:r w:rsidR="00881ABC" w:rsidRPr="00881ABC">
        <w:rPr>
          <w:rFonts w:ascii="Arial" w:hAnsi="Arial"/>
          <w:sz w:val="22"/>
          <w:vertAlign w:val="superscript"/>
        </w:rPr>
        <w:t>®</w:t>
      </w:r>
      <w:r w:rsidR="00881ABC" w:rsidRPr="00881ABC">
        <w:rPr>
          <w:rFonts w:ascii="Arial" w:hAnsi="Arial"/>
          <w:sz w:val="22"/>
        </w:rPr>
        <w:t xml:space="preserve"> gel, 7.5% w/w</w:t>
      </w:r>
      <w:r w:rsidRPr="00D74B67">
        <w:rPr>
          <w:rFonts w:ascii="Arial" w:hAnsi="Arial"/>
          <w:sz w:val="22"/>
        </w:rPr>
        <w:t xml:space="preserve">, given once daily, whereas the mean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AUC</w:t>
      </w:r>
      <w:r w:rsidRPr="008C4590">
        <w:rPr>
          <w:rFonts w:ascii="Arial" w:hAnsi="Arial"/>
          <w:sz w:val="22"/>
          <w:vertAlign w:val="subscript"/>
        </w:rPr>
        <w:t xml:space="preserve">0-24h </w:t>
      </w:r>
      <w:r w:rsidRPr="00D74B67">
        <w:rPr>
          <w:rFonts w:ascii="Arial" w:hAnsi="Arial"/>
          <w:sz w:val="22"/>
        </w:rPr>
        <w:t xml:space="preserve">was 379 ± 142 </w:t>
      </w:r>
      <w:proofErr w:type="spellStart"/>
      <w:r w:rsidRPr="00D74B67">
        <w:rPr>
          <w:rFonts w:ascii="Arial" w:hAnsi="Arial"/>
          <w:sz w:val="22"/>
        </w:rPr>
        <w:t>ng∙h</w:t>
      </w:r>
      <w:proofErr w:type="spellEnd"/>
      <w:r w:rsidRPr="00D74B67">
        <w:rPr>
          <w:rFonts w:ascii="Arial" w:hAnsi="Arial"/>
          <w:sz w:val="22"/>
        </w:rPr>
        <w:t xml:space="preserve">/mL for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gel, 5%, given twice daily.  The daily systemic exposure following once daily application of </w:t>
      </w:r>
      <w:r w:rsidR="00881ABC" w:rsidRPr="00881ABC">
        <w:rPr>
          <w:rFonts w:ascii="Arial" w:hAnsi="Arial"/>
          <w:sz w:val="22"/>
        </w:rPr>
        <w:t>ACZONE</w:t>
      </w:r>
      <w:r w:rsidR="00881ABC" w:rsidRPr="00881ABC">
        <w:rPr>
          <w:rFonts w:ascii="Arial" w:hAnsi="Arial"/>
          <w:sz w:val="22"/>
          <w:vertAlign w:val="superscript"/>
        </w:rPr>
        <w:t>®</w:t>
      </w:r>
      <w:r w:rsidR="00881ABC" w:rsidRPr="00881ABC">
        <w:rPr>
          <w:rFonts w:ascii="Arial" w:hAnsi="Arial"/>
          <w:sz w:val="22"/>
        </w:rPr>
        <w:t xml:space="preserve"> gel, 7.5% w/w</w:t>
      </w:r>
      <w:r w:rsidRPr="00D74B67">
        <w:rPr>
          <w:rFonts w:ascii="Arial" w:hAnsi="Arial"/>
          <w:sz w:val="22"/>
        </w:rPr>
        <w:t xml:space="preserve">, was approximately 28.7% lower relative to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gel, 5%, given twice daily. The systemic exposure from </w:t>
      </w:r>
      <w:r w:rsidR="00881ABC" w:rsidRPr="00881ABC">
        <w:rPr>
          <w:rFonts w:ascii="Arial" w:hAnsi="Arial"/>
          <w:sz w:val="22"/>
        </w:rPr>
        <w:t>ACZONE</w:t>
      </w:r>
      <w:r w:rsidR="00881ABC" w:rsidRPr="00881ABC">
        <w:rPr>
          <w:rFonts w:ascii="Arial" w:hAnsi="Arial"/>
          <w:sz w:val="22"/>
          <w:vertAlign w:val="superscript"/>
        </w:rPr>
        <w:t>®</w:t>
      </w:r>
      <w:r w:rsidR="00881ABC" w:rsidRPr="00881ABC">
        <w:rPr>
          <w:rFonts w:ascii="Arial" w:hAnsi="Arial"/>
          <w:sz w:val="22"/>
        </w:rPr>
        <w:t xml:space="preserve"> gel, 7.5% w/w </w:t>
      </w:r>
      <w:r w:rsidRPr="00D74B67">
        <w:rPr>
          <w:rFonts w:ascii="Arial" w:hAnsi="Arial"/>
          <w:sz w:val="22"/>
        </w:rPr>
        <w:t>is expected to be about 1% of that from a 100 mg oral dose.</w:t>
      </w:r>
    </w:p>
    <w:p w14:paraId="36D13AB8" w14:textId="77777777" w:rsidR="00D74B67" w:rsidRPr="00D74B67" w:rsidRDefault="00D74B67" w:rsidP="00D74B67">
      <w:pPr>
        <w:jc w:val="both"/>
        <w:rPr>
          <w:rFonts w:ascii="Arial" w:hAnsi="Arial"/>
          <w:sz w:val="22"/>
        </w:rPr>
      </w:pPr>
    </w:p>
    <w:p w14:paraId="2152C523" w14:textId="77777777" w:rsidR="00863860" w:rsidRDefault="00A83500">
      <w:pPr>
        <w:jc w:val="both"/>
        <w:rPr>
          <w:rFonts w:ascii="Arial" w:hAnsi="Arial"/>
          <w:sz w:val="22"/>
        </w:rPr>
      </w:pPr>
      <w:r w:rsidRPr="00863860">
        <w:rPr>
          <w:rFonts w:ascii="Arial" w:hAnsi="Arial"/>
          <w:sz w:val="22"/>
        </w:rPr>
        <w:t>Distribution</w:t>
      </w:r>
      <w:r>
        <w:rPr>
          <w:rFonts w:ascii="Arial" w:hAnsi="Arial"/>
          <w:sz w:val="22"/>
        </w:rPr>
        <w:t xml:space="preserve">:  </w:t>
      </w:r>
    </w:p>
    <w:p w14:paraId="40EBE654" w14:textId="247CC3FF" w:rsidR="00A83500" w:rsidRDefault="00D57C0B" w:rsidP="00A835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Following oral administration, a</w:t>
      </w:r>
      <w:r w:rsidR="00CB7FBA" w:rsidRPr="00CB7FBA">
        <w:rPr>
          <w:rFonts w:ascii="Arial" w:hAnsi="Arial"/>
          <w:sz w:val="22"/>
        </w:rPr>
        <w:t>pproximately 7</w:t>
      </w:r>
      <w:r w:rsidR="00C3419D">
        <w:rPr>
          <w:rFonts w:ascii="Arial" w:hAnsi="Arial"/>
          <w:sz w:val="22"/>
        </w:rPr>
        <w:t>4</w:t>
      </w:r>
      <w:r w:rsidR="00CB7FBA" w:rsidRPr="00CB7FBA">
        <w:rPr>
          <w:rFonts w:ascii="Arial" w:hAnsi="Arial"/>
          <w:sz w:val="22"/>
        </w:rPr>
        <w:t xml:space="preserve">% of </w:t>
      </w:r>
      <w:proofErr w:type="spellStart"/>
      <w:r w:rsidR="00CB7FBA" w:rsidRPr="00CB7FBA">
        <w:rPr>
          <w:rFonts w:ascii="Arial" w:hAnsi="Arial"/>
          <w:sz w:val="22"/>
        </w:rPr>
        <w:t>dapsone</w:t>
      </w:r>
      <w:proofErr w:type="spellEnd"/>
      <w:r w:rsidR="00CB7FBA" w:rsidRPr="00CB7FBA">
        <w:rPr>
          <w:rFonts w:ascii="Arial" w:hAnsi="Arial"/>
          <w:sz w:val="22"/>
        </w:rPr>
        <w:t xml:space="preserve"> is bound to</w:t>
      </w:r>
      <w:r w:rsidR="000C2EDA">
        <w:rPr>
          <w:rFonts w:ascii="Arial" w:hAnsi="Arial"/>
          <w:sz w:val="22"/>
        </w:rPr>
        <w:t xml:space="preserve"> </w:t>
      </w:r>
      <w:r w:rsidR="00CB7FBA" w:rsidRPr="00CB7FBA">
        <w:rPr>
          <w:rFonts w:ascii="Arial" w:hAnsi="Arial"/>
          <w:sz w:val="22"/>
        </w:rPr>
        <w:t xml:space="preserve">plasma proteins. </w:t>
      </w:r>
    </w:p>
    <w:p w14:paraId="5CFB0910" w14:textId="77777777" w:rsidR="00863860" w:rsidRDefault="00863860" w:rsidP="00A83500">
      <w:pPr>
        <w:jc w:val="both"/>
        <w:rPr>
          <w:rFonts w:ascii="Arial" w:hAnsi="Arial"/>
          <w:sz w:val="22"/>
        </w:rPr>
      </w:pPr>
    </w:p>
    <w:p w14:paraId="259799A2" w14:textId="77777777" w:rsidR="00863860" w:rsidRDefault="00A83500" w:rsidP="00A83500">
      <w:pPr>
        <w:jc w:val="both"/>
        <w:rPr>
          <w:rFonts w:ascii="Arial" w:hAnsi="Arial"/>
          <w:sz w:val="22"/>
        </w:rPr>
      </w:pPr>
      <w:r w:rsidRPr="00863860">
        <w:rPr>
          <w:rFonts w:ascii="Arial" w:hAnsi="Arial"/>
          <w:sz w:val="22"/>
        </w:rPr>
        <w:t>Metabolism</w:t>
      </w:r>
      <w:r>
        <w:rPr>
          <w:rFonts w:ascii="Arial" w:hAnsi="Arial"/>
          <w:sz w:val="22"/>
        </w:rPr>
        <w:t xml:space="preserve">:  </w:t>
      </w:r>
    </w:p>
    <w:p w14:paraId="62FF1BC3" w14:textId="6177D6C4" w:rsidR="00A83500" w:rsidRDefault="00D57C0B" w:rsidP="00A835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Following oral administration, </w:t>
      </w:r>
      <w:proofErr w:type="spellStart"/>
      <w:r>
        <w:rPr>
          <w:rFonts w:ascii="Arial" w:hAnsi="Arial"/>
          <w:sz w:val="22"/>
        </w:rPr>
        <w:t>d</w:t>
      </w:r>
      <w:r w:rsidR="00CB7FBA" w:rsidRPr="00CB7FBA">
        <w:rPr>
          <w:rFonts w:ascii="Arial" w:hAnsi="Arial"/>
          <w:sz w:val="22"/>
        </w:rPr>
        <w:t>apsone</w:t>
      </w:r>
      <w:proofErr w:type="spellEnd"/>
      <w:r w:rsidR="00CB7FBA" w:rsidRPr="00CB7FBA">
        <w:rPr>
          <w:rFonts w:ascii="Arial" w:hAnsi="Arial"/>
          <w:sz w:val="22"/>
        </w:rPr>
        <w:t xml:space="preserve"> is </w:t>
      </w:r>
      <w:proofErr w:type="spellStart"/>
      <w:r w:rsidR="00BE32DA" w:rsidRPr="00CB7FBA">
        <w:rPr>
          <w:rFonts w:ascii="Arial" w:hAnsi="Arial"/>
          <w:sz w:val="22"/>
        </w:rPr>
        <w:t>metaboli</w:t>
      </w:r>
      <w:r w:rsidR="00BE32DA">
        <w:rPr>
          <w:rFonts w:ascii="Arial" w:hAnsi="Arial"/>
          <w:sz w:val="22"/>
        </w:rPr>
        <w:t>s</w:t>
      </w:r>
      <w:r w:rsidR="00BE32DA" w:rsidRPr="00CB7FBA">
        <w:rPr>
          <w:rFonts w:ascii="Arial" w:hAnsi="Arial"/>
          <w:sz w:val="22"/>
        </w:rPr>
        <w:t>ed</w:t>
      </w:r>
      <w:proofErr w:type="spellEnd"/>
      <w:r w:rsidR="00BE32DA" w:rsidRPr="00CB7FBA">
        <w:rPr>
          <w:rFonts w:ascii="Arial" w:hAnsi="Arial"/>
          <w:sz w:val="22"/>
        </w:rPr>
        <w:t xml:space="preserve"> </w:t>
      </w:r>
      <w:r w:rsidR="00CB7FBA" w:rsidRPr="00CB7FBA">
        <w:rPr>
          <w:rFonts w:ascii="Arial" w:hAnsi="Arial"/>
          <w:sz w:val="22"/>
        </w:rPr>
        <w:t xml:space="preserve">by </w:t>
      </w:r>
      <w:r w:rsidR="000C2EDA">
        <w:rPr>
          <w:rFonts w:ascii="Arial" w:hAnsi="Arial"/>
          <w:sz w:val="22"/>
        </w:rPr>
        <w:t>two</w:t>
      </w:r>
      <w:r w:rsidR="00CB7FBA" w:rsidRPr="00CB7FBA">
        <w:rPr>
          <w:rFonts w:ascii="Arial" w:hAnsi="Arial"/>
          <w:sz w:val="22"/>
        </w:rPr>
        <w:t xml:space="preserve"> major pathways to form N-acetyl </w:t>
      </w:r>
      <w:proofErr w:type="spellStart"/>
      <w:r w:rsidR="00CB7FBA" w:rsidRPr="00CB7FBA">
        <w:rPr>
          <w:rFonts w:ascii="Arial" w:hAnsi="Arial"/>
          <w:sz w:val="22"/>
        </w:rPr>
        <w:t>dapsone</w:t>
      </w:r>
      <w:proofErr w:type="spellEnd"/>
      <w:r w:rsidR="000C2EDA">
        <w:rPr>
          <w:rFonts w:ascii="Arial" w:hAnsi="Arial"/>
          <w:sz w:val="22"/>
        </w:rPr>
        <w:t xml:space="preserve"> </w:t>
      </w:r>
      <w:r w:rsidR="00CB7FBA" w:rsidRPr="00CB7FBA">
        <w:rPr>
          <w:rFonts w:ascii="Arial" w:hAnsi="Arial"/>
          <w:sz w:val="22"/>
        </w:rPr>
        <w:t xml:space="preserve">and </w:t>
      </w:r>
      <w:proofErr w:type="spellStart"/>
      <w:r w:rsidR="00CB7FBA" w:rsidRPr="00CB7FBA">
        <w:rPr>
          <w:rFonts w:ascii="Arial" w:hAnsi="Arial"/>
          <w:sz w:val="22"/>
        </w:rPr>
        <w:t>dapsone</w:t>
      </w:r>
      <w:proofErr w:type="spellEnd"/>
      <w:r w:rsidR="00CB7FBA" w:rsidRPr="00CB7FBA">
        <w:rPr>
          <w:rFonts w:ascii="Arial" w:hAnsi="Arial"/>
          <w:sz w:val="22"/>
        </w:rPr>
        <w:t xml:space="preserve"> hydroxylamine. </w:t>
      </w:r>
    </w:p>
    <w:p w14:paraId="6FDD904B" w14:textId="77777777" w:rsidR="00A83500" w:rsidRDefault="00A83500" w:rsidP="00A83500">
      <w:pPr>
        <w:jc w:val="both"/>
        <w:rPr>
          <w:rFonts w:ascii="Arial" w:hAnsi="Arial"/>
          <w:sz w:val="22"/>
        </w:rPr>
      </w:pPr>
    </w:p>
    <w:p w14:paraId="0F57D062" w14:textId="77777777" w:rsidR="00863860" w:rsidRDefault="00A83500" w:rsidP="00A83500">
      <w:pPr>
        <w:jc w:val="both"/>
        <w:rPr>
          <w:rFonts w:ascii="Arial" w:hAnsi="Arial"/>
          <w:sz w:val="22"/>
        </w:rPr>
      </w:pPr>
      <w:r w:rsidRPr="00863860">
        <w:rPr>
          <w:rFonts w:ascii="Arial" w:hAnsi="Arial"/>
          <w:sz w:val="22"/>
        </w:rPr>
        <w:t>Excretion</w:t>
      </w:r>
      <w:r>
        <w:rPr>
          <w:rFonts w:ascii="Arial" w:hAnsi="Arial"/>
          <w:sz w:val="22"/>
        </w:rPr>
        <w:t xml:space="preserve">:  </w:t>
      </w:r>
    </w:p>
    <w:p w14:paraId="01B5D809" w14:textId="36E203A3" w:rsidR="00CB7FBA" w:rsidRPr="00D74B67" w:rsidRDefault="00CB7FBA" w:rsidP="00A83500">
      <w:pPr>
        <w:jc w:val="both"/>
        <w:rPr>
          <w:rFonts w:ascii="Arial" w:hAnsi="Arial"/>
          <w:sz w:val="22"/>
        </w:rPr>
      </w:pPr>
      <w:r w:rsidRPr="00CB7FBA">
        <w:rPr>
          <w:rFonts w:ascii="Arial" w:hAnsi="Arial"/>
          <w:sz w:val="22"/>
        </w:rPr>
        <w:t>Following oral administration, approximately</w:t>
      </w:r>
      <w:r w:rsidR="000C2EDA">
        <w:rPr>
          <w:rFonts w:ascii="Arial" w:hAnsi="Arial"/>
          <w:sz w:val="22"/>
        </w:rPr>
        <w:t xml:space="preserve"> </w:t>
      </w:r>
      <w:r w:rsidRPr="00CB7FBA">
        <w:rPr>
          <w:rFonts w:ascii="Arial" w:hAnsi="Arial"/>
          <w:sz w:val="22"/>
        </w:rPr>
        <w:t xml:space="preserve">85% of the administered </w:t>
      </w:r>
      <w:proofErr w:type="spellStart"/>
      <w:r w:rsidRPr="00CB7FBA">
        <w:rPr>
          <w:rFonts w:ascii="Arial" w:hAnsi="Arial"/>
          <w:sz w:val="22"/>
        </w:rPr>
        <w:t>dapsone</w:t>
      </w:r>
      <w:proofErr w:type="spellEnd"/>
      <w:r w:rsidRPr="00CB7FBA">
        <w:rPr>
          <w:rFonts w:ascii="Arial" w:hAnsi="Arial"/>
          <w:sz w:val="22"/>
        </w:rPr>
        <w:t xml:space="preserve"> is recovered in urine, mainly as soluble metabolites, and only a small fraction (5% to 15%) is</w:t>
      </w:r>
      <w:r w:rsidR="000C2EDA">
        <w:rPr>
          <w:rFonts w:ascii="Arial" w:hAnsi="Arial"/>
          <w:sz w:val="22"/>
        </w:rPr>
        <w:t xml:space="preserve"> </w:t>
      </w:r>
      <w:r w:rsidRPr="00CB7FBA">
        <w:rPr>
          <w:rFonts w:ascii="Arial" w:hAnsi="Arial"/>
          <w:sz w:val="22"/>
        </w:rPr>
        <w:t>excreted as unchanged drug in humans.</w:t>
      </w:r>
    </w:p>
    <w:p w14:paraId="3D61DA80" w14:textId="77777777" w:rsidR="00D74B67" w:rsidRDefault="00D74B67">
      <w:pPr>
        <w:rPr>
          <w:rFonts w:ascii="Arial" w:hAnsi="Arial"/>
          <w:b/>
          <w:sz w:val="22"/>
        </w:rPr>
      </w:pPr>
    </w:p>
    <w:p w14:paraId="564E34CF" w14:textId="77777777" w:rsidR="003007C5" w:rsidRDefault="003007C5">
      <w:pPr>
        <w:rPr>
          <w:rFonts w:ascii="Arial" w:hAnsi="Arial"/>
          <w:b/>
          <w:caps/>
          <w:sz w:val="22"/>
        </w:rPr>
      </w:pPr>
      <w:r w:rsidRPr="003007C5">
        <w:rPr>
          <w:rFonts w:ascii="Arial" w:hAnsi="Arial"/>
          <w:b/>
          <w:caps/>
          <w:sz w:val="22"/>
        </w:rPr>
        <w:t>CLINICAL STUDIES</w:t>
      </w:r>
    </w:p>
    <w:p w14:paraId="114CC85C" w14:textId="77777777" w:rsidR="003007C5" w:rsidRDefault="003007C5">
      <w:pPr>
        <w:rPr>
          <w:rFonts w:ascii="Arial" w:hAnsi="Arial"/>
          <w:b/>
          <w:caps/>
          <w:sz w:val="22"/>
        </w:rPr>
      </w:pPr>
    </w:p>
    <w:p w14:paraId="49AF3F1F" w14:textId="112BF5AE" w:rsidR="003007C5" w:rsidRPr="003007C5" w:rsidRDefault="003007C5" w:rsidP="003007C5">
      <w:p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The safety and efficacy of once daily use of </w:t>
      </w:r>
      <w:r w:rsidR="00881ABC" w:rsidRPr="002056B2">
        <w:rPr>
          <w:rFonts w:ascii="Arial" w:hAnsi="Arial" w:cs="Arial"/>
          <w:color w:val="auto"/>
          <w:sz w:val="22"/>
          <w:szCs w:val="22"/>
          <w:lang w:eastAsia="en-US"/>
        </w:rPr>
        <w:t>ACZONE</w:t>
      </w:r>
      <w:r w:rsidR="00881ABC" w:rsidRPr="002056B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®</w:t>
      </w:r>
      <w:r w:rsidR="00881ABC" w:rsidRP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7.5% w/w</w:t>
      </w:r>
      <w:r w:rsid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gel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 was assessed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in two large 12-week </w:t>
      </w:r>
      <w:proofErr w:type="spellStart"/>
      <w:r>
        <w:rPr>
          <w:rFonts w:ascii="Arial" w:hAnsi="Arial" w:cs="Arial"/>
          <w:color w:val="auto"/>
          <w:sz w:val="22"/>
          <w:szCs w:val="22"/>
          <w:lang w:eastAsia="en-US"/>
        </w:rPr>
        <w:t>multicentre</w:t>
      </w:r>
      <w:proofErr w:type="spellEnd"/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, </w:t>
      </w:r>
      <w:proofErr w:type="spellStart"/>
      <w:r>
        <w:rPr>
          <w:rFonts w:ascii="Arial" w:hAnsi="Arial" w:cs="Arial"/>
          <w:color w:val="auto"/>
          <w:sz w:val="22"/>
          <w:szCs w:val="22"/>
          <w:lang w:eastAsia="en-US"/>
        </w:rPr>
        <w:t>randomis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ed</w:t>
      </w:r>
      <w:proofErr w:type="spellEnd"/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,  double-blind, vehicle-controlled studies</w:t>
      </w:r>
      <w:r w:rsidR="003A4919">
        <w:rPr>
          <w:rFonts w:ascii="Arial" w:hAnsi="Arial" w:cs="Arial"/>
          <w:color w:val="auto"/>
          <w:sz w:val="22"/>
          <w:szCs w:val="22"/>
          <w:lang w:eastAsia="en-US"/>
        </w:rPr>
        <w:t xml:space="preserve"> (Studies 1 and 2)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. Efficacy was assessed in a total of 4340 patients 12 years of age and older with moderate acne vulgaris, 20 to 50 inflammatory and 30 to 100 non-inflammatory lesions at baseline, who were </w:t>
      </w:r>
      <w:proofErr w:type="spellStart"/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randomi</w:t>
      </w:r>
      <w:r>
        <w:rPr>
          <w:rFonts w:ascii="Arial" w:hAnsi="Arial" w:cs="Arial"/>
          <w:color w:val="auto"/>
          <w:sz w:val="22"/>
          <w:szCs w:val="22"/>
          <w:lang w:eastAsia="en-US"/>
        </w:rPr>
        <w:t>s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ed</w:t>
      </w:r>
      <w:proofErr w:type="spellEnd"/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 to receive either </w:t>
      </w:r>
      <w:r w:rsidR="00881ABC" w:rsidRPr="002056B2">
        <w:rPr>
          <w:rFonts w:ascii="Arial" w:hAnsi="Arial" w:cs="Arial"/>
          <w:color w:val="auto"/>
          <w:sz w:val="22"/>
          <w:szCs w:val="22"/>
          <w:lang w:eastAsia="en-US"/>
        </w:rPr>
        <w:t>ACZONE</w:t>
      </w:r>
      <w:r w:rsidR="00881ABC" w:rsidRPr="002056B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®</w:t>
      </w:r>
      <w:r w:rsidR="00881ABC" w:rsidRP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7.5% w/w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gel 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or vehicle</w:t>
      </w:r>
      <w:r w:rsid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, where vehicle has the same formulation as </w:t>
      </w:r>
      <w:r w:rsidR="00320AB7" w:rsidRPr="002056B2">
        <w:rPr>
          <w:rFonts w:ascii="Arial" w:hAnsi="Arial" w:cs="Arial"/>
          <w:color w:val="auto"/>
          <w:sz w:val="22"/>
          <w:szCs w:val="22"/>
          <w:lang w:eastAsia="en-US"/>
        </w:rPr>
        <w:t>ACZONE</w:t>
      </w:r>
      <w:r w:rsidR="00320AB7" w:rsidRPr="002056B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®</w:t>
      </w:r>
      <w:r w:rsidR="00320AB7" w:rsidRP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7.5% w/w</w:t>
      </w:r>
      <w:r w:rsidR="00320AB7"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gel without the active ingredient </w:t>
      </w:r>
      <w:proofErr w:type="spellStart"/>
      <w:r w:rsidR="00320AB7">
        <w:rPr>
          <w:rFonts w:ascii="Arial" w:hAnsi="Arial" w:cs="Arial"/>
          <w:color w:val="auto"/>
          <w:sz w:val="22"/>
          <w:szCs w:val="22"/>
          <w:lang w:eastAsia="en-US"/>
        </w:rPr>
        <w:t>dapsone</w:t>
      </w:r>
      <w:proofErr w:type="spellEnd"/>
    </w:p>
    <w:p w14:paraId="63156FF6" w14:textId="77777777" w:rsidR="003007C5" w:rsidRPr="003007C5" w:rsidRDefault="003007C5" w:rsidP="003007C5">
      <w:p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48751931" w14:textId="77777777" w:rsidR="003007C5" w:rsidRPr="003007C5" w:rsidRDefault="003007C5" w:rsidP="003007C5">
      <w:p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The co-primary efficacy variables for these studies were: </w:t>
      </w:r>
    </w:p>
    <w:p w14:paraId="4F544B0F" w14:textId="77777777" w:rsidR="003007C5" w:rsidRPr="003007C5" w:rsidRDefault="003007C5" w:rsidP="003007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Proportion of patients with either 0 (none) or 1 (minimal) on the Global Acne Assessment Score at week 12 </w:t>
      </w:r>
    </w:p>
    <w:p w14:paraId="6FD06B9E" w14:textId="77777777" w:rsidR="003007C5" w:rsidRPr="003007C5" w:rsidRDefault="003007C5" w:rsidP="003007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Mean reduction in absolute lesion count from baseline at week 12 in </w:t>
      </w:r>
    </w:p>
    <w:p w14:paraId="29BD7F31" w14:textId="77777777" w:rsidR="003007C5" w:rsidRPr="003007C5" w:rsidRDefault="003007C5" w:rsidP="003007C5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inflammatory lesions </w:t>
      </w:r>
    </w:p>
    <w:p w14:paraId="65C538C4" w14:textId="77777777" w:rsidR="003007C5" w:rsidRPr="003007C5" w:rsidRDefault="003007C5" w:rsidP="003007C5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non-inflammatory lesions </w:t>
      </w:r>
    </w:p>
    <w:p w14:paraId="5A1F995C" w14:textId="77777777" w:rsidR="003007C5" w:rsidRPr="003007C5" w:rsidRDefault="003007C5" w:rsidP="003007C5">
      <w:p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Additional efficacy variables were: </w:t>
      </w:r>
    </w:p>
    <w:p w14:paraId="094B3651" w14:textId="77777777" w:rsidR="003007C5" w:rsidRPr="003007C5" w:rsidRDefault="003007C5" w:rsidP="003007C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b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Mean reduction in absolute total lesion count from baseline at week 12</w:t>
      </w:r>
    </w:p>
    <w:p w14:paraId="256F7760" w14:textId="77777777" w:rsidR="003007C5" w:rsidRPr="003007C5" w:rsidRDefault="003007C5" w:rsidP="003007C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b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Percent reduction in lesion count from baseline at week 12 in</w:t>
      </w:r>
    </w:p>
    <w:p w14:paraId="40436F53" w14:textId="77777777" w:rsidR="003007C5" w:rsidRPr="003007C5" w:rsidRDefault="003007C5" w:rsidP="003007C5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total lesions</w:t>
      </w:r>
    </w:p>
    <w:p w14:paraId="761287A2" w14:textId="77777777" w:rsidR="003007C5" w:rsidRPr="003007C5" w:rsidRDefault="003007C5" w:rsidP="003007C5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inflammatory lesions</w:t>
      </w:r>
    </w:p>
    <w:p w14:paraId="3FEA52CE" w14:textId="77777777" w:rsidR="003007C5" w:rsidRPr="003007C5" w:rsidRDefault="003007C5" w:rsidP="003007C5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>non-inflammatory lesions</w:t>
      </w:r>
    </w:p>
    <w:p w14:paraId="1B77738B" w14:textId="5E7CCA9B" w:rsidR="003007C5" w:rsidRPr="003007C5" w:rsidRDefault="003007C5" w:rsidP="003007C5">
      <w:p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Success was defined as a score of “none” (Score 0) or “minimal” (Score 1) on the Global Acne Assessment Score (GAAS) at week 12. The GAAS used a 5-point scale as shown in Table </w:t>
      </w:r>
      <w:r w:rsidR="003A4919"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. </w:t>
      </w:r>
      <w:r w:rsidR="00320AB7">
        <w:rPr>
          <w:rFonts w:ascii="Arial" w:hAnsi="Arial" w:cs="Arial"/>
          <w:color w:val="auto"/>
          <w:sz w:val="22"/>
          <w:szCs w:val="22"/>
          <w:lang w:eastAsia="en-US"/>
        </w:rPr>
        <w:t>T</w:t>
      </w:r>
      <w:r w:rsidR="00320AB7" w:rsidRP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here was an improvement in GAAS and </w:t>
      </w:r>
      <w:proofErr w:type="gramStart"/>
      <w:r w:rsidR="00320AB7" w:rsidRPr="00320AB7">
        <w:rPr>
          <w:rFonts w:ascii="Arial" w:hAnsi="Arial" w:cs="Arial"/>
          <w:color w:val="auto"/>
          <w:sz w:val="22"/>
          <w:szCs w:val="22"/>
          <w:lang w:eastAsia="en-US"/>
        </w:rPr>
        <w:t>lesion count</w:t>
      </w:r>
      <w:proofErr w:type="gramEnd"/>
      <w:r w:rsidR="00320AB7" w:rsidRP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 in both the ACZONE</w:t>
      </w:r>
      <w:r w:rsidR="00320AB7" w:rsidRPr="002056B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®</w:t>
      </w:r>
      <w:r w:rsidR="00320AB7" w:rsidRP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 7.5% </w:t>
      </w:r>
      <w:r w:rsid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w/w </w:t>
      </w:r>
      <w:r w:rsidR="00320AB7" w:rsidRP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and vehicle groups. </w:t>
      </w:r>
      <w:r w:rsidR="003A4919" w:rsidRPr="003007C5">
        <w:rPr>
          <w:rFonts w:ascii="Arial" w:hAnsi="Arial" w:cs="Arial"/>
          <w:color w:val="auto"/>
          <w:sz w:val="22"/>
          <w:szCs w:val="22"/>
          <w:lang w:eastAsia="en-US"/>
        </w:rPr>
        <w:t>The</w:t>
      </w:r>
      <w:r w:rsid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re was a </w:t>
      </w:r>
      <w:r w:rsidR="003A4919"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 statistically significant </w:t>
      </w:r>
      <w:r w:rsidR="00320AB7">
        <w:rPr>
          <w:rFonts w:ascii="Arial" w:hAnsi="Arial" w:cs="Arial"/>
          <w:color w:val="auto"/>
          <w:sz w:val="22"/>
          <w:szCs w:val="22"/>
          <w:lang w:eastAsia="en-US"/>
        </w:rPr>
        <w:t xml:space="preserve">treatment effect </w:t>
      </w:r>
      <w:proofErr w:type="spellStart"/>
      <w:r w:rsidR="003A4919" w:rsidRPr="003007C5">
        <w:rPr>
          <w:rFonts w:ascii="Arial" w:hAnsi="Arial" w:cs="Arial"/>
          <w:color w:val="auto"/>
          <w:sz w:val="22"/>
          <w:szCs w:val="22"/>
          <w:lang w:eastAsia="en-US"/>
        </w:rPr>
        <w:t>favo</w:t>
      </w:r>
      <w:r w:rsidR="003A4919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="003A4919" w:rsidRPr="003007C5">
        <w:rPr>
          <w:rFonts w:ascii="Arial" w:hAnsi="Arial" w:cs="Arial"/>
          <w:color w:val="auto"/>
          <w:sz w:val="22"/>
          <w:szCs w:val="22"/>
          <w:lang w:eastAsia="en-US"/>
        </w:rPr>
        <w:t>ring</w:t>
      </w:r>
      <w:proofErr w:type="spellEnd"/>
      <w:r w:rsidR="003A4919" w:rsidRP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ACZONE</w:t>
      </w:r>
      <w:r w:rsidR="003A4919" w:rsidRPr="002056B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®</w:t>
      </w:r>
      <w:r w:rsidR="002056B2" w:rsidRP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3A4919" w:rsidRPr="002056B2">
        <w:rPr>
          <w:rFonts w:ascii="Arial" w:hAnsi="Arial" w:cs="Arial"/>
          <w:color w:val="auto"/>
          <w:sz w:val="22"/>
          <w:szCs w:val="22"/>
          <w:lang w:eastAsia="en-US"/>
        </w:rPr>
        <w:t>7.5% w/w</w:t>
      </w:r>
      <w:r w:rsidR="002056B2">
        <w:rPr>
          <w:rFonts w:ascii="Arial" w:hAnsi="Arial" w:cs="Arial"/>
          <w:color w:val="auto"/>
          <w:sz w:val="22"/>
          <w:szCs w:val="22"/>
          <w:lang w:eastAsia="en-US"/>
        </w:rPr>
        <w:t xml:space="preserve"> gel</w:t>
      </w:r>
      <w:r w:rsidR="003A4919" w:rsidRPr="003007C5">
        <w:rPr>
          <w:rFonts w:ascii="Arial" w:hAnsi="Arial" w:cs="Arial"/>
          <w:color w:val="auto"/>
          <w:sz w:val="22"/>
          <w:szCs w:val="22"/>
          <w:lang w:eastAsia="en-US"/>
        </w:rPr>
        <w:t xml:space="preserve"> compared to vehicle at week 12 (Table </w:t>
      </w:r>
      <w:r w:rsidR="003A4919">
        <w:rPr>
          <w:rFonts w:ascii="Arial" w:hAnsi="Arial" w:cs="Arial"/>
          <w:color w:val="auto"/>
          <w:sz w:val="22"/>
          <w:szCs w:val="22"/>
          <w:lang w:eastAsia="en-US"/>
        </w:rPr>
        <w:t>2</w:t>
      </w:r>
      <w:r w:rsidR="003A4919" w:rsidRPr="003007C5">
        <w:rPr>
          <w:rFonts w:ascii="Arial" w:hAnsi="Arial" w:cs="Arial"/>
          <w:color w:val="auto"/>
          <w:sz w:val="22"/>
          <w:szCs w:val="22"/>
          <w:lang w:eastAsia="en-US"/>
        </w:rPr>
        <w:t>).</w:t>
      </w:r>
    </w:p>
    <w:p w14:paraId="509852A5" w14:textId="77777777" w:rsidR="003007C5" w:rsidRDefault="003007C5">
      <w:pPr>
        <w:rPr>
          <w:rFonts w:ascii="Arial" w:hAnsi="Arial"/>
          <w:b/>
          <w:caps/>
          <w:sz w:val="22"/>
        </w:rPr>
      </w:pPr>
    </w:p>
    <w:p w14:paraId="7EA751CA" w14:textId="28C0B82D" w:rsidR="003007C5" w:rsidRPr="003007C5" w:rsidRDefault="003007C5" w:rsidP="003007C5">
      <w:pPr>
        <w:keepNext/>
        <w:keepLines/>
        <w:jc w:val="both"/>
        <w:rPr>
          <w:rFonts w:ascii="Arial" w:hAnsi="Arial" w:cs="Arial"/>
          <w:b/>
          <w:color w:val="auto"/>
          <w:sz w:val="22"/>
          <w:szCs w:val="22"/>
          <w:lang w:eastAsia="en-US"/>
        </w:rPr>
      </w:pPr>
      <w:r w:rsidRPr="003007C5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Table </w:t>
      </w:r>
      <w:r w:rsidR="003A4919">
        <w:rPr>
          <w:rFonts w:ascii="Arial" w:hAnsi="Arial" w:cs="Arial"/>
          <w:b/>
          <w:color w:val="auto"/>
          <w:sz w:val="22"/>
          <w:szCs w:val="22"/>
          <w:lang w:eastAsia="en-US"/>
        </w:rPr>
        <w:t>1</w:t>
      </w:r>
      <w:r w:rsidR="003A4919" w:rsidRPr="003007C5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 </w:t>
      </w:r>
      <w:r w:rsidRPr="003007C5">
        <w:rPr>
          <w:rFonts w:ascii="Arial" w:hAnsi="Arial" w:cs="Arial"/>
          <w:b/>
          <w:color w:val="auto"/>
          <w:sz w:val="22"/>
          <w:szCs w:val="22"/>
          <w:lang w:eastAsia="en-US"/>
        </w:rPr>
        <w:t>Global Acne Assessment Score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466"/>
        <w:gridCol w:w="6916"/>
      </w:tblGrid>
      <w:tr w:rsidR="003007C5" w:rsidRPr="003007C5" w14:paraId="2CDC3024" w14:textId="77777777" w:rsidTr="00337D21">
        <w:trPr>
          <w:trHeight w:val="44"/>
          <w:jc w:val="center"/>
        </w:trPr>
        <w:tc>
          <w:tcPr>
            <w:tcW w:w="2417" w:type="dxa"/>
            <w:gridSpan w:val="2"/>
            <w:shd w:val="clear" w:color="auto" w:fill="auto"/>
          </w:tcPr>
          <w:p w14:paraId="73F9A804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Grade</w:t>
            </w:r>
          </w:p>
        </w:tc>
        <w:tc>
          <w:tcPr>
            <w:tcW w:w="6916" w:type="dxa"/>
            <w:shd w:val="clear" w:color="auto" w:fill="auto"/>
          </w:tcPr>
          <w:p w14:paraId="4BAFA866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Description</w:t>
            </w:r>
          </w:p>
        </w:tc>
      </w:tr>
      <w:tr w:rsidR="003007C5" w:rsidRPr="003007C5" w14:paraId="6C705A7B" w14:textId="77777777" w:rsidTr="00337D21">
        <w:trPr>
          <w:trHeight w:val="85"/>
          <w:jc w:val="center"/>
        </w:trPr>
        <w:tc>
          <w:tcPr>
            <w:tcW w:w="951" w:type="dxa"/>
            <w:shd w:val="clear" w:color="auto" w:fill="auto"/>
          </w:tcPr>
          <w:p w14:paraId="162F9BD0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14:paraId="3B794006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None </w:t>
            </w:r>
          </w:p>
        </w:tc>
        <w:tc>
          <w:tcPr>
            <w:tcW w:w="6916" w:type="dxa"/>
            <w:shd w:val="clear" w:color="auto" w:fill="auto"/>
          </w:tcPr>
          <w:p w14:paraId="3599E844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No evidence of facial acne vulgaris</w:t>
            </w:r>
          </w:p>
        </w:tc>
      </w:tr>
      <w:tr w:rsidR="003007C5" w:rsidRPr="003007C5" w14:paraId="36B6CC4B" w14:textId="77777777" w:rsidTr="00337D21">
        <w:trPr>
          <w:trHeight w:val="173"/>
          <w:jc w:val="center"/>
        </w:trPr>
        <w:tc>
          <w:tcPr>
            <w:tcW w:w="951" w:type="dxa"/>
            <w:shd w:val="clear" w:color="auto" w:fill="auto"/>
          </w:tcPr>
          <w:p w14:paraId="2D4C2276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14:paraId="5CD2D36B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Minimal</w:t>
            </w:r>
          </w:p>
        </w:tc>
        <w:tc>
          <w:tcPr>
            <w:tcW w:w="6916" w:type="dxa"/>
            <w:shd w:val="clear" w:color="auto" w:fill="auto"/>
          </w:tcPr>
          <w:p w14:paraId="1F05A5D0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Few non-inflammatory lesions (</w:t>
            </w:r>
            <w:proofErr w:type="spellStart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comedones</w:t>
            </w:r>
            <w:proofErr w:type="spellEnd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) are present; a few inflammatory lesions (papules/pustules) may be present</w:t>
            </w:r>
          </w:p>
        </w:tc>
      </w:tr>
      <w:tr w:rsidR="003007C5" w:rsidRPr="003007C5" w14:paraId="041E1C6B" w14:textId="77777777" w:rsidTr="00337D21">
        <w:trPr>
          <w:trHeight w:val="213"/>
          <w:jc w:val="center"/>
        </w:trPr>
        <w:tc>
          <w:tcPr>
            <w:tcW w:w="951" w:type="dxa"/>
            <w:shd w:val="clear" w:color="auto" w:fill="auto"/>
          </w:tcPr>
          <w:p w14:paraId="1DC827C6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14:paraId="22AA9832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Mild</w:t>
            </w:r>
          </w:p>
        </w:tc>
        <w:tc>
          <w:tcPr>
            <w:tcW w:w="6916" w:type="dxa"/>
            <w:shd w:val="clear" w:color="auto" w:fill="auto"/>
          </w:tcPr>
          <w:p w14:paraId="059D71A9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Several to many non-inflammatory lesions (</w:t>
            </w:r>
            <w:proofErr w:type="spellStart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comedones</w:t>
            </w:r>
            <w:proofErr w:type="spellEnd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) are present; a few inflammatory lesions (papules/pustules) are present</w:t>
            </w:r>
          </w:p>
        </w:tc>
      </w:tr>
      <w:tr w:rsidR="003007C5" w:rsidRPr="003007C5" w14:paraId="5DE128D2" w14:textId="77777777" w:rsidTr="00337D21">
        <w:trPr>
          <w:trHeight w:val="129"/>
          <w:jc w:val="center"/>
        </w:trPr>
        <w:tc>
          <w:tcPr>
            <w:tcW w:w="951" w:type="dxa"/>
            <w:shd w:val="clear" w:color="auto" w:fill="auto"/>
          </w:tcPr>
          <w:p w14:paraId="1234D4F2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14:paraId="0FD9F181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Moderate</w:t>
            </w:r>
          </w:p>
        </w:tc>
        <w:tc>
          <w:tcPr>
            <w:tcW w:w="6916" w:type="dxa"/>
            <w:shd w:val="clear" w:color="auto" w:fill="auto"/>
          </w:tcPr>
          <w:p w14:paraId="37128E12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Many non-inflammatory (</w:t>
            </w:r>
            <w:proofErr w:type="spellStart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comedones</w:t>
            </w:r>
            <w:proofErr w:type="spellEnd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) and inflammatory lesions (papules/pustules) are present; no </w:t>
            </w:r>
            <w:proofErr w:type="spellStart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nodulo</w:t>
            </w:r>
            <w:proofErr w:type="spellEnd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-cystic lesions are allowed</w:t>
            </w:r>
          </w:p>
        </w:tc>
      </w:tr>
      <w:tr w:rsidR="003007C5" w:rsidRPr="003007C5" w14:paraId="289EC0A0" w14:textId="77777777" w:rsidTr="00337D21">
        <w:trPr>
          <w:trHeight w:val="216"/>
          <w:jc w:val="center"/>
        </w:trPr>
        <w:tc>
          <w:tcPr>
            <w:tcW w:w="951" w:type="dxa"/>
            <w:shd w:val="clear" w:color="auto" w:fill="auto"/>
          </w:tcPr>
          <w:p w14:paraId="21E7E9CA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14:paraId="5900BAA1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Severe</w:t>
            </w:r>
          </w:p>
        </w:tc>
        <w:tc>
          <w:tcPr>
            <w:tcW w:w="6916" w:type="dxa"/>
            <w:shd w:val="clear" w:color="auto" w:fill="auto"/>
          </w:tcPr>
          <w:p w14:paraId="0C04A0F0" w14:textId="77777777" w:rsidR="003007C5" w:rsidRPr="003007C5" w:rsidRDefault="003007C5" w:rsidP="003007C5">
            <w:pPr>
              <w:keepNext/>
              <w:keepLines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Significant degree of inflammatory disease; papules/pustules are a predominant feature; a few </w:t>
            </w:r>
            <w:proofErr w:type="spellStart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nodulo</w:t>
            </w:r>
            <w:proofErr w:type="spellEnd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-cystic lesions may be present; </w:t>
            </w:r>
            <w:proofErr w:type="spellStart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comedones</w:t>
            </w:r>
            <w:proofErr w:type="spellEnd"/>
            <w:r w:rsidRPr="003007C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may be present</w:t>
            </w:r>
          </w:p>
        </w:tc>
      </w:tr>
    </w:tbl>
    <w:p w14:paraId="6D507EC2" w14:textId="77777777" w:rsidR="003007C5" w:rsidRDefault="003007C5">
      <w:pPr>
        <w:rPr>
          <w:rFonts w:ascii="Arial" w:hAnsi="Arial"/>
          <w:b/>
          <w:caps/>
          <w:sz w:val="22"/>
        </w:rPr>
      </w:pPr>
    </w:p>
    <w:p w14:paraId="785E6FA7" w14:textId="77777777" w:rsidR="00E85CE9" w:rsidRDefault="00E85CE9">
      <w:pPr>
        <w:rPr>
          <w:rFonts w:ascii="Arial" w:hAnsi="Arial"/>
          <w:b/>
          <w:caps/>
          <w:sz w:val="22"/>
        </w:rPr>
      </w:pPr>
    </w:p>
    <w:p w14:paraId="59EE5479" w14:textId="77777777" w:rsidR="00E85CE9" w:rsidRDefault="00E85CE9">
      <w:pPr>
        <w:rPr>
          <w:rFonts w:ascii="Arial" w:hAnsi="Arial"/>
          <w:b/>
          <w:caps/>
          <w:sz w:val="22"/>
        </w:rPr>
      </w:pPr>
    </w:p>
    <w:p w14:paraId="7AF9B085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57F5CC89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0BB4851B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27630E6A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1E2CB56D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3438E3ED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058CBFF6" w14:textId="77777777" w:rsidR="00D35677" w:rsidRDefault="00D35677">
      <w:pPr>
        <w:rPr>
          <w:rFonts w:ascii="Arial" w:hAnsi="Arial"/>
          <w:b/>
          <w:caps/>
          <w:sz w:val="22"/>
        </w:rPr>
      </w:pPr>
    </w:p>
    <w:p w14:paraId="769B952E" w14:textId="77777777" w:rsidR="00591483" w:rsidRPr="004C4906" w:rsidRDefault="00591483" w:rsidP="00591483">
      <w:pPr>
        <w:rPr>
          <w:rFonts w:ascii="Arial" w:hAnsi="Arial" w:cs="Arial"/>
          <w:b/>
          <w:sz w:val="22"/>
          <w:szCs w:val="22"/>
        </w:rPr>
      </w:pPr>
      <w:r w:rsidRPr="004C4906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2</w:t>
      </w:r>
      <w:r w:rsidRPr="004C4906">
        <w:rPr>
          <w:rFonts w:ascii="Arial" w:hAnsi="Arial" w:cs="Arial"/>
          <w:b/>
          <w:sz w:val="22"/>
          <w:szCs w:val="22"/>
        </w:rPr>
        <w:t xml:space="preserve"> GAAS Success and Reduction in Lesion Counts at Week 12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572"/>
        <w:gridCol w:w="974"/>
        <w:gridCol w:w="900"/>
        <w:gridCol w:w="1022"/>
        <w:gridCol w:w="810"/>
        <w:gridCol w:w="990"/>
        <w:gridCol w:w="810"/>
        <w:gridCol w:w="900"/>
        <w:gridCol w:w="90"/>
        <w:gridCol w:w="825"/>
      </w:tblGrid>
      <w:tr w:rsidR="0018750C" w:rsidRPr="005C1F58" w14:paraId="70887E9D" w14:textId="1B36183B" w:rsidTr="0018750C">
        <w:trPr>
          <w:trHeight w:val="108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49B6F1E8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14:paraId="0A6B3637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Study 1</w:t>
            </w:r>
          </w:p>
        </w:tc>
        <w:tc>
          <w:tcPr>
            <w:tcW w:w="1022" w:type="dxa"/>
          </w:tcPr>
          <w:p w14:paraId="2025614E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14:paraId="4E0B82CB" w14:textId="1A829F49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AA58309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Study 2</w:t>
            </w:r>
          </w:p>
        </w:tc>
        <w:tc>
          <w:tcPr>
            <w:tcW w:w="900" w:type="dxa"/>
          </w:tcPr>
          <w:p w14:paraId="2AA0A937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5" w:type="dxa"/>
            <w:gridSpan w:val="2"/>
          </w:tcPr>
          <w:p w14:paraId="054C5066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750C" w:rsidRPr="005C1F58" w14:paraId="285A31B9" w14:textId="4E748F22" w:rsidTr="0018750C">
        <w:trPr>
          <w:trHeight w:val="208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3F6E52DC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14:paraId="066D8523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ACZONE</w:t>
            </w:r>
            <w:r w:rsidRPr="005C1F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®</w:t>
            </w:r>
            <w:r w:rsidRPr="005C1F58">
              <w:rPr>
                <w:rFonts w:ascii="Arial" w:hAnsi="Arial" w:cs="Arial"/>
                <w:b/>
                <w:sz w:val="16"/>
                <w:szCs w:val="16"/>
              </w:rPr>
              <w:t xml:space="preserve"> gel, 7.5% w/w (N=1044)</w:t>
            </w:r>
          </w:p>
        </w:tc>
        <w:tc>
          <w:tcPr>
            <w:tcW w:w="900" w:type="dxa"/>
            <w:shd w:val="clear" w:color="auto" w:fill="auto"/>
          </w:tcPr>
          <w:p w14:paraId="32994092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Vehicle</w:t>
            </w:r>
          </w:p>
          <w:p w14:paraId="3C4EE500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B4012D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(N=1058)</w:t>
            </w:r>
          </w:p>
        </w:tc>
        <w:tc>
          <w:tcPr>
            <w:tcW w:w="1022" w:type="dxa"/>
          </w:tcPr>
          <w:p w14:paraId="46963E66" w14:textId="2682C022" w:rsidR="0018750C" w:rsidRPr="005C1F58" w:rsidRDefault="0018750C" w:rsidP="00882A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7811">
              <w:rPr>
                <w:rFonts w:ascii="Arial" w:hAnsi="Arial" w:cs="Arial"/>
                <w:b/>
                <w:sz w:val="16"/>
                <w:szCs w:val="16"/>
              </w:rPr>
              <w:t>ACZONE</w:t>
            </w:r>
            <w:r w:rsidRPr="0052781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®</w:t>
            </w:r>
            <w:r w:rsidRPr="00527811">
              <w:rPr>
                <w:rFonts w:ascii="Arial" w:hAnsi="Arial" w:cs="Arial"/>
                <w:b/>
                <w:sz w:val="16"/>
                <w:szCs w:val="16"/>
              </w:rPr>
              <w:t xml:space="preserve"> vs Vehicle</w:t>
            </w:r>
            <w:r w:rsidRPr="005C1F5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499DDC76" w14:textId="5512A023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P-value</w:t>
            </w:r>
          </w:p>
        </w:tc>
        <w:tc>
          <w:tcPr>
            <w:tcW w:w="990" w:type="dxa"/>
            <w:shd w:val="clear" w:color="auto" w:fill="auto"/>
          </w:tcPr>
          <w:p w14:paraId="481F6EC9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ACZONE</w:t>
            </w:r>
            <w:r w:rsidRPr="005C1F5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®</w:t>
            </w:r>
            <w:r w:rsidRPr="005C1F58">
              <w:rPr>
                <w:rFonts w:ascii="Arial" w:hAnsi="Arial" w:cs="Arial"/>
                <w:b/>
                <w:sz w:val="16"/>
                <w:szCs w:val="16"/>
              </w:rPr>
              <w:t xml:space="preserve"> gel, 7.5% w/w</w:t>
            </w:r>
          </w:p>
          <w:p w14:paraId="78E9FFA4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(N=1118)</w:t>
            </w:r>
          </w:p>
        </w:tc>
        <w:tc>
          <w:tcPr>
            <w:tcW w:w="810" w:type="dxa"/>
            <w:shd w:val="clear" w:color="auto" w:fill="auto"/>
          </w:tcPr>
          <w:p w14:paraId="440122A0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Vehicle</w:t>
            </w:r>
          </w:p>
          <w:p w14:paraId="7A9A2B1D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74F352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(N=1120)</w:t>
            </w:r>
          </w:p>
        </w:tc>
        <w:tc>
          <w:tcPr>
            <w:tcW w:w="990" w:type="dxa"/>
            <w:gridSpan w:val="2"/>
          </w:tcPr>
          <w:p w14:paraId="2CA746F7" w14:textId="2D8B06C8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7811">
              <w:rPr>
                <w:rFonts w:ascii="Arial" w:hAnsi="Arial" w:cs="Arial"/>
                <w:b/>
                <w:sz w:val="16"/>
                <w:szCs w:val="16"/>
              </w:rPr>
              <w:t>ACZONE</w:t>
            </w:r>
            <w:r w:rsidRPr="0052781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®</w:t>
            </w:r>
            <w:r w:rsidRPr="00527811">
              <w:rPr>
                <w:rFonts w:ascii="Arial" w:hAnsi="Arial" w:cs="Arial"/>
                <w:b/>
                <w:sz w:val="16"/>
                <w:szCs w:val="16"/>
              </w:rPr>
              <w:t xml:space="preserve"> vs Vehicle</w:t>
            </w:r>
          </w:p>
        </w:tc>
        <w:tc>
          <w:tcPr>
            <w:tcW w:w="825" w:type="dxa"/>
          </w:tcPr>
          <w:p w14:paraId="68A3F6A6" w14:textId="498FF1A9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P-value</w:t>
            </w:r>
          </w:p>
        </w:tc>
      </w:tr>
      <w:tr w:rsidR="0018750C" w:rsidRPr="005C1F58" w14:paraId="4D8DF83A" w14:textId="515E0DDF" w:rsidTr="0018750C">
        <w:trPr>
          <w:trHeight w:val="103"/>
          <w:jc w:val="center"/>
        </w:trPr>
        <w:tc>
          <w:tcPr>
            <w:tcW w:w="783" w:type="dxa"/>
          </w:tcPr>
          <w:p w14:paraId="3AEE0DD7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8" w:type="dxa"/>
            <w:gridSpan w:val="8"/>
            <w:shd w:val="clear" w:color="auto" w:fill="auto"/>
          </w:tcPr>
          <w:p w14:paraId="27323E55" w14:textId="0CE4A72C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Global Acne Assessment Score</w:t>
            </w:r>
          </w:p>
        </w:tc>
        <w:tc>
          <w:tcPr>
            <w:tcW w:w="915" w:type="dxa"/>
            <w:gridSpan w:val="2"/>
          </w:tcPr>
          <w:p w14:paraId="2046FCCE" w14:textId="77777777" w:rsidR="0018750C" w:rsidRPr="005C1F58" w:rsidRDefault="0018750C" w:rsidP="005C1F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750C" w:rsidRPr="005C1F58" w14:paraId="07E4EC9B" w14:textId="36C80492" w:rsidTr="0018750C">
        <w:trPr>
          <w:trHeight w:val="103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5A78AF7F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GAAS Success (Score 0 or 1)</w:t>
            </w:r>
          </w:p>
        </w:tc>
        <w:tc>
          <w:tcPr>
            <w:tcW w:w="974" w:type="dxa"/>
            <w:shd w:val="clear" w:color="auto" w:fill="auto"/>
          </w:tcPr>
          <w:p w14:paraId="62F18096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900" w:type="dxa"/>
            <w:shd w:val="clear" w:color="auto" w:fill="auto"/>
          </w:tcPr>
          <w:p w14:paraId="65DEF872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022" w:type="dxa"/>
          </w:tcPr>
          <w:p w14:paraId="5F7B3B68" w14:textId="3D997A86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031549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10" w:type="dxa"/>
          </w:tcPr>
          <w:p w14:paraId="35EE1437" w14:textId="5995B630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90" w:type="dxa"/>
            <w:shd w:val="clear" w:color="auto" w:fill="auto"/>
          </w:tcPr>
          <w:p w14:paraId="098A63EA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10" w:type="dxa"/>
            <w:shd w:val="clear" w:color="auto" w:fill="auto"/>
          </w:tcPr>
          <w:p w14:paraId="1D27CAFF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900" w:type="dxa"/>
          </w:tcPr>
          <w:p w14:paraId="1AA35AF3" w14:textId="46BFB506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031549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15" w:type="dxa"/>
            <w:gridSpan w:val="2"/>
          </w:tcPr>
          <w:p w14:paraId="32641E05" w14:textId="4887CA27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</w:tr>
      <w:tr w:rsidR="0018750C" w:rsidRPr="005C1F58" w14:paraId="13C16851" w14:textId="50156722" w:rsidTr="0018750C">
        <w:trPr>
          <w:trHeight w:val="214"/>
          <w:jc w:val="center"/>
        </w:trPr>
        <w:tc>
          <w:tcPr>
            <w:tcW w:w="783" w:type="dxa"/>
          </w:tcPr>
          <w:p w14:paraId="288A7A2A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8" w:type="dxa"/>
            <w:gridSpan w:val="8"/>
            <w:shd w:val="clear" w:color="auto" w:fill="auto"/>
          </w:tcPr>
          <w:p w14:paraId="74559EFE" w14:textId="15A2FB2C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Inflammatory Lesions</w:t>
            </w:r>
          </w:p>
        </w:tc>
        <w:tc>
          <w:tcPr>
            <w:tcW w:w="915" w:type="dxa"/>
            <w:gridSpan w:val="2"/>
          </w:tcPr>
          <w:p w14:paraId="6022705F" w14:textId="77777777" w:rsidR="0018750C" w:rsidRPr="005C1F58" w:rsidRDefault="0018750C" w:rsidP="005C1F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750C" w:rsidRPr="005C1F58" w14:paraId="10818F5D" w14:textId="7295C95A" w:rsidTr="0018750C">
        <w:trPr>
          <w:trHeight w:val="214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7DCBB06E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Mean absolute reduction</w:t>
            </w:r>
          </w:p>
        </w:tc>
        <w:tc>
          <w:tcPr>
            <w:tcW w:w="974" w:type="dxa"/>
            <w:shd w:val="clear" w:color="auto" w:fill="auto"/>
          </w:tcPr>
          <w:p w14:paraId="0A3C7755" w14:textId="4D7701D5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4CBAA5A9" w14:textId="698E200B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22" w:type="dxa"/>
          </w:tcPr>
          <w:p w14:paraId="59E829F5" w14:textId="35A3E527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F721D8F" w14:textId="637D530E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14:paraId="47E4D6A2" w14:textId="0C7033C5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0" w:type="dxa"/>
            <w:shd w:val="clear" w:color="auto" w:fill="auto"/>
          </w:tcPr>
          <w:p w14:paraId="310ADCF8" w14:textId="477EC403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08CBE0F3" w14:textId="2AC376B0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gridSpan w:val="2"/>
          </w:tcPr>
          <w:p w14:paraId="775A8976" w14:textId="27AD0D83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18750C" w:rsidRPr="005C1F58" w14:paraId="743C0F2E" w14:textId="482D1F7E" w:rsidTr="0018750C">
        <w:trPr>
          <w:trHeight w:val="214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5565A864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Mean percent reduction</w:t>
            </w:r>
          </w:p>
        </w:tc>
        <w:tc>
          <w:tcPr>
            <w:tcW w:w="974" w:type="dxa"/>
            <w:shd w:val="clear" w:color="auto" w:fill="auto"/>
          </w:tcPr>
          <w:p w14:paraId="37F9FAB7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56%</w:t>
            </w:r>
          </w:p>
        </w:tc>
        <w:tc>
          <w:tcPr>
            <w:tcW w:w="900" w:type="dxa"/>
            <w:shd w:val="clear" w:color="auto" w:fill="auto"/>
          </w:tcPr>
          <w:p w14:paraId="0C141806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49%</w:t>
            </w:r>
          </w:p>
        </w:tc>
        <w:tc>
          <w:tcPr>
            <w:tcW w:w="1022" w:type="dxa"/>
          </w:tcPr>
          <w:p w14:paraId="6FE4658E" w14:textId="7BEBC33B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810" w:type="dxa"/>
          </w:tcPr>
          <w:p w14:paraId="79EA53FA" w14:textId="3A9E8F18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14:paraId="2DA487B2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54%</w:t>
            </w:r>
          </w:p>
        </w:tc>
        <w:tc>
          <w:tcPr>
            <w:tcW w:w="810" w:type="dxa"/>
            <w:shd w:val="clear" w:color="auto" w:fill="auto"/>
          </w:tcPr>
          <w:p w14:paraId="1BF68478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47%</w:t>
            </w:r>
          </w:p>
        </w:tc>
        <w:tc>
          <w:tcPr>
            <w:tcW w:w="900" w:type="dxa"/>
          </w:tcPr>
          <w:p w14:paraId="5B44AA09" w14:textId="439081B1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031549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15" w:type="dxa"/>
            <w:gridSpan w:val="2"/>
          </w:tcPr>
          <w:p w14:paraId="061DF972" w14:textId="4D47D6EF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18750C" w:rsidRPr="005C1F58" w14:paraId="30799DCF" w14:textId="1783D4B1" w:rsidTr="0018750C">
        <w:trPr>
          <w:trHeight w:val="214"/>
          <w:jc w:val="center"/>
        </w:trPr>
        <w:tc>
          <w:tcPr>
            <w:tcW w:w="783" w:type="dxa"/>
          </w:tcPr>
          <w:p w14:paraId="5FD3DD26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8" w:type="dxa"/>
            <w:gridSpan w:val="8"/>
            <w:shd w:val="clear" w:color="auto" w:fill="auto"/>
          </w:tcPr>
          <w:p w14:paraId="3F1F57D7" w14:textId="2818F09F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Non-inflammatory Lesions</w:t>
            </w:r>
          </w:p>
        </w:tc>
        <w:tc>
          <w:tcPr>
            <w:tcW w:w="915" w:type="dxa"/>
            <w:gridSpan w:val="2"/>
          </w:tcPr>
          <w:p w14:paraId="37833EAD" w14:textId="77777777" w:rsidR="0018750C" w:rsidRPr="005C1F58" w:rsidRDefault="0018750C" w:rsidP="005C1F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750C" w:rsidRPr="005C1F58" w14:paraId="49544554" w14:textId="7641EFCE" w:rsidTr="0018750C">
        <w:trPr>
          <w:trHeight w:val="214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44A7EBB6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Mean absolute reduction</w:t>
            </w:r>
          </w:p>
        </w:tc>
        <w:tc>
          <w:tcPr>
            <w:tcW w:w="974" w:type="dxa"/>
            <w:shd w:val="clear" w:color="auto" w:fill="auto"/>
          </w:tcPr>
          <w:p w14:paraId="790A72F7" w14:textId="653290D0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20E9635F" w14:textId="5FEA60B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22" w:type="dxa"/>
          </w:tcPr>
          <w:p w14:paraId="4007C172" w14:textId="2E5468CC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495EDBB" w14:textId="5DD7EF64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14:paraId="76CDFDF1" w14:textId="3D8D2E90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10" w:type="dxa"/>
            <w:shd w:val="clear" w:color="auto" w:fill="auto"/>
          </w:tcPr>
          <w:p w14:paraId="5793ECAD" w14:textId="6C401B3C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14:paraId="60EB98DD" w14:textId="51B67C61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  <w:gridSpan w:val="2"/>
          </w:tcPr>
          <w:p w14:paraId="5A99AAEB" w14:textId="60CE63B0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0.004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18750C" w:rsidRPr="005C1F58" w14:paraId="17A63845" w14:textId="0C476D1E" w:rsidTr="0018750C">
        <w:trPr>
          <w:trHeight w:val="214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40F488B3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Mean percent reduction</w:t>
            </w:r>
          </w:p>
        </w:tc>
        <w:tc>
          <w:tcPr>
            <w:tcW w:w="974" w:type="dxa"/>
            <w:shd w:val="clear" w:color="auto" w:fill="auto"/>
          </w:tcPr>
          <w:p w14:paraId="002D0510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  <w:tc>
          <w:tcPr>
            <w:tcW w:w="900" w:type="dxa"/>
            <w:shd w:val="clear" w:color="auto" w:fill="auto"/>
          </w:tcPr>
          <w:p w14:paraId="5A27D59B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  <w:tc>
          <w:tcPr>
            <w:tcW w:w="1022" w:type="dxa"/>
          </w:tcPr>
          <w:p w14:paraId="62F02335" w14:textId="1EADA4F9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810" w:type="dxa"/>
          </w:tcPr>
          <w:p w14:paraId="453A8E40" w14:textId="0494FE65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14:paraId="72700789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46%</w:t>
            </w:r>
          </w:p>
        </w:tc>
        <w:tc>
          <w:tcPr>
            <w:tcW w:w="810" w:type="dxa"/>
            <w:shd w:val="clear" w:color="auto" w:fill="auto"/>
          </w:tcPr>
          <w:p w14:paraId="4EDE0E40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900" w:type="dxa"/>
          </w:tcPr>
          <w:p w14:paraId="37D59447" w14:textId="19CC4D54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031549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15" w:type="dxa"/>
            <w:gridSpan w:val="2"/>
          </w:tcPr>
          <w:p w14:paraId="2B31C289" w14:textId="56B3DCFC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18750C" w:rsidRPr="005C1F58" w14:paraId="6F4EFABC" w14:textId="4B3E4C26" w:rsidTr="0018750C">
        <w:trPr>
          <w:trHeight w:val="214"/>
          <w:jc w:val="center"/>
        </w:trPr>
        <w:tc>
          <w:tcPr>
            <w:tcW w:w="783" w:type="dxa"/>
          </w:tcPr>
          <w:p w14:paraId="22164B5C" w14:textId="77777777" w:rsidR="0018750C" w:rsidRPr="005C1F58" w:rsidRDefault="0018750C" w:rsidP="005914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8" w:type="dxa"/>
            <w:gridSpan w:val="8"/>
            <w:shd w:val="clear" w:color="auto" w:fill="auto"/>
          </w:tcPr>
          <w:p w14:paraId="5EC965B0" w14:textId="3183A323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b/>
                <w:sz w:val="16"/>
                <w:szCs w:val="16"/>
              </w:rPr>
              <w:t>Total Lesions</w:t>
            </w:r>
          </w:p>
        </w:tc>
        <w:tc>
          <w:tcPr>
            <w:tcW w:w="915" w:type="dxa"/>
            <w:gridSpan w:val="2"/>
          </w:tcPr>
          <w:p w14:paraId="2FFC3C8D" w14:textId="77777777" w:rsidR="0018750C" w:rsidRPr="005C1F58" w:rsidRDefault="0018750C" w:rsidP="005C1F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750C" w:rsidRPr="005C1F58" w14:paraId="7D5346AA" w14:textId="27ECE5EC" w:rsidTr="0018750C">
        <w:trPr>
          <w:trHeight w:val="214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43F5EA6B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Mean absolute reduction</w:t>
            </w:r>
          </w:p>
        </w:tc>
        <w:tc>
          <w:tcPr>
            <w:tcW w:w="974" w:type="dxa"/>
            <w:shd w:val="clear" w:color="auto" w:fill="auto"/>
          </w:tcPr>
          <w:p w14:paraId="4C2EE8E8" w14:textId="7261AD3A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3EA9E48C" w14:textId="283F8195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22" w:type="dxa"/>
          </w:tcPr>
          <w:p w14:paraId="139FAF7E" w14:textId="357C3C3A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16B1A7A7" w14:textId="4C55D380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14:paraId="38796E83" w14:textId="275B002E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10" w:type="dxa"/>
            <w:shd w:val="clear" w:color="auto" w:fill="auto"/>
          </w:tcPr>
          <w:p w14:paraId="25915DF3" w14:textId="6922B063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00" w:type="dxa"/>
          </w:tcPr>
          <w:p w14:paraId="54CDFC42" w14:textId="6B3F450E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5" w:type="dxa"/>
            <w:gridSpan w:val="2"/>
          </w:tcPr>
          <w:p w14:paraId="463D5265" w14:textId="75492BA2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18750C" w:rsidRPr="005C1F58" w14:paraId="47861843" w14:textId="3582BFA8" w:rsidTr="0018750C">
        <w:trPr>
          <w:trHeight w:val="108"/>
          <w:jc w:val="center"/>
        </w:trPr>
        <w:tc>
          <w:tcPr>
            <w:tcW w:w="1355" w:type="dxa"/>
            <w:gridSpan w:val="2"/>
            <w:shd w:val="clear" w:color="auto" w:fill="auto"/>
          </w:tcPr>
          <w:p w14:paraId="7ECAEE07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Mean percent reduction</w:t>
            </w:r>
          </w:p>
        </w:tc>
        <w:tc>
          <w:tcPr>
            <w:tcW w:w="974" w:type="dxa"/>
            <w:shd w:val="clear" w:color="auto" w:fill="auto"/>
          </w:tcPr>
          <w:p w14:paraId="4A1A6F90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49%</w:t>
            </w:r>
          </w:p>
        </w:tc>
        <w:tc>
          <w:tcPr>
            <w:tcW w:w="900" w:type="dxa"/>
            <w:shd w:val="clear" w:color="auto" w:fill="auto"/>
          </w:tcPr>
          <w:p w14:paraId="7336CC3D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  <w:tc>
          <w:tcPr>
            <w:tcW w:w="1022" w:type="dxa"/>
          </w:tcPr>
          <w:p w14:paraId="041E46F8" w14:textId="13B22423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810" w:type="dxa"/>
          </w:tcPr>
          <w:p w14:paraId="184633B4" w14:textId="701C2E04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0" w:type="dxa"/>
            <w:shd w:val="clear" w:color="auto" w:fill="auto"/>
          </w:tcPr>
          <w:p w14:paraId="583A3750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49%</w:t>
            </w:r>
          </w:p>
        </w:tc>
        <w:tc>
          <w:tcPr>
            <w:tcW w:w="810" w:type="dxa"/>
            <w:shd w:val="clear" w:color="auto" w:fill="auto"/>
          </w:tcPr>
          <w:p w14:paraId="4C68D75F" w14:textId="77777777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43%</w:t>
            </w:r>
          </w:p>
        </w:tc>
        <w:tc>
          <w:tcPr>
            <w:tcW w:w="900" w:type="dxa"/>
          </w:tcPr>
          <w:p w14:paraId="6D1B3326" w14:textId="4DBF43D1" w:rsidR="0018750C" w:rsidRPr="005C1F58" w:rsidRDefault="0018750C" w:rsidP="005914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031549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15" w:type="dxa"/>
            <w:gridSpan w:val="2"/>
          </w:tcPr>
          <w:p w14:paraId="73FF6273" w14:textId="291B9DE6" w:rsidR="0018750C" w:rsidRPr="005C1F58" w:rsidRDefault="0018750C" w:rsidP="005C1F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58">
              <w:rPr>
                <w:rFonts w:ascii="Arial" w:hAnsi="Arial" w:cs="Arial"/>
                <w:sz w:val="16"/>
                <w:szCs w:val="16"/>
              </w:rPr>
              <w:t>&lt; 0.001</w:t>
            </w:r>
            <w:r w:rsidRPr="005C1F58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</w:tbl>
    <w:p w14:paraId="7E5DABE9" w14:textId="77777777" w:rsidR="00591483" w:rsidRDefault="00591483" w:rsidP="00591483">
      <w:pPr>
        <w:ind w:left="288" w:hanging="28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4F6AEF">
        <w:rPr>
          <w:rFonts w:ascii="Arial" w:hAnsi="Arial" w:cs="Arial"/>
          <w:sz w:val="22"/>
          <w:szCs w:val="22"/>
        </w:rPr>
        <w:t>P-values for the test of general association between the responder and treatment group us</w:t>
      </w:r>
      <w:r>
        <w:rPr>
          <w:rFonts w:ascii="Arial" w:hAnsi="Arial" w:cs="Arial"/>
          <w:sz w:val="22"/>
          <w:szCs w:val="22"/>
        </w:rPr>
        <w:t>ed</w:t>
      </w:r>
      <w:r w:rsidRPr="004F6AEF">
        <w:rPr>
          <w:rFonts w:ascii="Arial" w:hAnsi="Arial" w:cs="Arial"/>
          <w:sz w:val="22"/>
          <w:szCs w:val="22"/>
        </w:rPr>
        <w:t xml:space="preserve"> a Cochran Mantel-</w:t>
      </w:r>
      <w:proofErr w:type="spellStart"/>
      <w:r w:rsidRPr="004F6AEF">
        <w:rPr>
          <w:rFonts w:ascii="Arial" w:hAnsi="Arial" w:cs="Arial"/>
          <w:sz w:val="22"/>
          <w:szCs w:val="22"/>
        </w:rPr>
        <w:t>Haenszel</w:t>
      </w:r>
      <w:proofErr w:type="spellEnd"/>
      <w:r w:rsidRPr="004F6AEF">
        <w:rPr>
          <w:rFonts w:ascii="Arial" w:hAnsi="Arial" w:cs="Arial"/>
          <w:sz w:val="22"/>
          <w:szCs w:val="22"/>
        </w:rPr>
        <w:t xml:space="preserve"> test</w:t>
      </w:r>
      <w:r>
        <w:rPr>
          <w:rFonts w:ascii="Arial" w:hAnsi="Arial" w:cs="Arial"/>
          <w:sz w:val="22"/>
          <w:szCs w:val="22"/>
        </w:rPr>
        <w:t xml:space="preserve"> </w:t>
      </w:r>
      <w:r w:rsidRPr="004F6AEF">
        <w:rPr>
          <w:rFonts w:ascii="Arial" w:hAnsi="Arial" w:cs="Arial"/>
          <w:sz w:val="22"/>
          <w:szCs w:val="22"/>
        </w:rPr>
        <w:t>stratified by sex.</w:t>
      </w:r>
    </w:p>
    <w:p w14:paraId="6A990739" w14:textId="77777777" w:rsidR="00591483" w:rsidRDefault="00591483" w:rsidP="00591483">
      <w:pPr>
        <w:ind w:left="288" w:hanging="28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937959">
        <w:rPr>
          <w:rFonts w:ascii="Arial" w:hAnsi="Arial" w:cs="Arial"/>
          <w:sz w:val="22"/>
          <w:szCs w:val="22"/>
        </w:rPr>
        <w:t>P-value</w:t>
      </w:r>
      <w:r>
        <w:rPr>
          <w:rFonts w:ascii="Arial" w:hAnsi="Arial" w:cs="Arial"/>
          <w:sz w:val="22"/>
          <w:szCs w:val="22"/>
        </w:rPr>
        <w:t>s</w:t>
      </w:r>
      <w:r w:rsidRPr="00937959">
        <w:rPr>
          <w:rFonts w:ascii="Arial" w:hAnsi="Arial" w:cs="Arial"/>
          <w:sz w:val="22"/>
          <w:szCs w:val="22"/>
        </w:rPr>
        <w:t xml:space="preserve"> for between-group comparison </w:t>
      </w:r>
      <w:r>
        <w:rPr>
          <w:rFonts w:ascii="Arial" w:hAnsi="Arial" w:cs="Arial"/>
          <w:sz w:val="22"/>
          <w:szCs w:val="22"/>
        </w:rPr>
        <w:t>we</w:t>
      </w:r>
      <w:r w:rsidRPr="00937959">
        <w:rPr>
          <w:rFonts w:ascii="Arial" w:hAnsi="Arial" w:cs="Arial"/>
          <w:sz w:val="22"/>
          <w:szCs w:val="22"/>
        </w:rPr>
        <w:t xml:space="preserve">re obtained from an </w:t>
      </w:r>
      <w:r>
        <w:rPr>
          <w:rFonts w:ascii="Arial" w:hAnsi="Arial" w:cs="Arial"/>
          <w:sz w:val="22"/>
          <w:szCs w:val="22"/>
        </w:rPr>
        <w:t>analysis of covariance</w:t>
      </w:r>
      <w:r w:rsidRPr="00937959">
        <w:rPr>
          <w:rFonts w:ascii="Arial" w:hAnsi="Arial" w:cs="Arial"/>
          <w:sz w:val="22"/>
          <w:szCs w:val="22"/>
        </w:rPr>
        <w:t xml:space="preserve"> model including treatment,</w:t>
      </w:r>
      <w:r>
        <w:rPr>
          <w:rFonts w:ascii="Arial" w:hAnsi="Arial" w:cs="Arial"/>
          <w:sz w:val="22"/>
          <w:szCs w:val="22"/>
        </w:rPr>
        <w:t xml:space="preserve"> </w:t>
      </w:r>
      <w:r w:rsidRPr="00937959">
        <w:rPr>
          <w:rFonts w:ascii="Arial" w:hAnsi="Arial" w:cs="Arial"/>
          <w:sz w:val="22"/>
          <w:szCs w:val="22"/>
        </w:rPr>
        <w:t>baseline</w:t>
      </w:r>
      <w:r>
        <w:rPr>
          <w:rFonts w:ascii="Arial" w:hAnsi="Arial" w:cs="Arial"/>
          <w:sz w:val="22"/>
          <w:szCs w:val="22"/>
        </w:rPr>
        <w:t>,</w:t>
      </w:r>
      <w:r w:rsidRPr="00937959">
        <w:rPr>
          <w:rFonts w:ascii="Arial" w:hAnsi="Arial" w:cs="Arial"/>
          <w:sz w:val="22"/>
          <w:szCs w:val="22"/>
        </w:rPr>
        <w:t xml:space="preserve"> and sex.</w:t>
      </w:r>
    </w:p>
    <w:p w14:paraId="79AF0E8A" w14:textId="3631BBC4" w:rsidR="003007C5" w:rsidRPr="003007C5" w:rsidRDefault="003007C5">
      <w:pPr>
        <w:rPr>
          <w:rFonts w:ascii="Arial" w:hAnsi="Arial"/>
          <w:b/>
          <w:caps/>
          <w:sz w:val="22"/>
        </w:rPr>
      </w:pPr>
    </w:p>
    <w:p w14:paraId="4BCDC78E" w14:textId="77777777" w:rsidR="00DD22C0" w:rsidRDefault="00DD22C0">
      <w:pPr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Indications</w:t>
      </w:r>
    </w:p>
    <w:p w14:paraId="306D835B" w14:textId="77777777" w:rsidR="00DD22C0" w:rsidRDefault="00D74B67" w:rsidP="00D74B67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F</w:t>
      </w:r>
      <w:r w:rsidRPr="00D74B67">
        <w:rPr>
          <w:rFonts w:ascii="Arial" w:hAnsi="Arial"/>
          <w:sz w:val="22"/>
        </w:rPr>
        <w:t>or the topical treatment of acne vulgaris in patients 12 years of age and older.</w:t>
      </w:r>
      <w:proofErr w:type="gramEnd"/>
    </w:p>
    <w:p w14:paraId="7454FBB1" w14:textId="77777777" w:rsidR="00D74B67" w:rsidRDefault="00D74B67" w:rsidP="00D74B67">
      <w:pPr>
        <w:jc w:val="both"/>
        <w:rPr>
          <w:rFonts w:ascii="Arial" w:hAnsi="Arial"/>
          <w:sz w:val="22"/>
        </w:rPr>
      </w:pPr>
    </w:p>
    <w:p w14:paraId="7B48B9FF" w14:textId="77777777" w:rsidR="00DD22C0" w:rsidRDefault="00DD22C0" w:rsidP="00D74B67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 xml:space="preserve">Contraindications </w:t>
      </w:r>
    </w:p>
    <w:p w14:paraId="30145FDA" w14:textId="53FE67DA" w:rsidR="00DD22C0" w:rsidRDefault="00D74B67" w:rsidP="00D74B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ACZONE</w:t>
      </w:r>
      <w:r w:rsidR="00EC7CAD" w:rsidRPr="00EC7CAD">
        <w:rPr>
          <w:rFonts w:ascii="Arial" w:hAnsi="Arial"/>
          <w:sz w:val="22"/>
          <w:vertAlign w:val="superscript"/>
        </w:rPr>
        <w:t>®</w:t>
      </w:r>
      <w:r w:rsidR="00EC7CAD">
        <w:rPr>
          <w:rFonts w:ascii="Arial" w:hAnsi="Arial"/>
          <w:sz w:val="22"/>
          <w:vertAlign w:val="superscript"/>
        </w:rPr>
        <w:t xml:space="preserve"> </w:t>
      </w:r>
      <w:r w:rsidR="008C4590" w:rsidRPr="002056B2">
        <w:rPr>
          <w:rFonts w:ascii="Arial" w:hAnsi="Arial"/>
          <w:sz w:val="22"/>
        </w:rPr>
        <w:t xml:space="preserve">7.5% w/w </w:t>
      </w:r>
      <w:r w:rsidR="003E79E4">
        <w:rPr>
          <w:rFonts w:ascii="Arial" w:hAnsi="Arial"/>
          <w:sz w:val="22"/>
        </w:rPr>
        <w:t xml:space="preserve">gel </w:t>
      </w:r>
      <w:r w:rsidR="00DD22C0">
        <w:rPr>
          <w:rFonts w:ascii="Arial" w:hAnsi="Arial"/>
          <w:sz w:val="22"/>
        </w:rPr>
        <w:t xml:space="preserve">is contraindicated in individuals who have shown hypersensitivity </w:t>
      </w:r>
      <w:r w:rsidR="00EC7CAD">
        <w:rPr>
          <w:rFonts w:ascii="Arial" w:hAnsi="Arial"/>
          <w:sz w:val="22"/>
        </w:rPr>
        <w:t>to any of its components.</w:t>
      </w:r>
    </w:p>
    <w:p w14:paraId="76EB60C9" w14:textId="1F7EAD65" w:rsidR="00320AB7" w:rsidRDefault="00320AB7" w:rsidP="00D74B6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ACZONE</w:t>
      </w:r>
      <w:r w:rsidRPr="00EC7CAD">
        <w:rPr>
          <w:rFonts w:ascii="Arial" w:hAnsi="Arial"/>
          <w:sz w:val="22"/>
          <w:vertAlign w:val="superscript"/>
        </w:rPr>
        <w:t>®</w:t>
      </w:r>
      <w:r>
        <w:rPr>
          <w:rFonts w:ascii="Arial" w:hAnsi="Arial"/>
          <w:sz w:val="22"/>
          <w:vertAlign w:val="superscript"/>
        </w:rPr>
        <w:t xml:space="preserve"> </w:t>
      </w:r>
      <w:r w:rsidRPr="002056B2">
        <w:rPr>
          <w:rFonts w:ascii="Arial" w:hAnsi="Arial"/>
          <w:sz w:val="22"/>
        </w:rPr>
        <w:t>7.5% w/w</w:t>
      </w:r>
      <w:r w:rsidRPr="00320AB7">
        <w:rPr>
          <w:rFonts w:ascii="Arial" w:hAnsi="Arial"/>
          <w:sz w:val="22"/>
        </w:rPr>
        <w:t xml:space="preserve"> gel is contraindicated in individuals with congenital or idiopathic </w:t>
      </w:r>
      <w:proofErr w:type="spellStart"/>
      <w:r w:rsidRPr="00320AB7">
        <w:rPr>
          <w:rFonts w:ascii="Arial" w:hAnsi="Arial"/>
          <w:sz w:val="22"/>
        </w:rPr>
        <w:t>meth</w:t>
      </w:r>
      <w:r w:rsidR="00A4263C">
        <w:rPr>
          <w:rFonts w:ascii="Arial" w:hAnsi="Arial"/>
          <w:sz w:val="22"/>
        </w:rPr>
        <w:t>a</w:t>
      </w:r>
      <w:r w:rsidRPr="00320AB7">
        <w:rPr>
          <w:rFonts w:ascii="Arial" w:hAnsi="Arial"/>
          <w:sz w:val="22"/>
        </w:rPr>
        <w:t>emoglobin</w:t>
      </w:r>
      <w:r>
        <w:rPr>
          <w:rFonts w:ascii="Arial" w:hAnsi="Arial"/>
          <w:sz w:val="22"/>
        </w:rPr>
        <w:t>a</w:t>
      </w:r>
      <w:r w:rsidRPr="00320AB7">
        <w:rPr>
          <w:rFonts w:ascii="Arial" w:hAnsi="Arial"/>
          <w:sz w:val="22"/>
        </w:rPr>
        <w:t>emia</w:t>
      </w:r>
      <w:proofErr w:type="spellEnd"/>
    </w:p>
    <w:p w14:paraId="18ADFD8C" w14:textId="77777777" w:rsidR="00DD22C0" w:rsidRDefault="00DD22C0">
      <w:pPr>
        <w:rPr>
          <w:rFonts w:ascii="Arial" w:hAnsi="Arial"/>
          <w:sz w:val="22"/>
        </w:rPr>
      </w:pPr>
    </w:p>
    <w:p w14:paraId="65E4A50C" w14:textId="77777777" w:rsidR="00DD22C0" w:rsidRDefault="00DD22C0">
      <w:pPr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Precautions</w:t>
      </w:r>
    </w:p>
    <w:p w14:paraId="0F9C9840" w14:textId="77777777" w:rsidR="00580D58" w:rsidRPr="00580D58" w:rsidRDefault="00580D58" w:rsidP="00D74B67">
      <w:pPr>
        <w:jc w:val="both"/>
        <w:rPr>
          <w:rFonts w:ascii="Arial" w:hAnsi="Arial"/>
          <w:i/>
          <w:sz w:val="22"/>
          <w:u w:val="single"/>
        </w:rPr>
      </w:pPr>
      <w:proofErr w:type="spellStart"/>
      <w:r w:rsidRPr="00580D58">
        <w:rPr>
          <w:rFonts w:ascii="Arial" w:hAnsi="Arial"/>
          <w:i/>
          <w:sz w:val="22"/>
          <w:u w:val="single"/>
        </w:rPr>
        <w:t>H</w:t>
      </w:r>
      <w:r w:rsidR="00337D21">
        <w:rPr>
          <w:rFonts w:ascii="Arial" w:hAnsi="Arial"/>
          <w:i/>
          <w:sz w:val="22"/>
          <w:u w:val="single"/>
        </w:rPr>
        <w:t>a</w:t>
      </w:r>
      <w:r w:rsidRPr="00580D58">
        <w:rPr>
          <w:rFonts w:ascii="Arial" w:hAnsi="Arial"/>
          <w:i/>
          <w:sz w:val="22"/>
          <w:u w:val="single"/>
        </w:rPr>
        <w:t>ematological</w:t>
      </w:r>
      <w:proofErr w:type="spellEnd"/>
      <w:r w:rsidRPr="00580D58">
        <w:rPr>
          <w:rFonts w:ascii="Arial" w:hAnsi="Arial"/>
          <w:i/>
          <w:sz w:val="22"/>
          <w:u w:val="single"/>
        </w:rPr>
        <w:t xml:space="preserve"> Effects </w:t>
      </w:r>
    </w:p>
    <w:p w14:paraId="05898F64" w14:textId="77777777" w:rsidR="00580D58" w:rsidRDefault="00580D58" w:rsidP="00D74B67">
      <w:pPr>
        <w:jc w:val="both"/>
        <w:rPr>
          <w:rFonts w:ascii="Arial" w:hAnsi="Arial"/>
          <w:sz w:val="22"/>
        </w:rPr>
      </w:pPr>
    </w:p>
    <w:p w14:paraId="04AD0B81" w14:textId="4DFCED6A" w:rsidR="00D74B67" w:rsidRPr="00D74B67" w:rsidRDefault="00D74B67" w:rsidP="00580D58">
      <w:pPr>
        <w:jc w:val="both"/>
        <w:rPr>
          <w:rFonts w:ascii="Arial" w:hAnsi="Arial"/>
          <w:sz w:val="22"/>
        </w:rPr>
      </w:pPr>
      <w:r w:rsidRPr="00D74B67">
        <w:rPr>
          <w:rFonts w:ascii="Arial" w:hAnsi="Arial"/>
          <w:sz w:val="22"/>
        </w:rPr>
        <w:t xml:space="preserve">Oral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 treatment has produced dose-related </w:t>
      </w:r>
      <w:proofErr w:type="spellStart"/>
      <w:r w:rsidRPr="00D74B67">
        <w:rPr>
          <w:rFonts w:ascii="Arial" w:hAnsi="Arial"/>
          <w:sz w:val="22"/>
        </w:rPr>
        <w:t>h</w:t>
      </w:r>
      <w:r w:rsidR="00337D21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emolysis</w:t>
      </w:r>
      <w:proofErr w:type="spellEnd"/>
      <w:r w:rsidRPr="00D74B67">
        <w:rPr>
          <w:rFonts w:ascii="Arial" w:hAnsi="Arial"/>
          <w:sz w:val="22"/>
        </w:rPr>
        <w:t xml:space="preserve"> and </w:t>
      </w:r>
      <w:proofErr w:type="spellStart"/>
      <w:r w:rsidRPr="00D74B67">
        <w:rPr>
          <w:rFonts w:ascii="Arial" w:hAnsi="Arial"/>
          <w:sz w:val="22"/>
        </w:rPr>
        <w:t>h</w:t>
      </w:r>
      <w:r w:rsidR="00337D21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emolytic</w:t>
      </w:r>
      <w:proofErr w:type="spellEnd"/>
      <w:r w:rsidRPr="00D74B67">
        <w:rPr>
          <w:rFonts w:ascii="Arial" w:hAnsi="Arial"/>
          <w:sz w:val="22"/>
        </w:rPr>
        <w:t xml:space="preserve"> </w:t>
      </w:r>
      <w:proofErr w:type="spellStart"/>
      <w:r w:rsidRPr="00D74B67">
        <w:rPr>
          <w:rFonts w:ascii="Arial" w:hAnsi="Arial"/>
          <w:sz w:val="22"/>
        </w:rPr>
        <w:t>an</w:t>
      </w:r>
      <w:r w:rsidR="00337D21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emia</w:t>
      </w:r>
      <w:proofErr w:type="spellEnd"/>
      <w:r w:rsidRPr="00D74B67">
        <w:rPr>
          <w:rFonts w:ascii="Arial" w:hAnsi="Arial"/>
          <w:sz w:val="22"/>
        </w:rPr>
        <w:t xml:space="preserve">. Individuals with glucose-6-phosphate dehydrogenase (G6PD) deficiency are more prone to </w:t>
      </w:r>
      <w:proofErr w:type="spellStart"/>
      <w:r w:rsidRPr="00D74B67">
        <w:rPr>
          <w:rFonts w:ascii="Arial" w:hAnsi="Arial"/>
          <w:sz w:val="22"/>
        </w:rPr>
        <w:t>h</w:t>
      </w:r>
      <w:r w:rsidR="00BA28E5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emolysis</w:t>
      </w:r>
      <w:proofErr w:type="spellEnd"/>
      <w:r w:rsidRPr="00D74B67">
        <w:rPr>
          <w:rFonts w:ascii="Arial" w:hAnsi="Arial"/>
          <w:sz w:val="22"/>
        </w:rPr>
        <w:t xml:space="preserve"> with the use of certain drugs.  G6PD deficiency is most prevalent in populations of Afric</w:t>
      </w:r>
      <w:r w:rsidR="00AF7EAB">
        <w:rPr>
          <w:rFonts w:ascii="Arial" w:hAnsi="Arial"/>
          <w:sz w:val="22"/>
        </w:rPr>
        <w:t>an, South Asian, Middle Eastern</w:t>
      </w:r>
      <w:r w:rsidRPr="00D74B67">
        <w:rPr>
          <w:rFonts w:ascii="Arial" w:hAnsi="Arial"/>
          <w:sz w:val="22"/>
        </w:rPr>
        <w:t xml:space="preserve"> and Mediterranean ancestry.</w:t>
      </w:r>
    </w:p>
    <w:p w14:paraId="7D9F0BE8" w14:textId="77777777" w:rsidR="00D74B67" w:rsidRPr="00D74B67" w:rsidRDefault="00D74B67" w:rsidP="00580D58">
      <w:pPr>
        <w:jc w:val="both"/>
        <w:rPr>
          <w:rFonts w:ascii="Arial" w:hAnsi="Arial"/>
          <w:sz w:val="22"/>
        </w:rPr>
      </w:pPr>
    </w:p>
    <w:p w14:paraId="71EB5489" w14:textId="152BD69B" w:rsidR="00D74B67" w:rsidRPr="00D74B67" w:rsidRDefault="00D74B67" w:rsidP="009A3D62">
      <w:pPr>
        <w:jc w:val="both"/>
        <w:rPr>
          <w:rFonts w:ascii="Arial" w:hAnsi="Arial"/>
          <w:sz w:val="22"/>
        </w:rPr>
      </w:pPr>
      <w:r w:rsidRPr="00D74B67">
        <w:rPr>
          <w:rFonts w:ascii="Arial" w:hAnsi="Arial"/>
          <w:sz w:val="22"/>
        </w:rPr>
        <w:t xml:space="preserve">In clinical studies, there was no evidence of clinically relevant </w:t>
      </w:r>
      <w:proofErr w:type="spellStart"/>
      <w:r w:rsidRPr="00D74B67">
        <w:rPr>
          <w:rFonts w:ascii="Arial" w:hAnsi="Arial"/>
          <w:sz w:val="22"/>
        </w:rPr>
        <w:t>h</w:t>
      </w:r>
      <w:r w:rsidR="00BA28E5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emolysis</w:t>
      </w:r>
      <w:proofErr w:type="spellEnd"/>
      <w:r w:rsidRPr="00D74B67">
        <w:rPr>
          <w:rFonts w:ascii="Arial" w:hAnsi="Arial"/>
          <w:sz w:val="22"/>
        </w:rPr>
        <w:t xml:space="preserve"> or </w:t>
      </w:r>
      <w:proofErr w:type="spellStart"/>
      <w:r w:rsidRPr="00D74B67">
        <w:rPr>
          <w:rFonts w:ascii="Arial" w:hAnsi="Arial"/>
          <w:sz w:val="22"/>
        </w:rPr>
        <w:t>h</w:t>
      </w:r>
      <w:r w:rsidR="00337D21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emolytic</w:t>
      </w:r>
      <w:proofErr w:type="spellEnd"/>
      <w:r w:rsidRPr="00D74B67">
        <w:rPr>
          <w:rFonts w:ascii="Arial" w:hAnsi="Arial"/>
          <w:sz w:val="22"/>
        </w:rPr>
        <w:t xml:space="preserve"> </w:t>
      </w:r>
      <w:proofErr w:type="spellStart"/>
      <w:r w:rsidRPr="00D74B67">
        <w:rPr>
          <w:rFonts w:ascii="Arial" w:hAnsi="Arial"/>
          <w:sz w:val="22"/>
        </w:rPr>
        <w:t>an</w:t>
      </w:r>
      <w:r w:rsidR="00BA28E5">
        <w:rPr>
          <w:rFonts w:ascii="Arial" w:hAnsi="Arial"/>
          <w:sz w:val="22"/>
        </w:rPr>
        <w:t>a</w:t>
      </w:r>
      <w:r w:rsidRPr="00D74B67">
        <w:rPr>
          <w:rFonts w:ascii="Arial" w:hAnsi="Arial"/>
          <w:sz w:val="22"/>
        </w:rPr>
        <w:t>emia</w:t>
      </w:r>
      <w:proofErr w:type="spellEnd"/>
      <w:r w:rsidRPr="00D74B67">
        <w:rPr>
          <w:rFonts w:ascii="Arial" w:hAnsi="Arial"/>
          <w:sz w:val="22"/>
        </w:rPr>
        <w:t xml:space="preserve"> in patients treated with topical </w:t>
      </w:r>
      <w:proofErr w:type="spellStart"/>
      <w:r w:rsidRPr="00D74B67">
        <w:rPr>
          <w:rFonts w:ascii="Arial" w:hAnsi="Arial"/>
          <w:sz w:val="22"/>
        </w:rPr>
        <w:t>dapsone</w:t>
      </w:r>
      <w:proofErr w:type="spellEnd"/>
      <w:r w:rsidRPr="00D74B67">
        <w:rPr>
          <w:rFonts w:ascii="Arial" w:hAnsi="Arial"/>
          <w:sz w:val="22"/>
        </w:rPr>
        <w:t xml:space="preserve">.  </w:t>
      </w:r>
    </w:p>
    <w:p w14:paraId="6C17091F" w14:textId="77777777" w:rsidR="00D74B67" w:rsidRPr="00D74B67" w:rsidRDefault="00D74B67" w:rsidP="00580D58">
      <w:pPr>
        <w:jc w:val="both"/>
        <w:rPr>
          <w:rFonts w:ascii="Arial" w:hAnsi="Arial"/>
          <w:sz w:val="22"/>
        </w:rPr>
      </w:pPr>
    </w:p>
    <w:p w14:paraId="4AC5E61E" w14:textId="5840EF24" w:rsidR="00135D1F" w:rsidRDefault="00135D1F" w:rsidP="00580D58">
      <w:pPr>
        <w:jc w:val="both"/>
        <w:rPr>
          <w:rFonts w:ascii="Arial" w:hAnsi="Arial"/>
          <w:sz w:val="22"/>
        </w:rPr>
      </w:pPr>
      <w:r w:rsidRPr="00135D1F">
        <w:rPr>
          <w:rFonts w:ascii="Arial" w:hAnsi="Arial"/>
          <w:sz w:val="22"/>
        </w:rPr>
        <w:t>ACZONE</w:t>
      </w:r>
      <w:r w:rsidRPr="00135D1F">
        <w:rPr>
          <w:rFonts w:ascii="Arial" w:hAnsi="Arial"/>
          <w:sz w:val="22"/>
          <w:vertAlign w:val="superscript"/>
        </w:rPr>
        <w:t>®</w:t>
      </w:r>
      <w:r w:rsidR="002056B2">
        <w:rPr>
          <w:rFonts w:ascii="Arial" w:hAnsi="Arial"/>
          <w:sz w:val="22"/>
        </w:rPr>
        <w:t xml:space="preserve"> </w:t>
      </w:r>
      <w:r w:rsidRPr="00135D1F">
        <w:rPr>
          <w:rFonts w:ascii="Arial" w:hAnsi="Arial"/>
          <w:sz w:val="22"/>
        </w:rPr>
        <w:t>7.5% w/w</w:t>
      </w:r>
      <w:r w:rsidR="002056B2">
        <w:rPr>
          <w:rFonts w:ascii="Arial" w:hAnsi="Arial"/>
          <w:sz w:val="22"/>
        </w:rPr>
        <w:t xml:space="preserve"> gel</w:t>
      </w:r>
      <w:r w:rsidRPr="00135D1F">
        <w:rPr>
          <w:rFonts w:ascii="Arial" w:hAnsi="Arial"/>
          <w:sz w:val="22"/>
        </w:rPr>
        <w:t xml:space="preserve">, </w:t>
      </w:r>
      <w:r w:rsidR="00BA28E5">
        <w:rPr>
          <w:rFonts w:ascii="Arial" w:hAnsi="Arial"/>
          <w:sz w:val="22"/>
        </w:rPr>
        <w:t xml:space="preserve">should be discontinued </w:t>
      </w:r>
      <w:r w:rsidRPr="00135D1F">
        <w:rPr>
          <w:rFonts w:ascii="Arial" w:hAnsi="Arial"/>
          <w:sz w:val="22"/>
        </w:rPr>
        <w:t xml:space="preserve">if signs and symptoms suggestive of </w:t>
      </w:r>
      <w:proofErr w:type="spellStart"/>
      <w:r w:rsidRPr="00135D1F">
        <w:rPr>
          <w:rFonts w:ascii="Arial" w:hAnsi="Arial"/>
          <w:sz w:val="22"/>
        </w:rPr>
        <w:t>h</w:t>
      </w:r>
      <w:r w:rsidR="00BA28E5">
        <w:rPr>
          <w:rFonts w:ascii="Arial" w:hAnsi="Arial"/>
          <w:sz w:val="22"/>
        </w:rPr>
        <w:t>a</w:t>
      </w:r>
      <w:r w:rsidRPr="00135D1F">
        <w:rPr>
          <w:rFonts w:ascii="Arial" w:hAnsi="Arial"/>
          <w:sz w:val="22"/>
        </w:rPr>
        <w:t>emolytic</w:t>
      </w:r>
      <w:proofErr w:type="spellEnd"/>
      <w:r w:rsidRPr="00135D1F">
        <w:rPr>
          <w:rFonts w:ascii="Arial" w:hAnsi="Arial"/>
          <w:sz w:val="22"/>
        </w:rPr>
        <w:t xml:space="preserve"> </w:t>
      </w:r>
      <w:proofErr w:type="spellStart"/>
      <w:r w:rsidRPr="00135D1F">
        <w:rPr>
          <w:rFonts w:ascii="Arial" w:hAnsi="Arial"/>
          <w:sz w:val="22"/>
        </w:rPr>
        <w:t>an</w:t>
      </w:r>
      <w:r w:rsidR="00BA28E5">
        <w:rPr>
          <w:rFonts w:ascii="Arial" w:hAnsi="Arial"/>
          <w:sz w:val="22"/>
        </w:rPr>
        <w:t>a</w:t>
      </w:r>
      <w:r w:rsidRPr="00135D1F">
        <w:rPr>
          <w:rFonts w:ascii="Arial" w:hAnsi="Arial"/>
          <w:sz w:val="22"/>
        </w:rPr>
        <w:t>emia</w:t>
      </w:r>
      <w:proofErr w:type="spellEnd"/>
      <w:r w:rsidRPr="00135D1F">
        <w:rPr>
          <w:rFonts w:ascii="Arial" w:hAnsi="Arial"/>
          <w:sz w:val="22"/>
        </w:rPr>
        <w:t xml:space="preserve"> occur.  Avoid use of ACZONE</w:t>
      </w:r>
      <w:r w:rsidRPr="00135D1F">
        <w:rPr>
          <w:rFonts w:ascii="Arial" w:hAnsi="Arial"/>
          <w:sz w:val="22"/>
          <w:vertAlign w:val="superscript"/>
        </w:rPr>
        <w:t>®</w:t>
      </w:r>
      <w:r w:rsidRPr="00135D1F">
        <w:rPr>
          <w:rFonts w:ascii="Arial" w:hAnsi="Arial"/>
          <w:sz w:val="22"/>
        </w:rPr>
        <w:t xml:space="preserve"> 7.5% w/w </w:t>
      </w:r>
      <w:r w:rsidR="008C4590">
        <w:rPr>
          <w:rFonts w:ascii="Arial" w:hAnsi="Arial"/>
          <w:sz w:val="22"/>
        </w:rPr>
        <w:t xml:space="preserve">gel </w:t>
      </w:r>
      <w:r w:rsidRPr="00135D1F">
        <w:rPr>
          <w:rFonts w:ascii="Arial" w:hAnsi="Arial"/>
          <w:sz w:val="22"/>
        </w:rPr>
        <w:t xml:space="preserve">in patients who are taking oral </w:t>
      </w:r>
      <w:proofErr w:type="spellStart"/>
      <w:r w:rsidRPr="00135D1F">
        <w:rPr>
          <w:rFonts w:ascii="Arial" w:hAnsi="Arial"/>
          <w:sz w:val="22"/>
        </w:rPr>
        <w:t>dapsone</w:t>
      </w:r>
      <w:proofErr w:type="spellEnd"/>
      <w:r w:rsidRPr="00135D1F">
        <w:rPr>
          <w:rFonts w:ascii="Arial" w:hAnsi="Arial"/>
          <w:sz w:val="22"/>
        </w:rPr>
        <w:t xml:space="preserve"> or antimalarial medications because of the potential for </w:t>
      </w:r>
      <w:proofErr w:type="spellStart"/>
      <w:r w:rsidRPr="00135D1F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>a</w:t>
      </w:r>
      <w:r w:rsidRPr="00135D1F">
        <w:rPr>
          <w:rFonts w:ascii="Arial" w:hAnsi="Arial"/>
          <w:sz w:val="22"/>
        </w:rPr>
        <w:t>emolytic</w:t>
      </w:r>
      <w:proofErr w:type="spellEnd"/>
      <w:r w:rsidRPr="00135D1F">
        <w:rPr>
          <w:rFonts w:ascii="Arial" w:hAnsi="Arial"/>
          <w:sz w:val="22"/>
        </w:rPr>
        <w:t xml:space="preserve"> reactions.</w:t>
      </w:r>
      <w:r>
        <w:rPr>
          <w:rFonts w:ascii="Arial" w:hAnsi="Arial"/>
          <w:sz w:val="22"/>
        </w:rPr>
        <w:t xml:space="preserve"> </w:t>
      </w:r>
    </w:p>
    <w:p w14:paraId="2519F07B" w14:textId="77777777" w:rsidR="00135D1F" w:rsidRDefault="00135D1F" w:rsidP="00580D58">
      <w:pPr>
        <w:jc w:val="both"/>
        <w:rPr>
          <w:rFonts w:ascii="Arial" w:hAnsi="Arial"/>
          <w:sz w:val="22"/>
        </w:rPr>
      </w:pPr>
    </w:p>
    <w:p w14:paraId="6F2B6184" w14:textId="1DAFE577" w:rsidR="00D74B67" w:rsidRPr="00D74B67" w:rsidRDefault="00BA28E5" w:rsidP="00580D5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The c</w:t>
      </w:r>
      <w:r w:rsidR="00D74B67" w:rsidRPr="00D74B67">
        <w:rPr>
          <w:rFonts w:ascii="Arial" w:hAnsi="Arial"/>
          <w:sz w:val="22"/>
        </w:rPr>
        <w:t xml:space="preserve">ombination of topical </w:t>
      </w:r>
      <w:proofErr w:type="spellStart"/>
      <w:r w:rsidR="00D74B67" w:rsidRPr="00D74B67">
        <w:rPr>
          <w:rFonts w:ascii="Arial" w:hAnsi="Arial"/>
          <w:sz w:val="22"/>
        </w:rPr>
        <w:t>dapsone</w:t>
      </w:r>
      <w:proofErr w:type="spellEnd"/>
      <w:r w:rsidR="00D74B67" w:rsidRPr="00D74B67">
        <w:rPr>
          <w:rFonts w:ascii="Arial" w:hAnsi="Arial"/>
          <w:sz w:val="22"/>
        </w:rPr>
        <w:t xml:space="preserve"> with trimethoprim/sulfamethoxazole (TMP/SMX) may increase the likelihood of </w:t>
      </w:r>
      <w:proofErr w:type="spellStart"/>
      <w:r w:rsidR="00D74B67" w:rsidRPr="00D74B67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>a</w:t>
      </w:r>
      <w:r w:rsidR="00D74B67" w:rsidRPr="00D74B67">
        <w:rPr>
          <w:rFonts w:ascii="Arial" w:hAnsi="Arial"/>
          <w:sz w:val="22"/>
        </w:rPr>
        <w:t>emolysis</w:t>
      </w:r>
      <w:proofErr w:type="spellEnd"/>
      <w:r w:rsidR="00D74B67" w:rsidRPr="00D74B67">
        <w:rPr>
          <w:rFonts w:ascii="Arial" w:hAnsi="Arial"/>
          <w:sz w:val="22"/>
        </w:rPr>
        <w:t xml:space="preserve"> in patients with G6PD deficiency.</w:t>
      </w:r>
    </w:p>
    <w:p w14:paraId="6E49060D" w14:textId="77777777" w:rsidR="00D74B67" w:rsidRPr="00D74B67" w:rsidRDefault="00D74B67" w:rsidP="00580D58">
      <w:pPr>
        <w:jc w:val="both"/>
        <w:rPr>
          <w:rFonts w:ascii="Arial" w:hAnsi="Arial"/>
          <w:sz w:val="22"/>
        </w:rPr>
      </w:pPr>
    </w:p>
    <w:p w14:paraId="027A1FBB" w14:textId="47C182AF" w:rsidR="00D74B67" w:rsidRDefault="00240B3A" w:rsidP="00580D58">
      <w:pPr>
        <w:jc w:val="both"/>
        <w:rPr>
          <w:rFonts w:ascii="Arial" w:hAnsi="Arial"/>
          <w:sz w:val="22"/>
        </w:rPr>
      </w:pPr>
      <w:proofErr w:type="spellStart"/>
      <w:r w:rsidRPr="00240B3A">
        <w:rPr>
          <w:rFonts w:ascii="Arial" w:hAnsi="Arial"/>
          <w:sz w:val="22"/>
        </w:rPr>
        <w:t>Methaemoglobinaemia</w:t>
      </w:r>
      <w:proofErr w:type="spellEnd"/>
      <w:r w:rsidR="00D74B67" w:rsidRPr="00D74B67">
        <w:rPr>
          <w:rFonts w:ascii="Arial" w:hAnsi="Arial"/>
          <w:sz w:val="22"/>
        </w:rPr>
        <w:t xml:space="preserve"> has been reported for oral </w:t>
      </w:r>
      <w:proofErr w:type="spellStart"/>
      <w:r w:rsidR="00D74B67" w:rsidRPr="00D74B67">
        <w:rPr>
          <w:rFonts w:ascii="Arial" w:hAnsi="Arial"/>
          <w:sz w:val="22"/>
        </w:rPr>
        <w:t>dapsone</w:t>
      </w:r>
      <w:proofErr w:type="spellEnd"/>
      <w:r w:rsidR="00D74B67" w:rsidRPr="00D74B67">
        <w:rPr>
          <w:rFonts w:ascii="Arial" w:hAnsi="Arial"/>
          <w:sz w:val="22"/>
        </w:rPr>
        <w:t xml:space="preserve"> and has been reported in </w:t>
      </w:r>
      <w:proofErr w:type="spellStart"/>
      <w:r w:rsidR="00D74B67" w:rsidRPr="00D74B67">
        <w:rPr>
          <w:rFonts w:ascii="Arial" w:hAnsi="Arial"/>
          <w:sz w:val="22"/>
        </w:rPr>
        <w:t>postmarketing</w:t>
      </w:r>
      <w:proofErr w:type="spellEnd"/>
      <w:r w:rsidR="00D74B67" w:rsidRPr="00D74B67">
        <w:rPr>
          <w:rFonts w:ascii="Arial" w:hAnsi="Arial"/>
          <w:sz w:val="22"/>
        </w:rPr>
        <w:t xml:space="preserve"> cases for topical </w:t>
      </w:r>
      <w:proofErr w:type="spellStart"/>
      <w:r w:rsidR="00D74B67" w:rsidRPr="00D74B67">
        <w:rPr>
          <w:rFonts w:ascii="Arial" w:hAnsi="Arial"/>
          <w:sz w:val="22"/>
        </w:rPr>
        <w:t>dapsone</w:t>
      </w:r>
      <w:proofErr w:type="spellEnd"/>
      <w:r w:rsidR="00D74B67" w:rsidRPr="00D74B67">
        <w:rPr>
          <w:rFonts w:ascii="Arial" w:hAnsi="Arial"/>
          <w:sz w:val="22"/>
        </w:rPr>
        <w:t xml:space="preserve">. </w:t>
      </w:r>
      <w:r w:rsidR="00135D1F" w:rsidRPr="00135D1F">
        <w:rPr>
          <w:rFonts w:ascii="Arial" w:hAnsi="Arial"/>
          <w:sz w:val="22"/>
        </w:rPr>
        <w:t xml:space="preserve">Patients with </w:t>
      </w:r>
      <w:r w:rsidR="00BA28E5">
        <w:rPr>
          <w:rFonts w:ascii="Arial" w:hAnsi="Arial"/>
          <w:sz w:val="22"/>
        </w:rPr>
        <w:t>G6PD</w:t>
      </w:r>
      <w:r w:rsidR="00135D1F" w:rsidRPr="00135D1F">
        <w:rPr>
          <w:rFonts w:ascii="Arial" w:hAnsi="Arial"/>
          <w:sz w:val="22"/>
        </w:rPr>
        <w:t xml:space="preserve"> deficiency or congenital or idiopathic </w:t>
      </w:r>
      <w:proofErr w:type="spellStart"/>
      <w:r>
        <w:rPr>
          <w:rFonts w:ascii="Arial" w:hAnsi="Arial"/>
          <w:sz w:val="22"/>
        </w:rPr>
        <w:t>m</w:t>
      </w:r>
      <w:r w:rsidRPr="00240B3A">
        <w:rPr>
          <w:rFonts w:ascii="Arial" w:hAnsi="Arial"/>
          <w:sz w:val="22"/>
        </w:rPr>
        <w:t>ethaemoglobinaemia</w:t>
      </w:r>
      <w:proofErr w:type="spellEnd"/>
      <w:r w:rsidR="00135D1F" w:rsidRPr="00135D1F">
        <w:rPr>
          <w:rFonts w:ascii="Arial" w:hAnsi="Arial"/>
          <w:sz w:val="22"/>
        </w:rPr>
        <w:t xml:space="preserve"> are more susceptible to drug</w:t>
      </w:r>
      <w:r w:rsidR="00135D1F" w:rsidRPr="00135D1F">
        <w:rPr>
          <w:rFonts w:ascii="Cambria Math" w:hAnsi="Cambria Math" w:cs="Cambria Math"/>
          <w:sz w:val="22"/>
        </w:rPr>
        <w:t>‐</w:t>
      </w:r>
      <w:r w:rsidR="00135D1F" w:rsidRPr="00135D1F">
        <w:rPr>
          <w:rFonts w:ascii="Arial" w:hAnsi="Arial"/>
          <w:sz w:val="22"/>
        </w:rPr>
        <w:t xml:space="preserve">induced </w:t>
      </w:r>
      <w:proofErr w:type="spellStart"/>
      <w:r>
        <w:rPr>
          <w:rFonts w:ascii="Arial" w:hAnsi="Arial"/>
          <w:sz w:val="22"/>
        </w:rPr>
        <w:t>m</w:t>
      </w:r>
      <w:r w:rsidRPr="00240B3A">
        <w:rPr>
          <w:rFonts w:ascii="Arial" w:hAnsi="Arial"/>
          <w:sz w:val="22"/>
        </w:rPr>
        <w:t>ethaemoglobinaemia</w:t>
      </w:r>
      <w:proofErr w:type="spellEnd"/>
      <w:r w:rsidR="00135D1F" w:rsidRPr="00135D1F">
        <w:rPr>
          <w:rFonts w:ascii="Arial" w:hAnsi="Arial"/>
          <w:sz w:val="22"/>
        </w:rPr>
        <w:t xml:space="preserve">. </w:t>
      </w:r>
      <w:r w:rsidR="00BA28E5">
        <w:rPr>
          <w:rFonts w:ascii="Arial" w:hAnsi="Arial"/>
          <w:sz w:val="22"/>
        </w:rPr>
        <w:t>U</w:t>
      </w:r>
      <w:r w:rsidR="00135D1F" w:rsidRPr="00135D1F">
        <w:rPr>
          <w:rFonts w:ascii="Arial" w:hAnsi="Arial"/>
          <w:sz w:val="22"/>
        </w:rPr>
        <w:t>se of ACZONE</w:t>
      </w:r>
      <w:proofErr w:type="gramStart"/>
      <w:r w:rsidR="00135D1F" w:rsidRPr="00135D1F">
        <w:rPr>
          <w:rFonts w:ascii="Arial" w:hAnsi="Arial"/>
          <w:sz w:val="22"/>
          <w:vertAlign w:val="superscript"/>
        </w:rPr>
        <w:t>®</w:t>
      </w:r>
      <w:r w:rsidR="00135D1F" w:rsidRPr="00135D1F">
        <w:rPr>
          <w:rFonts w:ascii="Arial" w:hAnsi="Arial"/>
          <w:sz w:val="22"/>
        </w:rPr>
        <w:t xml:space="preserve">  7.5</w:t>
      </w:r>
      <w:proofErr w:type="gramEnd"/>
      <w:r w:rsidR="00135D1F" w:rsidRPr="00135D1F">
        <w:rPr>
          <w:rFonts w:ascii="Arial" w:hAnsi="Arial"/>
          <w:sz w:val="22"/>
        </w:rPr>
        <w:t>% w/w</w:t>
      </w:r>
      <w:r w:rsidR="008C4590">
        <w:rPr>
          <w:rFonts w:ascii="Arial" w:hAnsi="Arial"/>
          <w:sz w:val="22"/>
        </w:rPr>
        <w:t xml:space="preserve"> gel</w:t>
      </w:r>
      <w:r w:rsidR="00135D1F" w:rsidRPr="00135D1F">
        <w:rPr>
          <w:rFonts w:ascii="Arial" w:hAnsi="Arial"/>
          <w:sz w:val="22"/>
        </w:rPr>
        <w:t xml:space="preserve"> </w:t>
      </w:r>
      <w:r w:rsidR="00BA28E5">
        <w:rPr>
          <w:rFonts w:ascii="Arial" w:hAnsi="Arial"/>
          <w:sz w:val="22"/>
        </w:rPr>
        <w:t xml:space="preserve">should be avoided </w:t>
      </w:r>
      <w:r w:rsidR="00135D1F" w:rsidRPr="00135D1F">
        <w:rPr>
          <w:rFonts w:ascii="Arial" w:hAnsi="Arial"/>
          <w:sz w:val="22"/>
        </w:rPr>
        <w:t xml:space="preserve">in those patients with congenital or idiopathic </w:t>
      </w:r>
      <w:proofErr w:type="spellStart"/>
      <w:r>
        <w:rPr>
          <w:rFonts w:ascii="Arial" w:hAnsi="Arial"/>
          <w:sz w:val="22"/>
        </w:rPr>
        <w:t>m</w:t>
      </w:r>
      <w:r w:rsidRPr="00240B3A">
        <w:rPr>
          <w:rFonts w:ascii="Arial" w:hAnsi="Arial"/>
          <w:sz w:val="22"/>
        </w:rPr>
        <w:t>ethaemoglobinaemia</w:t>
      </w:r>
      <w:proofErr w:type="spellEnd"/>
      <w:r w:rsidR="00135D1F">
        <w:rPr>
          <w:rFonts w:ascii="Arial" w:hAnsi="Arial"/>
          <w:sz w:val="22"/>
        </w:rPr>
        <w:t>.</w:t>
      </w:r>
    </w:p>
    <w:p w14:paraId="221FF7EA" w14:textId="77777777" w:rsidR="00135D1F" w:rsidRDefault="00135D1F" w:rsidP="00580D58">
      <w:pPr>
        <w:jc w:val="both"/>
        <w:rPr>
          <w:rFonts w:ascii="Arial" w:hAnsi="Arial"/>
          <w:sz w:val="22"/>
        </w:rPr>
      </w:pPr>
    </w:p>
    <w:p w14:paraId="3F76A194" w14:textId="2F8C857D" w:rsidR="00135D1F" w:rsidRPr="00135D1F" w:rsidRDefault="00135D1F" w:rsidP="00135D1F">
      <w:pPr>
        <w:jc w:val="both"/>
        <w:rPr>
          <w:rFonts w:ascii="Arial" w:hAnsi="Arial"/>
          <w:sz w:val="22"/>
        </w:rPr>
      </w:pPr>
      <w:r w:rsidRPr="00135D1F">
        <w:rPr>
          <w:rFonts w:ascii="Arial" w:hAnsi="Arial"/>
          <w:sz w:val="22"/>
        </w:rPr>
        <w:t xml:space="preserve">Signs and symptoms of </w:t>
      </w:r>
      <w:proofErr w:type="spellStart"/>
      <w:r w:rsidR="00240B3A">
        <w:rPr>
          <w:rFonts w:ascii="Arial" w:hAnsi="Arial"/>
          <w:sz w:val="22"/>
        </w:rPr>
        <w:t>m</w:t>
      </w:r>
      <w:r w:rsidR="00240B3A" w:rsidRPr="00240B3A">
        <w:rPr>
          <w:rFonts w:ascii="Arial" w:hAnsi="Arial"/>
          <w:sz w:val="22"/>
        </w:rPr>
        <w:t>ethaemoglobinaemia</w:t>
      </w:r>
      <w:proofErr w:type="spellEnd"/>
      <w:r w:rsidRPr="00135D1F">
        <w:rPr>
          <w:rFonts w:ascii="Arial" w:hAnsi="Arial"/>
          <w:sz w:val="22"/>
        </w:rPr>
        <w:t xml:space="preserve"> may be delayed </w:t>
      </w:r>
      <w:r w:rsidR="00BA28E5">
        <w:rPr>
          <w:rFonts w:ascii="Arial" w:hAnsi="Arial"/>
          <w:sz w:val="22"/>
        </w:rPr>
        <w:t xml:space="preserve">for </w:t>
      </w:r>
      <w:r w:rsidRPr="00135D1F">
        <w:rPr>
          <w:rFonts w:ascii="Arial" w:hAnsi="Arial"/>
          <w:sz w:val="22"/>
        </w:rPr>
        <w:t xml:space="preserve">some hours after exposure. Initial signs and symptoms of </w:t>
      </w:r>
      <w:proofErr w:type="spellStart"/>
      <w:r w:rsidR="00240B3A">
        <w:rPr>
          <w:rFonts w:ascii="Arial" w:hAnsi="Arial"/>
          <w:sz w:val="22"/>
        </w:rPr>
        <w:t>m</w:t>
      </w:r>
      <w:r w:rsidR="00240B3A" w:rsidRPr="00240B3A">
        <w:rPr>
          <w:rFonts w:ascii="Arial" w:hAnsi="Arial"/>
          <w:sz w:val="22"/>
        </w:rPr>
        <w:t>ethaemoglobinaemia</w:t>
      </w:r>
      <w:proofErr w:type="spellEnd"/>
      <w:r w:rsidRPr="00135D1F">
        <w:rPr>
          <w:rFonts w:ascii="Arial" w:hAnsi="Arial"/>
          <w:sz w:val="22"/>
        </w:rPr>
        <w:t xml:space="preserve"> are </w:t>
      </w:r>
      <w:proofErr w:type="spellStart"/>
      <w:r w:rsidR="00BA28E5" w:rsidRPr="00135D1F">
        <w:rPr>
          <w:rFonts w:ascii="Arial" w:hAnsi="Arial"/>
          <w:sz w:val="22"/>
        </w:rPr>
        <w:t>characteri</w:t>
      </w:r>
      <w:r w:rsidR="00BA28E5">
        <w:rPr>
          <w:rFonts w:ascii="Arial" w:hAnsi="Arial"/>
          <w:sz w:val="22"/>
        </w:rPr>
        <w:t>s</w:t>
      </w:r>
      <w:r w:rsidR="00BA28E5" w:rsidRPr="00135D1F">
        <w:rPr>
          <w:rFonts w:ascii="Arial" w:hAnsi="Arial"/>
          <w:sz w:val="22"/>
        </w:rPr>
        <w:t>ed</w:t>
      </w:r>
      <w:proofErr w:type="spellEnd"/>
      <w:r w:rsidR="00BA28E5" w:rsidRPr="00135D1F">
        <w:rPr>
          <w:rFonts w:ascii="Arial" w:hAnsi="Arial"/>
          <w:sz w:val="22"/>
        </w:rPr>
        <w:t xml:space="preserve"> </w:t>
      </w:r>
      <w:r w:rsidRPr="00135D1F">
        <w:rPr>
          <w:rFonts w:ascii="Arial" w:hAnsi="Arial"/>
          <w:sz w:val="22"/>
        </w:rPr>
        <w:t xml:space="preserve">by a slate grey cyanosis seen in, </w:t>
      </w:r>
      <w:r w:rsidR="00BA28E5">
        <w:rPr>
          <w:rFonts w:ascii="Arial" w:hAnsi="Arial"/>
          <w:sz w:val="22"/>
        </w:rPr>
        <w:t>for example</w:t>
      </w:r>
      <w:r w:rsidRPr="00135D1F">
        <w:rPr>
          <w:rFonts w:ascii="Arial" w:hAnsi="Arial"/>
          <w:sz w:val="22"/>
        </w:rPr>
        <w:t xml:space="preserve">, buccal mucous membranes, lips and nail beds. </w:t>
      </w:r>
      <w:r w:rsidR="00BA28E5">
        <w:rPr>
          <w:rFonts w:ascii="Arial" w:hAnsi="Arial"/>
          <w:sz w:val="22"/>
        </w:rPr>
        <w:t>P</w:t>
      </w:r>
      <w:r w:rsidRPr="00135D1F">
        <w:rPr>
          <w:rFonts w:ascii="Arial" w:hAnsi="Arial"/>
          <w:sz w:val="22"/>
        </w:rPr>
        <w:t xml:space="preserve">atients </w:t>
      </w:r>
      <w:r w:rsidR="00BA28E5">
        <w:rPr>
          <w:rFonts w:ascii="Arial" w:hAnsi="Arial"/>
          <w:sz w:val="22"/>
        </w:rPr>
        <w:t xml:space="preserve">should be advised </w:t>
      </w:r>
      <w:r w:rsidRPr="00135D1F">
        <w:rPr>
          <w:rFonts w:ascii="Arial" w:hAnsi="Arial"/>
          <w:sz w:val="22"/>
        </w:rPr>
        <w:t>to discontinue ACZONE</w:t>
      </w:r>
      <w:r w:rsidRPr="00135D1F">
        <w:rPr>
          <w:rFonts w:ascii="Arial" w:hAnsi="Arial"/>
          <w:sz w:val="22"/>
          <w:vertAlign w:val="superscript"/>
        </w:rPr>
        <w:t>®</w:t>
      </w:r>
      <w:r w:rsidRPr="00135D1F">
        <w:rPr>
          <w:rFonts w:ascii="Arial" w:hAnsi="Arial"/>
          <w:sz w:val="22"/>
        </w:rPr>
        <w:t xml:space="preserve"> 7.5% w/w</w:t>
      </w:r>
      <w:r w:rsidR="008C4590">
        <w:rPr>
          <w:rFonts w:ascii="Arial" w:hAnsi="Arial"/>
          <w:sz w:val="22"/>
        </w:rPr>
        <w:t xml:space="preserve"> gel</w:t>
      </w:r>
      <w:r w:rsidRPr="00135D1F">
        <w:rPr>
          <w:rFonts w:ascii="Arial" w:hAnsi="Arial"/>
          <w:sz w:val="22"/>
        </w:rPr>
        <w:t xml:space="preserve"> and seek immediate medical attention in the event of cyanosis.     </w:t>
      </w:r>
    </w:p>
    <w:p w14:paraId="452185E1" w14:textId="77777777" w:rsidR="00135D1F" w:rsidRPr="00135D1F" w:rsidRDefault="00135D1F" w:rsidP="00135D1F">
      <w:pPr>
        <w:jc w:val="both"/>
        <w:rPr>
          <w:rFonts w:ascii="Arial" w:hAnsi="Arial"/>
          <w:sz w:val="22"/>
        </w:rPr>
      </w:pPr>
    </w:p>
    <w:p w14:paraId="3219DDC8" w14:textId="20A7C127" w:rsidR="00135D1F" w:rsidRPr="00D74B67" w:rsidRDefault="00135D1F" w:rsidP="00135D1F">
      <w:pPr>
        <w:jc w:val="both"/>
        <w:rPr>
          <w:rFonts w:ascii="Arial" w:hAnsi="Arial"/>
          <w:sz w:val="22"/>
        </w:rPr>
      </w:pPr>
      <w:proofErr w:type="spellStart"/>
      <w:r w:rsidRPr="00135D1F">
        <w:rPr>
          <w:rFonts w:ascii="Arial" w:hAnsi="Arial"/>
          <w:sz w:val="22"/>
        </w:rPr>
        <w:t>Dapsone</w:t>
      </w:r>
      <w:proofErr w:type="spellEnd"/>
      <w:r w:rsidRPr="00135D1F">
        <w:rPr>
          <w:rFonts w:ascii="Arial" w:hAnsi="Arial"/>
          <w:sz w:val="22"/>
        </w:rPr>
        <w:t xml:space="preserve"> can cause elevated </w:t>
      </w:r>
      <w:proofErr w:type="spellStart"/>
      <w:r w:rsidRPr="00135D1F">
        <w:rPr>
          <w:rFonts w:ascii="Arial" w:hAnsi="Arial"/>
          <w:sz w:val="22"/>
        </w:rPr>
        <w:t>meth</w:t>
      </w:r>
      <w:r w:rsidR="00240B3A">
        <w:rPr>
          <w:rFonts w:ascii="Arial" w:hAnsi="Arial"/>
          <w:sz w:val="22"/>
        </w:rPr>
        <w:t>a</w:t>
      </w:r>
      <w:r w:rsidRPr="00135D1F">
        <w:rPr>
          <w:rFonts w:ascii="Arial" w:hAnsi="Arial"/>
          <w:sz w:val="22"/>
        </w:rPr>
        <w:t>emoglobin</w:t>
      </w:r>
      <w:proofErr w:type="spellEnd"/>
      <w:r w:rsidRPr="00135D1F">
        <w:rPr>
          <w:rFonts w:ascii="Arial" w:hAnsi="Arial"/>
          <w:sz w:val="22"/>
        </w:rPr>
        <w:t xml:space="preserve"> levels particularly in conjunction with </w:t>
      </w:r>
      <w:proofErr w:type="spellStart"/>
      <w:r w:rsidRPr="00135D1F">
        <w:rPr>
          <w:rFonts w:ascii="Arial" w:hAnsi="Arial"/>
          <w:sz w:val="22"/>
        </w:rPr>
        <w:t>meth</w:t>
      </w:r>
      <w:r w:rsidR="00240B3A">
        <w:rPr>
          <w:rFonts w:ascii="Arial" w:hAnsi="Arial"/>
          <w:sz w:val="22"/>
        </w:rPr>
        <w:t>a</w:t>
      </w:r>
      <w:r w:rsidRPr="00135D1F">
        <w:rPr>
          <w:rFonts w:ascii="Arial" w:hAnsi="Arial"/>
          <w:sz w:val="22"/>
        </w:rPr>
        <w:t>emoglobin</w:t>
      </w:r>
      <w:proofErr w:type="spellEnd"/>
      <w:r w:rsidRPr="00135D1F">
        <w:rPr>
          <w:rFonts w:ascii="Cambria Math" w:hAnsi="Cambria Math" w:cs="Cambria Math"/>
          <w:sz w:val="22"/>
        </w:rPr>
        <w:t>‐</w:t>
      </w:r>
      <w:r w:rsidRPr="00135D1F">
        <w:rPr>
          <w:rFonts w:ascii="Arial" w:hAnsi="Arial"/>
          <w:sz w:val="22"/>
        </w:rPr>
        <w:t>inducing agents.</w:t>
      </w:r>
    </w:p>
    <w:p w14:paraId="45E9FDE9" w14:textId="77777777" w:rsidR="00DD22C0" w:rsidRDefault="00DD22C0" w:rsidP="00580D58">
      <w:pPr>
        <w:jc w:val="both"/>
        <w:rPr>
          <w:rFonts w:ascii="Arial" w:hAnsi="Arial"/>
          <w:sz w:val="22"/>
        </w:rPr>
      </w:pPr>
    </w:p>
    <w:p w14:paraId="3CBEAE02" w14:textId="77777777" w:rsidR="00580D58" w:rsidRPr="00580D58" w:rsidRDefault="00580D58" w:rsidP="00580D58">
      <w:pPr>
        <w:jc w:val="both"/>
        <w:rPr>
          <w:rFonts w:ascii="Arial" w:hAnsi="Arial"/>
          <w:i/>
          <w:sz w:val="22"/>
          <w:u w:val="single"/>
        </w:rPr>
      </w:pPr>
      <w:r w:rsidRPr="00580D58">
        <w:rPr>
          <w:rFonts w:ascii="Arial" w:hAnsi="Arial"/>
          <w:i/>
          <w:sz w:val="22"/>
          <w:u w:val="single"/>
        </w:rPr>
        <w:t>Peripheral Neuropathy</w:t>
      </w:r>
    </w:p>
    <w:p w14:paraId="7A265ECF" w14:textId="77777777" w:rsidR="00580D58" w:rsidRPr="00580D58" w:rsidRDefault="00580D58" w:rsidP="00580D58">
      <w:pPr>
        <w:jc w:val="both"/>
        <w:rPr>
          <w:rFonts w:ascii="Arial" w:hAnsi="Arial"/>
          <w:i/>
          <w:sz w:val="22"/>
        </w:rPr>
      </w:pPr>
    </w:p>
    <w:p w14:paraId="2D103478" w14:textId="77777777" w:rsidR="00580D58" w:rsidRDefault="00580D58" w:rsidP="00580D58">
      <w:pPr>
        <w:jc w:val="both"/>
        <w:rPr>
          <w:rFonts w:ascii="Arial" w:hAnsi="Arial"/>
          <w:sz w:val="22"/>
        </w:rPr>
      </w:pPr>
      <w:r w:rsidRPr="00580D58">
        <w:rPr>
          <w:rFonts w:ascii="Arial" w:hAnsi="Arial"/>
          <w:sz w:val="22"/>
        </w:rPr>
        <w:t xml:space="preserve">Peripheral neuropathy (motor loss and muscle weakness) has been reported with oral </w:t>
      </w:r>
      <w:proofErr w:type="spellStart"/>
      <w:r w:rsidRPr="00580D58">
        <w:rPr>
          <w:rFonts w:ascii="Arial" w:hAnsi="Arial"/>
          <w:sz w:val="22"/>
        </w:rPr>
        <w:t>dapsone</w:t>
      </w:r>
      <w:proofErr w:type="spellEnd"/>
      <w:r w:rsidRPr="00580D58">
        <w:rPr>
          <w:rFonts w:ascii="Arial" w:hAnsi="Arial"/>
          <w:sz w:val="22"/>
        </w:rPr>
        <w:t xml:space="preserve"> treatment. No events of peripheral neuropathy were observed in clinical studies with topical </w:t>
      </w:r>
      <w:proofErr w:type="spellStart"/>
      <w:r w:rsidRPr="00580D58">
        <w:rPr>
          <w:rFonts w:ascii="Arial" w:hAnsi="Arial"/>
          <w:sz w:val="22"/>
        </w:rPr>
        <w:t>dapsone</w:t>
      </w:r>
      <w:proofErr w:type="spellEnd"/>
      <w:r w:rsidRPr="00580D58">
        <w:rPr>
          <w:rFonts w:ascii="Arial" w:hAnsi="Arial"/>
          <w:sz w:val="22"/>
        </w:rPr>
        <w:t xml:space="preserve"> treatment.</w:t>
      </w:r>
    </w:p>
    <w:p w14:paraId="48299706" w14:textId="77777777" w:rsidR="004837EE" w:rsidRDefault="004837EE" w:rsidP="00580D58">
      <w:pPr>
        <w:jc w:val="both"/>
        <w:rPr>
          <w:rFonts w:ascii="Arial" w:hAnsi="Arial"/>
          <w:sz w:val="22"/>
        </w:rPr>
      </w:pPr>
    </w:p>
    <w:p w14:paraId="61B9B071" w14:textId="77777777" w:rsidR="00580D58" w:rsidRPr="00BB3A16" w:rsidRDefault="00580D58" w:rsidP="00580D58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B3A16">
        <w:rPr>
          <w:rFonts w:ascii="Arial" w:hAnsi="Arial" w:cs="Arial"/>
          <w:i/>
          <w:sz w:val="22"/>
          <w:szCs w:val="22"/>
          <w:u w:val="single"/>
        </w:rPr>
        <w:t>Skin</w:t>
      </w:r>
    </w:p>
    <w:p w14:paraId="2BB2B884" w14:textId="77777777" w:rsidR="00580D58" w:rsidRPr="00580D58" w:rsidRDefault="00580D58" w:rsidP="00580D58">
      <w:pPr>
        <w:jc w:val="both"/>
        <w:rPr>
          <w:rFonts w:ascii="Arial" w:hAnsi="Arial"/>
          <w:i/>
          <w:sz w:val="22"/>
          <w:u w:val="single"/>
        </w:rPr>
      </w:pPr>
    </w:p>
    <w:p w14:paraId="025D7527" w14:textId="77777777" w:rsidR="00580D58" w:rsidRDefault="00580D58" w:rsidP="00580D58">
      <w:pPr>
        <w:jc w:val="both"/>
        <w:rPr>
          <w:rFonts w:ascii="Arial" w:hAnsi="Arial"/>
          <w:sz w:val="22"/>
        </w:rPr>
      </w:pPr>
      <w:r w:rsidRPr="00580D58">
        <w:rPr>
          <w:rFonts w:ascii="Arial" w:hAnsi="Arial"/>
          <w:sz w:val="22"/>
        </w:rPr>
        <w:t xml:space="preserve">Skin reactions (toxic epidermal necrolysis, erythema </w:t>
      </w:r>
      <w:proofErr w:type="spellStart"/>
      <w:r w:rsidRPr="00580D58">
        <w:rPr>
          <w:rFonts w:ascii="Arial" w:hAnsi="Arial"/>
          <w:sz w:val="22"/>
        </w:rPr>
        <w:t>multiforme</w:t>
      </w:r>
      <w:proofErr w:type="spellEnd"/>
      <w:r w:rsidRPr="00580D58">
        <w:rPr>
          <w:rFonts w:ascii="Arial" w:hAnsi="Arial"/>
          <w:sz w:val="22"/>
        </w:rPr>
        <w:t xml:space="preserve">, </w:t>
      </w:r>
      <w:proofErr w:type="spellStart"/>
      <w:r w:rsidRPr="00580D58">
        <w:rPr>
          <w:rFonts w:ascii="Arial" w:hAnsi="Arial"/>
          <w:sz w:val="22"/>
        </w:rPr>
        <w:t>morbilliform</w:t>
      </w:r>
      <w:proofErr w:type="spellEnd"/>
      <w:r w:rsidRPr="00580D58">
        <w:rPr>
          <w:rFonts w:ascii="Arial" w:hAnsi="Arial"/>
          <w:sz w:val="22"/>
        </w:rPr>
        <w:t xml:space="preserve"> and </w:t>
      </w:r>
      <w:proofErr w:type="spellStart"/>
      <w:r w:rsidRPr="00580D58">
        <w:rPr>
          <w:rFonts w:ascii="Arial" w:hAnsi="Arial"/>
          <w:sz w:val="22"/>
        </w:rPr>
        <w:t>scarlatiniform</w:t>
      </w:r>
      <w:proofErr w:type="spellEnd"/>
      <w:r w:rsidRPr="00580D58">
        <w:rPr>
          <w:rFonts w:ascii="Arial" w:hAnsi="Arial"/>
          <w:sz w:val="22"/>
        </w:rPr>
        <w:t xml:space="preserve"> reactions, bullous and exfoliative dermatitis, erythema </w:t>
      </w:r>
      <w:proofErr w:type="spellStart"/>
      <w:r w:rsidRPr="00580D58">
        <w:rPr>
          <w:rFonts w:ascii="Arial" w:hAnsi="Arial"/>
          <w:sz w:val="22"/>
        </w:rPr>
        <w:t>nodosum</w:t>
      </w:r>
      <w:proofErr w:type="spellEnd"/>
      <w:r w:rsidRPr="00580D58">
        <w:rPr>
          <w:rFonts w:ascii="Arial" w:hAnsi="Arial"/>
          <w:sz w:val="22"/>
        </w:rPr>
        <w:t xml:space="preserve">, and </w:t>
      </w:r>
      <w:proofErr w:type="spellStart"/>
      <w:r w:rsidRPr="00580D58">
        <w:rPr>
          <w:rFonts w:ascii="Arial" w:hAnsi="Arial"/>
          <w:sz w:val="22"/>
        </w:rPr>
        <w:t>urticaria</w:t>
      </w:r>
      <w:proofErr w:type="spellEnd"/>
      <w:r w:rsidRPr="00580D58">
        <w:rPr>
          <w:rFonts w:ascii="Arial" w:hAnsi="Arial"/>
          <w:sz w:val="22"/>
        </w:rPr>
        <w:t xml:space="preserve">) have been reported with oral </w:t>
      </w:r>
      <w:proofErr w:type="spellStart"/>
      <w:r w:rsidRPr="00580D58">
        <w:rPr>
          <w:rFonts w:ascii="Arial" w:hAnsi="Arial"/>
          <w:sz w:val="22"/>
        </w:rPr>
        <w:t>dapsone</w:t>
      </w:r>
      <w:proofErr w:type="spellEnd"/>
      <w:r w:rsidRPr="00580D58">
        <w:rPr>
          <w:rFonts w:ascii="Arial" w:hAnsi="Arial"/>
          <w:sz w:val="22"/>
        </w:rPr>
        <w:t xml:space="preserve"> treatment. With the exception of </w:t>
      </w:r>
      <w:proofErr w:type="spellStart"/>
      <w:r w:rsidRPr="00580D58">
        <w:rPr>
          <w:rFonts w:ascii="Arial" w:hAnsi="Arial"/>
          <w:sz w:val="22"/>
        </w:rPr>
        <w:t>urticaria</w:t>
      </w:r>
      <w:proofErr w:type="spellEnd"/>
      <w:r w:rsidRPr="00580D58">
        <w:rPr>
          <w:rFonts w:ascii="Arial" w:hAnsi="Arial"/>
          <w:sz w:val="22"/>
        </w:rPr>
        <w:t xml:space="preserve">, these types of skin reactions were not observed in clinical studies with topical </w:t>
      </w:r>
      <w:proofErr w:type="spellStart"/>
      <w:r w:rsidRPr="00580D58">
        <w:rPr>
          <w:rFonts w:ascii="Arial" w:hAnsi="Arial"/>
          <w:sz w:val="22"/>
        </w:rPr>
        <w:t>dapsone</w:t>
      </w:r>
      <w:proofErr w:type="spellEnd"/>
      <w:r w:rsidRPr="00580D58">
        <w:rPr>
          <w:rFonts w:ascii="Arial" w:hAnsi="Arial"/>
          <w:sz w:val="22"/>
        </w:rPr>
        <w:t xml:space="preserve"> treatment.</w:t>
      </w:r>
    </w:p>
    <w:p w14:paraId="6AD5860F" w14:textId="77777777" w:rsidR="00DC4536" w:rsidRDefault="00DC4536" w:rsidP="00580D58">
      <w:pPr>
        <w:jc w:val="both"/>
        <w:rPr>
          <w:rFonts w:ascii="Arial" w:hAnsi="Arial"/>
          <w:sz w:val="22"/>
        </w:rPr>
      </w:pPr>
    </w:p>
    <w:p w14:paraId="2DE3C7CA" w14:textId="77777777" w:rsidR="00DC4536" w:rsidRDefault="00DC4536" w:rsidP="00DC4536">
      <w:pPr>
        <w:rPr>
          <w:rFonts w:ascii="Arial" w:hAnsi="Arial"/>
          <w:sz w:val="22"/>
        </w:rPr>
      </w:pPr>
      <w:r w:rsidRPr="00282C1C">
        <w:rPr>
          <w:rFonts w:ascii="Arial" w:hAnsi="Arial"/>
          <w:sz w:val="22"/>
        </w:rPr>
        <w:t>Topical application of ACZONE</w:t>
      </w:r>
      <w:proofErr w:type="gramStart"/>
      <w:r w:rsidRPr="00282C1C">
        <w:rPr>
          <w:rFonts w:ascii="Arial" w:hAnsi="Arial"/>
          <w:sz w:val="22"/>
          <w:vertAlign w:val="superscript"/>
        </w:rPr>
        <w:t>®</w:t>
      </w:r>
      <w:r w:rsidRPr="00282C1C">
        <w:rPr>
          <w:rFonts w:ascii="Arial" w:hAnsi="Arial"/>
          <w:sz w:val="22"/>
        </w:rPr>
        <w:t xml:space="preserve">  7.5</w:t>
      </w:r>
      <w:proofErr w:type="gramEnd"/>
      <w:r w:rsidRPr="00282C1C">
        <w:rPr>
          <w:rFonts w:ascii="Arial" w:hAnsi="Arial"/>
          <w:sz w:val="22"/>
        </w:rPr>
        <w:t>% w/w</w:t>
      </w:r>
      <w:r>
        <w:rPr>
          <w:rFonts w:ascii="Arial" w:hAnsi="Arial"/>
          <w:sz w:val="22"/>
        </w:rPr>
        <w:t xml:space="preserve"> gel</w:t>
      </w:r>
      <w:r w:rsidRPr="00282C1C">
        <w:rPr>
          <w:rFonts w:ascii="Arial" w:hAnsi="Arial"/>
          <w:sz w:val="22"/>
        </w:rPr>
        <w:t xml:space="preserve"> followed by benzoyl peroxide in patients with acne vulgaris may result in a temporary local yellow or orange </w:t>
      </w:r>
      <w:proofErr w:type="spellStart"/>
      <w:r w:rsidRPr="00282C1C">
        <w:rPr>
          <w:rFonts w:ascii="Arial" w:hAnsi="Arial"/>
          <w:sz w:val="22"/>
        </w:rPr>
        <w:t>discolo</w:t>
      </w:r>
      <w:r>
        <w:rPr>
          <w:rFonts w:ascii="Arial" w:hAnsi="Arial"/>
          <w:sz w:val="22"/>
        </w:rPr>
        <w:t>u</w:t>
      </w:r>
      <w:r w:rsidRPr="00282C1C">
        <w:rPr>
          <w:rFonts w:ascii="Arial" w:hAnsi="Arial"/>
          <w:sz w:val="22"/>
        </w:rPr>
        <w:t>ration</w:t>
      </w:r>
      <w:proofErr w:type="spellEnd"/>
      <w:r w:rsidRPr="00282C1C">
        <w:rPr>
          <w:rFonts w:ascii="Arial" w:hAnsi="Arial"/>
          <w:sz w:val="22"/>
        </w:rPr>
        <w:t xml:space="preserve"> of the skin and facial hair.</w:t>
      </w:r>
    </w:p>
    <w:p w14:paraId="1F05826D" w14:textId="77777777" w:rsidR="00A36767" w:rsidRPr="00580D58" w:rsidRDefault="00A36767" w:rsidP="00580D58">
      <w:pPr>
        <w:jc w:val="both"/>
        <w:rPr>
          <w:rFonts w:ascii="Arial" w:hAnsi="Arial"/>
          <w:sz w:val="22"/>
        </w:rPr>
      </w:pPr>
    </w:p>
    <w:p w14:paraId="1A51CBD0" w14:textId="48E1D2D8" w:rsidR="00E14BC7" w:rsidRDefault="00A36767" w:rsidP="00E14BC7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Effects on Fertility: </w:t>
      </w:r>
      <w:r w:rsidR="00E14BC7" w:rsidRPr="00E14BC7">
        <w:rPr>
          <w:rFonts w:ascii="Arial" w:hAnsi="Arial"/>
          <w:sz w:val="22"/>
        </w:rPr>
        <w:t xml:space="preserve">The effects of </w:t>
      </w:r>
      <w:proofErr w:type="spellStart"/>
      <w:r w:rsidR="00E14BC7" w:rsidRPr="00E14BC7">
        <w:rPr>
          <w:rFonts w:ascii="Arial" w:hAnsi="Arial"/>
          <w:sz w:val="22"/>
        </w:rPr>
        <w:t>dapsone</w:t>
      </w:r>
      <w:proofErr w:type="spellEnd"/>
      <w:r w:rsidR="00E14BC7" w:rsidRPr="00E14BC7">
        <w:rPr>
          <w:rFonts w:ascii="Arial" w:hAnsi="Arial"/>
          <w:sz w:val="22"/>
        </w:rPr>
        <w:t xml:space="preserve"> on fertility and general reproductive performance were assessed in male and female rats following oral (gavage) dosing. Sperm motility was decreased in male rats that received 2 mg/kg/day or more, with a reduction in sperm count and density also observed in rats treated with 3 mg/kg/day or more (approximately 16 and 24 times the systemic exposure </w:t>
      </w:r>
      <w:r w:rsidR="00E14BC7" w:rsidRPr="00176638">
        <w:rPr>
          <w:rFonts w:ascii="Arial" w:hAnsi="Arial"/>
          <w:sz w:val="22"/>
        </w:rPr>
        <w:t>observed in humans under maximal topical use conditions</w:t>
      </w:r>
      <w:r w:rsidR="006B5CE2" w:rsidRPr="00176638">
        <w:rPr>
          <w:rFonts w:ascii="Arial" w:hAnsi="Arial"/>
          <w:sz w:val="22"/>
        </w:rPr>
        <w:t xml:space="preserve"> based on AUC comparisons</w:t>
      </w:r>
      <w:r w:rsidR="00E14BC7" w:rsidRPr="00176638">
        <w:rPr>
          <w:rFonts w:ascii="Arial" w:hAnsi="Arial"/>
          <w:sz w:val="22"/>
        </w:rPr>
        <w:t>).</w:t>
      </w:r>
      <w:r w:rsidR="00E14BC7" w:rsidRPr="00E14BC7">
        <w:rPr>
          <w:rFonts w:ascii="Arial" w:hAnsi="Arial"/>
          <w:sz w:val="22"/>
        </w:rPr>
        <w:t xml:space="preserve"> Reductions in the mean numbers of embryo implantations and viable embryos in untreated females mated with males that had been dosed at 12 mg/kg/day or greater were likely due to reduced numbers or effectiveness of sperm, indicating impairment of male fertility (</w:t>
      </w:r>
      <w:r w:rsidR="00FB4F8E" w:rsidRPr="00176638">
        <w:rPr>
          <w:rFonts w:ascii="Arial" w:hAnsi="Arial"/>
          <w:sz w:val="22"/>
        </w:rPr>
        <w:t>approximately 95 times the systemic exposure observed in humans under maximal topical use conditions based on AUC comparisons</w:t>
      </w:r>
      <w:r w:rsidR="00E14BC7" w:rsidRPr="00176638">
        <w:rPr>
          <w:rFonts w:ascii="Arial" w:hAnsi="Arial"/>
          <w:sz w:val="22"/>
        </w:rPr>
        <w:t>).</w:t>
      </w:r>
    </w:p>
    <w:p w14:paraId="593A3999" w14:textId="77777777" w:rsidR="00176638" w:rsidRPr="00176638" w:rsidRDefault="00176638" w:rsidP="00E14BC7">
      <w:pPr>
        <w:jc w:val="both"/>
        <w:rPr>
          <w:rFonts w:ascii="Arial" w:hAnsi="Arial"/>
          <w:sz w:val="22"/>
        </w:rPr>
      </w:pPr>
    </w:p>
    <w:p w14:paraId="5F7D389A" w14:textId="29E20452" w:rsidR="00A36767" w:rsidRPr="00CC31A2" w:rsidRDefault="00E14BC7" w:rsidP="00E14BC7">
      <w:pPr>
        <w:jc w:val="both"/>
        <w:rPr>
          <w:rFonts w:ascii="Arial" w:hAnsi="Arial"/>
          <w:sz w:val="22"/>
        </w:rPr>
      </w:pPr>
      <w:proofErr w:type="spellStart"/>
      <w:r w:rsidRPr="00176638">
        <w:rPr>
          <w:rFonts w:ascii="Arial" w:hAnsi="Arial"/>
          <w:sz w:val="22"/>
        </w:rPr>
        <w:t>Dapsone</w:t>
      </w:r>
      <w:proofErr w:type="spellEnd"/>
      <w:r w:rsidRPr="00176638">
        <w:rPr>
          <w:rFonts w:ascii="Arial" w:hAnsi="Arial"/>
          <w:sz w:val="22"/>
        </w:rPr>
        <w:t xml:space="preserve"> reduced the mean number of corpora </w:t>
      </w:r>
      <w:proofErr w:type="spellStart"/>
      <w:r w:rsidRPr="00176638">
        <w:rPr>
          <w:rFonts w:ascii="Arial" w:hAnsi="Arial"/>
          <w:sz w:val="22"/>
        </w:rPr>
        <w:t>lutea</w:t>
      </w:r>
      <w:proofErr w:type="spellEnd"/>
      <w:r w:rsidRPr="00176638">
        <w:rPr>
          <w:rFonts w:ascii="Arial" w:hAnsi="Arial"/>
          <w:sz w:val="22"/>
        </w:rPr>
        <w:t xml:space="preserve"> and implantations in female rats treated with 30 mg/kg/day or more from 15 days prior to mating and for 17 days thereafter (approximately 900 times the systemic exposure observed in humans</w:t>
      </w:r>
      <w:r w:rsidR="006B5CE2" w:rsidRPr="00176638">
        <w:rPr>
          <w:rFonts w:ascii="Arial" w:hAnsi="Arial"/>
          <w:sz w:val="22"/>
        </w:rPr>
        <w:t xml:space="preserve"> under maximal topical use conditions based on AUC comparisons</w:t>
      </w:r>
      <w:r w:rsidRPr="00176638">
        <w:rPr>
          <w:rFonts w:ascii="Arial" w:hAnsi="Arial"/>
          <w:sz w:val="22"/>
        </w:rPr>
        <w:t>). Maternal toxicity also occurred</w:t>
      </w:r>
      <w:r w:rsidRPr="00E14BC7">
        <w:rPr>
          <w:rFonts w:ascii="Arial" w:hAnsi="Arial"/>
          <w:sz w:val="22"/>
        </w:rPr>
        <w:t xml:space="preserve"> at these dose levels. Doses of 12 mg/kg/day did not affect the number of corpora </w:t>
      </w:r>
      <w:proofErr w:type="spellStart"/>
      <w:r w:rsidRPr="00E14BC7">
        <w:rPr>
          <w:rFonts w:ascii="Arial" w:hAnsi="Arial"/>
          <w:sz w:val="22"/>
        </w:rPr>
        <w:t>lutea</w:t>
      </w:r>
      <w:proofErr w:type="spellEnd"/>
      <w:r w:rsidRPr="00E14BC7">
        <w:rPr>
          <w:rFonts w:ascii="Arial" w:hAnsi="Arial"/>
          <w:sz w:val="22"/>
        </w:rPr>
        <w:t xml:space="preserve"> or implantations, which was associated with relative systemic exposures approximately 350 times than that expected</w:t>
      </w:r>
      <w:r w:rsidR="009F2C11">
        <w:rPr>
          <w:rFonts w:ascii="Arial" w:hAnsi="Arial"/>
          <w:sz w:val="22"/>
        </w:rPr>
        <w:t xml:space="preserve"> clinically.</w:t>
      </w:r>
      <w:r w:rsidRPr="00E14BC7">
        <w:rPr>
          <w:rFonts w:ascii="Arial" w:hAnsi="Arial"/>
          <w:sz w:val="22"/>
        </w:rPr>
        <w:t xml:space="preserve"> </w:t>
      </w:r>
    </w:p>
    <w:p w14:paraId="5663FA6F" w14:textId="77777777" w:rsidR="00580D58" w:rsidRDefault="00580D58" w:rsidP="00580D58">
      <w:pPr>
        <w:jc w:val="both"/>
        <w:rPr>
          <w:rFonts w:ascii="Arial" w:hAnsi="Arial"/>
          <w:b/>
          <w:sz w:val="22"/>
        </w:rPr>
      </w:pPr>
    </w:p>
    <w:p w14:paraId="18DCABD0" w14:textId="77777777" w:rsidR="00320AB7" w:rsidRDefault="00DD22C0" w:rsidP="00580D58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Use in pregnancy:</w:t>
      </w:r>
      <w:r w:rsidR="005334BF">
        <w:rPr>
          <w:rFonts w:ascii="Arial" w:hAnsi="Arial"/>
          <w:sz w:val="22"/>
        </w:rPr>
        <w:t xml:space="preserve"> Category </w:t>
      </w:r>
      <w:r w:rsidR="00C73328">
        <w:rPr>
          <w:rFonts w:ascii="Arial" w:hAnsi="Arial"/>
          <w:sz w:val="22"/>
        </w:rPr>
        <w:t>B3</w:t>
      </w:r>
      <w:r>
        <w:rPr>
          <w:rFonts w:ascii="Arial" w:hAnsi="Arial"/>
          <w:sz w:val="22"/>
        </w:rPr>
        <w:t xml:space="preserve">. </w:t>
      </w:r>
    </w:p>
    <w:p w14:paraId="548B670A" w14:textId="74759790" w:rsidR="00DD22C0" w:rsidRDefault="00320AB7" w:rsidP="00580D58">
      <w:pPr>
        <w:jc w:val="both"/>
        <w:rPr>
          <w:rFonts w:ascii="Arial" w:hAnsi="Arial"/>
          <w:sz w:val="22"/>
        </w:rPr>
      </w:pPr>
      <w:r w:rsidRPr="00320AB7">
        <w:rPr>
          <w:rFonts w:ascii="Arial" w:hAnsi="Arial"/>
          <w:sz w:val="22"/>
        </w:rPr>
        <w:t>Use in pregnancy is not recommended</w:t>
      </w:r>
    </w:p>
    <w:p w14:paraId="721738F9" w14:textId="77777777" w:rsidR="00320AB7" w:rsidRDefault="00320AB7" w:rsidP="00580D58">
      <w:pPr>
        <w:jc w:val="both"/>
        <w:rPr>
          <w:rFonts w:ascii="Arial" w:hAnsi="Arial"/>
          <w:sz w:val="22"/>
        </w:rPr>
      </w:pPr>
    </w:p>
    <w:p w14:paraId="02FCDF00" w14:textId="4007EF34" w:rsidR="00580D58" w:rsidRDefault="00580D58" w:rsidP="00580D58">
      <w:pPr>
        <w:jc w:val="both"/>
        <w:rPr>
          <w:rFonts w:ascii="Arial" w:hAnsi="Arial"/>
          <w:sz w:val="22"/>
        </w:rPr>
      </w:pPr>
      <w:r w:rsidRPr="00580D58">
        <w:rPr>
          <w:rFonts w:ascii="Arial" w:hAnsi="Arial"/>
          <w:sz w:val="22"/>
        </w:rPr>
        <w:t xml:space="preserve">There are no adequate and well controlled studies in pregnant women. </w:t>
      </w:r>
      <w:proofErr w:type="spellStart"/>
      <w:r w:rsidRPr="00580D58">
        <w:rPr>
          <w:rFonts w:ascii="Arial" w:hAnsi="Arial"/>
          <w:sz w:val="22"/>
        </w:rPr>
        <w:t>Dapsone</w:t>
      </w:r>
      <w:proofErr w:type="spellEnd"/>
      <w:r w:rsidRPr="00580D58">
        <w:rPr>
          <w:rFonts w:ascii="Arial" w:hAnsi="Arial"/>
          <w:sz w:val="22"/>
        </w:rPr>
        <w:t xml:space="preserve"> has been shown to have an </w:t>
      </w:r>
      <w:proofErr w:type="spellStart"/>
      <w:r w:rsidRPr="00580D58">
        <w:rPr>
          <w:rFonts w:ascii="Arial" w:hAnsi="Arial"/>
          <w:sz w:val="22"/>
        </w:rPr>
        <w:t>embryocidal</w:t>
      </w:r>
      <w:proofErr w:type="spellEnd"/>
      <w:r w:rsidRPr="00580D58">
        <w:rPr>
          <w:rFonts w:ascii="Arial" w:hAnsi="Arial"/>
          <w:sz w:val="22"/>
        </w:rPr>
        <w:t xml:space="preserve"> effect </w:t>
      </w:r>
      <w:r w:rsidR="00E14BC7" w:rsidRPr="00E14BC7">
        <w:rPr>
          <w:rFonts w:ascii="Arial" w:hAnsi="Arial"/>
          <w:sz w:val="22"/>
        </w:rPr>
        <w:t>(increased early resorptions and decreased live litter size)</w:t>
      </w:r>
      <w:r w:rsidR="00E14BC7">
        <w:rPr>
          <w:rFonts w:ascii="Arial" w:hAnsi="Arial"/>
          <w:sz w:val="22"/>
        </w:rPr>
        <w:t xml:space="preserve"> </w:t>
      </w:r>
      <w:r w:rsidR="00172CB1">
        <w:rPr>
          <w:rFonts w:ascii="Arial" w:hAnsi="Arial"/>
          <w:sz w:val="22"/>
        </w:rPr>
        <w:t xml:space="preserve">when administered orally </w:t>
      </w:r>
      <w:r w:rsidRPr="00580D58">
        <w:rPr>
          <w:rFonts w:ascii="Arial" w:hAnsi="Arial"/>
          <w:sz w:val="22"/>
        </w:rPr>
        <w:t xml:space="preserve">in rats </w:t>
      </w:r>
      <w:r w:rsidR="00172CB1">
        <w:rPr>
          <w:rFonts w:ascii="Arial" w:hAnsi="Arial"/>
          <w:sz w:val="22"/>
        </w:rPr>
        <w:t xml:space="preserve">at 75 mg/kg/day </w:t>
      </w:r>
      <w:r w:rsidRPr="00580D58">
        <w:rPr>
          <w:rFonts w:ascii="Arial" w:hAnsi="Arial"/>
          <w:sz w:val="22"/>
        </w:rPr>
        <w:t xml:space="preserve">and </w:t>
      </w:r>
      <w:r w:rsidR="00172CB1">
        <w:rPr>
          <w:rFonts w:ascii="Arial" w:hAnsi="Arial"/>
          <w:sz w:val="22"/>
        </w:rPr>
        <w:t xml:space="preserve">in </w:t>
      </w:r>
      <w:r w:rsidRPr="00580D58">
        <w:rPr>
          <w:rFonts w:ascii="Arial" w:hAnsi="Arial"/>
          <w:sz w:val="22"/>
        </w:rPr>
        <w:t xml:space="preserve">rabbits </w:t>
      </w:r>
      <w:r w:rsidR="00172CB1">
        <w:rPr>
          <w:rFonts w:ascii="Arial" w:hAnsi="Arial"/>
          <w:sz w:val="22"/>
        </w:rPr>
        <w:t xml:space="preserve">at 150 mg/kg/day </w:t>
      </w:r>
      <w:r w:rsidRPr="00580D58">
        <w:rPr>
          <w:rFonts w:ascii="Arial" w:hAnsi="Arial"/>
          <w:sz w:val="22"/>
        </w:rPr>
        <w:t xml:space="preserve">(approximately </w:t>
      </w:r>
      <w:r w:rsidR="00E14BC7">
        <w:rPr>
          <w:rFonts w:ascii="Arial" w:hAnsi="Arial"/>
          <w:sz w:val="22"/>
        </w:rPr>
        <w:t>1400</w:t>
      </w:r>
      <w:r w:rsidR="00E14BC7" w:rsidRPr="00580D58">
        <w:rPr>
          <w:rFonts w:ascii="Arial" w:hAnsi="Arial"/>
          <w:sz w:val="22"/>
        </w:rPr>
        <w:t xml:space="preserve"> </w:t>
      </w:r>
      <w:r w:rsidRPr="00580D58">
        <w:rPr>
          <w:rFonts w:ascii="Arial" w:hAnsi="Arial"/>
          <w:sz w:val="22"/>
        </w:rPr>
        <w:t xml:space="preserve">and </w:t>
      </w:r>
      <w:r w:rsidR="00E14BC7">
        <w:rPr>
          <w:rFonts w:ascii="Arial" w:hAnsi="Arial"/>
          <w:sz w:val="22"/>
        </w:rPr>
        <w:t>400</w:t>
      </w:r>
      <w:r w:rsidR="00E14BC7" w:rsidRPr="00580D58">
        <w:rPr>
          <w:rFonts w:ascii="Arial" w:hAnsi="Arial"/>
          <w:sz w:val="22"/>
        </w:rPr>
        <w:t xml:space="preserve"> </w:t>
      </w:r>
      <w:r w:rsidRPr="00580D58">
        <w:rPr>
          <w:rFonts w:ascii="Arial" w:hAnsi="Arial"/>
          <w:sz w:val="22"/>
        </w:rPr>
        <w:t>times the systemic exposure observed in human</w:t>
      </w:r>
      <w:r w:rsidR="0008157F">
        <w:rPr>
          <w:rFonts w:ascii="Arial" w:hAnsi="Arial"/>
          <w:sz w:val="22"/>
        </w:rPr>
        <w:t>s</w:t>
      </w:r>
      <w:r w:rsidRPr="00580D58">
        <w:rPr>
          <w:rFonts w:ascii="Arial" w:hAnsi="Arial"/>
          <w:sz w:val="22"/>
        </w:rPr>
        <w:t xml:space="preserve"> under maximal topical use conditions, based on AUC comparisons, respectively). These effects were </w:t>
      </w:r>
      <w:r w:rsidR="00517056">
        <w:rPr>
          <w:rFonts w:ascii="Arial" w:hAnsi="Arial"/>
          <w:sz w:val="22"/>
        </w:rPr>
        <w:t>associated with</w:t>
      </w:r>
      <w:r w:rsidRPr="00580D58">
        <w:rPr>
          <w:rFonts w:ascii="Arial" w:hAnsi="Arial"/>
          <w:sz w:val="22"/>
        </w:rPr>
        <w:t xml:space="preserve"> maternal toxicity. </w:t>
      </w:r>
    </w:p>
    <w:p w14:paraId="3A03B9D9" w14:textId="77777777" w:rsidR="00580D58" w:rsidRDefault="00580D58" w:rsidP="00580D58">
      <w:pPr>
        <w:jc w:val="both"/>
        <w:rPr>
          <w:rFonts w:ascii="Arial" w:hAnsi="Arial"/>
          <w:sz w:val="22"/>
        </w:rPr>
      </w:pPr>
    </w:p>
    <w:p w14:paraId="66DF7A90" w14:textId="58AD5BFA" w:rsidR="00E14BC7" w:rsidRDefault="00E14BC7" w:rsidP="00580D58">
      <w:pPr>
        <w:jc w:val="both"/>
        <w:rPr>
          <w:rFonts w:ascii="Arial" w:hAnsi="Arial"/>
          <w:sz w:val="22"/>
        </w:rPr>
      </w:pPr>
      <w:proofErr w:type="spellStart"/>
      <w:r w:rsidRPr="00CC31A2">
        <w:rPr>
          <w:rFonts w:ascii="Arial" w:hAnsi="Arial"/>
          <w:sz w:val="22"/>
        </w:rPr>
        <w:t>Dapsone</w:t>
      </w:r>
      <w:proofErr w:type="spellEnd"/>
      <w:r w:rsidRPr="00CC31A2">
        <w:rPr>
          <w:rFonts w:ascii="Arial" w:hAnsi="Arial"/>
          <w:sz w:val="22"/>
        </w:rPr>
        <w:t xml:space="preserve"> was assessed for effects on perinatal/postnatal pup development and postnatal maternal </w:t>
      </w:r>
      <w:proofErr w:type="spellStart"/>
      <w:r w:rsidRPr="00CC31A2">
        <w:rPr>
          <w:rFonts w:ascii="Arial" w:hAnsi="Arial"/>
          <w:sz w:val="22"/>
        </w:rPr>
        <w:t>behavio</w:t>
      </w:r>
      <w:r>
        <w:rPr>
          <w:rFonts w:ascii="Arial" w:hAnsi="Arial"/>
          <w:sz w:val="22"/>
        </w:rPr>
        <w:t>u</w:t>
      </w:r>
      <w:r w:rsidRPr="00CC31A2">
        <w:rPr>
          <w:rFonts w:ascii="Arial" w:hAnsi="Arial"/>
          <w:sz w:val="22"/>
        </w:rPr>
        <w:t>r</w:t>
      </w:r>
      <w:proofErr w:type="spellEnd"/>
      <w:r w:rsidRPr="00CC31A2">
        <w:rPr>
          <w:rFonts w:ascii="Arial" w:hAnsi="Arial"/>
          <w:sz w:val="22"/>
        </w:rPr>
        <w:t xml:space="preserve"> and function in a study in which </w:t>
      </w:r>
      <w:proofErr w:type="spellStart"/>
      <w:r w:rsidRPr="00CC31A2">
        <w:rPr>
          <w:rFonts w:ascii="Arial" w:hAnsi="Arial"/>
          <w:sz w:val="22"/>
        </w:rPr>
        <w:t>dapsone</w:t>
      </w:r>
      <w:proofErr w:type="spellEnd"/>
      <w:r w:rsidRPr="00CC31A2">
        <w:rPr>
          <w:rFonts w:ascii="Arial" w:hAnsi="Arial"/>
          <w:sz w:val="22"/>
        </w:rPr>
        <w:t xml:space="preserve"> was orally administered to female rats daily beginning</w:t>
      </w:r>
      <w:r w:rsidR="00517056">
        <w:rPr>
          <w:rFonts w:ascii="Arial" w:hAnsi="Arial"/>
          <w:sz w:val="22"/>
        </w:rPr>
        <w:t xml:space="preserve"> </w:t>
      </w:r>
      <w:r w:rsidR="00517056" w:rsidRPr="00176638">
        <w:rPr>
          <w:rFonts w:ascii="Arial" w:hAnsi="Arial"/>
          <w:sz w:val="22"/>
        </w:rPr>
        <w:t>around the time of implantation</w:t>
      </w:r>
      <w:r w:rsidRPr="00CC31A2">
        <w:rPr>
          <w:rFonts w:ascii="Arial" w:hAnsi="Arial"/>
          <w:sz w:val="22"/>
        </w:rPr>
        <w:t xml:space="preserve"> and continuing </w:t>
      </w:r>
      <w:r w:rsidR="00517056" w:rsidRPr="00176638">
        <w:rPr>
          <w:rFonts w:ascii="Arial" w:hAnsi="Arial"/>
          <w:sz w:val="22"/>
        </w:rPr>
        <w:t>throughout lactation</w:t>
      </w:r>
      <w:r w:rsidR="00176638">
        <w:rPr>
          <w:rFonts w:ascii="Arial" w:hAnsi="Arial"/>
          <w:sz w:val="22"/>
        </w:rPr>
        <w:t xml:space="preserve">. </w:t>
      </w:r>
      <w:r w:rsidRPr="00CC31A2">
        <w:rPr>
          <w:rFonts w:ascii="Arial" w:hAnsi="Arial"/>
          <w:sz w:val="22"/>
        </w:rPr>
        <w:t>Maternal toxicity (decreased body weight and food consumption) and developmental effects (increase in stillborn pups and decreased pup weight</w:t>
      </w:r>
      <w:r w:rsidR="00517056">
        <w:rPr>
          <w:rFonts w:ascii="Arial" w:hAnsi="Arial"/>
          <w:sz w:val="22"/>
        </w:rPr>
        <w:t xml:space="preserve"> </w:t>
      </w:r>
      <w:r w:rsidR="00517056" w:rsidRPr="00176638">
        <w:rPr>
          <w:rFonts w:ascii="Arial" w:hAnsi="Arial"/>
          <w:sz w:val="22"/>
        </w:rPr>
        <w:t>and growth during lactation</w:t>
      </w:r>
      <w:r w:rsidRPr="00CC31A2">
        <w:rPr>
          <w:rFonts w:ascii="Arial" w:hAnsi="Arial"/>
          <w:sz w:val="22"/>
        </w:rPr>
        <w:t xml:space="preserve">) were seen at a </w:t>
      </w:r>
      <w:proofErr w:type="spellStart"/>
      <w:r w:rsidRPr="00CC31A2">
        <w:rPr>
          <w:rFonts w:ascii="Arial" w:hAnsi="Arial"/>
          <w:sz w:val="22"/>
        </w:rPr>
        <w:t>dapsone</w:t>
      </w:r>
      <w:proofErr w:type="spellEnd"/>
      <w:r w:rsidRPr="00CC31A2">
        <w:rPr>
          <w:rFonts w:ascii="Arial" w:hAnsi="Arial"/>
          <w:sz w:val="22"/>
        </w:rPr>
        <w:t xml:space="preserve"> dose of 30 mg/kg/day (approximately </w:t>
      </w:r>
      <w:r w:rsidR="00517056" w:rsidRPr="00176638">
        <w:rPr>
          <w:rFonts w:ascii="Arial" w:hAnsi="Arial"/>
          <w:sz w:val="22"/>
        </w:rPr>
        <w:t>900</w:t>
      </w:r>
      <w:r w:rsidRPr="00CC31A2">
        <w:rPr>
          <w:rFonts w:ascii="Arial" w:hAnsi="Arial"/>
          <w:sz w:val="22"/>
        </w:rPr>
        <w:t xml:space="preserve"> times the systemic exposure observed in huma</w:t>
      </w:r>
      <w:r w:rsidRPr="007B44AC">
        <w:rPr>
          <w:rFonts w:ascii="Arial" w:hAnsi="Arial"/>
          <w:sz w:val="22"/>
        </w:rPr>
        <w:t>n</w:t>
      </w:r>
      <w:r w:rsidR="00517056" w:rsidRPr="007B44AC">
        <w:rPr>
          <w:rFonts w:ascii="Arial" w:hAnsi="Arial"/>
          <w:sz w:val="22"/>
        </w:rPr>
        <w:t>s</w:t>
      </w:r>
      <w:r w:rsidRPr="00CC31A2">
        <w:rPr>
          <w:rFonts w:ascii="Arial" w:hAnsi="Arial"/>
          <w:sz w:val="22"/>
        </w:rPr>
        <w:t xml:space="preserve"> under maximal topical use conditions, based on AUC comparisons). </w:t>
      </w:r>
      <w:r w:rsidR="008D72E1" w:rsidRPr="00176638">
        <w:rPr>
          <w:rFonts w:ascii="Arial" w:hAnsi="Arial"/>
          <w:sz w:val="22"/>
        </w:rPr>
        <w:t xml:space="preserve">In addition, oral dosing with the excipient diethylene glycol </w:t>
      </w:r>
      <w:proofErr w:type="spellStart"/>
      <w:r w:rsidR="008D72E1" w:rsidRPr="00176638">
        <w:rPr>
          <w:rFonts w:ascii="Arial" w:hAnsi="Arial"/>
          <w:sz w:val="22"/>
        </w:rPr>
        <w:t>monoethyl</w:t>
      </w:r>
      <w:proofErr w:type="spellEnd"/>
      <w:r w:rsidR="008D72E1" w:rsidRPr="00176638">
        <w:rPr>
          <w:rFonts w:ascii="Arial" w:hAnsi="Arial"/>
          <w:sz w:val="22"/>
        </w:rPr>
        <w:t xml:space="preserve"> ether (DGME) alone also increased the incidence of stillbirths in rats at a dose estimated to be only 2 times that given clinically based on body surface area</w:t>
      </w:r>
      <w:r w:rsidR="008D72E1" w:rsidRPr="008D72E1">
        <w:rPr>
          <w:rFonts w:ascii="Arial" w:hAnsi="Arial"/>
          <w:sz w:val="22"/>
        </w:rPr>
        <w:t>.</w:t>
      </w:r>
      <w:r w:rsidR="008D72E1">
        <w:rPr>
          <w:rFonts w:ascii="Arial" w:hAnsi="Arial"/>
          <w:sz w:val="22"/>
        </w:rPr>
        <w:t xml:space="preserve"> </w:t>
      </w:r>
      <w:r w:rsidRPr="00CC31A2">
        <w:rPr>
          <w:rFonts w:ascii="Arial" w:hAnsi="Arial"/>
          <w:sz w:val="22"/>
        </w:rPr>
        <w:t xml:space="preserve">No effects were observed on the viability, </w:t>
      </w:r>
      <w:r w:rsidR="008D72E1" w:rsidRPr="00176638">
        <w:rPr>
          <w:rFonts w:ascii="Arial" w:hAnsi="Arial"/>
          <w:sz w:val="22"/>
        </w:rPr>
        <w:t>maturation</w:t>
      </w:r>
      <w:r w:rsidRPr="00CC31A2">
        <w:rPr>
          <w:rFonts w:ascii="Arial" w:hAnsi="Arial"/>
          <w:sz w:val="22"/>
        </w:rPr>
        <w:t xml:space="preserve">, </w:t>
      </w:r>
      <w:proofErr w:type="spellStart"/>
      <w:r w:rsidRPr="00CC31A2">
        <w:rPr>
          <w:rFonts w:ascii="Arial" w:hAnsi="Arial"/>
          <w:sz w:val="22"/>
        </w:rPr>
        <w:t>behavio</w:t>
      </w:r>
      <w:r>
        <w:rPr>
          <w:rFonts w:ascii="Arial" w:hAnsi="Arial"/>
          <w:sz w:val="22"/>
        </w:rPr>
        <w:t>u</w:t>
      </w:r>
      <w:r w:rsidRPr="00CC31A2">
        <w:rPr>
          <w:rFonts w:ascii="Arial" w:hAnsi="Arial"/>
          <w:sz w:val="22"/>
        </w:rPr>
        <w:t>r</w:t>
      </w:r>
      <w:proofErr w:type="spellEnd"/>
      <w:r w:rsidRPr="00CC31A2">
        <w:rPr>
          <w:rFonts w:ascii="Arial" w:hAnsi="Arial"/>
          <w:sz w:val="22"/>
        </w:rPr>
        <w:t>, learning ability, or reproductive function of surviving pups</w:t>
      </w:r>
      <w:r w:rsidR="008D72E1" w:rsidRPr="008D72E1">
        <w:t xml:space="preserve"> </w:t>
      </w:r>
      <w:r w:rsidR="008D72E1" w:rsidRPr="00176638">
        <w:rPr>
          <w:rFonts w:ascii="Arial" w:hAnsi="Arial"/>
          <w:sz w:val="22"/>
        </w:rPr>
        <w:t xml:space="preserve">following treatment with </w:t>
      </w:r>
      <w:proofErr w:type="spellStart"/>
      <w:r w:rsidR="008D72E1" w:rsidRPr="00176638">
        <w:rPr>
          <w:rFonts w:ascii="Arial" w:hAnsi="Arial"/>
          <w:sz w:val="22"/>
        </w:rPr>
        <w:t>dapsone</w:t>
      </w:r>
      <w:proofErr w:type="spellEnd"/>
      <w:r w:rsidR="008D72E1" w:rsidRPr="00176638">
        <w:rPr>
          <w:rFonts w:ascii="Arial" w:hAnsi="Arial"/>
          <w:sz w:val="22"/>
        </w:rPr>
        <w:t xml:space="preserve"> or DGME in pregnancy and lactation</w:t>
      </w:r>
      <w:r w:rsidR="008D72E1">
        <w:rPr>
          <w:rFonts w:ascii="Arial" w:hAnsi="Arial"/>
          <w:sz w:val="22"/>
        </w:rPr>
        <w:t>.</w:t>
      </w:r>
      <w:r w:rsidR="008D72E1" w:rsidRPr="008D72E1">
        <w:rPr>
          <w:rFonts w:ascii="Arial" w:hAnsi="Arial"/>
          <w:sz w:val="22"/>
        </w:rPr>
        <w:t xml:space="preserve"> </w:t>
      </w:r>
    </w:p>
    <w:p w14:paraId="09DD98C0" w14:textId="77777777" w:rsidR="00580D58" w:rsidRPr="004D22B5" w:rsidRDefault="00580D58" w:rsidP="00580D58">
      <w:pPr>
        <w:jc w:val="both"/>
        <w:rPr>
          <w:rFonts w:ascii="Arial" w:hAnsi="Arial" w:cs="Arial"/>
          <w:sz w:val="22"/>
          <w:szCs w:val="22"/>
        </w:rPr>
      </w:pPr>
    </w:p>
    <w:p w14:paraId="1539AD68" w14:textId="54574792" w:rsidR="00DD22C0" w:rsidRDefault="00DD22C0" w:rsidP="00580D58">
      <w:pPr>
        <w:jc w:val="both"/>
      </w:pPr>
      <w:r>
        <w:rPr>
          <w:rFonts w:ascii="Arial" w:hAnsi="Arial"/>
          <w:b/>
          <w:sz w:val="22"/>
        </w:rPr>
        <w:t xml:space="preserve">Use in Lactation: </w:t>
      </w:r>
      <w:r w:rsidR="00580D58" w:rsidRPr="00580D58">
        <w:rPr>
          <w:rFonts w:ascii="Arial" w:hAnsi="Arial"/>
          <w:sz w:val="22"/>
        </w:rPr>
        <w:t xml:space="preserve">Although systemic absorption of </w:t>
      </w:r>
      <w:proofErr w:type="spellStart"/>
      <w:r w:rsidR="00580D58" w:rsidRPr="00580D58">
        <w:rPr>
          <w:rFonts w:ascii="Arial" w:hAnsi="Arial"/>
          <w:sz w:val="22"/>
        </w:rPr>
        <w:t>dapsone</w:t>
      </w:r>
      <w:proofErr w:type="spellEnd"/>
      <w:r w:rsidR="00580D58" w:rsidRPr="00580D58">
        <w:rPr>
          <w:rFonts w:ascii="Arial" w:hAnsi="Arial"/>
          <w:sz w:val="22"/>
        </w:rPr>
        <w:t xml:space="preserve"> following </w:t>
      </w:r>
      <w:r w:rsidR="00580D58">
        <w:rPr>
          <w:rFonts w:ascii="Arial" w:hAnsi="Arial"/>
          <w:sz w:val="22"/>
        </w:rPr>
        <w:t>topical application of ACZONE</w:t>
      </w:r>
      <w:r w:rsidR="00580D58" w:rsidRPr="00580D58">
        <w:rPr>
          <w:rFonts w:ascii="Arial" w:hAnsi="Arial"/>
          <w:sz w:val="22"/>
          <w:vertAlign w:val="superscript"/>
        </w:rPr>
        <w:t>®</w:t>
      </w:r>
      <w:r w:rsidR="00580D58">
        <w:rPr>
          <w:rFonts w:ascii="Arial" w:hAnsi="Arial"/>
          <w:sz w:val="22"/>
        </w:rPr>
        <w:t xml:space="preserve"> </w:t>
      </w:r>
      <w:r w:rsidR="00580D58" w:rsidRPr="00580D58">
        <w:rPr>
          <w:rFonts w:ascii="Arial" w:hAnsi="Arial"/>
          <w:sz w:val="22"/>
        </w:rPr>
        <w:t>7.5%</w:t>
      </w:r>
      <w:r w:rsidR="00580D58">
        <w:rPr>
          <w:rFonts w:ascii="Arial" w:hAnsi="Arial"/>
          <w:sz w:val="22"/>
        </w:rPr>
        <w:t xml:space="preserve"> w/w</w:t>
      </w:r>
      <w:r w:rsidR="008C4590">
        <w:rPr>
          <w:rFonts w:ascii="Arial" w:hAnsi="Arial"/>
          <w:sz w:val="22"/>
        </w:rPr>
        <w:t xml:space="preserve"> gel</w:t>
      </w:r>
      <w:r w:rsidR="00580D58" w:rsidRPr="00580D58">
        <w:rPr>
          <w:rFonts w:ascii="Arial" w:hAnsi="Arial"/>
          <w:sz w:val="22"/>
        </w:rPr>
        <w:t xml:space="preserve"> is minimal relative to oral </w:t>
      </w:r>
      <w:proofErr w:type="spellStart"/>
      <w:r w:rsidR="00580D58" w:rsidRPr="00580D58">
        <w:rPr>
          <w:rFonts w:ascii="Arial" w:hAnsi="Arial"/>
          <w:sz w:val="22"/>
        </w:rPr>
        <w:t>dapsone</w:t>
      </w:r>
      <w:proofErr w:type="spellEnd"/>
      <w:r w:rsidR="00580D58" w:rsidRPr="00580D58">
        <w:rPr>
          <w:rFonts w:ascii="Arial" w:hAnsi="Arial"/>
          <w:sz w:val="22"/>
        </w:rPr>
        <w:t xml:space="preserve"> administration, it is known that </w:t>
      </w:r>
      <w:proofErr w:type="spellStart"/>
      <w:r w:rsidR="00580D58" w:rsidRPr="00580D58">
        <w:rPr>
          <w:rFonts w:ascii="Arial" w:hAnsi="Arial"/>
          <w:sz w:val="22"/>
        </w:rPr>
        <w:t>dapsone</w:t>
      </w:r>
      <w:proofErr w:type="spellEnd"/>
      <w:r w:rsidR="00580D58" w:rsidRPr="00580D58">
        <w:rPr>
          <w:rFonts w:ascii="Arial" w:hAnsi="Arial"/>
          <w:sz w:val="22"/>
        </w:rPr>
        <w:t xml:space="preserve"> is excreted in human milk. Because of the potential for oral </w:t>
      </w:r>
      <w:proofErr w:type="spellStart"/>
      <w:r w:rsidR="00580D58" w:rsidRPr="00580D58">
        <w:rPr>
          <w:rFonts w:ascii="Arial" w:hAnsi="Arial"/>
          <w:sz w:val="22"/>
        </w:rPr>
        <w:t>dapsone</w:t>
      </w:r>
      <w:proofErr w:type="spellEnd"/>
      <w:r w:rsidR="00580D58" w:rsidRPr="00580D58">
        <w:rPr>
          <w:rFonts w:ascii="Arial" w:hAnsi="Arial"/>
          <w:sz w:val="22"/>
        </w:rPr>
        <w:t xml:space="preserve"> to cause adverse reactions in nursing infants, a decision should be made whether to discontinue nursing or to discontinue </w:t>
      </w:r>
      <w:r w:rsidR="00881ABC" w:rsidRPr="00881ABC">
        <w:rPr>
          <w:rFonts w:ascii="Arial" w:hAnsi="Arial"/>
          <w:sz w:val="22"/>
        </w:rPr>
        <w:t>ACZONE</w:t>
      </w:r>
      <w:r w:rsidR="00881ABC" w:rsidRPr="00881ABC">
        <w:rPr>
          <w:rFonts w:ascii="Arial" w:hAnsi="Arial"/>
          <w:sz w:val="22"/>
          <w:vertAlign w:val="superscript"/>
        </w:rPr>
        <w:t>®</w:t>
      </w:r>
      <w:r w:rsidR="00881ABC" w:rsidRPr="00881ABC">
        <w:rPr>
          <w:rFonts w:ascii="Arial" w:hAnsi="Arial"/>
          <w:sz w:val="22"/>
        </w:rPr>
        <w:t xml:space="preserve"> 7.5% w/w</w:t>
      </w:r>
      <w:r w:rsidR="000C375C">
        <w:rPr>
          <w:rFonts w:ascii="Arial" w:hAnsi="Arial"/>
          <w:sz w:val="22"/>
        </w:rPr>
        <w:t xml:space="preserve"> gel</w:t>
      </w:r>
      <w:r w:rsidR="00580D58" w:rsidRPr="00580D58">
        <w:rPr>
          <w:rFonts w:ascii="Arial" w:hAnsi="Arial"/>
          <w:sz w:val="22"/>
        </w:rPr>
        <w:t xml:space="preserve"> taking into account the importance of the drug to the mother.</w:t>
      </w:r>
      <w:r w:rsidR="00424B75" w:rsidRPr="00424B75">
        <w:t xml:space="preserve"> </w:t>
      </w:r>
    </w:p>
    <w:p w14:paraId="24FB2B6B" w14:textId="4C5FCC29" w:rsidR="00CC31A2" w:rsidRDefault="00CC31A2" w:rsidP="00CC31A2">
      <w:pPr>
        <w:jc w:val="both"/>
        <w:rPr>
          <w:rFonts w:ascii="Arial" w:hAnsi="Arial"/>
          <w:sz w:val="22"/>
        </w:rPr>
      </w:pPr>
    </w:p>
    <w:p w14:paraId="24D97264" w14:textId="4F9321AE" w:rsidR="008D72E1" w:rsidRDefault="00A36767" w:rsidP="008D72E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Genotoxicity: </w:t>
      </w:r>
      <w:proofErr w:type="spellStart"/>
      <w:r w:rsidR="008D72E1" w:rsidRPr="00580D58">
        <w:rPr>
          <w:rFonts w:ascii="Arial" w:hAnsi="Arial"/>
          <w:sz w:val="22"/>
        </w:rPr>
        <w:t>Dapsone</w:t>
      </w:r>
      <w:proofErr w:type="spellEnd"/>
      <w:r w:rsidR="008D72E1" w:rsidRPr="00580D58">
        <w:rPr>
          <w:rFonts w:ascii="Arial" w:hAnsi="Arial"/>
          <w:sz w:val="22"/>
        </w:rPr>
        <w:t xml:space="preserve"> was not mutagenic in a bacterial reverse mutation assay (Ames test) using </w:t>
      </w:r>
      <w:r w:rsidR="008D72E1" w:rsidRPr="00BB3A16">
        <w:rPr>
          <w:rFonts w:ascii="Arial" w:hAnsi="Arial"/>
          <w:i/>
          <w:sz w:val="22"/>
        </w:rPr>
        <w:t>S. typhimurium</w:t>
      </w:r>
      <w:r w:rsidR="008D72E1" w:rsidRPr="00580D58">
        <w:rPr>
          <w:rFonts w:ascii="Arial" w:hAnsi="Arial"/>
          <w:sz w:val="22"/>
        </w:rPr>
        <w:t xml:space="preserve"> and </w:t>
      </w:r>
      <w:r w:rsidR="008D72E1" w:rsidRPr="00BB3A16">
        <w:rPr>
          <w:rFonts w:ascii="Arial" w:hAnsi="Arial"/>
          <w:i/>
          <w:sz w:val="22"/>
        </w:rPr>
        <w:t>E. coli</w:t>
      </w:r>
      <w:r w:rsidR="008D72E1" w:rsidRPr="00580D58">
        <w:rPr>
          <w:rFonts w:ascii="Arial" w:hAnsi="Arial"/>
          <w:sz w:val="22"/>
        </w:rPr>
        <w:t xml:space="preserve">, with and without metabolic activation. </w:t>
      </w:r>
      <w:proofErr w:type="spellStart"/>
      <w:r w:rsidR="008D72E1" w:rsidRPr="00580D58">
        <w:rPr>
          <w:rFonts w:ascii="Arial" w:hAnsi="Arial"/>
          <w:sz w:val="22"/>
        </w:rPr>
        <w:t>Dapsone</w:t>
      </w:r>
      <w:proofErr w:type="spellEnd"/>
      <w:r w:rsidR="008D72E1" w:rsidRPr="00580D58">
        <w:rPr>
          <w:rFonts w:ascii="Arial" w:hAnsi="Arial"/>
          <w:sz w:val="22"/>
        </w:rPr>
        <w:t xml:space="preserve"> increased both numerical and structural aberrations in a chromosome aberration assay conducted with Chinese hamster ovary (CHO) cells.</w:t>
      </w:r>
      <w:r w:rsidR="008D72E1" w:rsidRPr="008D72E1">
        <w:t xml:space="preserve"> </w:t>
      </w:r>
      <w:r w:rsidR="008D72E1" w:rsidRPr="008D72E1">
        <w:rPr>
          <w:rFonts w:ascii="Arial" w:hAnsi="Arial"/>
          <w:sz w:val="22"/>
        </w:rPr>
        <w:t xml:space="preserve">Systemic exposure to </w:t>
      </w:r>
      <w:proofErr w:type="spellStart"/>
      <w:r w:rsidR="008D72E1" w:rsidRPr="008D72E1">
        <w:rPr>
          <w:rFonts w:ascii="Arial" w:hAnsi="Arial"/>
          <w:sz w:val="22"/>
        </w:rPr>
        <w:t>dapsone</w:t>
      </w:r>
      <w:proofErr w:type="spellEnd"/>
      <w:r w:rsidR="008D72E1" w:rsidRPr="008D72E1">
        <w:rPr>
          <w:rFonts w:ascii="Arial" w:hAnsi="Arial"/>
          <w:sz w:val="22"/>
        </w:rPr>
        <w:t xml:space="preserve"> did not induce chromosomal aberrations in </w:t>
      </w:r>
      <w:r w:rsidR="008D72E1" w:rsidRPr="001F10FE">
        <w:rPr>
          <w:rFonts w:ascii="Arial" w:hAnsi="Arial"/>
          <w:i/>
          <w:sz w:val="22"/>
        </w:rPr>
        <w:t>in vivo</w:t>
      </w:r>
      <w:r w:rsidR="008D72E1" w:rsidRPr="008D72E1">
        <w:rPr>
          <w:rFonts w:ascii="Arial" w:hAnsi="Arial"/>
          <w:sz w:val="22"/>
        </w:rPr>
        <w:t xml:space="preserve"> micronucleus assays conducted in mice and rats</w:t>
      </w:r>
      <w:r w:rsidR="008D72E1">
        <w:rPr>
          <w:rFonts w:ascii="Arial" w:hAnsi="Arial"/>
          <w:sz w:val="22"/>
        </w:rPr>
        <w:t>.</w:t>
      </w:r>
    </w:p>
    <w:p w14:paraId="492DEDEB" w14:textId="77777777" w:rsidR="00A36767" w:rsidRDefault="00A36767" w:rsidP="00580D58">
      <w:pPr>
        <w:jc w:val="both"/>
        <w:rPr>
          <w:rFonts w:ascii="Arial" w:hAnsi="Arial"/>
          <w:b/>
          <w:sz w:val="22"/>
        </w:rPr>
      </w:pPr>
    </w:p>
    <w:p w14:paraId="7937515F" w14:textId="2B8EA508" w:rsidR="00580D58" w:rsidRPr="00580D58" w:rsidRDefault="00A36767" w:rsidP="00580D58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Carcinogenicity</w:t>
      </w:r>
      <w:r w:rsidR="00DD22C0">
        <w:rPr>
          <w:rFonts w:ascii="Arial" w:hAnsi="Arial"/>
          <w:b/>
          <w:sz w:val="22"/>
        </w:rPr>
        <w:t xml:space="preserve">: </w:t>
      </w:r>
      <w:proofErr w:type="spellStart"/>
      <w:r w:rsidR="00580D58" w:rsidRPr="00580D58">
        <w:rPr>
          <w:rFonts w:ascii="Arial" w:hAnsi="Arial"/>
          <w:sz w:val="22"/>
        </w:rPr>
        <w:t>Dapsone</w:t>
      </w:r>
      <w:proofErr w:type="spellEnd"/>
      <w:r w:rsidR="00580D58" w:rsidRPr="00580D58">
        <w:rPr>
          <w:rFonts w:ascii="Arial" w:hAnsi="Arial"/>
          <w:sz w:val="22"/>
        </w:rPr>
        <w:t xml:space="preserve"> was not carcinogenic to rats when orally administered to females for 92 weeks or males for 100 weeks at dose levels up to 15 mg/kg/day (</w:t>
      </w:r>
      <w:r w:rsidR="008D72E1" w:rsidRPr="008D72E1">
        <w:rPr>
          <w:rFonts w:ascii="Arial" w:hAnsi="Arial"/>
          <w:sz w:val="22"/>
        </w:rPr>
        <w:t>associated with AUC values greater than 460</w:t>
      </w:r>
      <w:r w:rsidR="00580D58" w:rsidRPr="00580D58">
        <w:rPr>
          <w:rFonts w:ascii="Arial" w:hAnsi="Arial"/>
          <w:sz w:val="22"/>
        </w:rPr>
        <w:t xml:space="preserve"> times the systemic exposure observed in human</w:t>
      </w:r>
      <w:r w:rsidR="00A25183">
        <w:rPr>
          <w:rFonts w:ascii="Arial" w:hAnsi="Arial"/>
          <w:sz w:val="22"/>
        </w:rPr>
        <w:t>s</w:t>
      </w:r>
      <w:r w:rsidR="00580D58" w:rsidRPr="00580D58">
        <w:rPr>
          <w:rFonts w:ascii="Arial" w:hAnsi="Arial"/>
          <w:sz w:val="22"/>
        </w:rPr>
        <w:t xml:space="preserve"> under maximal topical use conditions).</w:t>
      </w:r>
      <w:r w:rsidR="00A25183" w:rsidRPr="00A25183">
        <w:t xml:space="preserve"> </w:t>
      </w:r>
      <w:r w:rsidR="00A25183" w:rsidRPr="00A25183">
        <w:rPr>
          <w:rFonts w:ascii="Arial" w:hAnsi="Arial"/>
          <w:sz w:val="22"/>
        </w:rPr>
        <w:t xml:space="preserve">At higher doses, </w:t>
      </w:r>
      <w:proofErr w:type="spellStart"/>
      <w:r w:rsidR="00A25183" w:rsidRPr="00A25183">
        <w:rPr>
          <w:rFonts w:ascii="Arial" w:hAnsi="Arial"/>
          <w:sz w:val="22"/>
        </w:rPr>
        <w:t>dapsone</w:t>
      </w:r>
      <w:proofErr w:type="spellEnd"/>
      <w:r w:rsidR="00A25183" w:rsidRPr="00A25183">
        <w:rPr>
          <w:rFonts w:ascii="Arial" w:hAnsi="Arial"/>
          <w:sz w:val="22"/>
        </w:rPr>
        <w:t xml:space="preserve"> has been reported to induce mesenchymal and thyroid </w:t>
      </w:r>
      <w:proofErr w:type="spellStart"/>
      <w:r w:rsidR="00A25183" w:rsidRPr="00A25183">
        <w:rPr>
          <w:rFonts w:ascii="Arial" w:hAnsi="Arial"/>
          <w:sz w:val="22"/>
        </w:rPr>
        <w:t>tumours</w:t>
      </w:r>
      <w:proofErr w:type="spellEnd"/>
      <w:r w:rsidR="00A25183" w:rsidRPr="00A25183">
        <w:rPr>
          <w:rFonts w:ascii="Arial" w:hAnsi="Arial"/>
          <w:sz w:val="22"/>
        </w:rPr>
        <w:t xml:space="preserve"> in rats.</w:t>
      </w:r>
    </w:p>
    <w:p w14:paraId="3B3C795C" w14:textId="1232EDD9" w:rsidR="00580D58" w:rsidRPr="00580D58" w:rsidRDefault="00580D58" w:rsidP="00580D58">
      <w:pPr>
        <w:jc w:val="both"/>
        <w:rPr>
          <w:rFonts w:ascii="Arial" w:hAnsi="Arial"/>
          <w:sz w:val="22"/>
        </w:rPr>
      </w:pPr>
    </w:p>
    <w:p w14:paraId="1A087FD6" w14:textId="13C5D9E9" w:rsidR="00580D58" w:rsidRDefault="00580D58" w:rsidP="00580D58">
      <w:pPr>
        <w:jc w:val="both"/>
        <w:rPr>
          <w:rFonts w:ascii="Arial" w:hAnsi="Arial"/>
          <w:sz w:val="22"/>
        </w:rPr>
      </w:pPr>
      <w:r w:rsidRPr="00580D58">
        <w:rPr>
          <w:rFonts w:ascii="Arial" w:hAnsi="Arial"/>
          <w:sz w:val="22"/>
        </w:rPr>
        <w:t xml:space="preserve">Topical </w:t>
      </w:r>
      <w:proofErr w:type="spellStart"/>
      <w:r w:rsidRPr="00580D58">
        <w:rPr>
          <w:rFonts w:ascii="Arial" w:hAnsi="Arial"/>
          <w:sz w:val="22"/>
        </w:rPr>
        <w:t>dapsone</w:t>
      </w:r>
      <w:proofErr w:type="spellEnd"/>
      <w:r w:rsidRPr="00580D58">
        <w:rPr>
          <w:rFonts w:ascii="Arial" w:hAnsi="Arial"/>
          <w:sz w:val="22"/>
        </w:rPr>
        <w:t xml:space="preserve"> at 5%</w:t>
      </w:r>
      <w:r w:rsidR="00B20EC7">
        <w:rPr>
          <w:rFonts w:ascii="Arial" w:hAnsi="Arial"/>
          <w:sz w:val="22"/>
        </w:rPr>
        <w:t xml:space="preserve"> w/</w:t>
      </w:r>
      <w:proofErr w:type="gramStart"/>
      <w:r w:rsidR="00B20EC7">
        <w:rPr>
          <w:rFonts w:ascii="Arial" w:hAnsi="Arial"/>
          <w:sz w:val="22"/>
        </w:rPr>
        <w:t>w</w:t>
      </w:r>
      <w:r w:rsidRPr="00580D58">
        <w:rPr>
          <w:rFonts w:ascii="Arial" w:hAnsi="Arial"/>
          <w:sz w:val="22"/>
        </w:rPr>
        <w:t>,</w:t>
      </w:r>
      <w:proofErr w:type="gramEnd"/>
      <w:r w:rsidRPr="00580D58">
        <w:rPr>
          <w:rFonts w:ascii="Arial" w:hAnsi="Arial"/>
          <w:sz w:val="22"/>
        </w:rPr>
        <w:t xml:space="preserve"> did not increase the rate of formation of ultraviolet light-induced skin </w:t>
      </w:r>
      <w:proofErr w:type="spellStart"/>
      <w:r w:rsidRPr="00580D58">
        <w:rPr>
          <w:rFonts w:ascii="Arial" w:hAnsi="Arial"/>
          <w:sz w:val="22"/>
        </w:rPr>
        <w:t>tumo</w:t>
      </w:r>
      <w:r w:rsidR="00917B0D">
        <w:rPr>
          <w:rFonts w:ascii="Arial" w:hAnsi="Arial"/>
          <w:sz w:val="22"/>
        </w:rPr>
        <w:t>u</w:t>
      </w:r>
      <w:r w:rsidRPr="00580D58">
        <w:rPr>
          <w:rFonts w:ascii="Arial" w:hAnsi="Arial"/>
          <w:sz w:val="22"/>
        </w:rPr>
        <w:t>rs</w:t>
      </w:r>
      <w:proofErr w:type="spellEnd"/>
      <w:r w:rsidRPr="00580D58">
        <w:rPr>
          <w:rFonts w:ascii="Arial" w:hAnsi="Arial"/>
          <w:sz w:val="22"/>
        </w:rPr>
        <w:t xml:space="preserve"> when topically applied to hairless mice in a 12-month </w:t>
      </w:r>
      <w:proofErr w:type="spellStart"/>
      <w:r w:rsidRPr="00580D58">
        <w:rPr>
          <w:rFonts w:ascii="Arial" w:hAnsi="Arial"/>
          <w:sz w:val="22"/>
        </w:rPr>
        <w:t>photocarcinogenicity</w:t>
      </w:r>
      <w:proofErr w:type="spellEnd"/>
      <w:r w:rsidRPr="00580D58">
        <w:rPr>
          <w:rFonts w:ascii="Arial" w:hAnsi="Arial"/>
          <w:sz w:val="22"/>
        </w:rPr>
        <w:t xml:space="preserve"> study.</w:t>
      </w:r>
    </w:p>
    <w:p w14:paraId="531CFE2C" w14:textId="77777777" w:rsidR="00580D58" w:rsidRDefault="00580D58">
      <w:pPr>
        <w:rPr>
          <w:rFonts w:ascii="Arial" w:hAnsi="Arial"/>
          <w:sz w:val="22"/>
        </w:rPr>
      </w:pPr>
    </w:p>
    <w:p w14:paraId="1A4FB820" w14:textId="43398DCB" w:rsidR="00DD22C0" w:rsidRDefault="00DD22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b/>
          <w:sz w:val="22"/>
        </w:rPr>
        <w:t>Paediatric</w:t>
      </w:r>
      <w:proofErr w:type="spellEnd"/>
      <w:r>
        <w:rPr>
          <w:rFonts w:ascii="Arial" w:hAnsi="Arial"/>
          <w:b/>
          <w:sz w:val="22"/>
        </w:rPr>
        <w:t xml:space="preserve"> Use</w:t>
      </w:r>
      <w:r>
        <w:rPr>
          <w:rFonts w:ascii="Arial" w:hAnsi="Arial"/>
          <w:sz w:val="22"/>
        </w:rPr>
        <w:t xml:space="preserve">: The safety and efficacy of </w:t>
      </w:r>
      <w:r w:rsidR="00FD2001" w:rsidRPr="00FD2001">
        <w:rPr>
          <w:rFonts w:ascii="Arial" w:hAnsi="Arial"/>
          <w:sz w:val="22"/>
        </w:rPr>
        <w:t>ACZONE</w:t>
      </w:r>
      <w:proofErr w:type="gramStart"/>
      <w:r w:rsidR="00FD2001" w:rsidRPr="00282C1C">
        <w:rPr>
          <w:rFonts w:ascii="Arial" w:hAnsi="Arial"/>
          <w:sz w:val="22"/>
          <w:vertAlign w:val="superscript"/>
        </w:rPr>
        <w:t>®</w:t>
      </w:r>
      <w:r w:rsidR="00FD2001" w:rsidRPr="00FD2001">
        <w:rPr>
          <w:rFonts w:ascii="Arial" w:hAnsi="Arial"/>
          <w:sz w:val="22"/>
        </w:rPr>
        <w:t xml:space="preserve">  7.5</w:t>
      </w:r>
      <w:proofErr w:type="gramEnd"/>
      <w:r w:rsidR="00FD2001" w:rsidRPr="00FD2001">
        <w:rPr>
          <w:rFonts w:ascii="Arial" w:hAnsi="Arial"/>
          <w:sz w:val="22"/>
        </w:rPr>
        <w:t>% w/w</w:t>
      </w:r>
      <w:r w:rsidR="000C375C">
        <w:rPr>
          <w:rFonts w:ascii="Arial" w:hAnsi="Arial"/>
          <w:sz w:val="22"/>
        </w:rPr>
        <w:t xml:space="preserve"> gel</w:t>
      </w:r>
      <w:r w:rsidR="00FD2001" w:rsidRPr="00FD200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have not been established in patients under the age of 12 years.</w:t>
      </w:r>
    </w:p>
    <w:p w14:paraId="7F576ACE" w14:textId="77777777" w:rsidR="00FD2001" w:rsidRDefault="00FD2001">
      <w:pPr>
        <w:rPr>
          <w:rFonts w:ascii="Arial" w:hAnsi="Arial"/>
          <w:sz w:val="22"/>
        </w:rPr>
      </w:pPr>
    </w:p>
    <w:p w14:paraId="57A9501A" w14:textId="12017BD1" w:rsidR="00FD2001" w:rsidRDefault="00FD200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Geriatric Use</w:t>
      </w:r>
      <w:r>
        <w:rPr>
          <w:rFonts w:ascii="Arial" w:hAnsi="Arial"/>
          <w:sz w:val="22"/>
        </w:rPr>
        <w:t xml:space="preserve">: The safety and efficacy of </w:t>
      </w:r>
      <w:r w:rsidRPr="00FD2001">
        <w:rPr>
          <w:rFonts w:ascii="Arial" w:hAnsi="Arial"/>
          <w:sz w:val="22"/>
        </w:rPr>
        <w:t>ACZONE</w:t>
      </w:r>
      <w:proofErr w:type="gramStart"/>
      <w:r w:rsidRPr="00282C1C">
        <w:rPr>
          <w:rFonts w:ascii="Arial" w:hAnsi="Arial"/>
          <w:sz w:val="22"/>
          <w:vertAlign w:val="superscript"/>
        </w:rPr>
        <w:t>®</w:t>
      </w:r>
      <w:r w:rsidRPr="00FD2001">
        <w:rPr>
          <w:rFonts w:ascii="Arial" w:hAnsi="Arial"/>
          <w:sz w:val="22"/>
        </w:rPr>
        <w:t xml:space="preserve">  7.5</w:t>
      </w:r>
      <w:proofErr w:type="gramEnd"/>
      <w:r w:rsidRPr="00FD2001">
        <w:rPr>
          <w:rFonts w:ascii="Arial" w:hAnsi="Arial"/>
          <w:sz w:val="22"/>
        </w:rPr>
        <w:t>% w/w</w:t>
      </w:r>
      <w:r w:rsidR="000C375C">
        <w:rPr>
          <w:rFonts w:ascii="Arial" w:hAnsi="Arial"/>
          <w:sz w:val="22"/>
        </w:rPr>
        <w:t xml:space="preserve"> gel</w:t>
      </w:r>
      <w:r w:rsidRPr="00FD200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have not been established in patients above the age of 65 years.</w:t>
      </w:r>
    </w:p>
    <w:p w14:paraId="1572EB9C" w14:textId="77777777" w:rsidR="00DD22C0" w:rsidRDefault="00DD22C0">
      <w:pPr>
        <w:rPr>
          <w:rFonts w:ascii="Arial" w:hAnsi="Arial"/>
          <w:sz w:val="22"/>
        </w:rPr>
      </w:pPr>
    </w:p>
    <w:p w14:paraId="74C5844E" w14:textId="25FBE083" w:rsidR="00DD22C0" w:rsidRDefault="00DD22C0" w:rsidP="00282C1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>Interactions</w:t>
      </w:r>
      <w:r>
        <w:rPr>
          <w:rFonts w:ascii="Arial" w:hAnsi="Arial"/>
          <w:sz w:val="22"/>
        </w:rPr>
        <w:t xml:space="preserve">: </w:t>
      </w:r>
      <w:r w:rsidR="00282C1C" w:rsidRPr="00282C1C">
        <w:rPr>
          <w:rFonts w:ascii="Arial" w:hAnsi="Arial"/>
          <w:sz w:val="22"/>
        </w:rPr>
        <w:t>Systemic exposure is lower with once daily ACZONE</w:t>
      </w:r>
      <w:proofErr w:type="gramStart"/>
      <w:r w:rsidR="00282C1C" w:rsidRPr="00282C1C">
        <w:rPr>
          <w:rFonts w:ascii="Arial" w:hAnsi="Arial"/>
          <w:sz w:val="22"/>
          <w:vertAlign w:val="superscript"/>
        </w:rPr>
        <w:t>®</w:t>
      </w:r>
      <w:r w:rsidR="00282C1C" w:rsidRPr="00282C1C">
        <w:rPr>
          <w:rFonts w:ascii="Arial" w:hAnsi="Arial"/>
          <w:sz w:val="22"/>
        </w:rPr>
        <w:t xml:space="preserve">  7.5</w:t>
      </w:r>
      <w:proofErr w:type="gramEnd"/>
      <w:r w:rsidR="00282C1C" w:rsidRPr="00282C1C">
        <w:rPr>
          <w:rFonts w:ascii="Arial" w:hAnsi="Arial"/>
          <w:sz w:val="22"/>
        </w:rPr>
        <w:t>% w/w</w:t>
      </w:r>
      <w:r w:rsidR="000C375C">
        <w:rPr>
          <w:rFonts w:ascii="Arial" w:hAnsi="Arial"/>
          <w:sz w:val="22"/>
        </w:rPr>
        <w:t xml:space="preserve"> gel</w:t>
      </w:r>
      <w:r w:rsidR="00282C1C" w:rsidRPr="00282C1C">
        <w:rPr>
          <w:rFonts w:ascii="Arial" w:hAnsi="Arial"/>
          <w:sz w:val="22"/>
        </w:rPr>
        <w:t xml:space="preserve"> than with twice daily </w:t>
      </w:r>
      <w:proofErr w:type="spellStart"/>
      <w:r w:rsidR="00282C1C" w:rsidRPr="00282C1C">
        <w:rPr>
          <w:rFonts w:ascii="Arial" w:hAnsi="Arial"/>
          <w:sz w:val="22"/>
        </w:rPr>
        <w:t>dapsone</w:t>
      </w:r>
      <w:proofErr w:type="spellEnd"/>
      <w:r w:rsidR="00282C1C" w:rsidRPr="00282C1C">
        <w:rPr>
          <w:rFonts w:ascii="Arial" w:hAnsi="Arial"/>
          <w:sz w:val="22"/>
        </w:rPr>
        <w:t xml:space="preserve"> gel, 5%</w:t>
      </w:r>
      <w:r w:rsidR="00BB3A16">
        <w:rPr>
          <w:rFonts w:ascii="Arial" w:hAnsi="Arial"/>
          <w:sz w:val="22"/>
        </w:rPr>
        <w:t xml:space="preserve"> w/w</w:t>
      </w:r>
      <w:r w:rsidR="00282C1C" w:rsidRPr="00282C1C">
        <w:rPr>
          <w:rFonts w:ascii="Arial" w:hAnsi="Arial"/>
          <w:sz w:val="22"/>
        </w:rPr>
        <w:t>. No formal drug-drug interaction studies were conducted with ACZONE</w:t>
      </w:r>
      <w:proofErr w:type="gramStart"/>
      <w:r w:rsidR="00282C1C" w:rsidRPr="00282C1C">
        <w:rPr>
          <w:rFonts w:ascii="Arial" w:hAnsi="Arial"/>
          <w:sz w:val="22"/>
          <w:vertAlign w:val="superscript"/>
        </w:rPr>
        <w:t>®</w:t>
      </w:r>
      <w:r w:rsidR="00282C1C" w:rsidRPr="00282C1C">
        <w:rPr>
          <w:rFonts w:ascii="Arial" w:hAnsi="Arial"/>
          <w:sz w:val="22"/>
        </w:rPr>
        <w:t xml:space="preserve">  7.5</w:t>
      </w:r>
      <w:proofErr w:type="gramEnd"/>
      <w:r w:rsidR="00282C1C" w:rsidRPr="00282C1C">
        <w:rPr>
          <w:rFonts w:ascii="Arial" w:hAnsi="Arial"/>
          <w:sz w:val="22"/>
        </w:rPr>
        <w:t>% w/w</w:t>
      </w:r>
      <w:r w:rsidR="000C375C">
        <w:rPr>
          <w:rFonts w:ascii="Arial" w:hAnsi="Arial"/>
          <w:sz w:val="22"/>
        </w:rPr>
        <w:t xml:space="preserve"> gel.</w:t>
      </w:r>
    </w:p>
    <w:p w14:paraId="58718CDC" w14:textId="77777777" w:rsidR="00DD22C0" w:rsidRDefault="00DD22C0">
      <w:pPr>
        <w:rPr>
          <w:rFonts w:ascii="Arial" w:hAnsi="Arial"/>
          <w:sz w:val="22"/>
        </w:rPr>
      </w:pPr>
    </w:p>
    <w:p w14:paraId="1735BCC0" w14:textId="77777777" w:rsidR="00282C1C" w:rsidRPr="00282C1C" w:rsidRDefault="00282C1C" w:rsidP="00282C1C">
      <w:pPr>
        <w:rPr>
          <w:rFonts w:ascii="Arial" w:hAnsi="Arial"/>
          <w:i/>
          <w:sz w:val="22"/>
          <w:u w:val="single"/>
        </w:rPr>
      </w:pPr>
      <w:r w:rsidRPr="00282C1C">
        <w:rPr>
          <w:rFonts w:ascii="Arial" w:hAnsi="Arial"/>
          <w:i/>
          <w:sz w:val="22"/>
          <w:u w:val="single"/>
        </w:rPr>
        <w:t>Trimethoprim-Sulfamethoxazole</w:t>
      </w:r>
    </w:p>
    <w:p w14:paraId="0396C9A7" w14:textId="1F06E87E" w:rsidR="00282C1C" w:rsidRDefault="00282C1C" w:rsidP="00282C1C">
      <w:pPr>
        <w:rPr>
          <w:rFonts w:ascii="Arial" w:hAnsi="Arial"/>
          <w:sz w:val="22"/>
        </w:rPr>
      </w:pPr>
      <w:r w:rsidRPr="00282C1C">
        <w:rPr>
          <w:rFonts w:ascii="Arial" w:hAnsi="Arial"/>
          <w:sz w:val="22"/>
        </w:rPr>
        <w:t xml:space="preserve">A drug-drug interaction study evaluated the effect of the use of </w:t>
      </w:r>
      <w:proofErr w:type="spellStart"/>
      <w:r w:rsidRPr="00282C1C">
        <w:rPr>
          <w:rFonts w:ascii="Arial" w:hAnsi="Arial"/>
          <w:sz w:val="22"/>
        </w:rPr>
        <w:t>dapsone</w:t>
      </w:r>
      <w:proofErr w:type="spellEnd"/>
      <w:r w:rsidRPr="00282C1C">
        <w:rPr>
          <w:rFonts w:ascii="Arial" w:hAnsi="Arial"/>
          <w:sz w:val="22"/>
        </w:rPr>
        <w:t xml:space="preserve"> gel, 5% </w:t>
      </w:r>
      <w:r w:rsidR="00BB3A16">
        <w:rPr>
          <w:rFonts w:ascii="Arial" w:hAnsi="Arial"/>
          <w:sz w:val="22"/>
        </w:rPr>
        <w:t xml:space="preserve">w/w </w:t>
      </w:r>
      <w:r w:rsidRPr="00282C1C">
        <w:rPr>
          <w:rFonts w:ascii="Arial" w:hAnsi="Arial"/>
          <w:sz w:val="22"/>
        </w:rPr>
        <w:t xml:space="preserve">in combination with double strength (160 mg/800 mg) TMP/SMX. During co-administration, systemic levels of TMP and SMX were essentially unchanged, however, levels of </w:t>
      </w:r>
      <w:proofErr w:type="spellStart"/>
      <w:r w:rsidRPr="00282C1C">
        <w:rPr>
          <w:rFonts w:ascii="Arial" w:hAnsi="Arial"/>
          <w:sz w:val="22"/>
        </w:rPr>
        <w:t>dapsone</w:t>
      </w:r>
      <w:proofErr w:type="spellEnd"/>
      <w:r w:rsidRPr="00282C1C">
        <w:rPr>
          <w:rFonts w:ascii="Arial" w:hAnsi="Arial"/>
          <w:sz w:val="22"/>
        </w:rPr>
        <w:t xml:space="preserve"> and its metabolites increased in the presence of TMP/SMX. The systemic exposure from ACZONE</w:t>
      </w:r>
      <w:proofErr w:type="gramStart"/>
      <w:r w:rsidRPr="00282C1C">
        <w:rPr>
          <w:rFonts w:ascii="Arial" w:hAnsi="Arial"/>
          <w:sz w:val="22"/>
          <w:vertAlign w:val="superscript"/>
        </w:rPr>
        <w:t>®</w:t>
      </w:r>
      <w:r w:rsidRPr="00282C1C">
        <w:rPr>
          <w:rFonts w:ascii="Arial" w:hAnsi="Arial"/>
          <w:sz w:val="22"/>
        </w:rPr>
        <w:t xml:space="preserve">  7.5</w:t>
      </w:r>
      <w:proofErr w:type="gramEnd"/>
      <w:r w:rsidRPr="00282C1C">
        <w:rPr>
          <w:rFonts w:ascii="Arial" w:hAnsi="Arial"/>
          <w:sz w:val="22"/>
        </w:rPr>
        <w:t xml:space="preserve">% w/w </w:t>
      </w:r>
      <w:r w:rsidR="00385DE7">
        <w:rPr>
          <w:rFonts w:ascii="Arial" w:hAnsi="Arial"/>
          <w:sz w:val="22"/>
        </w:rPr>
        <w:t xml:space="preserve">gel </w:t>
      </w:r>
      <w:r w:rsidRPr="00282C1C">
        <w:rPr>
          <w:rFonts w:ascii="Arial" w:hAnsi="Arial"/>
          <w:sz w:val="22"/>
        </w:rPr>
        <w:t>is expected to be about 1% of that from the 100 mg oral dose, even when co-administered with TMP/SMX.</w:t>
      </w:r>
    </w:p>
    <w:p w14:paraId="4AC2AC1D" w14:textId="77777777" w:rsidR="00282C1C" w:rsidRDefault="00282C1C" w:rsidP="00282C1C">
      <w:pPr>
        <w:rPr>
          <w:rFonts w:ascii="Arial" w:hAnsi="Arial"/>
          <w:sz w:val="22"/>
        </w:rPr>
      </w:pPr>
    </w:p>
    <w:p w14:paraId="2951A0F7" w14:textId="77777777" w:rsidR="00282C1C" w:rsidRPr="00282C1C" w:rsidRDefault="00282C1C" w:rsidP="00282C1C">
      <w:pPr>
        <w:rPr>
          <w:rFonts w:ascii="Arial" w:hAnsi="Arial"/>
          <w:i/>
          <w:sz w:val="22"/>
          <w:u w:val="single"/>
        </w:rPr>
      </w:pPr>
      <w:r w:rsidRPr="00282C1C">
        <w:rPr>
          <w:rFonts w:ascii="Arial" w:hAnsi="Arial"/>
          <w:i/>
          <w:sz w:val="22"/>
          <w:u w:val="single"/>
        </w:rPr>
        <w:t>Topical Benzoyl Peroxide</w:t>
      </w:r>
    </w:p>
    <w:p w14:paraId="3B98E1B2" w14:textId="6711EC9C" w:rsidR="00282C1C" w:rsidRDefault="00282C1C" w:rsidP="00282C1C">
      <w:pPr>
        <w:rPr>
          <w:rFonts w:ascii="Arial" w:hAnsi="Arial"/>
          <w:sz w:val="22"/>
        </w:rPr>
      </w:pPr>
      <w:r w:rsidRPr="00282C1C">
        <w:rPr>
          <w:rFonts w:ascii="Arial" w:hAnsi="Arial"/>
          <w:sz w:val="22"/>
        </w:rPr>
        <w:t>Topical application of ACZONE</w:t>
      </w:r>
      <w:proofErr w:type="gramStart"/>
      <w:r w:rsidRPr="00282C1C">
        <w:rPr>
          <w:rFonts w:ascii="Arial" w:hAnsi="Arial"/>
          <w:sz w:val="22"/>
          <w:vertAlign w:val="superscript"/>
        </w:rPr>
        <w:t>®</w:t>
      </w:r>
      <w:r w:rsidRPr="00282C1C">
        <w:rPr>
          <w:rFonts w:ascii="Arial" w:hAnsi="Arial"/>
          <w:sz w:val="22"/>
        </w:rPr>
        <w:t xml:space="preserve">  7.5</w:t>
      </w:r>
      <w:proofErr w:type="gramEnd"/>
      <w:r w:rsidRPr="00282C1C">
        <w:rPr>
          <w:rFonts w:ascii="Arial" w:hAnsi="Arial"/>
          <w:sz w:val="22"/>
        </w:rPr>
        <w:t>% w/w</w:t>
      </w:r>
      <w:r w:rsidR="00385DE7">
        <w:rPr>
          <w:rFonts w:ascii="Arial" w:hAnsi="Arial"/>
          <w:sz w:val="22"/>
        </w:rPr>
        <w:t xml:space="preserve"> gel</w:t>
      </w:r>
      <w:r w:rsidRPr="00282C1C">
        <w:rPr>
          <w:rFonts w:ascii="Arial" w:hAnsi="Arial"/>
          <w:sz w:val="22"/>
        </w:rPr>
        <w:t xml:space="preserve"> followed by benzoyl peroxide in patients with acne vulgaris may result in a temporary local yellow or orange </w:t>
      </w:r>
      <w:proofErr w:type="spellStart"/>
      <w:r w:rsidRPr="00282C1C">
        <w:rPr>
          <w:rFonts w:ascii="Arial" w:hAnsi="Arial"/>
          <w:sz w:val="22"/>
        </w:rPr>
        <w:t>discolo</w:t>
      </w:r>
      <w:r w:rsidR="002C638D">
        <w:rPr>
          <w:rFonts w:ascii="Arial" w:hAnsi="Arial"/>
          <w:sz w:val="22"/>
        </w:rPr>
        <w:t>u</w:t>
      </w:r>
      <w:r w:rsidRPr="00282C1C">
        <w:rPr>
          <w:rFonts w:ascii="Arial" w:hAnsi="Arial"/>
          <w:sz w:val="22"/>
        </w:rPr>
        <w:t>ration</w:t>
      </w:r>
      <w:proofErr w:type="spellEnd"/>
      <w:r w:rsidRPr="00282C1C">
        <w:rPr>
          <w:rFonts w:ascii="Arial" w:hAnsi="Arial"/>
          <w:sz w:val="22"/>
        </w:rPr>
        <w:t xml:space="preserve"> of the skin and facial hair.</w:t>
      </w:r>
    </w:p>
    <w:p w14:paraId="32798957" w14:textId="77777777" w:rsidR="00067EDC" w:rsidRDefault="00067EDC" w:rsidP="00282C1C">
      <w:pPr>
        <w:rPr>
          <w:rFonts w:ascii="Arial" w:hAnsi="Arial"/>
          <w:sz w:val="22"/>
        </w:rPr>
      </w:pPr>
    </w:p>
    <w:p w14:paraId="7B96A585" w14:textId="721451C4" w:rsidR="00067EDC" w:rsidRPr="00067EDC" w:rsidRDefault="00067EDC" w:rsidP="00282C1C">
      <w:pPr>
        <w:rPr>
          <w:rFonts w:ascii="Arial" w:hAnsi="Arial"/>
          <w:i/>
          <w:sz w:val="22"/>
          <w:u w:val="single"/>
        </w:rPr>
      </w:pPr>
      <w:r w:rsidRPr="00067EDC">
        <w:rPr>
          <w:rFonts w:ascii="Arial" w:hAnsi="Arial"/>
          <w:i/>
          <w:sz w:val="22"/>
          <w:u w:val="single"/>
        </w:rPr>
        <w:t xml:space="preserve">Concomitant Use with Drugs that Induce </w:t>
      </w:r>
      <w:proofErr w:type="spellStart"/>
      <w:r w:rsidRPr="00067EDC">
        <w:rPr>
          <w:rFonts w:ascii="Arial" w:hAnsi="Arial"/>
          <w:i/>
          <w:sz w:val="22"/>
          <w:u w:val="single"/>
        </w:rPr>
        <w:t>Meth</w:t>
      </w:r>
      <w:r w:rsidR="00C475ED">
        <w:rPr>
          <w:rFonts w:ascii="Arial" w:hAnsi="Arial"/>
          <w:i/>
          <w:sz w:val="22"/>
          <w:u w:val="single"/>
        </w:rPr>
        <w:t>a</w:t>
      </w:r>
      <w:r w:rsidRPr="00067EDC">
        <w:rPr>
          <w:rFonts w:ascii="Arial" w:hAnsi="Arial"/>
          <w:i/>
          <w:sz w:val="22"/>
          <w:u w:val="single"/>
        </w:rPr>
        <w:t>emoglobin</w:t>
      </w:r>
      <w:r w:rsidR="002C638D">
        <w:rPr>
          <w:rFonts w:ascii="Arial" w:hAnsi="Arial"/>
          <w:i/>
          <w:sz w:val="22"/>
          <w:u w:val="single"/>
        </w:rPr>
        <w:t>a</w:t>
      </w:r>
      <w:r w:rsidRPr="00067EDC">
        <w:rPr>
          <w:rFonts w:ascii="Arial" w:hAnsi="Arial"/>
          <w:i/>
          <w:sz w:val="22"/>
          <w:u w:val="single"/>
        </w:rPr>
        <w:t>emia</w:t>
      </w:r>
      <w:proofErr w:type="spellEnd"/>
    </w:p>
    <w:p w14:paraId="55592496" w14:textId="38EA6D9B" w:rsidR="004F444D" w:rsidRDefault="004F444D" w:rsidP="004F444D">
      <w:pPr>
        <w:rPr>
          <w:rFonts w:ascii="Arial" w:hAnsi="Arial" w:cs="Arial"/>
          <w:i/>
          <w:sz w:val="22"/>
        </w:rPr>
      </w:pPr>
      <w:r w:rsidRPr="004F444D">
        <w:rPr>
          <w:rFonts w:ascii="Arial" w:hAnsi="Arial" w:cs="Arial"/>
          <w:sz w:val="22"/>
        </w:rPr>
        <w:t xml:space="preserve">Concomitant use of </w:t>
      </w:r>
      <w:r w:rsidRPr="00BB3A16">
        <w:rPr>
          <w:rFonts w:ascii="Arial" w:hAnsi="Arial" w:cs="Arial"/>
          <w:sz w:val="22"/>
        </w:rPr>
        <w:t>ACZONE</w:t>
      </w:r>
      <w:r w:rsidRPr="00BB3A16">
        <w:rPr>
          <w:rFonts w:ascii="Arial" w:hAnsi="Arial" w:cs="Arial"/>
          <w:sz w:val="22"/>
          <w:vertAlign w:val="superscript"/>
        </w:rPr>
        <w:t>®</w:t>
      </w:r>
      <w:r w:rsidRPr="004F444D">
        <w:rPr>
          <w:rFonts w:ascii="Arial" w:hAnsi="Arial" w:cs="Arial"/>
          <w:sz w:val="22"/>
        </w:rPr>
        <w:t xml:space="preserve"> </w:t>
      </w:r>
      <w:r w:rsidR="00385DE7" w:rsidRPr="00282C1C">
        <w:rPr>
          <w:rFonts w:ascii="Arial" w:hAnsi="Arial"/>
          <w:sz w:val="22"/>
        </w:rPr>
        <w:t>7.5% w/w</w:t>
      </w:r>
      <w:r w:rsidR="00385DE7">
        <w:rPr>
          <w:rFonts w:ascii="Arial" w:hAnsi="Arial"/>
          <w:sz w:val="22"/>
        </w:rPr>
        <w:t xml:space="preserve"> gel</w:t>
      </w:r>
      <w:r w:rsidR="00385DE7" w:rsidRPr="00282C1C">
        <w:rPr>
          <w:rFonts w:ascii="Arial" w:hAnsi="Arial"/>
          <w:sz w:val="22"/>
        </w:rPr>
        <w:t xml:space="preserve"> </w:t>
      </w:r>
      <w:r w:rsidRPr="004F444D">
        <w:rPr>
          <w:rFonts w:ascii="Arial" w:hAnsi="Arial" w:cs="Arial"/>
          <w:sz w:val="22"/>
        </w:rPr>
        <w:t xml:space="preserve">with drugs that induce </w:t>
      </w:r>
      <w:proofErr w:type="spellStart"/>
      <w:r w:rsidRPr="004F444D">
        <w:rPr>
          <w:rFonts w:ascii="Arial" w:hAnsi="Arial" w:cs="Arial"/>
          <w:sz w:val="22"/>
        </w:rPr>
        <w:t>meth</w:t>
      </w:r>
      <w:r w:rsidR="00240B3A">
        <w:rPr>
          <w:rFonts w:ascii="Arial" w:hAnsi="Arial" w:cs="Arial"/>
          <w:sz w:val="22"/>
        </w:rPr>
        <w:t>a</w:t>
      </w:r>
      <w:r w:rsidRPr="004F444D">
        <w:rPr>
          <w:rFonts w:ascii="Arial" w:hAnsi="Arial" w:cs="Arial"/>
          <w:sz w:val="22"/>
        </w:rPr>
        <w:t>emoglobin</w:t>
      </w:r>
      <w:r>
        <w:rPr>
          <w:rFonts w:ascii="Arial" w:hAnsi="Arial" w:cs="Arial"/>
          <w:sz w:val="22"/>
        </w:rPr>
        <w:t>a</w:t>
      </w:r>
      <w:r w:rsidRPr="004F444D">
        <w:rPr>
          <w:rFonts w:ascii="Arial" w:hAnsi="Arial" w:cs="Arial"/>
          <w:sz w:val="22"/>
        </w:rPr>
        <w:t>emia</w:t>
      </w:r>
      <w:proofErr w:type="spellEnd"/>
      <w:r w:rsidRPr="004F444D">
        <w:rPr>
          <w:rFonts w:ascii="Arial" w:hAnsi="Arial" w:cs="Arial"/>
          <w:sz w:val="22"/>
        </w:rPr>
        <w:t xml:space="preserve"> such as sulfonamides, acetaminophen, acetanilide, aniline dyes, benzocaine, chloroquine, </w:t>
      </w:r>
      <w:proofErr w:type="spellStart"/>
      <w:r w:rsidRPr="004F444D">
        <w:rPr>
          <w:rFonts w:ascii="Arial" w:hAnsi="Arial" w:cs="Arial"/>
          <w:sz w:val="22"/>
        </w:rPr>
        <w:t>dapsone</w:t>
      </w:r>
      <w:proofErr w:type="spellEnd"/>
      <w:r w:rsidRPr="004F444D">
        <w:rPr>
          <w:rFonts w:ascii="Arial" w:hAnsi="Arial" w:cs="Arial"/>
          <w:sz w:val="22"/>
        </w:rPr>
        <w:t xml:space="preserve">, naphthalene, nitrates and nitrites, nitrofurantoin, nitroglycerin, nitroprusside, </w:t>
      </w:r>
      <w:proofErr w:type="spellStart"/>
      <w:r w:rsidRPr="004F444D">
        <w:rPr>
          <w:rFonts w:ascii="Arial" w:hAnsi="Arial" w:cs="Arial"/>
          <w:sz w:val="22"/>
        </w:rPr>
        <w:t>pamaquine</w:t>
      </w:r>
      <w:proofErr w:type="spellEnd"/>
      <w:r w:rsidRPr="004F444D">
        <w:rPr>
          <w:rFonts w:ascii="Arial" w:hAnsi="Arial" w:cs="Arial"/>
          <w:sz w:val="22"/>
        </w:rPr>
        <w:t>, para</w:t>
      </w:r>
      <w:r w:rsidRPr="00DE0D54">
        <w:rPr>
          <w:rFonts w:ascii="Cambria Math" w:hAnsi="Cambria Math" w:cs="Cambria Math"/>
          <w:sz w:val="22"/>
        </w:rPr>
        <w:t>‐</w:t>
      </w:r>
      <w:proofErr w:type="spellStart"/>
      <w:r w:rsidRPr="0045411C">
        <w:rPr>
          <w:rFonts w:ascii="Arial" w:hAnsi="Arial" w:cs="Arial"/>
          <w:sz w:val="22"/>
        </w:rPr>
        <w:t>aminosalicylic</w:t>
      </w:r>
      <w:proofErr w:type="spellEnd"/>
      <w:r w:rsidRPr="0045411C">
        <w:rPr>
          <w:rFonts w:ascii="Arial" w:hAnsi="Arial" w:cs="Arial"/>
          <w:sz w:val="22"/>
        </w:rPr>
        <w:t xml:space="preserve"> acid, phenacetin, pheno</w:t>
      </w:r>
      <w:r>
        <w:rPr>
          <w:rFonts w:ascii="Arial" w:hAnsi="Arial" w:cs="Arial"/>
          <w:sz w:val="22"/>
        </w:rPr>
        <w:t xml:space="preserve">barbital, phenytoin, </w:t>
      </w:r>
      <w:proofErr w:type="spellStart"/>
      <w:r>
        <w:rPr>
          <w:rFonts w:ascii="Arial" w:hAnsi="Arial" w:cs="Arial"/>
          <w:sz w:val="22"/>
        </w:rPr>
        <w:t>primaquine</w:t>
      </w:r>
      <w:proofErr w:type="spellEnd"/>
      <w:r w:rsidRPr="0045411C">
        <w:rPr>
          <w:rFonts w:ascii="Arial" w:hAnsi="Arial" w:cs="Arial"/>
          <w:sz w:val="22"/>
        </w:rPr>
        <w:t xml:space="preserve"> and quinine may increase the risk for developing </w:t>
      </w:r>
      <w:proofErr w:type="spellStart"/>
      <w:r w:rsidRPr="0045411C">
        <w:rPr>
          <w:rFonts w:ascii="Arial" w:hAnsi="Arial" w:cs="Arial"/>
          <w:sz w:val="22"/>
        </w:rPr>
        <w:t>meth</w:t>
      </w:r>
      <w:r w:rsidR="00240B3A">
        <w:rPr>
          <w:rFonts w:ascii="Arial" w:hAnsi="Arial" w:cs="Arial"/>
          <w:sz w:val="22"/>
        </w:rPr>
        <w:t>a</w:t>
      </w:r>
      <w:r w:rsidRPr="0045411C">
        <w:rPr>
          <w:rFonts w:ascii="Arial" w:hAnsi="Arial" w:cs="Arial"/>
          <w:sz w:val="22"/>
        </w:rPr>
        <w:t>emoglobin</w:t>
      </w:r>
      <w:r>
        <w:rPr>
          <w:rFonts w:ascii="Arial" w:hAnsi="Arial" w:cs="Arial"/>
          <w:sz w:val="22"/>
        </w:rPr>
        <w:t>a</w:t>
      </w:r>
      <w:r w:rsidRPr="004F444D">
        <w:rPr>
          <w:rFonts w:ascii="Arial" w:hAnsi="Arial" w:cs="Arial"/>
          <w:sz w:val="22"/>
        </w:rPr>
        <w:t>emia</w:t>
      </w:r>
      <w:proofErr w:type="spellEnd"/>
      <w:r w:rsidRPr="004F444D">
        <w:rPr>
          <w:rFonts w:ascii="Arial" w:hAnsi="Arial" w:cs="Arial"/>
          <w:sz w:val="22"/>
        </w:rPr>
        <w:t xml:space="preserve"> (See Precautions)</w:t>
      </w:r>
      <w:r w:rsidRPr="004F444D">
        <w:rPr>
          <w:rFonts w:ascii="Arial" w:hAnsi="Arial" w:cs="Arial"/>
          <w:i/>
          <w:sz w:val="22"/>
        </w:rPr>
        <w:t>.</w:t>
      </w:r>
    </w:p>
    <w:p w14:paraId="2F665D25" w14:textId="77777777" w:rsidR="00481888" w:rsidRDefault="00481888" w:rsidP="004F444D">
      <w:pPr>
        <w:rPr>
          <w:rFonts w:ascii="Arial" w:hAnsi="Arial" w:cs="Arial"/>
          <w:i/>
          <w:sz w:val="22"/>
        </w:rPr>
      </w:pPr>
    </w:p>
    <w:p w14:paraId="751F75D5" w14:textId="0C94E2AB" w:rsidR="004F444D" w:rsidRDefault="004818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There is currently </w:t>
      </w:r>
      <w:r w:rsidR="00882A38">
        <w:rPr>
          <w:rFonts w:ascii="Arial" w:hAnsi="Arial" w:cs="Arial"/>
          <w:sz w:val="22"/>
        </w:rPr>
        <w:t xml:space="preserve">limited </w:t>
      </w:r>
      <w:r>
        <w:rPr>
          <w:rFonts w:ascii="Arial" w:hAnsi="Arial" w:cs="Arial"/>
          <w:sz w:val="22"/>
        </w:rPr>
        <w:t xml:space="preserve">data on </w:t>
      </w:r>
      <w:r w:rsidRPr="00481888">
        <w:rPr>
          <w:rFonts w:ascii="Arial" w:hAnsi="Arial" w:cs="Arial"/>
          <w:sz w:val="22"/>
        </w:rPr>
        <w:t xml:space="preserve">effects of use with topical antibiotics or topical </w:t>
      </w:r>
      <w:proofErr w:type="spellStart"/>
      <w:r w:rsidRPr="00481888">
        <w:rPr>
          <w:rFonts w:ascii="Arial" w:hAnsi="Arial" w:cs="Arial"/>
          <w:sz w:val="22"/>
        </w:rPr>
        <w:t>retinoids</w:t>
      </w:r>
      <w:proofErr w:type="spellEnd"/>
      <w:r>
        <w:rPr>
          <w:rFonts w:ascii="Arial" w:hAnsi="Arial" w:cs="Arial"/>
          <w:sz w:val="22"/>
        </w:rPr>
        <w:t xml:space="preserve">. </w:t>
      </w:r>
    </w:p>
    <w:p w14:paraId="45EEF444" w14:textId="77777777" w:rsidR="00527811" w:rsidRDefault="00527811">
      <w:pPr>
        <w:rPr>
          <w:rFonts w:ascii="Arial" w:hAnsi="Arial"/>
          <w:sz w:val="22"/>
        </w:rPr>
      </w:pPr>
    </w:p>
    <w:p w14:paraId="12B5B41A" w14:textId="77777777" w:rsidR="00DD22C0" w:rsidRDefault="00DD22C0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Adverse Reactions</w:t>
      </w:r>
    </w:p>
    <w:p w14:paraId="5FCAFB7F" w14:textId="77777777" w:rsidR="00DD22C0" w:rsidRDefault="00DD22C0">
      <w:pPr>
        <w:rPr>
          <w:rFonts w:ascii="Arial" w:hAnsi="Arial"/>
          <w:b/>
          <w:caps/>
          <w:sz w:val="22"/>
        </w:rPr>
      </w:pPr>
    </w:p>
    <w:p w14:paraId="091F1DDE" w14:textId="77777777" w:rsidR="00DD22C0" w:rsidRPr="004D22B5" w:rsidRDefault="00DD22C0">
      <w:pPr>
        <w:rPr>
          <w:rFonts w:ascii="Arial" w:hAnsi="Arial" w:cs="Arial"/>
          <w:b/>
          <w:sz w:val="22"/>
          <w:szCs w:val="22"/>
        </w:rPr>
      </w:pPr>
      <w:r w:rsidRPr="004D22B5">
        <w:rPr>
          <w:rFonts w:ascii="Arial" w:hAnsi="Arial" w:cs="Arial"/>
          <w:b/>
          <w:sz w:val="22"/>
          <w:szCs w:val="22"/>
        </w:rPr>
        <w:t>Pre-marketing clinical trials:</w:t>
      </w:r>
    </w:p>
    <w:p w14:paraId="09C98240" w14:textId="289633E8" w:rsidR="00DF4651" w:rsidRPr="00DF4651" w:rsidRDefault="00DF4651" w:rsidP="00DF4651">
      <w:pPr>
        <w:rPr>
          <w:rFonts w:ascii="Arial" w:hAnsi="Arial" w:cs="Arial"/>
          <w:sz w:val="22"/>
          <w:szCs w:val="22"/>
        </w:rPr>
      </w:pPr>
      <w:r w:rsidRPr="00DF4651">
        <w:rPr>
          <w:rFonts w:ascii="Arial" w:hAnsi="Arial" w:cs="Arial"/>
          <w:sz w:val="22"/>
          <w:szCs w:val="22"/>
        </w:rPr>
        <w:t xml:space="preserve">A total of 2161 patients were treated with </w:t>
      </w:r>
      <w:r w:rsidR="00881ABC" w:rsidRPr="00881ABC">
        <w:rPr>
          <w:rFonts w:ascii="Arial" w:hAnsi="Arial" w:cs="Arial"/>
          <w:sz w:val="22"/>
          <w:szCs w:val="22"/>
        </w:rPr>
        <w:t>ACZONE</w:t>
      </w:r>
      <w:r w:rsidR="00881ABC" w:rsidRPr="00881ABC">
        <w:rPr>
          <w:rFonts w:ascii="Arial" w:hAnsi="Arial" w:cs="Arial"/>
          <w:sz w:val="22"/>
          <w:szCs w:val="22"/>
          <w:vertAlign w:val="superscript"/>
        </w:rPr>
        <w:t>®</w:t>
      </w:r>
      <w:r w:rsidR="00881ABC" w:rsidRPr="00881ABC">
        <w:rPr>
          <w:rFonts w:ascii="Arial" w:hAnsi="Arial" w:cs="Arial"/>
          <w:sz w:val="22"/>
          <w:szCs w:val="22"/>
        </w:rPr>
        <w:t xml:space="preserve"> 7.5% w/w</w:t>
      </w:r>
      <w:r w:rsidR="00385DE7">
        <w:rPr>
          <w:rFonts w:ascii="Arial" w:hAnsi="Arial" w:cs="Arial"/>
          <w:sz w:val="22"/>
          <w:szCs w:val="22"/>
        </w:rPr>
        <w:t xml:space="preserve"> gel</w:t>
      </w:r>
      <w:r w:rsidR="00881ABC">
        <w:rPr>
          <w:rFonts w:ascii="Arial" w:hAnsi="Arial" w:cs="Arial"/>
          <w:sz w:val="22"/>
          <w:szCs w:val="22"/>
        </w:rPr>
        <w:t xml:space="preserve"> </w:t>
      </w:r>
      <w:r w:rsidRPr="00DF4651">
        <w:rPr>
          <w:rFonts w:ascii="Arial" w:hAnsi="Arial" w:cs="Arial"/>
          <w:sz w:val="22"/>
          <w:szCs w:val="22"/>
        </w:rPr>
        <w:t>for 12 weeks in 2 controlled clinical studies. Adverse drug reactions that were reported in at least 1% of patients treated with either ACZONE</w:t>
      </w:r>
      <w:r w:rsidRPr="00DF4651">
        <w:rPr>
          <w:rFonts w:ascii="Arial" w:hAnsi="Arial" w:cs="Arial"/>
          <w:sz w:val="22"/>
          <w:szCs w:val="22"/>
          <w:vertAlign w:val="superscript"/>
        </w:rPr>
        <w:t>®</w:t>
      </w:r>
      <w:r w:rsidRPr="00DF4651">
        <w:rPr>
          <w:rFonts w:ascii="Arial" w:hAnsi="Arial" w:cs="Arial"/>
          <w:sz w:val="22"/>
          <w:szCs w:val="22"/>
        </w:rPr>
        <w:t xml:space="preserve"> 7.5% w/w</w:t>
      </w:r>
      <w:r w:rsidR="00385DE7">
        <w:rPr>
          <w:rFonts w:ascii="Arial" w:hAnsi="Arial" w:cs="Arial"/>
          <w:sz w:val="22"/>
          <w:szCs w:val="22"/>
        </w:rPr>
        <w:t xml:space="preserve"> gel</w:t>
      </w:r>
      <w:r w:rsidRPr="00DF4651">
        <w:rPr>
          <w:rFonts w:ascii="Arial" w:hAnsi="Arial" w:cs="Arial"/>
          <w:sz w:val="22"/>
          <w:szCs w:val="22"/>
        </w:rPr>
        <w:t xml:space="preserve"> or Vehicle appear in Table </w:t>
      </w:r>
      <w:r w:rsidR="00AA438A">
        <w:rPr>
          <w:rFonts w:ascii="Arial" w:hAnsi="Arial" w:cs="Arial"/>
          <w:sz w:val="22"/>
          <w:szCs w:val="22"/>
        </w:rPr>
        <w:t>3</w:t>
      </w:r>
      <w:r w:rsidR="00AA438A" w:rsidRPr="00DF4651">
        <w:rPr>
          <w:rFonts w:ascii="Arial" w:hAnsi="Arial" w:cs="Arial"/>
          <w:sz w:val="22"/>
          <w:szCs w:val="22"/>
        </w:rPr>
        <w:t xml:space="preserve"> </w:t>
      </w:r>
      <w:r w:rsidRPr="00DF4651">
        <w:rPr>
          <w:rFonts w:ascii="Arial" w:hAnsi="Arial" w:cs="Arial"/>
          <w:sz w:val="22"/>
          <w:szCs w:val="22"/>
        </w:rPr>
        <w:t xml:space="preserve">below. </w:t>
      </w:r>
    </w:p>
    <w:p w14:paraId="1296985C" w14:textId="77777777" w:rsidR="00DF4651" w:rsidRPr="00DF4651" w:rsidRDefault="00DF4651" w:rsidP="00DF4651">
      <w:pPr>
        <w:rPr>
          <w:rFonts w:ascii="Arial" w:hAnsi="Arial" w:cs="Arial"/>
          <w:sz w:val="22"/>
          <w:szCs w:val="22"/>
        </w:rPr>
      </w:pPr>
    </w:p>
    <w:p w14:paraId="365FC35C" w14:textId="318D12D8" w:rsidR="00DF4651" w:rsidRDefault="00DF4651" w:rsidP="00DF4651">
      <w:pPr>
        <w:rPr>
          <w:rFonts w:ascii="Arial" w:hAnsi="Arial" w:cs="Arial"/>
          <w:sz w:val="22"/>
          <w:szCs w:val="22"/>
        </w:rPr>
      </w:pPr>
      <w:r w:rsidRPr="00DF4651">
        <w:rPr>
          <w:rFonts w:ascii="Arial" w:hAnsi="Arial" w:cs="Arial"/>
          <w:sz w:val="22"/>
          <w:szCs w:val="22"/>
        </w:rPr>
        <w:t xml:space="preserve">Most adverse drug reactions were mild in severity. One </w:t>
      </w:r>
      <w:r w:rsidR="00AA438A" w:rsidRPr="00DF4651">
        <w:rPr>
          <w:rFonts w:ascii="Arial" w:hAnsi="Arial" w:cs="Arial"/>
          <w:sz w:val="22"/>
          <w:szCs w:val="22"/>
        </w:rPr>
        <w:t xml:space="preserve">patient </w:t>
      </w:r>
      <w:r w:rsidR="00AA438A">
        <w:rPr>
          <w:rFonts w:ascii="Arial" w:hAnsi="Arial" w:cs="Arial"/>
          <w:sz w:val="22"/>
          <w:szCs w:val="22"/>
        </w:rPr>
        <w:t xml:space="preserve">treated with </w:t>
      </w:r>
      <w:r w:rsidRPr="00DF4651">
        <w:rPr>
          <w:rFonts w:ascii="Arial" w:hAnsi="Arial" w:cs="Arial"/>
          <w:sz w:val="22"/>
          <w:szCs w:val="22"/>
        </w:rPr>
        <w:t>ACZONE</w:t>
      </w:r>
      <w:r w:rsidRPr="00DF4651">
        <w:rPr>
          <w:rFonts w:ascii="Arial" w:hAnsi="Arial" w:cs="Arial"/>
          <w:sz w:val="22"/>
          <w:szCs w:val="22"/>
          <w:vertAlign w:val="superscript"/>
        </w:rPr>
        <w:t>®</w:t>
      </w:r>
      <w:r w:rsidRPr="00DF4651">
        <w:rPr>
          <w:rFonts w:ascii="Arial" w:hAnsi="Arial" w:cs="Arial"/>
          <w:sz w:val="22"/>
          <w:szCs w:val="22"/>
        </w:rPr>
        <w:t xml:space="preserve"> 7.5% w/w </w:t>
      </w:r>
      <w:r w:rsidR="00385DE7">
        <w:rPr>
          <w:rFonts w:ascii="Arial" w:hAnsi="Arial" w:cs="Arial"/>
          <w:sz w:val="22"/>
          <w:szCs w:val="22"/>
        </w:rPr>
        <w:t>gel</w:t>
      </w:r>
      <w:r w:rsidR="00BB3A16">
        <w:rPr>
          <w:rFonts w:ascii="Arial" w:hAnsi="Arial" w:cs="Arial"/>
          <w:sz w:val="22"/>
          <w:szCs w:val="22"/>
        </w:rPr>
        <w:t xml:space="preserve"> </w:t>
      </w:r>
      <w:r w:rsidRPr="00DF4651">
        <w:rPr>
          <w:rFonts w:ascii="Arial" w:hAnsi="Arial" w:cs="Arial"/>
          <w:sz w:val="22"/>
          <w:szCs w:val="22"/>
        </w:rPr>
        <w:t xml:space="preserve">discontinued the study due to application site pruritus, which resolved without sequelae. </w:t>
      </w:r>
    </w:p>
    <w:p w14:paraId="12D67445" w14:textId="77777777" w:rsidR="00DF4651" w:rsidRDefault="00DF4651" w:rsidP="00DF4651">
      <w:pPr>
        <w:rPr>
          <w:rFonts w:ascii="Arial" w:hAnsi="Arial" w:cs="Arial"/>
          <w:sz w:val="22"/>
          <w:szCs w:val="22"/>
        </w:rPr>
      </w:pPr>
    </w:p>
    <w:p w14:paraId="4837385C" w14:textId="203DF4EA" w:rsidR="00DF4651" w:rsidRPr="00DF4651" w:rsidRDefault="00DF4651" w:rsidP="006159EE">
      <w:pPr>
        <w:jc w:val="both"/>
        <w:rPr>
          <w:rFonts w:ascii="Arial" w:hAnsi="Arial" w:cs="Arial"/>
          <w:b/>
          <w:sz w:val="22"/>
          <w:szCs w:val="22"/>
        </w:rPr>
      </w:pPr>
      <w:r w:rsidRPr="00DF4651">
        <w:rPr>
          <w:rFonts w:ascii="Arial" w:hAnsi="Arial" w:cs="Arial"/>
          <w:b/>
          <w:sz w:val="22"/>
          <w:szCs w:val="22"/>
        </w:rPr>
        <w:t xml:space="preserve">Table </w:t>
      </w:r>
      <w:r w:rsidR="00AA438A">
        <w:rPr>
          <w:rFonts w:ascii="Arial" w:hAnsi="Arial" w:cs="Arial"/>
          <w:b/>
          <w:sz w:val="22"/>
          <w:szCs w:val="22"/>
        </w:rPr>
        <w:t>3</w:t>
      </w:r>
      <w:r w:rsidR="00AA438A" w:rsidRPr="00DF4651">
        <w:rPr>
          <w:rFonts w:ascii="Arial" w:hAnsi="Arial" w:cs="Arial"/>
          <w:b/>
          <w:sz w:val="22"/>
          <w:szCs w:val="22"/>
        </w:rPr>
        <w:t xml:space="preserve"> </w:t>
      </w:r>
      <w:r w:rsidRPr="00DF4651">
        <w:rPr>
          <w:rFonts w:ascii="Arial" w:hAnsi="Arial" w:cs="Arial"/>
          <w:b/>
          <w:sz w:val="22"/>
          <w:szCs w:val="22"/>
        </w:rPr>
        <w:t>Adverse Drug Reactions Occurring in at Least 1% of Patients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3170"/>
        <w:gridCol w:w="3171"/>
      </w:tblGrid>
      <w:tr w:rsidR="00DF4651" w:rsidRPr="00DF4651" w14:paraId="386E5C6F" w14:textId="77777777" w:rsidTr="00337D21">
        <w:trPr>
          <w:trHeight w:val="573"/>
          <w:jc w:val="center"/>
        </w:trPr>
        <w:tc>
          <w:tcPr>
            <w:tcW w:w="3170" w:type="dxa"/>
          </w:tcPr>
          <w:p w14:paraId="0979EB3B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70" w:type="dxa"/>
          </w:tcPr>
          <w:p w14:paraId="2541E6B0" w14:textId="77777777" w:rsidR="00DF4651" w:rsidRPr="00DF4651" w:rsidRDefault="0029215C" w:rsidP="006159E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15C">
              <w:rPr>
                <w:rFonts w:ascii="Arial" w:hAnsi="Arial" w:cs="Arial"/>
                <w:b/>
                <w:bCs/>
                <w:sz w:val="22"/>
                <w:szCs w:val="22"/>
              </w:rPr>
              <w:t>ACZONE</w:t>
            </w:r>
            <w:r w:rsidRPr="0029215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®</w:t>
            </w:r>
            <w:r w:rsidRPr="002921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gel, 7.5% w/w</w:t>
            </w:r>
            <w:r w:rsidR="00DF4651" w:rsidRPr="00DF465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(N=2161)</w:t>
            </w:r>
            <w:r w:rsidR="00DF4651" w:rsidRPr="00DF465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171" w:type="dxa"/>
          </w:tcPr>
          <w:p w14:paraId="6C3BC6E0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bCs/>
                <w:sz w:val="22"/>
                <w:szCs w:val="22"/>
              </w:rPr>
              <w:t>Vehicle</w:t>
            </w:r>
          </w:p>
          <w:p w14:paraId="4C497084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bCs/>
                <w:sz w:val="22"/>
                <w:szCs w:val="22"/>
              </w:rPr>
              <w:t>(N=2175)</w:t>
            </w:r>
          </w:p>
        </w:tc>
      </w:tr>
      <w:tr w:rsidR="00DF4651" w:rsidRPr="00DF4651" w14:paraId="696818B2" w14:textId="77777777" w:rsidTr="00337D21">
        <w:trPr>
          <w:trHeight w:val="367"/>
          <w:jc w:val="center"/>
        </w:trPr>
        <w:tc>
          <w:tcPr>
            <w:tcW w:w="3170" w:type="dxa"/>
          </w:tcPr>
          <w:p w14:paraId="7CDCD80D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Application Site Dryness</w:t>
            </w:r>
          </w:p>
        </w:tc>
        <w:tc>
          <w:tcPr>
            <w:tcW w:w="3170" w:type="dxa"/>
          </w:tcPr>
          <w:p w14:paraId="3F5960BC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Cs/>
                <w:sz w:val="22"/>
                <w:szCs w:val="22"/>
              </w:rPr>
              <w:t xml:space="preserve">26 (1.2%) </w:t>
            </w:r>
          </w:p>
        </w:tc>
        <w:tc>
          <w:tcPr>
            <w:tcW w:w="3171" w:type="dxa"/>
          </w:tcPr>
          <w:p w14:paraId="62E0E96E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Cs/>
                <w:sz w:val="22"/>
                <w:szCs w:val="22"/>
              </w:rPr>
              <w:t xml:space="preserve">22 (1.0%) </w:t>
            </w:r>
          </w:p>
        </w:tc>
      </w:tr>
      <w:tr w:rsidR="00DF4651" w:rsidRPr="00DF4651" w14:paraId="50F0374A" w14:textId="77777777" w:rsidTr="00337D21">
        <w:trPr>
          <w:trHeight w:val="340"/>
          <w:jc w:val="center"/>
        </w:trPr>
        <w:tc>
          <w:tcPr>
            <w:tcW w:w="3170" w:type="dxa"/>
          </w:tcPr>
          <w:p w14:paraId="5988488B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 xml:space="preserve">Application Site Pruritus </w:t>
            </w:r>
          </w:p>
        </w:tc>
        <w:tc>
          <w:tcPr>
            <w:tcW w:w="3170" w:type="dxa"/>
          </w:tcPr>
          <w:p w14:paraId="5C53DB34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Cs/>
                <w:sz w:val="22"/>
                <w:szCs w:val="22"/>
              </w:rPr>
              <w:t>23 (1.1%)</w:t>
            </w:r>
          </w:p>
        </w:tc>
        <w:tc>
          <w:tcPr>
            <w:tcW w:w="3171" w:type="dxa"/>
          </w:tcPr>
          <w:p w14:paraId="180D4A83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Cs/>
                <w:sz w:val="22"/>
                <w:szCs w:val="22"/>
              </w:rPr>
              <w:t>14 (0.6%)</w:t>
            </w:r>
          </w:p>
        </w:tc>
      </w:tr>
      <w:tr w:rsidR="00DF4651" w:rsidRPr="00DF4651" w14:paraId="711BA0C2" w14:textId="77777777" w:rsidTr="00337D21">
        <w:trPr>
          <w:trHeight w:val="340"/>
          <w:jc w:val="center"/>
        </w:trPr>
        <w:tc>
          <w:tcPr>
            <w:tcW w:w="3170" w:type="dxa"/>
          </w:tcPr>
          <w:p w14:paraId="2A85F876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 xml:space="preserve">Application Site Pain </w:t>
            </w:r>
          </w:p>
        </w:tc>
        <w:tc>
          <w:tcPr>
            <w:tcW w:w="3170" w:type="dxa"/>
          </w:tcPr>
          <w:p w14:paraId="709993E4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Cs/>
                <w:sz w:val="22"/>
                <w:szCs w:val="22"/>
              </w:rPr>
              <w:t xml:space="preserve">11 (0.5%) </w:t>
            </w:r>
          </w:p>
        </w:tc>
        <w:tc>
          <w:tcPr>
            <w:tcW w:w="3171" w:type="dxa"/>
          </w:tcPr>
          <w:p w14:paraId="4ECB878A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4651">
              <w:rPr>
                <w:rFonts w:ascii="Arial" w:hAnsi="Arial" w:cs="Arial"/>
                <w:bCs/>
                <w:sz w:val="22"/>
                <w:szCs w:val="22"/>
              </w:rPr>
              <w:t xml:space="preserve">33 (1.5%) </w:t>
            </w:r>
          </w:p>
        </w:tc>
      </w:tr>
    </w:tbl>
    <w:p w14:paraId="4BF31455" w14:textId="77777777" w:rsidR="00DF4651" w:rsidRPr="00DF4651" w:rsidRDefault="00DF4651" w:rsidP="00DF4651">
      <w:pPr>
        <w:rPr>
          <w:rFonts w:ascii="Arial" w:hAnsi="Arial" w:cs="Arial"/>
          <w:sz w:val="22"/>
          <w:szCs w:val="22"/>
        </w:rPr>
      </w:pPr>
    </w:p>
    <w:p w14:paraId="475FE342" w14:textId="255203C7" w:rsidR="00DF4651" w:rsidRDefault="00DF4651" w:rsidP="006159EE">
      <w:pPr>
        <w:jc w:val="both"/>
        <w:rPr>
          <w:rFonts w:ascii="Arial" w:hAnsi="Arial" w:cs="Arial"/>
          <w:sz w:val="22"/>
          <w:szCs w:val="22"/>
        </w:rPr>
      </w:pPr>
      <w:r w:rsidRPr="00DF4651">
        <w:rPr>
          <w:rFonts w:ascii="Arial" w:hAnsi="Arial" w:cs="Arial"/>
          <w:sz w:val="22"/>
          <w:szCs w:val="22"/>
        </w:rPr>
        <w:t xml:space="preserve">Cutaneous irritation evaluations, presented in Table </w:t>
      </w:r>
      <w:r w:rsidR="00AA438A">
        <w:rPr>
          <w:rFonts w:ascii="Arial" w:hAnsi="Arial" w:cs="Arial"/>
          <w:sz w:val="22"/>
          <w:szCs w:val="22"/>
        </w:rPr>
        <w:t>4</w:t>
      </w:r>
      <w:r w:rsidRPr="00DF4651">
        <w:rPr>
          <w:rFonts w:ascii="Arial" w:hAnsi="Arial" w:cs="Arial"/>
          <w:sz w:val="22"/>
          <w:szCs w:val="22"/>
        </w:rPr>
        <w:t>, were conducted at each study visit in the two clinical studies. Incidences of erythema, scaling, dryness, and stinging/burning were similar before treatment (baseline visit) and at each subsequent study visit.</w:t>
      </w:r>
    </w:p>
    <w:p w14:paraId="449E47C6" w14:textId="77777777" w:rsidR="00DF4651" w:rsidRDefault="00DF4651" w:rsidP="006159EE">
      <w:pPr>
        <w:jc w:val="both"/>
        <w:rPr>
          <w:rFonts w:ascii="Arial" w:hAnsi="Arial" w:cs="Arial"/>
          <w:sz w:val="22"/>
          <w:szCs w:val="22"/>
        </w:rPr>
      </w:pPr>
    </w:p>
    <w:p w14:paraId="073446E2" w14:textId="5667C17C" w:rsidR="00DF4651" w:rsidRPr="00DF4651" w:rsidRDefault="00DF4651" w:rsidP="005F565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F4651">
        <w:rPr>
          <w:rFonts w:ascii="Arial" w:hAnsi="Arial" w:cs="Arial"/>
          <w:b/>
          <w:sz w:val="22"/>
          <w:szCs w:val="22"/>
        </w:rPr>
        <w:lastRenderedPageBreak/>
        <w:t xml:space="preserve">Table </w:t>
      </w:r>
      <w:r w:rsidR="00AA438A">
        <w:rPr>
          <w:rFonts w:ascii="Arial" w:hAnsi="Arial" w:cs="Arial"/>
          <w:b/>
          <w:sz w:val="22"/>
          <w:szCs w:val="22"/>
        </w:rPr>
        <w:t>4</w:t>
      </w:r>
      <w:r w:rsidR="00AA438A" w:rsidRPr="00DF4651">
        <w:rPr>
          <w:rFonts w:ascii="Arial" w:hAnsi="Arial" w:cs="Arial"/>
          <w:b/>
          <w:sz w:val="22"/>
          <w:szCs w:val="22"/>
        </w:rPr>
        <w:t xml:space="preserve"> </w:t>
      </w:r>
      <w:r w:rsidRPr="00DF4651">
        <w:rPr>
          <w:rFonts w:ascii="Arial" w:hAnsi="Arial" w:cs="Arial"/>
          <w:b/>
          <w:sz w:val="22"/>
          <w:szCs w:val="22"/>
        </w:rPr>
        <w:t xml:space="preserve">Incidence of Local Cutaneous Irritation in Controlled Clinical Studies for </w:t>
      </w:r>
    </w:p>
    <w:p w14:paraId="7B8FF84E" w14:textId="190AD38B" w:rsidR="00DF4651" w:rsidRPr="00DF4651" w:rsidRDefault="0029215C" w:rsidP="005F565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29215C">
        <w:rPr>
          <w:rFonts w:ascii="Arial" w:hAnsi="Arial" w:cs="Arial"/>
          <w:b/>
          <w:sz w:val="22"/>
          <w:szCs w:val="22"/>
        </w:rPr>
        <w:t>ACZONE</w:t>
      </w:r>
      <w:r w:rsidRPr="0029215C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29215C">
        <w:rPr>
          <w:rFonts w:ascii="Arial" w:hAnsi="Arial" w:cs="Arial"/>
          <w:b/>
          <w:sz w:val="22"/>
          <w:szCs w:val="22"/>
        </w:rPr>
        <w:t xml:space="preserve"> 7.5% w/w</w:t>
      </w:r>
      <w:r w:rsidR="00385DE7">
        <w:rPr>
          <w:rFonts w:ascii="Arial" w:hAnsi="Arial" w:cs="Arial"/>
          <w:b/>
          <w:sz w:val="22"/>
          <w:szCs w:val="22"/>
        </w:rPr>
        <w:t xml:space="preserve"> gel</w:t>
      </w:r>
      <w:r w:rsidRPr="0029215C">
        <w:rPr>
          <w:rFonts w:ascii="Arial" w:hAnsi="Arial" w:cs="Arial"/>
          <w:b/>
          <w:sz w:val="22"/>
          <w:szCs w:val="22"/>
        </w:rPr>
        <w:t xml:space="preserve"> </w:t>
      </w:r>
      <w:r w:rsidR="00DF4651" w:rsidRPr="00DF4651">
        <w:rPr>
          <w:rFonts w:ascii="Arial" w:hAnsi="Arial" w:cs="Arial"/>
          <w:b/>
          <w:sz w:val="22"/>
          <w:szCs w:val="22"/>
        </w:rPr>
        <w:t>Patients Whose Irritation Score was Higher than at Baseline (N=2161)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219"/>
        <w:gridCol w:w="1219"/>
        <w:gridCol w:w="1220"/>
        <w:gridCol w:w="1219"/>
        <w:gridCol w:w="1219"/>
        <w:gridCol w:w="1284"/>
      </w:tblGrid>
      <w:tr w:rsidR="00DF4651" w:rsidRPr="00DF4651" w14:paraId="58334616" w14:textId="77777777" w:rsidTr="00337D21">
        <w:trPr>
          <w:trHeight w:val="494"/>
          <w:jc w:val="center"/>
        </w:trPr>
        <w:tc>
          <w:tcPr>
            <w:tcW w:w="2128" w:type="dxa"/>
            <w:shd w:val="clear" w:color="auto" w:fill="auto"/>
          </w:tcPr>
          <w:p w14:paraId="5D35CEFB" w14:textId="77777777" w:rsidR="00DF4651" w:rsidRPr="00DF4651" w:rsidRDefault="00DF4651" w:rsidP="005F565F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shd w:val="clear" w:color="auto" w:fill="auto"/>
          </w:tcPr>
          <w:p w14:paraId="74525CC1" w14:textId="77777777" w:rsidR="00DF4651" w:rsidRPr="00DF4651" w:rsidRDefault="00DF4651" w:rsidP="005F565F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 xml:space="preserve">Maximum Severity </w:t>
            </w:r>
          </w:p>
          <w:p w14:paraId="16BD55B2" w14:textId="77777777" w:rsidR="00DF4651" w:rsidRPr="00DF4651" w:rsidRDefault="00DF4651" w:rsidP="005F565F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 xml:space="preserve">(during treatment) </w:t>
            </w:r>
          </w:p>
        </w:tc>
        <w:tc>
          <w:tcPr>
            <w:tcW w:w="3722" w:type="dxa"/>
            <w:gridSpan w:val="3"/>
            <w:shd w:val="clear" w:color="auto" w:fill="auto"/>
          </w:tcPr>
          <w:p w14:paraId="788D519F" w14:textId="77777777" w:rsidR="00DF4651" w:rsidRPr="00DF4651" w:rsidRDefault="00DF4651" w:rsidP="005F565F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 xml:space="preserve">End of Treatment </w:t>
            </w:r>
          </w:p>
          <w:p w14:paraId="6081374C" w14:textId="77777777" w:rsidR="00DF4651" w:rsidRPr="00DF4651" w:rsidRDefault="00DF4651" w:rsidP="005F565F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 xml:space="preserve">(Week 12) </w:t>
            </w:r>
          </w:p>
        </w:tc>
      </w:tr>
      <w:tr w:rsidR="00DF4651" w:rsidRPr="00DF4651" w14:paraId="05198B5B" w14:textId="77777777" w:rsidTr="00337D21">
        <w:trPr>
          <w:trHeight w:val="418"/>
          <w:jc w:val="center"/>
        </w:trPr>
        <w:tc>
          <w:tcPr>
            <w:tcW w:w="2128" w:type="dxa"/>
            <w:shd w:val="clear" w:color="auto" w:fill="auto"/>
          </w:tcPr>
          <w:p w14:paraId="42148DE9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 xml:space="preserve">Local Cutaneous Irritation </w:t>
            </w:r>
          </w:p>
          <w:p w14:paraId="29950E45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14:paraId="565132C0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>Mild</w:t>
            </w:r>
          </w:p>
        </w:tc>
        <w:tc>
          <w:tcPr>
            <w:tcW w:w="1219" w:type="dxa"/>
            <w:shd w:val="clear" w:color="auto" w:fill="auto"/>
          </w:tcPr>
          <w:p w14:paraId="0414C6BF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>Moderate</w:t>
            </w:r>
          </w:p>
        </w:tc>
        <w:tc>
          <w:tcPr>
            <w:tcW w:w="1220" w:type="dxa"/>
            <w:shd w:val="clear" w:color="auto" w:fill="auto"/>
          </w:tcPr>
          <w:p w14:paraId="2C193C71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>Severe</w:t>
            </w:r>
          </w:p>
        </w:tc>
        <w:tc>
          <w:tcPr>
            <w:tcW w:w="1219" w:type="dxa"/>
            <w:shd w:val="clear" w:color="auto" w:fill="auto"/>
          </w:tcPr>
          <w:p w14:paraId="5F309796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>Mild</w:t>
            </w:r>
          </w:p>
        </w:tc>
        <w:tc>
          <w:tcPr>
            <w:tcW w:w="1219" w:type="dxa"/>
            <w:shd w:val="clear" w:color="auto" w:fill="auto"/>
          </w:tcPr>
          <w:p w14:paraId="66343BD8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>Moderate</w:t>
            </w:r>
          </w:p>
        </w:tc>
        <w:tc>
          <w:tcPr>
            <w:tcW w:w="1284" w:type="dxa"/>
            <w:shd w:val="clear" w:color="auto" w:fill="auto"/>
          </w:tcPr>
          <w:p w14:paraId="7CE8ABF3" w14:textId="77777777" w:rsidR="00DF4651" w:rsidRPr="00DF4651" w:rsidRDefault="00DF4651" w:rsidP="006159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4651">
              <w:rPr>
                <w:rFonts w:ascii="Arial" w:hAnsi="Arial" w:cs="Arial"/>
                <w:b/>
                <w:sz w:val="22"/>
                <w:szCs w:val="22"/>
              </w:rPr>
              <w:t>Severe</w:t>
            </w:r>
          </w:p>
        </w:tc>
      </w:tr>
      <w:tr w:rsidR="00DF4651" w:rsidRPr="00DF4651" w14:paraId="47904B18" w14:textId="77777777" w:rsidTr="00337D21">
        <w:trPr>
          <w:trHeight w:val="83"/>
          <w:jc w:val="center"/>
        </w:trPr>
        <w:tc>
          <w:tcPr>
            <w:tcW w:w="2128" w:type="dxa"/>
            <w:shd w:val="clear" w:color="auto" w:fill="auto"/>
          </w:tcPr>
          <w:p w14:paraId="4003E21F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 xml:space="preserve">Erythema </w:t>
            </w:r>
          </w:p>
        </w:tc>
        <w:tc>
          <w:tcPr>
            <w:tcW w:w="1219" w:type="dxa"/>
            <w:shd w:val="clear" w:color="auto" w:fill="auto"/>
          </w:tcPr>
          <w:p w14:paraId="7006A4B6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9.7%</w:t>
            </w:r>
          </w:p>
        </w:tc>
        <w:tc>
          <w:tcPr>
            <w:tcW w:w="1219" w:type="dxa"/>
            <w:shd w:val="clear" w:color="auto" w:fill="auto"/>
          </w:tcPr>
          <w:p w14:paraId="49E9D812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2.7%</w:t>
            </w:r>
          </w:p>
        </w:tc>
        <w:tc>
          <w:tcPr>
            <w:tcW w:w="1220" w:type="dxa"/>
            <w:shd w:val="clear" w:color="auto" w:fill="auto"/>
          </w:tcPr>
          <w:p w14:paraId="2B13116B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0.2%</w:t>
            </w:r>
          </w:p>
        </w:tc>
        <w:tc>
          <w:tcPr>
            <w:tcW w:w="1219" w:type="dxa"/>
            <w:shd w:val="clear" w:color="auto" w:fill="auto"/>
          </w:tcPr>
          <w:p w14:paraId="158FF869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3.8%</w:t>
            </w:r>
          </w:p>
        </w:tc>
        <w:tc>
          <w:tcPr>
            <w:tcW w:w="1219" w:type="dxa"/>
            <w:shd w:val="clear" w:color="auto" w:fill="auto"/>
          </w:tcPr>
          <w:p w14:paraId="4F399302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0.7%</w:t>
            </w:r>
          </w:p>
        </w:tc>
        <w:tc>
          <w:tcPr>
            <w:tcW w:w="1284" w:type="dxa"/>
            <w:shd w:val="clear" w:color="auto" w:fill="auto"/>
          </w:tcPr>
          <w:p w14:paraId="6EC99CC6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DF4651" w:rsidRPr="00DF4651" w14:paraId="37EC5DFC" w14:textId="77777777" w:rsidTr="00337D21">
        <w:trPr>
          <w:trHeight w:val="83"/>
          <w:jc w:val="center"/>
        </w:trPr>
        <w:tc>
          <w:tcPr>
            <w:tcW w:w="2128" w:type="dxa"/>
            <w:shd w:val="clear" w:color="auto" w:fill="auto"/>
          </w:tcPr>
          <w:p w14:paraId="059DB89B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 xml:space="preserve">Scaling </w:t>
            </w:r>
          </w:p>
        </w:tc>
        <w:tc>
          <w:tcPr>
            <w:tcW w:w="1219" w:type="dxa"/>
            <w:shd w:val="clear" w:color="auto" w:fill="auto"/>
          </w:tcPr>
          <w:p w14:paraId="0EBFC078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12.4%</w:t>
            </w:r>
          </w:p>
        </w:tc>
        <w:tc>
          <w:tcPr>
            <w:tcW w:w="1219" w:type="dxa"/>
            <w:shd w:val="clear" w:color="auto" w:fill="auto"/>
          </w:tcPr>
          <w:p w14:paraId="6D476ADF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1.3%</w:t>
            </w:r>
          </w:p>
        </w:tc>
        <w:tc>
          <w:tcPr>
            <w:tcW w:w="1220" w:type="dxa"/>
            <w:shd w:val="clear" w:color="auto" w:fill="auto"/>
          </w:tcPr>
          <w:p w14:paraId="67DBDE73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0.2%</w:t>
            </w:r>
          </w:p>
        </w:tc>
        <w:tc>
          <w:tcPr>
            <w:tcW w:w="1219" w:type="dxa"/>
            <w:shd w:val="clear" w:color="auto" w:fill="auto"/>
          </w:tcPr>
          <w:p w14:paraId="78F1E220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3.6%</w:t>
            </w:r>
          </w:p>
        </w:tc>
        <w:tc>
          <w:tcPr>
            <w:tcW w:w="1219" w:type="dxa"/>
            <w:shd w:val="clear" w:color="auto" w:fill="auto"/>
          </w:tcPr>
          <w:p w14:paraId="727CEB98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0.3%</w:t>
            </w:r>
          </w:p>
        </w:tc>
        <w:tc>
          <w:tcPr>
            <w:tcW w:w="1284" w:type="dxa"/>
            <w:shd w:val="clear" w:color="auto" w:fill="auto"/>
          </w:tcPr>
          <w:p w14:paraId="3D671DBB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&lt;0.1%</w:t>
            </w:r>
          </w:p>
        </w:tc>
      </w:tr>
      <w:tr w:rsidR="00DF4651" w:rsidRPr="00DF4651" w14:paraId="3796BC6B" w14:textId="77777777" w:rsidTr="00337D21">
        <w:trPr>
          <w:trHeight w:val="83"/>
          <w:jc w:val="center"/>
        </w:trPr>
        <w:tc>
          <w:tcPr>
            <w:tcW w:w="2128" w:type="dxa"/>
            <w:shd w:val="clear" w:color="auto" w:fill="auto"/>
          </w:tcPr>
          <w:p w14:paraId="01DE583B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Dryness</w:t>
            </w:r>
          </w:p>
        </w:tc>
        <w:tc>
          <w:tcPr>
            <w:tcW w:w="1219" w:type="dxa"/>
            <w:shd w:val="clear" w:color="auto" w:fill="auto"/>
          </w:tcPr>
          <w:p w14:paraId="49EB6E14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17.7%</w:t>
            </w:r>
          </w:p>
        </w:tc>
        <w:tc>
          <w:tcPr>
            <w:tcW w:w="1219" w:type="dxa"/>
            <w:shd w:val="clear" w:color="auto" w:fill="auto"/>
          </w:tcPr>
          <w:p w14:paraId="67EADA45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2.0%</w:t>
            </w:r>
          </w:p>
        </w:tc>
        <w:tc>
          <w:tcPr>
            <w:tcW w:w="1220" w:type="dxa"/>
            <w:shd w:val="clear" w:color="auto" w:fill="auto"/>
          </w:tcPr>
          <w:p w14:paraId="37C47437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0.2%</w:t>
            </w:r>
          </w:p>
        </w:tc>
        <w:tc>
          <w:tcPr>
            <w:tcW w:w="1219" w:type="dxa"/>
            <w:shd w:val="clear" w:color="auto" w:fill="auto"/>
          </w:tcPr>
          <w:p w14:paraId="06AB3215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5.2%</w:t>
            </w:r>
          </w:p>
        </w:tc>
        <w:tc>
          <w:tcPr>
            <w:tcW w:w="1219" w:type="dxa"/>
            <w:shd w:val="clear" w:color="auto" w:fill="auto"/>
          </w:tcPr>
          <w:p w14:paraId="70AD09C5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0.3%</w:t>
            </w:r>
          </w:p>
        </w:tc>
        <w:tc>
          <w:tcPr>
            <w:tcW w:w="1284" w:type="dxa"/>
            <w:shd w:val="clear" w:color="auto" w:fill="auto"/>
          </w:tcPr>
          <w:p w14:paraId="395CC8F9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&lt;0.1%</w:t>
            </w:r>
          </w:p>
        </w:tc>
      </w:tr>
      <w:tr w:rsidR="00DF4651" w:rsidRPr="00DF4651" w14:paraId="272EE8F8" w14:textId="77777777" w:rsidTr="00337D21">
        <w:trPr>
          <w:trHeight w:val="148"/>
          <w:jc w:val="center"/>
        </w:trPr>
        <w:tc>
          <w:tcPr>
            <w:tcW w:w="2128" w:type="dxa"/>
            <w:shd w:val="clear" w:color="auto" w:fill="auto"/>
          </w:tcPr>
          <w:p w14:paraId="2CC7250C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Stinging/</w:t>
            </w:r>
          </w:p>
          <w:p w14:paraId="6EE4FE78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burning</w:t>
            </w:r>
          </w:p>
        </w:tc>
        <w:tc>
          <w:tcPr>
            <w:tcW w:w="1219" w:type="dxa"/>
            <w:shd w:val="clear" w:color="auto" w:fill="auto"/>
          </w:tcPr>
          <w:p w14:paraId="62033BE0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23.5%</w:t>
            </w:r>
          </w:p>
        </w:tc>
        <w:tc>
          <w:tcPr>
            <w:tcW w:w="1219" w:type="dxa"/>
            <w:shd w:val="clear" w:color="auto" w:fill="auto"/>
          </w:tcPr>
          <w:p w14:paraId="311CEB00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5.6%</w:t>
            </w:r>
          </w:p>
        </w:tc>
        <w:tc>
          <w:tcPr>
            <w:tcW w:w="1220" w:type="dxa"/>
            <w:shd w:val="clear" w:color="auto" w:fill="auto"/>
          </w:tcPr>
          <w:p w14:paraId="3D7024AF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1.0%</w:t>
            </w:r>
          </w:p>
        </w:tc>
        <w:tc>
          <w:tcPr>
            <w:tcW w:w="1219" w:type="dxa"/>
            <w:shd w:val="clear" w:color="auto" w:fill="auto"/>
          </w:tcPr>
          <w:p w14:paraId="123C2492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11.6%</w:t>
            </w:r>
          </w:p>
        </w:tc>
        <w:tc>
          <w:tcPr>
            <w:tcW w:w="1219" w:type="dxa"/>
            <w:shd w:val="clear" w:color="auto" w:fill="auto"/>
          </w:tcPr>
          <w:p w14:paraId="2853A419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1.3%</w:t>
            </w:r>
          </w:p>
        </w:tc>
        <w:tc>
          <w:tcPr>
            <w:tcW w:w="1284" w:type="dxa"/>
            <w:shd w:val="clear" w:color="auto" w:fill="auto"/>
          </w:tcPr>
          <w:p w14:paraId="2BCB0942" w14:textId="77777777" w:rsidR="00DF4651" w:rsidRPr="00DF4651" w:rsidRDefault="00DF4651" w:rsidP="006159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651">
              <w:rPr>
                <w:rFonts w:ascii="Arial" w:hAnsi="Arial" w:cs="Arial"/>
                <w:sz w:val="22"/>
                <w:szCs w:val="22"/>
              </w:rPr>
              <w:t>0.2%</w:t>
            </w:r>
          </w:p>
        </w:tc>
      </w:tr>
    </w:tbl>
    <w:p w14:paraId="4DAC2A37" w14:textId="77777777" w:rsidR="00DF4651" w:rsidRPr="00DF4651" w:rsidRDefault="00DF4651" w:rsidP="006159EE">
      <w:pPr>
        <w:jc w:val="both"/>
        <w:rPr>
          <w:rFonts w:ascii="Arial" w:hAnsi="Arial" w:cs="Arial"/>
          <w:sz w:val="22"/>
          <w:szCs w:val="22"/>
        </w:rPr>
      </w:pPr>
    </w:p>
    <w:p w14:paraId="60DC5BB1" w14:textId="7DFAC956" w:rsidR="00DF4651" w:rsidRPr="0017066C" w:rsidRDefault="006159EE" w:rsidP="0029215C">
      <w:pPr>
        <w:jc w:val="both"/>
        <w:rPr>
          <w:rFonts w:ascii="Arial" w:hAnsi="Arial" w:cs="Arial"/>
          <w:sz w:val="22"/>
          <w:szCs w:val="22"/>
        </w:rPr>
      </w:pPr>
      <w:r w:rsidRPr="0017066C">
        <w:rPr>
          <w:rFonts w:ascii="Arial" w:hAnsi="Arial" w:cs="Arial"/>
          <w:sz w:val="22"/>
          <w:szCs w:val="22"/>
        </w:rPr>
        <w:t xml:space="preserve">In human dermal safety studies </w:t>
      </w:r>
      <w:r w:rsidR="00AA438A">
        <w:rPr>
          <w:rFonts w:ascii="Arial" w:hAnsi="Arial" w:cs="Arial"/>
          <w:sz w:val="22"/>
          <w:szCs w:val="22"/>
        </w:rPr>
        <w:t>in</w:t>
      </w:r>
      <w:r w:rsidR="00AA438A" w:rsidRPr="0017066C">
        <w:rPr>
          <w:rFonts w:ascii="Arial" w:hAnsi="Arial" w:cs="Arial"/>
          <w:sz w:val="22"/>
          <w:szCs w:val="22"/>
        </w:rPr>
        <w:t xml:space="preserve"> </w:t>
      </w:r>
      <w:r w:rsidRPr="0017066C">
        <w:rPr>
          <w:rFonts w:ascii="Arial" w:hAnsi="Arial" w:cs="Arial"/>
          <w:sz w:val="22"/>
          <w:szCs w:val="22"/>
        </w:rPr>
        <w:t>healthy patients, ACZONE</w:t>
      </w:r>
      <w:proofErr w:type="gramStart"/>
      <w:r w:rsidRPr="0017066C">
        <w:rPr>
          <w:rFonts w:ascii="Arial" w:hAnsi="Arial" w:cs="Arial"/>
          <w:sz w:val="22"/>
          <w:szCs w:val="22"/>
          <w:vertAlign w:val="superscript"/>
        </w:rPr>
        <w:t>®</w:t>
      </w:r>
      <w:r w:rsidRPr="0017066C">
        <w:rPr>
          <w:rFonts w:ascii="Arial" w:hAnsi="Arial" w:cs="Arial"/>
          <w:sz w:val="22"/>
          <w:szCs w:val="22"/>
        </w:rPr>
        <w:t xml:space="preserve">  7.5</w:t>
      </w:r>
      <w:proofErr w:type="gramEnd"/>
      <w:r w:rsidRPr="0017066C">
        <w:rPr>
          <w:rFonts w:ascii="Arial" w:hAnsi="Arial" w:cs="Arial"/>
          <w:sz w:val="22"/>
          <w:szCs w:val="22"/>
        </w:rPr>
        <w:t>% w/w</w:t>
      </w:r>
      <w:r w:rsidR="00385DE7">
        <w:rPr>
          <w:rFonts w:ascii="Arial" w:hAnsi="Arial" w:cs="Arial"/>
          <w:sz w:val="22"/>
          <w:szCs w:val="22"/>
        </w:rPr>
        <w:t xml:space="preserve"> gel</w:t>
      </w:r>
      <w:r w:rsidRPr="0017066C">
        <w:rPr>
          <w:rFonts w:ascii="Arial" w:hAnsi="Arial" w:cs="Arial"/>
          <w:sz w:val="22"/>
          <w:szCs w:val="22"/>
        </w:rPr>
        <w:t xml:space="preserve"> did not show any potential for cumulative irritation, </w:t>
      </w:r>
      <w:proofErr w:type="spellStart"/>
      <w:r w:rsidRPr="0017066C">
        <w:rPr>
          <w:rFonts w:ascii="Arial" w:hAnsi="Arial" w:cs="Arial"/>
          <w:sz w:val="22"/>
          <w:szCs w:val="22"/>
        </w:rPr>
        <w:t>sensitisation</w:t>
      </w:r>
      <w:proofErr w:type="spellEnd"/>
      <w:r w:rsidRPr="0017066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066C">
        <w:rPr>
          <w:rFonts w:ascii="Arial" w:hAnsi="Arial" w:cs="Arial"/>
          <w:sz w:val="22"/>
          <w:szCs w:val="22"/>
        </w:rPr>
        <w:t>phototoxicity</w:t>
      </w:r>
      <w:proofErr w:type="spellEnd"/>
      <w:r w:rsidRPr="0017066C">
        <w:rPr>
          <w:rFonts w:ascii="Arial" w:hAnsi="Arial" w:cs="Arial"/>
          <w:sz w:val="22"/>
          <w:szCs w:val="22"/>
        </w:rPr>
        <w:t xml:space="preserve"> or </w:t>
      </w:r>
      <w:proofErr w:type="spellStart"/>
      <w:r w:rsidRPr="0017066C">
        <w:rPr>
          <w:rFonts w:ascii="Arial" w:hAnsi="Arial" w:cs="Arial"/>
          <w:sz w:val="22"/>
          <w:szCs w:val="22"/>
        </w:rPr>
        <w:t>photoallergy</w:t>
      </w:r>
      <w:proofErr w:type="spellEnd"/>
      <w:r w:rsidRPr="0017066C">
        <w:rPr>
          <w:rFonts w:ascii="Arial" w:hAnsi="Arial" w:cs="Arial"/>
          <w:sz w:val="22"/>
          <w:szCs w:val="22"/>
        </w:rPr>
        <w:t>.</w:t>
      </w:r>
    </w:p>
    <w:p w14:paraId="2CF9ECB7" w14:textId="77777777" w:rsidR="006826F8" w:rsidRDefault="006826F8" w:rsidP="0029215C">
      <w:pPr>
        <w:jc w:val="both"/>
        <w:rPr>
          <w:rFonts w:ascii="Arial" w:hAnsi="Arial"/>
          <w:b/>
          <w:sz w:val="22"/>
        </w:rPr>
      </w:pPr>
    </w:p>
    <w:p w14:paraId="0AFAFC67" w14:textId="77777777" w:rsidR="006826F8" w:rsidRDefault="006826F8" w:rsidP="0029215C">
      <w:pPr>
        <w:jc w:val="both"/>
        <w:rPr>
          <w:rFonts w:ascii="Arial" w:hAnsi="Arial"/>
          <w:b/>
          <w:sz w:val="22"/>
        </w:rPr>
      </w:pPr>
    </w:p>
    <w:p w14:paraId="59B1BFAD" w14:textId="77777777" w:rsidR="006826F8" w:rsidRDefault="006826F8" w:rsidP="0029215C">
      <w:pPr>
        <w:jc w:val="both"/>
        <w:rPr>
          <w:rFonts w:ascii="Arial" w:hAnsi="Arial"/>
          <w:b/>
          <w:sz w:val="22"/>
        </w:rPr>
      </w:pPr>
    </w:p>
    <w:p w14:paraId="73B57405" w14:textId="77777777" w:rsidR="0029215C" w:rsidRDefault="0029215C" w:rsidP="0029215C">
      <w:pPr>
        <w:jc w:val="both"/>
        <w:rPr>
          <w:rFonts w:ascii="Arial" w:hAnsi="Arial"/>
          <w:b/>
          <w:sz w:val="22"/>
        </w:rPr>
      </w:pPr>
      <w:r w:rsidRPr="0029215C">
        <w:rPr>
          <w:rFonts w:ascii="Arial" w:hAnsi="Arial"/>
          <w:b/>
          <w:sz w:val="22"/>
        </w:rPr>
        <w:t xml:space="preserve">Experience with Oral Use of </w:t>
      </w:r>
      <w:proofErr w:type="spellStart"/>
      <w:r w:rsidRPr="0029215C">
        <w:rPr>
          <w:rFonts w:ascii="Arial" w:hAnsi="Arial"/>
          <w:b/>
          <w:sz w:val="22"/>
        </w:rPr>
        <w:t>Dapsone</w:t>
      </w:r>
      <w:proofErr w:type="spellEnd"/>
      <w:r>
        <w:rPr>
          <w:rFonts w:ascii="Arial" w:hAnsi="Arial"/>
          <w:b/>
          <w:sz w:val="22"/>
        </w:rPr>
        <w:t>:</w:t>
      </w:r>
    </w:p>
    <w:p w14:paraId="1330E1C6" w14:textId="43BB5CB1" w:rsidR="0029215C" w:rsidRDefault="0029215C" w:rsidP="0029215C">
      <w:pPr>
        <w:jc w:val="both"/>
        <w:rPr>
          <w:rFonts w:ascii="Arial" w:hAnsi="Arial"/>
          <w:sz w:val="22"/>
        </w:rPr>
      </w:pPr>
      <w:r w:rsidRPr="0029215C">
        <w:rPr>
          <w:rFonts w:ascii="Arial" w:hAnsi="Arial"/>
          <w:sz w:val="22"/>
        </w:rPr>
        <w:t xml:space="preserve">Although not observed in the clinical studies with topical </w:t>
      </w:r>
      <w:proofErr w:type="spellStart"/>
      <w:r w:rsidRPr="0029215C">
        <w:rPr>
          <w:rFonts w:ascii="Arial" w:hAnsi="Arial"/>
          <w:sz w:val="22"/>
        </w:rPr>
        <w:t>dapsone</w:t>
      </w:r>
      <w:proofErr w:type="spellEnd"/>
      <w:r w:rsidRPr="0029215C">
        <w:rPr>
          <w:rFonts w:ascii="Arial" w:hAnsi="Arial"/>
          <w:sz w:val="22"/>
        </w:rPr>
        <w:t xml:space="preserve">, serious adverse reactions have been reported with oral use of </w:t>
      </w:r>
      <w:proofErr w:type="spellStart"/>
      <w:r w:rsidRPr="0029215C">
        <w:rPr>
          <w:rFonts w:ascii="Arial" w:hAnsi="Arial"/>
          <w:sz w:val="22"/>
        </w:rPr>
        <w:t>dapsone</w:t>
      </w:r>
      <w:proofErr w:type="spellEnd"/>
      <w:r w:rsidRPr="0029215C">
        <w:rPr>
          <w:rFonts w:ascii="Arial" w:hAnsi="Arial"/>
          <w:sz w:val="22"/>
        </w:rPr>
        <w:t xml:space="preserve">, including agranulocytosis, </w:t>
      </w:r>
      <w:proofErr w:type="spellStart"/>
      <w:r w:rsidRPr="0029215C">
        <w:rPr>
          <w:rFonts w:ascii="Arial" w:hAnsi="Arial"/>
          <w:sz w:val="22"/>
        </w:rPr>
        <w:t>h</w:t>
      </w:r>
      <w:r w:rsidR="00AA438A">
        <w:rPr>
          <w:rFonts w:ascii="Arial" w:hAnsi="Arial"/>
          <w:sz w:val="22"/>
        </w:rPr>
        <w:t>a</w:t>
      </w:r>
      <w:r w:rsidRPr="0029215C">
        <w:rPr>
          <w:rFonts w:ascii="Arial" w:hAnsi="Arial"/>
          <w:sz w:val="22"/>
        </w:rPr>
        <w:t>emolytic</w:t>
      </w:r>
      <w:proofErr w:type="spellEnd"/>
      <w:r w:rsidRPr="0029215C">
        <w:rPr>
          <w:rFonts w:ascii="Arial" w:hAnsi="Arial"/>
          <w:sz w:val="22"/>
        </w:rPr>
        <w:t xml:space="preserve"> </w:t>
      </w:r>
      <w:proofErr w:type="spellStart"/>
      <w:r w:rsidRPr="0029215C">
        <w:rPr>
          <w:rFonts w:ascii="Arial" w:hAnsi="Arial"/>
          <w:sz w:val="22"/>
        </w:rPr>
        <w:t>an</w:t>
      </w:r>
      <w:r w:rsidR="00AA438A">
        <w:rPr>
          <w:rFonts w:ascii="Arial" w:hAnsi="Arial"/>
          <w:sz w:val="22"/>
        </w:rPr>
        <w:t>a</w:t>
      </w:r>
      <w:r w:rsidRPr="0029215C">
        <w:rPr>
          <w:rFonts w:ascii="Arial" w:hAnsi="Arial"/>
          <w:sz w:val="22"/>
        </w:rPr>
        <w:t>emia</w:t>
      </w:r>
      <w:proofErr w:type="spellEnd"/>
      <w:r w:rsidRPr="0029215C">
        <w:rPr>
          <w:rFonts w:ascii="Arial" w:hAnsi="Arial"/>
          <w:sz w:val="22"/>
        </w:rPr>
        <w:t xml:space="preserve">, peripheral neuropathy (motor loss and muscle weakness), and skin reactions (toxic epidermal necrolysis, erythema </w:t>
      </w:r>
      <w:proofErr w:type="spellStart"/>
      <w:r w:rsidRPr="0029215C">
        <w:rPr>
          <w:rFonts w:ascii="Arial" w:hAnsi="Arial"/>
          <w:sz w:val="22"/>
        </w:rPr>
        <w:t>multiforme</w:t>
      </w:r>
      <w:proofErr w:type="spellEnd"/>
      <w:r w:rsidRPr="0029215C">
        <w:rPr>
          <w:rFonts w:ascii="Arial" w:hAnsi="Arial"/>
          <w:sz w:val="22"/>
        </w:rPr>
        <w:t xml:space="preserve">, </w:t>
      </w:r>
      <w:proofErr w:type="spellStart"/>
      <w:r w:rsidRPr="0029215C">
        <w:rPr>
          <w:rFonts w:ascii="Arial" w:hAnsi="Arial"/>
          <w:sz w:val="22"/>
        </w:rPr>
        <w:t>morbilliform</w:t>
      </w:r>
      <w:proofErr w:type="spellEnd"/>
      <w:r w:rsidRPr="0029215C">
        <w:rPr>
          <w:rFonts w:ascii="Arial" w:hAnsi="Arial"/>
          <w:sz w:val="22"/>
        </w:rPr>
        <w:t xml:space="preserve"> and </w:t>
      </w:r>
      <w:proofErr w:type="spellStart"/>
      <w:r w:rsidRPr="0029215C">
        <w:rPr>
          <w:rFonts w:ascii="Arial" w:hAnsi="Arial"/>
          <w:sz w:val="22"/>
        </w:rPr>
        <w:t>scarlatiniform</w:t>
      </w:r>
      <w:proofErr w:type="spellEnd"/>
      <w:r w:rsidRPr="0029215C">
        <w:rPr>
          <w:rFonts w:ascii="Arial" w:hAnsi="Arial"/>
          <w:sz w:val="22"/>
        </w:rPr>
        <w:t xml:space="preserve"> reactions, bullous and exfoliative dermatitis, erythema </w:t>
      </w:r>
      <w:proofErr w:type="spellStart"/>
      <w:r w:rsidRPr="0029215C">
        <w:rPr>
          <w:rFonts w:ascii="Arial" w:hAnsi="Arial"/>
          <w:sz w:val="22"/>
        </w:rPr>
        <w:t>nodosum</w:t>
      </w:r>
      <w:proofErr w:type="spellEnd"/>
      <w:r w:rsidRPr="0029215C">
        <w:rPr>
          <w:rFonts w:ascii="Arial" w:hAnsi="Arial"/>
          <w:sz w:val="22"/>
        </w:rPr>
        <w:t xml:space="preserve">, and </w:t>
      </w:r>
      <w:proofErr w:type="spellStart"/>
      <w:r w:rsidRPr="0029215C">
        <w:rPr>
          <w:rFonts w:ascii="Arial" w:hAnsi="Arial"/>
          <w:sz w:val="22"/>
        </w:rPr>
        <w:t>urticaria</w:t>
      </w:r>
      <w:proofErr w:type="spellEnd"/>
      <w:r w:rsidRPr="0029215C">
        <w:rPr>
          <w:rFonts w:ascii="Arial" w:hAnsi="Arial"/>
          <w:sz w:val="22"/>
        </w:rPr>
        <w:t>).</w:t>
      </w:r>
    </w:p>
    <w:p w14:paraId="555234D5" w14:textId="77777777" w:rsidR="0029215C" w:rsidRDefault="0029215C" w:rsidP="0029215C">
      <w:pPr>
        <w:jc w:val="both"/>
        <w:rPr>
          <w:rFonts w:ascii="Arial" w:hAnsi="Arial"/>
          <w:sz w:val="22"/>
        </w:rPr>
      </w:pPr>
    </w:p>
    <w:p w14:paraId="4DC1A94B" w14:textId="77777777" w:rsidR="00DD22C0" w:rsidRDefault="00DD22C0" w:rsidP="0029215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Post-marketing experience:</w:t>
      </w:r>
    </w:p>
    <w:p w14:paraId="19887AE4" w14:textId="147BAFA0" w:rsidR="00DD22C0" w:rsidRDefault="0029215C" w:rsidP="0029215C">
      <w:pPr>
        <w:jc w:val="both"/>
        <w:rPr>
          <w:rFonts w:ascii="Arial" w:hAnsi="Arial"/>
          <w:sz w:val="22"/>
        </w:rPr>
      </w:pPr>
      <w:proofErr w:type="spellStart"/>
      <w:r w:rsidRPr="0029215C">
        <w:rPr>
          <w:rFonts w:ascii="Arial" w:hAnsi="Arial"/>
          <w:sz w:val="22"/>
        </w:rPr>
        <w:t>Meth</w:t>
      </w:r>
      <w:r w:rsidR="00240B3A">
        <w:rPr>
          <w:rFonts w:ascii="Arial" w:hAnsi="Arial"/>
          <w:sz w:val="22"/>
        </w:rPr>
        <w:t>a</w:t>
      </w:r>
      <w:r w:rsidRPr="0029215C">
        <w:rPr>
          <w:rFonts w:ascii="Arial" w:hAnsi="Arial"/>
          <w:sz w:val="22"/>
        </w:rPr>
        <w:t>emoglobin</w:t>
      </w:r>
      <w:r w:rsidR="00AA438A">
        <w:rPr>
          <w:rFonts w:ascii="Arial" w:hAnsi="Arial"/>
          <w:sz w:val="22"/>
        </w:rPr>
        <w:t>a</w:t>
      </w:r>
      <w:r w:rsidRPr="0029215C">
        <w:rPr>
          <w:rFonts w:ascii="Arial" w:hAnsi="Arial"/>
          <w:sz w:val="22"/>
        </w:rPr>
        <w:t>emia</w:t>
      </w:r>
      <w:proofErr w:type="spellEnd"/>
      <w:r w:rsidRPr="0029215C">
        <w:rPr>
          <w:rFonts w:ascii="Arial" w:hAnsi="Arial"/>
          <w:sz w:val="22"/>
        </w:rPr>
        <w:t xml:space="preserve"> has been identified during </w:t>
      </w:r>
      <w:proofErr w:type="spellStart"/>
      <w:r w:rsidRPr="0029215C">
        <w:rPr>
          <w:rFonts w:ascii="Arial" w:hAnsi="Arial"/>
          <w:sz w:val="22"/>
        </w:rPr>
        <w:t>postmarketing</w:t>
      </w:r>
      <w:proofErr w:type="spellEnd"/>
      <w:r w:rsidRPr="0029215C">
        <w:rPr>
          <w:rFonts w:ascii="Arial" w:hAnsi="Arial"/>
          <w:sz w:val="22"/>
        </w:rPr>
        <w:t xml:space="preserve"> use of topical </w:t>
      </w:r>
      <w:proofErr w:type="spellStart"/>
      <w:r w:rsidRPr="0029215C">
        <w:rPr>
          <w:rFonts w:ascii="Arial" w:hAnsi="Arial"/>
          <w:sz w:val="22"/>
        </w:rPr>
        <w:t>dapsone</w:t>
      </w:r>
      <w:proofErr w:type="spellEnd"/>
      <w:r w:rsidRPr="0029215C">
        <w:rPr>
          <w:rFonts w:ascii="Arial" w:hAnsi="Arial"/>
          <w:sz w:val="22"/>
        </w:rPr>
        <w:t xml:space="preserve"> in clinical practice. Because it was reported voluntarily from a population of unknown size, estimates of frequency cannot be made</w:t>
      </w:r>
      <w:r w:rsidR="005334BF">
        <w:rPr>
          <w:rFonts w:ascii="Arial" w:hAnsi="Arial"/>
          <w:sz w:val="22"/>
        </w:rPr>
        <w:t xml:space="preserve"> </w:t>
      </w:r>
      <w:r w:rsidR="00AA438A">
        <w:rPr>
          <w:rFonts w:ascii="Arial" w:hAnsi="Arial"/>
          <w:sz w:val="22"/>
        </w:rPr>
        <w:t>(</w:t>
      </w:r>
      <w:r w:rsidR="00E85CE9">
        <w:rPr>
          <w:rFonts w:ascii="Arial" w:hAnsi="Arial"/>
          <w:sz w:val="22"/>
        </w:rPr>
        <w:t>S</w:t>
      </w:r>
      <w:r w:rsidR="005334BF" w:rsidRPr="005334BF">
        <w:rPr>
          <w:rFonts w:ascii="Arial" w:hAnsi="Arial"/>
          <w:sz w:val="22"/>
        </w:rPr>
        <w:t>ee Precautions</w:t>
      </w:r>
      <w:r w:rsidR="00AA438A">
        <w:rPr>
          <w:rFonts w:ascii="Arial" w:hAnsi="Arial"/>
          <w:sz w:val="22"/>
        </w:rPr>
        <w:t>).</w:t>
      </w:r>
    </w:p>
    <w:p w14:paraId="23DF2BBC" w14:textId="77777777" w:rsidR="0029215C" w:rsidRDefault="0029215C" w:rsidP="0029215C">
      <w:pPr>
        <w:jc w:val="both"/>
        <w:rPr>
          <w:rFonts w:ascii="Arial" w:hAnsi="Arial"/>
          <w:sz w:val="22"/>
        </w:rPr>
      </w:pPr>
    </w:p>
    <w:p w14:paraId="439D99E6" w14:textId="77777777" w:rsidR="00DD22C0" w:rsidRDefault="00DD22C0" w:rsidP="0029215C">
      <w:pPr>
        <w:jc w:val="both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Dosage and Administration</w:t>
      </w:r>
    </w:p>
    <w:p w14:paraId="1025D4CA" w14:textId="7094CD85" w:rsidR="00DD22C0" w:rsidRDefault="00DD22C0" w:rsidP="0029215C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For dermatological (</w:t>
      </w:r>
      <w:r w:rsidR="00F336E4">
        <w:rPr>
          <w:rFonts w:ascii="Arial" w:hAnsi="Arial"/>
          <w:sz w:val="22"/>
        </w:rPr>
        <w:t>topical</w:t>
      </w:r>
      <w:r>
        <w:rPr>
          <w:rFonts w:ascii="Arial" w:hAnsi="Arial"/>
          <w:sz w:val="22"/>
        </w:rPr>
        <w:t>) use only.</w:t>
      </w:r>
      <w:proofErr w:type="gramEnd"/>
    </w:p>
    <w:p w14:paraId="166100C2" w14:textId="77777777" w:rsidR="00DD22C0" w:rsidRDefault="00DD22C0" w:rsidP="0029215C">
      <w:pPr>
        <w:jc w:val="both"/>
        <w:rPr>
          <w:rFonts w:ascii="Arial" w:hAnsi="Arial"/>
          <w:sz w:val="22"/>
        </w:rPr>
      </w:pPr>
    </w:p>
    <w:p w14:paraId="5E0D01D1" w14:textId="78030000" w:rsidR="009807A5" w:rsidRDefault="009807A5" w:rsidP="009807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ACZONE</w:t>
      </w:r>
      <w:r w:rsidRPr="00EC7CAD">
        <w:rPr>
          <w:rFonts w:ascii="Arial" w:hAnsi="Arial"/>
          <w:sz w:val="22"/>
          <w:vertAlign w:val="superscript"/>
        </w:rPr>
        <w:t>®</w:t>
      </w:r>
      <w:r>
        <w:rPr>
          <w:rFonts w:ascii="Arial" w:hAnsi="Arial"/>
          <w:sz w:val="22"/>
        </w:rPr>
        <w:t xml:space="preserve"> </w:t>
      </w:r>
      <w:r w:rsidRPr="00682CED">
        <w:rPr>
          <w:rFonts w:ascii="Arial" w:hAnsi="Arial"/>
          <w:sz w:val="22"/>
        </w:rPr>
        <w:t>7.5% w/w</w:t>
      </w:r>
      <w:r>
        <w:rPr>
          <w:rFonts w:ascii="Arial" w:hAnsi="Arial"/>
          <w:sz w:val="22"/>
        </w:rPr>
        <w:t xml:space="preserve"> gel should only be applied to affected areas. </w:t>
      </w:r>
      <w:proofErr w:type="gramStart"/>
      <w:r w:rsidRPr="004D22B5">
        <w:rPr>
          <w:rFonts w:ascii="Arial" w:hAnsi="Arial" w:cs="Arial"/>
          <w:sz w:val="22"/>
          <w:szCs w:val="22"/>
        </w:rPr>
        <w:t>For external use only.</w:t>
      </w:r>
      <w:proofErr w:type="gramEnd"/>
      <w:r>
        <w:rPr>
          <w:rFonts w:ascii="Arial" w:hAnsi="Arial"/>
          <w:sz w:val="22"/>
        </w:rPr>
        <w:t xml:space="preserve"> Not for oral, ophthalmic</w:t>
      </w:r>
      <w:r w:rsidRPr="00D74B67">
        <w:rPr>
          <w:rFonts w:ascii="Arial" w:hAnsi="Arial"/>
          <w:sz w:val="22"/>
        </w:rPr>
        <w:t xml:space="preserve"> or intravaginal use</w:t>
      </w:r>
      <w:r>
        <w:rPr>
          <w:rFonts w:ascii="Arial" w:hAnsi="Arial"/>
          <w:sz w:val="22"/>
        </w:rPr>
        <w:t xml:space="preserve">.  </w:t>
      </w:r>
      <w:r w:rsidR="00481888">
        <w:rPr>
          <w:rFonts w:ascii="Arial" w:hAnsi="Arial"/>
          <w:sz w:val="22"/>
        </w:rPr>
        <w:t xml:space="preserve">Not for use on broken skin. </w:t>
      </w:r>
      <w:r>
        <w:rPr>
          <w:rFonts w:ascii="Arial" w:hAnsi="Arial"/>
          <w:sz w:val="22"/>
        </w:rPr>
        <w:t>If contact with eyes occurs, rinse thoroughly with water.</w:t>
      </w:r>
    </w:p>
    <w:p w14:paraId="231B0149" w14:textId="77777777" w:rsidR="009807A5" w:rsidRDefault="009807A5" w:rsidP="0029215C">
      <w:pPr>
        <w:jc w:val="both"/>
        <w:rPr>
          <w:rFonts w:ascii="Arial" w:hAnsi="Arial"/>
          <w:sz w:val="22"/>
        </w:rPr>
      </w:pPr>
    </w:p>
    <w:p w14:paraId="2266CEDF" w14:textId="6D19B22A" w:rsidR="00DD22C0" w:rsidRDefault="0029215C" w:rsidP="0029215C">
      <w:pPr>
        <w:jc w:val="both"/>
        <w:rPr>
          <w:rFonts w:ascii="Arial" w:hAnsi="Arial"/>
          <w:sz w:val="22"/>
        </w:rPr>
      </w:pPr>
      <w:r w:rsidRPr="0029215C">
        <w:rPr>
          <w:rFonts w:ascii="Arial" w:hAnsi="Arial"/>
          <w:sz w:val="22"/>
        </w:rPr>
        <w:t>After the skin is gently washed and patted dry, approximately a pea-sized amount of ACZONE</w:t>
      </w:r>
      <w:r w:rsidRPr="0029215C">
        <w:rPr>
          <w:rFonts w:ascii="Arial" w:hAnsi="Arial"/>
          <w:sz w:val="22"/>
          <w:vertAlign w:val="superscript"/>
        </w:rPr>
        <w:t>®</w:t>
      </w:r>
      <w:r w:rsidR="00BB3A16">
        <w:rPr>
          <w:rFonts w:ascii="Arial" w:hAnsi="Arial"/>
          <w:sz w:val="22"/>
        </w:rPr>
        <w:t xml:space="preserve"> </w:t>
      </w:r>
      <w:r w:rsidRPr="0029215C">
        <w:rPr>
          <w:rFonts w:ascii="Arial" w:hAnsi="Arial"/>
          <w:sz w:val="22"/>
        </w:rPr>
        <w:t>7.5% w/w</w:t>
      </w:r>
      <w:r w:rsidR="00BB3A16">
        <w:rPr>
          <w:rFonts w:ascii="Arial" w:hAnsi="Arial"/>
          <w:sz w:val="22"/>
        </w:rPr>
        <w:t xml:space="preserve"> </w:t>
      </w:r>
      <w:proofErr w:type="gramStart"/>
      <w:r w:rsidR="00BB3A16">
        <w:rPr>
          <w:rFonts w:ascii="Arial" w:hAnsi="Arial"/>
          <w:sz w:val="22"/>
        </w:rPr>
        <w:t>gel</w:t>
      </w:r>
      <w:r w:rsidRPr="0029215C">
        <w:rPr>
          <w:rFonts w:ascii="Arial" w:hAnsi="Arial"/>
          <w:sz w:val="22"/>
        </w:rPr>
        <w:t>,</w:t>
      </w:r>
      <w:proofErr w:type="gramEnd"/>
      <w:r w:rsidRPr="0029215C">
        <w:rPr>
          <w:rFonts w:ascii="Arial" w:hAnsi="Arial"/>
          <w:sz w:val="22"/>
        </w:rPr>
        <w:t xml:space="preserve"> </w:t>
      </w:r>
      <w:r w:rsidR="00AA438A">
        <w:rPr>
          <w:rFonts w:ascii="Arial" w:hAnsi="Arial"/>
          <w:sz w:val="22"/>
        </w:rPr>
        <w:t xml:space="preserve">should be applied </w:t>
      </w:r>
      <w:r w:rsidRPr="0029215C">
        <w:rPr>
          <w:rFonts w:ascii="Arial" w:hAnsi="Arial"/>
          <w:sz w:val="22"/>
        </w:rPr>
        <w:t>in a thin layer to the entire face once daily. In addition, a thin layer may be applied to other affected areas once daily. ACZONE</w:t>
      </w:r>
      <w:r w:rsidRPr="0029215C">
        <w:rPr>
          <w:rFonts w:ascii="Arial" w:hAnsi="Arial"/>
          <w:sz w:val="22"/>
          <w:vertAlign w:val="superscript"/>
        </w:rPr>
        <w:t>®</w:t>
      </w:r>
      <w:r w:rsidR="00BB3A16">
        <w:rPr>
          <w:rFonts w:ascii="Arial" w:hAnsi="Arial"/>
          <w:sz w:val="22"/>
        </w:rPr>
        <w:t xml:space="preserve"> </w:t>
      </w:r>
      <w:r w:rsidRPr="0029215C">
        <w:rPr>
          <w:rFonts w:ascii="Arial" w:hAnsi="Arial"/>
          <w:sz w:val="22"/>
        </w:rPr>
        <w:t>7.5% w/w</w:t>
      </w:r>
      <w:r w:rsidR="009807A5">
        <w:rPr>
          <w:rFonts w:ascii="Arial" w:hAnsi="Arial"/>
          <w:sz w:val="22"/>
        </w:rPr>
        <w:t xml:space="preserve"> gel</w:t>
      </w:r>
      <w:r w:rsidRPr="0029215C">
        <w:rPr>
          <w:rFonts w:ascii="Arial" w:hAnsi="Arial"/>
          <w:sz w:val="22"/>
        </w:rPr>
        <w:t xml:space="preserve"> </w:t>
      </w:r>
      <w:r w:rsidR="00AA438A">
        <w:rPr>
          <w:rFonts w:ascii="Arial" w:hAnsi="Arial"/>
          <w:sz w:val="22"/>
        </w:rPr>
        <w:t xml:space="preserve">should be rubbed in </w:t>
      </w:r>
      <w:r w:rsidRPr="0029215C">
        <w:rPr>
          <w:rFonts w:ascii="Arial" w:hAnsi="Arial"/>
          <w:sz w:val="22"/>
        </w:rPr>
        <w:t>gently and completely.</w:t>
      </w:r>
      <w:r w:rsidR="00481888">
        <w:rPr>
          <w:rFonts w:ascii="Arial" w:hAnsi="Arial"/>
          <w:sz w:val="22"/>
        </w:rPr>
        <w:t xml:space="preserve"> </w:t>
      </w:r>
    </w:p>
    <w:p w14:paraId="5D1B03EC" w14:textId="77777777" w:rsidR="00337D21" w:rsidRDefault="00337D21" w:rsidP="0029215C">
      <w:pPr>
        <w:jc w:val="both"/>
        <w:rPr>
          <w:rFonts w:ascii="Arial" w:hAnsi="Arial"/>
          <w:sz w:val="22"/>
        </w:rPr>
      </w:pPr>
    </w:p>
    <w:p w14:paraId="70725670" w14:textId="6D9281B7" w:rsidR="00337D21" w:rsidRPr="00337D21" w:rsidRDefault="00AA438A" w:rsidP="00337D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Patients should be instructed to w</w:t>
      </w:r>
      <w:r w:rsidR="00337D21" w:rsidRPr="00337D21">
        <w:rPr>
          <w:rFonts w:ascii="Arial" w:hAnsi="Arial"/>
          <w:sz w:val="22"/>
        </w:rPr>
        <w:t xml:space="preserve">ash </w:t>
      </w:r>
      <w:r>
        <w:rPr>
          <w:rFonts w:ascii="Arial" w:hAnsi="Arial"/>
          <w:sz w:val="22"/>
        </w:rPr>
        <w:t xml:space="preserve">their </w:t>
      </w:r>
      <w:r w:rsidR="00337D21" w:rsidRPr="00337D21">
        <w:rPr>
          <w:rFonts w:ascii="Arial" w:hAnsi="Arial"/>
          <w:sz w:val="22"/>
        </w:rPr>
        <w:t>hands after application of ACZONE</w:t>
      </w:r>
      <w:r w:rsidR="00337D21" w:rsidRPr="00337D21">
        <w:rPr>
          <w:rFonts w:ascii="Arial" w:hAnsi="Arial"/>
          <w:sz w:val="22"/>
          <w:vertAlign w:val="superscript"/>
        </w:rPr>
        <w:t>®</w:t>
      </w:r>
      <w:r w:rsidR="00337D21" w:rsidRPr="00337D21">
        <w:rPr>
          <w:rFonts w:ascii="Arial" w:hAnsi="Arial"/>
          <w:sz w:val="22"/>
        </w:rPr>
        <w:t xml:space="preserve"> 7.5% w/w</w:t>
      </w:r>
      <w:r w:rsidR="009807A5">
        <w:rPr>
          <w:rFonts w:ascii="Arial" w:hAnsi="Arial"/>
          <w:sz w:val="22"/>
        </w:rPr>
        <w:t xml:space="preserve"> gel</w:t>
      </w:r>
      <w:r w:rsidR="00337D21">
        <w:rPr>
          <w:rFonts w:ascii="Arial" w:hAnsi="Arial"/>
          <w:sz w:val="22"/>
        </w:rPr>
        <w:t>.</w:t>
      </w:r>
    </w:p>
    <w:p w14:paraId="6D6B017E" w14:textId="77777777" w:rsidR="00337D21" w:rsidRPr="00337D21" w:rsidRDefault="00337D21" w:rsidP="00337D21">
      <w:pPr>
        <w:jc w:val="both"/>
        <w:rPr>
          <w:rFonts w:ascii="Arial" w:hAnsi="Arial"/>
          <w:sz w:val="22"/>
        </w:rPr>
      </w:pPr>
    </w:p>
    <w:p w14:paraId="3D2533E3" w14:textId="60D37AEF" w:rsidR="00337D21" w:rsidRDefault="00337D21" w:rsidP="00337D21">
      <w:pPr>
        <w:jc w:val="both"/>
        <w:rPr>
          <w:rFonts w:ascii="Arial" w:hAnsi="Arial"/>
          <w:sz w:val="22"/>
        </w:rPr>
      </w:pPr>
      <w:r w:rsidRPr="00337D21">
        <w:rPr>
          <w:rFonts w:ascii="Arial" w:hAnsi="Arial"/>
          <w:sz w:val="22"/>
        </w:rPr>
        <w:t>If there is no improvement after 12 weeks, treatment with ACZONE</w:t>
      </w:r>
      <w:r w:rsidRPr="00337D21">
        <w:rPr>
          <w:rFonts w:ascii="Arial" w:hAnsi="Arial"/>
          <w:sz w:val="22"/>
          <w:vertAlign w:val="superscript"/>
        </w:rPr>
        <w:t>®</w:t>
      </w:r>
      <w:r w:rsidRPr="00337D21">
        <w:rPr>
          <w:rFonts w:ascii="Arial" w:hAnsi="Arial"/>
          <w:sz w:val="22"/>
        </w:rPr>
        <w:t xml:space="preserve"> 7.5% w/w</w:t>
      </w:r>
      <w:r w:rsidR="009807A5">
        <w:rPr>
          <w:rFonts w:ascii="Arial" w:hAnsi="Arial"/>
          <w:sz w:val="22"/>
        </w:rPr>
        <w:t xml:space="preserve"> gel</w:t>
      </w:r>
      <w:r w:rsidRPr="00337D21">
        <w:rPr>
          <w:rFonts w:ascii="Arial" w:hAnsi="Arial"/>
          <w:sz w:val="22"/>
        </w:rPr>
        <w:t xml:space="preserve"> should be reassessed.</w:t>
      </w:r>
    </w:p>
    <w:p w14:paraId="574461B5" w14:textId="77777777" w:rsidR="00337D21" w:rsidRDefault="00337D21" w:rsidP="00337D21">
      <w:pPr>
        <w:jc w:val="both"/>
        <w:rPr>
          <w:rFonts w:ascii="Arial" w:hAnsi="Arial"/>
          <w:sz w:val="22"/>
        </w:rPr>
      </w:pPr>
    </w:p>
    <w:p w14:paraId="75653936" w14:textId="77777777" w:rsidR="00DD22C0" w:rsidRDefault="00DD22C0" w:rsidP="0029215C">
      <w:pPr>
        <w:jc w:val="both"/>
        <w:rPr>
          <w:rFonts w:ascii="Arial" w:hAnsi="Arial"/>
          <w:caps/>
          <w:sz w:val="22"/>
        </w:rPr>
      </w:pPr>
      <w:r>
        <w:rPr>
          <w:rFonts w:ascii="Arial" w:hAnsi="Arial"/>
          <w:b/>
          <w:caps/>
          <w:sz w:val="22"/>
        </w:rPr>
        <w:t>OVERDosage</w:t>
      </w:r>
    </w:p>
    <w:p w14:paraId="4750D25D" w14:textId="616B59E1" w:rsidR="00DD22C0" w:rsidRDefault="0029215C" w:rsidP="0029215C">
      <w:pPr>
        <w:jc w:val="both"/>
        <w:rPr>
          <w:rFonts w:ascii="Arial" w:hAnsi="Arial"/>
          <w:sz w:val="22"/>
        </w:rPr>
      </w:pPr>
      <w:r w:rsidRPr="0029215C">
        <w:rPr>
          <w:rFonts w:ascii="Arial" w:hAnsi="Arial"/>
          <w:sz w:val="22"/>
        </w:rPr>
        <w:t>ACZONE</w:t>
      </w:r>
      <w:r w:rsidRPr="0029215C">
        <w:rPr>
          <w:rFonts w:ascii="Arial" w:hAnsi="Arial"/>
          <w:sz w:val="22"/>
          <w:vertAlign w:val="superscript"/>
        </w:rPr>
        <w:t>®</w:t>
      </w:r>
      <w:r w:rsidR="00BB3A16">
        <w:rPr>
          <w:rFonts w:ascii="Arial" w:hAnsi="Arial"/>
          <w:sz w:val="22"/>
        </w:rPr>
        <w:t xml:space="preserve"> 7.5% w/w gel</w:t>
      </w:r>
      <w:r w:rsidRPr="0029215C">
        <w:rPr>
          <w:rFonts w:ascii="Arial" w:hAnsi="Arial"/>
          <w:sz w:val="22"/>
        </w:rPr>
        <w:t xml:space="preserve"> is not for oral use. If oral ingestion occurs, medical advice should be sought.</w:t>
      </w:r>
    </w:p>
    <w:p w14:paraId="0C23CFD3" w14:textId="77777777" w:rsidR="00BB3A16" w:rsidRDefault="00BB3A16" w:rsidP="0029215C">
      <w:pPr>
        <w:jc w:val="both"/>
        <w:rPr>
          <w:rFonts w:ascii="Arial" w:hAnsi="Arial"/>
          <w:sz w:val="22"/>
        </w:rPr>
      </w:pPr>
    </w:p>
    <w:p w14:paraId="4687E389" w14:textId="77777777" w:rsidR="00DD22C0" w:rsidRDefault="00DD22C0" w:rsidP="005F565F">
      <w:pPr>
        <w:keepNext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lastRenderedPageBreak/>
        <w:t>Presentation</w:t>
      </w:r>
    </w:p>
    <w:p w14:paraId="6630E499" w14:textId="2341338E" w:rsidR="00DD22C0" w:rsidRDefault="00802B38" w:rsidP="005F565F">
      <w:pPr>
        <w:keepNext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Gel:  </w:t>
      </w:r>
      <w:r>
        <w:rPr>
          <w:rFonts w:ascii="Arial" w:hAnsi="Arial"/>
          <w:sz w:val="22"/>
        </w:rPr>
        <w:tab/>
      </w:r>
      <w:r w:rsidR="00DD22C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7.5% w/w off-white to yellow gel supplied in 30g, 60g and 90g airless pump polypropylene bottles. </w:t>
      </w:r>
      <w:proofErr w:type="gramStart"/>
      <w:r w:rsidR="0017066C">
        <w:rPr>
          <w:rFonts w:ascii="Arial" w:hAnsi="Arial"/>
          <w:sz w:val="22"/>
        </w:rPr>
        <w:t>Also supplied as a 3g physician sample in a tube</w:t>
      </w:r>
      <w:r w:rsidR="00AA438A">
        <w:rPr>
          <w:rFonts w:ascii="Arial" w:hAnsi="Arial"/>
          <w:sz w:val="22"/>
        </w:rPr>
        <w:t>.</w:t>
      </w:r>
      <w:proofErr w:type="gramEnd"/>
    </w:p>
    <w:p w14:paraId="7CBEACA7" w14:textId="5E360B54" w:rsidR="00DD22C0" w:rsidRDefault="00DD22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Storage: </w:t>
      </w:r>
      <w:r>
        <w:rPr>
          <w:rFonts w:ascii="Arial" w:hAnsi="Arial"/>
          <w:sz w:val="22"/>
        </w:rPr>
        <w:tab/>
        <w:t>Store below</w:t>
      </w:r>
      <w:r w:rsidR="00E2409B">
        <w:rPr>
          <w:rFonts w:ascii="Arial" w:hAnsi="Arial"/>
          <w:sz w:val="22"/>
        </w:rPr>
        <w:t xml:space="preserve"> 25</w:t>
      </w:r>
      <w:r w:rsidR="00E2409B">
        <w:rPr>
          <w:rFonts w:ascii="Arial" w:hAnsi="Arial"/>
          <w:sz w:val="22"/>
          <w:vertAlign w:val="superscript"/>
        </w:rPr>
        <w:t>o</w:t>
      </w:r>
      <w:r w:rsidR="00E2409B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.  DO NOT REFRIGERATE OR FREEZE.</w:t>
      </w:r>
      <w:r w:rsidR="00EA495D">
        <w:rPr>
          <w:rFonts w:ascii="Arial" w:hAnsi="Arial"/>
          <w:sz w:val="22"/>
        </w:rPr>
        <w:t xml:space="preserve"> </w:t>
      </w:r>
    </w:p>
    <w:p w14:paraId="3F9D8CA1" w14:textId="77777777" w:rsidR="00EA495D" w:rsidRDefault="00EA495D" w:rsidP="00EA495D">
      <w:pPr>
        <w:ind w:left="1440"/>
        <w:rPr>
          <w:rFonts w:ascii="Arial" w:hAnsi="Arial"/>
          <w:sz w:val="22"/>
        </w:rPr>
      </w:pPr>
      <w:r w:rsidRPr="008B4FA6">
        <w:rPr>
          <w:rFonts w:ascii="Arial" w:hAnsi="Arial"/>
          <w:sz w:val="22"/>
        </w:rPr>
        <w:t>Di</w:t>
      </w:r>
      <w:r>
        <w:rPr>
          <w:rFonts w:ascii="Arial" w:hAnsi="Arial"/>
          <w:sz w:val="22"/>
        </w:rPr>
        <w:t>scard any remaining gel after 14</w:t>
      </w:r>
      <w:r w:rsidRPr="008B4FA6">
        <w:rPr>
          <w:rFonts w:ascii="Arial" w:hAnsi="Arial"/>
          <w:sz w:val="22"/>
        </w:rPr>
        <w:t xml:space="preserve"> weeks from the date of opening</w:t>
      </w:r>
      <w:r>
        <w:rPr>
          <w:rFonts w:ascii="Arial" w:hAnsi="Arial"/>
          <w:sz w:val="22"/>
        </w:rPr>
        <w:t>.</w:t>
      </w:r>
    </w:p>
    <w:p w14:paraId="1AA99F56" w14:textId="785259B7" w:rsidR="0017066C" w:rsidRDefault="0017066C" w:rsidP="0017066C">
      <w:pPr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Keep tube tightly closed when not in use.</w:t>
      </w:r>
    </w:p>
    <w:p w14:paraId="39F27229" w14:textId="54E8941D" w:rsidR="00DD22C0" w:rsidRDefault="00DD22C0">
      <w:pPr>
        <w:tabs>
          <w:tab w:val="left" w:pos="14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Shelf life: </w:t>
      </w:r>
      <w:r>
        <w:rPr>
          <w:rFonts w:ascii="Arial" w:hAnsi="Arial"/>
          <w:sz w:val="22"/>
        </w:rPr>
        <w:tab/>
      </w:r>
      <w:r w:rsidR="009807A5">
        <w:rPr>
          <w:rFonts w:ascii="Arial" w:hAnsi="Arial"/>
          <w:sz w:val="22"/>
        </w:rPr>
        <w:t>24</w:t>
      </w:r>
      <w:r w:rsidR="0017066C">
        <w:rPr>
          <w:rFonts w:ascii="Arial" w:hAnsi="Arial"/>
          <w:sz w:val="22"/>
        </w:rPr>
        <w:t xml:space="preserve"> months</w:t>
      </w:r>
      <w:r>
        <w:rPr>
          <w:rFonts w:ascii="Arial" w:hAnsi="Arial"/>
          <w:sz w:val="22"/>
        </w:rPr>
        <w:t>.</w:t>
      </w:r>
    </w:p>
    <w:p w14:paraId="25127386" w14:textId="26908198" w:rsidR="00DD22C0" w:rsidRDefault="00DD22C0">
      <w:pPr>
        <w:tabs>
          <w:tab w:val="left" w:pos="14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F3D4478" w14:textId="422AA08F" w:rsidR="00DD22C0" w:rsidRPr="004D22B5" w:rsidRDefault="00C544E0">
      <w:pPr>
        <w:rPr>
          <w:rFonts w:ascii="Arial" w:hAnsi="Arial" w:cs="Arial"/>
          <w:b/>
          <w:sz w:val="22"/>
          <w:szCs w:val="22"/>
        </w:rPr>
      </w:pPr>
      <w:r w:rsidRPr="004D22B5">
        <w:rPr>
          <w:rFonts w:ascii="Arial" w:hAnsi="Arial" w:cs="Arial"/>
          <w:b/>
          <w:sz w:val="22"/>
          <w:szCs w:val="22"/>
        </w:rPr>
        <w:t>NAME AND ADDRESS OF THE SPONSOR</w:t>
      </w:r>
      <w:r w:rsidR="00DD22C0" w:rsidRPr="004D22B5">
        <w:rPr>
          <w:rFonts w:ascii="Arial" w:hAnsi="Arial" w:cs="Arial"/>
          <w:b/>
          <w:sz w:val="22"/>
          <w:szCs w:val="22"/>
        </w:rPr>
        <w:t>:</w:t>
      </w:r>
    </w:p>
    <w:p w14:paraId="1C789952" w14:textId="77777777" w:rsidR="00DD22C0" w:rsidRPr="004C697F" w:rsidRDefault="00DD22C0">
      <w:pPr>
        <w:rPr>
          <w:rFonts w:ascii="Arial" w:hAnsi="Arial" w:cs="Arial"/>
          <w:sz w:val="22"/>
          <w:szCs w:val="22"/>
        </w:rPr>
      </w:pPr>
      <w:r w:rsidRPr="004C697F">
        <w:rPr>
          <w:rFonts w:ascii="Arial" w:hAnsi="Arial" w:cs="Arial"/>
          <w:sz w:val="22"/>
          <w:szCs w:val="22"/>
        </w:rPr>
        <w:t>Allergan Australia Pty Ltd</w:t>
      </w:r>
    </w:p>
    <w:p w14:paraId="599E9DA7" w14:textId="77777777" w:rsidR="00DD22C0" w:rsidRPr="0003091E" w:rsidRDefault="00525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2A50C1">
        <w:rPr>
          <w:rFonts w:ascii="Arial" w:hAnsi="Arial" w:cs="Arial"/>
          <w:sz w:val="22"/>
          <w:szCs w:val="22"/>
        </w:rPr>
        <w:t>810 Pacific Highway</w:t>
      </w:r>
    </w:p>
    <w:p w14:paraId="3512F8B8" w14:textId="77777777" w:rsidR="00DD22C0" w:rsidRPr="0003091E" w:rsidRDefault="00DD2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3091E">
        <w:rPr>
          <w:rFonts w:ascii="Arial" w:hAnsi="Arial" w:cs="Arial"/>
          <w:sz w:val="22"/>
          <w:szCs w:val="22"/>
        </w:rPr>
        <w:t xml:space="preserve">Gordon NSW 2072 </w:t>
      </w:r>
    </w:p>
    <w:p w14:paraId="33DC77A5" w14:textId="77777777" w:rsidR="00DD22C0" w:rsidRPr="0003091E" w:rsidRDefault="00525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03091E">
        <w:rPr>
          <w:rFonts w:ascii="Arial" w:hAnsi="Arial" w:cs="Arial"/>
          <w:sz w:val="22"/>
          <w:szCs w:val="22"/>
        </w:rPr>
        <w:t>AB</w:t>
      </w:r>
      <w:r w:rsidR="003A4435" w:rsidRPr="0003091E">
        <w:rPr>
          <w:rFonts w:ascii="Arial" w:hAnsi="Arial" w:cs="Arial"/>
          <w:sz w:val="22"/>
          <w:szCs w:val="22"/>
        </w:rPr>
        <w:t>N</w:t>
      </w:r>
      <w:r w:rsidRPr="0003091E">
        <w:rPr>
          <w:rFonts w:ascii="Arial" w:hAnsi="Arial" w:cs="Arial"/>
          <w:sz w:val="22"/>
          <w:szCs w:val="22"/>
        </w:rPr>
        <w:t xml:space="preserve"> </w:t>
      </w:r>
      <w:r w:rsidR="00F866FC" w:rsidRPr="0003091E">
        <w:rPr>
          <w:rFonts w:ascii="Arial" w:hAnsi="Arial" w:cs="Arial"/>
          <w:sz w:val="22"/>
          <w:szCs w:val="22"/>
        </w:rPr>
        <w:t xml:space="preserve">85 </w:t>
      </w:r>
      <w:r w:rsidR="00DD22C0" w:rsidRPr="0003091E">
        <w:rPr>
          <w:rFonts w:ascii="Arial" w:hAnsi="Arial" w:cs="Arial"/>
          <w:sz w:val="22"/>
          <w:szCs w:val="22"/>
        </w:rPr>
        <w:t>000 612 831</w:t>
      </w:r>
    </w:p>
    <w:p w14:paraId="2BE6D5C0" w14:textId="77777777" w:rsidR="00DD22C0" w:rsidRPr="0003091E" w:rsidRDefault="00DD2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51A2F44D" w14:textId="46C865E1" w:rsidR="00DD22C0" w:rsidRPr="0003091E" w:rsidRDefault="00C23C11">
      <w:pPr>
        <w:tabs>
          <w:tab w:val="left" w:pos="21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F866FC" w:rsidRPr="0003091E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ZONE</w:t>
      </w:r>
      <w:r w:rsidR="00F866FC" w:rsidRPr="0003091E">
        <w:rPr>
          <w:rFonts w:ascii="Arial" w:hAnsi="Arial" w:cs="Arial"/>
          <w:b/>
          <w:i/>
          <w:sz w:val="22"/>
          <w:szCs w:val="22"/>
          <w:vertAlign w:val="superscript"/>
        </w:rPr>
        <w:t>®</w:t>
      </w:r>
      <w:r w:rsidR="00F866FC" w:rsidRPr="0003091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7.</w:t>
      </w:r>
      <w:r w:rsidR="00F866FC" w:rsidRPr="0003091E">
        <w:rPr>
          <w:rFonts w:ascii="Arial" w:hAnsi="Arial" w:cs="Arial"/>
          <w:b/>
          <w:sz w:val="22"/>
          <w:szCs w:val="22"/>
        </w:rPr>
        <w:t>5% w/w</w:t>
      </w:r>
      <w:r w:rsidR="009807A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07A5">
        <w:rPr>
          <w:rFonts w:ascii="Arial" w:hAnsi="Arial" w:cs="Arial"/>
          <w:b/>
          <w:sz w:val="22"/>
          <w:szCs w:val="22"/>
        </w:rPr>
        <w:t>dapsone</w:t>
      </w:r>
      <w:proofErr w:type="spellEnd"/>
      <w:r w:rsidR="00F866FC" w:rsidRPr="0003091E">
        <w:rPr>
          <w:rFonts w:ascii="Arial" w:hAnsi="Arial" w:cs="Arial"/>
          <w:b/>
          <w:sz w:val="22"/>
          <w:szCs w:val="22"/>
        </w:rPr>
        <w:t xml:space="preserve"> </w:t>
      </w:r>
      <w:r w:rsidR="00DD22C0" w:rsidRPr="0003091E">
        <w:rPr>
          <w:rFonts w:ascii="Arial" w:hAnsi="Arial" w:cs="Arial"/>
          <w:b/>
          <w:sz w:val="22"/>
          <w:szCs w:val="22"/>
        </w:rPr>
        <w:t xml:space="preserve">gel AUST R </w:t>
      </w:r>
      <w:r w:rsidR="00082176">
        <w:rPr>
          <w:rFonts w:ascii="Arial" w:hAnsi="Arial" w:cs="Arial"/>
          <w:b/>
          <w:sz w:val="22"/>
          <w:szCs w:val="22"/>
        </w:rPr>
        <w:t>266267</w:t>
      </w:r>
      <w:r w:rsidR="00DD22C0" w:rsidRPr="0003091E">
        <w:rPr>
          <w:rFonts w:ascii="Arial" w:hAnsi="Arial" w:cs="Arial"/>
          <w:b/>
          <w:sz w:val="22"/>
          <w:szCs w:val="22"/>
        </w:rPr>
        <w:t xml:space="preserve">  </w:t>
      </w:r>
    </w:p>
    <w:p w14:paraId="738307BC" w14:textId="77777777" w:rsidR="00DD22C0" w:rsidRPr="0003091E" w:rsidRDefault="00DD22C0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04CCA85E" w14:textId="77777777" w:rsidR="00DD22C0" w:rsidRPr="0003091E" w:rsidRDefault="00EA4E8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03091E">
        <w:rPr>
          <w:rFonts w:ascii="Arial" w:hAnsi="Arial" w:cs="Arial"/>
          <w:b/>
          <w:sz w:val="22"/>
          <w:szCs w:val="22"/>
        </w:rPr>
        <w:t>POISON SCHEDULE OF THE MEDICINE</w:t>
      </w:r>
      <w:r w:rsidR="00DD22C0" w:rsidRPr="0003091E">
        <w:rPr>
          <w:rFonts w:ascii="Arial" w:hAnsi="Arial" w:cs="Arial"/>
          <w:b/>
          <w:sz w:val="22"/>
          <w:szCs w:val="22"/>
        </w:rPr>
        <w:t xml:space="preserve">: </w:t>
      </w:r>
      <w:r w:rsidR="00DD22C0" w:rsidRPr="0003091E">
        <w:rPr>
          <w:rFonts w:ascii="Arial" w:hAnsi="Arial" w:cs="Arial"/>
          <w:sz w:val="22"/>
          <w:szCs w:val="22"/>
        </w:rPr>
        <w:t>S4</w:t>
      </w:r>
    </w:p>
    <w:p w14:paraId="3A63D55F" w14:textId="77777777" w:rsidR="00DD22C0" w:rsidRPr="0003091E" w:rsidRDefault="00DD22C0">
      <w:pPr>
        <w:rPr>
          <w:rFonts w:ascii="Arial" w:hAnsi="Arial" w:cs="Arial"/>
          <w:sz w:val="22"/>
          <w:szCs w:val="22"/>
        </w:rPr>
      </w:pPr>
    </w:p>
    <w:p w14:paraId="22FD7255" w14:textId="542F3A92" w:rsidR="00DD22C0" w:rsidRPr="0003091E" w:rsidRDefault="00F866FC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03091E">
        <w:rPr>
          <w:rFonts w:ascii="Arial" w:hAnsi="Arial" w:cs="Arial"/>
          <w:b/>
          <w:sz w:val="22"/>
          <w:szCs w:val="22"/>
        </w:rPr>
        <w:t xml:space="preserve">DATE OF </w:t>
      </w:r>
      <w:r w:rsidR="00AC50B4">
        <w:rPr>
          <w:rFonts w:ascii="Arial" w:hAnsi="Arial" w:cs="Arial"/>
          <w:b/>
          <w:sz w:val="22"/>
          <w:szCs w:val="22"/>
        </w:rPr>
        <w:t>FIRST INCLUSION IN THE ARTG</w:t>
      </w:r>
      <w:r w:rsidR="00DD22C0" w:rsidRPr="0003091E">
        <w:rPr>
          <w:rFonts w:ascii="Arial" w:hAnsi="Arial" w:cs="Arial"/>
          <w:b/>
          <w:sz w:val="22"/>
          <w:szCs w:val="22"/>
        </w:rPr>
        <w:t xml:space="preserve">: </w:t>
      </w:r>
      <w:r w:rsidR="00A22317">
        <w:rPr>
          <w:rFonts w:ascii="Arial" w:hAnsi="Arial" w:cs="Arial"/>
          <w:sz w:val="22"/>
          <w:szCs w:val="22"/>
        </w:rPr>
        <w:t>10 January 2017</w:t>
      </w:r>
    </w:p>
    <w:p w14:paraId="7017F208" w14:textId="77777777" w:rsidR="00525621" w:rsidRPr="0003091E" w:rsidRDefault="00525621">
      <w:pPr>
        <w:tabs>
          <w:tab w:val="left" w:pos="2160"/>
        </w:tabs>
        <w:rPr>
          <w:rFonts w:ascii="Arial" w:hAnsi="Arial" w:cs="Arial"/>
          <w:b/>
          <w:sz w:val="22"/>
          <w:szCs w:val="22"/>
        </w:rPr>
      </w:pPr>
    </w:p>
    <w:p w14:paraId="61ACFDDD" w14:textId="77777777" w:rsidR="00EA4E82" w:rsidRPr="0003091E" w:rsidRDefault="00EA4E82" w:rsidP="00EA4E82">
      <w:pPr>
        <w:rPr>
          <w:rFonts w:ascii="Arial" w:hAnsi="Arial" w:cs="Arial"/>
          <w:sz w:val="22"/>
          <w:szCs w:val="22"/>
        </w:rPr>
      </w:pPr>
      <w:proofErr w:type="gramStart"/>
      <w:r w:rsidRPr="0003091E">
        <w:rPr>
          <w:rFonts w:ascii="Arial" w:hAnsi="Arial" w:cs="Arial"/>
          <w:sz w:val="22"/>
          <w:szCs w:val="22"/>
          <w:vertAlign w:val="superscript"/>
        </w:rPr>
        <w:t>®</w:t>
      </w:r>
      <w:r w:rsidR="00C23C11">
        <w:rPr>
          <w:rFonts w:ascii="Arial" w:hAnsi="Arial" w:cs="Arial"/>
          <w:sz w:val="22"/>
          <w:szCs w:val="22"/>
        </w:rPr>
        <w:t xml:space="preserve"> Marks owned by Allergan</w:t>
      </w:r>
      <w:r w:rsidRPr="0003091E">
        <w:rPr>
          <w:rFonts w:ascii="Arial" w:hAnsi="Arial" w:cs="Arial"/>
          <w:sz w:val="22"/>
          <w:szCs w:val="22"/>
        </w:rPr>
        <w:t>.</w:t>
      </w:r>
      <w:proofErr w:type="gramEnd"/>
    </w:p>
    <w:p w14:paraId="4493E2C6" w14:textId="77777777" w:rsidR="00EA4E82" w:rsidRPr="0003091E" w:rsidRDefault="00EA4E82">
      <w:pPr>
        <w:rPr>
          <w:rFonts w:ascii="Arial" w:hAnsi="Arial" w:cs="Arial"/>
          <w:sz w:val="22"/>
          <w:szCs w:val="22"/>
        </w:rPr>
      </w:pPr>
    </w:p>
    <w:p w14:paraId="0AE085C4" w14:textId="0DAE5EFD" w:rsidR="00A31E41" w:rsidRPr="00E2409B" w:rsidRDefault="00EA4E82" w:rsidP="004C697F">
      <w:r w:rsidRPr="0003091E">
        <w:rPr>
          <w:rFonts w:ascii="Arial" w:hAnsi="Arial" w:cs="Arial"/>
          <w:sz w:val="22"/>
          <w:szCs w:val="22"/>
        </w:rPr>
        <w:t xml:space="preserve">© </w:t>
      </w:r>
      <w:r w:rsidR="00EA495D" w:rsidRPr="0003091E">
        <w:rPr>
          <w:rFonts w:ascii="Arial" w:hAnsi="Arial" w:cs="Arial"/>
          <w:sz w:val="22"/>
          <w:szCs w:val="22"/>
        </w:rPr>
        <w:t>201</w:t>
      </w:r>
      <w:r w:rsidR="00F57C64">
        <w:rPr>
          <w:rFonts w:ascii="Arial" w:hAnsi="Arial" w:cs="Arial"/>
          <w:sz w:val="22"/>
          <w:szCs w:val="22"/>
        </w:rPr>
        <w:t>7</w:t>
      </w:r>
      <w:r w:rsidR="00EA495D">
        <w:rPr>
          <w:rFonts w:ascii="Arial" w:hAnsi="Arial" w:cs="Arial"/>
          <w:sz w:val="22"/>
          <w:szCs w:val="22"/>
        </w:rPr>
        <w:t xml:space="preserve"> </w:t>
      </w:r>
      <w:r w:rsidR="00C23C11">
        <w:rPr>
          <w:rFonts w:ascii="Arial" w:hAnsi="Arial" w:cs="Arial"/>
          <w:sz w:val="22"/>
          <w:szCs w:val="22"/>
        </w:rPr>
        <w:t>Allergan</w:t>
      </w:r>
      <w:r w:rsidRPr="0003091E">
        <w:rPr>
          <w:rFonts w:ascii="Arial" w:hAnsi="Arial" w:cs="Arial"/>
          <w:sz w:val="22"/>
          <w:szCs w:val="22"/>
        </w:rPr>
        <w:t>.</w:t>
      </w:r>
      <w:r w:rsidR="00C23C11">
        <w:rPr>
          <w:rFonts w:ascii="Arial" w:hAnsi="Arial" w:cs="Arial"/>
          <w:sz w:val="22"/>
          <w:szCs w:val="22"/>
        </w:rPr>
        <w:t xml:space="preserve"> All rights reserved.</w:t>
      </w:r>
    </w:p>
    <w:sectPr w:rsidR="00A31E41" w:rsidRPr="00E2409B" w:rsidSect="00B7363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851" w:bottom="1418" w:left="1701" w:header="720" w:footer="181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53CB8" w14:textId="77777777" w:rsidR="001A7F68" w:rsidRDefault="001A7F68">
      <w:r>
        <w:separator/>
      </w:r>
    </w:p>
  </w:endnote>
  <w:endnote w:type="continuationSeparator" w:id="0">
    <w:p w14:paraId="62F19C56" w14:textId="77777777" w:rsidR="001A7F68" w:rsidRDefault="001A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988EE" w14:textId="77777777" w:rsidR="009A3D62" w:rsidRDefault="009A3D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6CE07" w14:textId="77777777" w:rsidR="009A3D62" w:rsidRDefault="009A3D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D280" w14:textId="77777777" w:rsidR="009A3D62" w:rsidRDefault="009A3D62">
    <w:pPr>
      <w:pStyle w:val="Footer"/>
      <w:framePr w:wrap="around" w:vAnchor="text" w:hAnchor="margin" w:xAlign="right" w:y="1"/>
      <w:rPr>
        <w:rStyle w:val="PageNumber"/>
      </w:rPr>
    </w:pPr>
  </w:p>
  <w:p w14:paraId="7DB46F42" w14:textId="77777777" w:rsidR="009A3D62" w:rsidRDefault="009A3D62">
    <w:pPr>
      <w:pStyle w:val="Footer"/>
      <w:ind w:right="-709"/>
      <w:rPr>
        <w:sz w:val="16"/>
      </w:rPr>
    </w:pPr>
  </w:p>
  <w:p w14:paraId="0E1D335C" w14:textId="7AF20949" w:rsidR="009A3D62" w:rsidRDefault="009A3D62" w:rsidP="004D22B5">
    <w:pPr>
      <w:pStyle w:val="Footer"/>
      <w:pBdr>
        <w:top w:val="single" w:sz="6" w:space="1" w:color="auto"/>
      </w:pBdr>
      <w:rPr>
        <w:rFonts w:ascii="Univers (W1)" w:hAnsi="Univers (W1)"/>
        <w:sz w:val="16"/>
      </w:rPr>
    </w:pPr>
    <w:r>
      <w:rPr>
        <w:rFonts w:ascii="Arial" w:hAnsi="Arial"/>
        <w:sz w:val="22"/>
      </w:rPr>
      <w:t>ACZONE</w:t>
    </w:r>
    <w:r w:rsidRPr="00EC7CAD">
      <w:rPr>
        <w:rFonts w:ascii="Arial" w:hAnsi="Arial"/>
        <w:sz w:val="22"/>
        <w:vertAlign w:val="superscript"/>
      </w:rPr>
      <w:t>®</w:t>
    </w:r>
    <w:r>
      <w:rPr>
        <w:rFonts w:ascii="Arial" w:hAnsi="Arial"/>
        <w:sz w:val="22"/>
      </w:rPr>
      <w:t xml:space="preserve"> </w:t>
    </w:r>
    <w:r>
      <w:rPr>
        <w:rFonts w:ascii="Univers (W1)" w:hAnsi="Univers (W1)"/>
        <w:sz w:val="16"/>
      </w:rPr>
      <w:t>(</w:t>
    </w:r>
    <w:proofErr w:type="spellStart"/>
    <w:r>
      <w:rPr>
        <w:rFonts w:ascii="Univers (W1)" w:hAnsi="Univers (W1)"/>
        <w:sz w:val="16"/>
      </w:rPr>
      <w:t>dapsone</w:t>
    </w:r>
    <w:proofErr w:type="spellEnd"/>
    <w:r>
      <w:rPr>
        <w:rFonts w:ascii="Univers (W1)" w:hAnsi="Univers (W1)"/>
        <w:sz w:val="16"/>
      </w:rPr>
      <w:t xml:space="preserve"> gel) 7.5% w/w Product Information </w:t>
    </w:r>
    <w:r>
      <w:rPr>
        <w:rFonts w:ascii="Univers (W1)" w:hAnsi="Univers (W1)"/>
        <w:sz w:val="16"/>
      </w:rPr>
      <w:tab/>
      <w:t xml:space="preserve">v </w:t>
    </w:r>
    <w:r w:rsidR="00B7363A">
      <w:rPr>
        <w:rFonts w:ascii="Univers (W1)" w:hAnsi="Univers (W1)"/>
        <w:sz w:val="16"/>
      </w:rPr>
      <w:t>1.0</w:t>
    </w:r>
  </w:p>
  <w:p w14:paraId="114817FB" w14:textId="15C6603D" w:rsidR="009A3D62" w:rsidRDefault="009A3D62">
    <w:pPr>
      <w:pStyle w:val="Footer"/>
      <w:rPr>
        <w:rFonts w:ascii="Univers (W1)" w:hAnsi="Univers (W1)"/>
        <w:sz w:val="16"/>
      </w:rPr>
    </w:pPr>
    <w:r>
      <w:rPr>
        <w:rFonts w:ascii="Univers (W1)" w:hAnsi="Univers (W1)"/>
        <w:sz w:val="16"/>
      </w:rPr>
      <w:tab/>
    </w:r>
    <w:r>
      <w:rPr>
        <w:rFonts w:ascii="Univers (W1)" w:hAnsi="Univers (W1)"/>
        <w:sz w:val="16"/>
      </w:rPr>
      <w:tab/>
    </w:r>
    <w:proofErr w:type="gramStart"/>
    <w:r>
      <w:rPr>
        <w:rFonts w:ascii="Univers (W1)" w:hAnsi="Univers (W1)"/>
        <w:sz w:val="16"/>
      </w:rPr>
      <w:t>Page</w:t>
    </w:r>
    <w:r w:rsidR="00B7363A">
      <w:rPr>
        <w:rFonts w:ascii="Univers (W1)" w:hAnsi="Univers (W1)"/>
        <w:sz w:val="16"/>
      </w:rPr>
      <w:t xml:space="preserve"> </w:t>
    </w:r>
    <w:r>
      <w:rPr>
        <w:rFonts w:ascii="Univers (W1)" w:hAnsi="Univers (W1)"/>
        <w:sz w:val="16"/>
      </w:rPr>
      <w:t xml:space="preserve"> </w:t>
    </w:r>
    <w:proofErr w:type="gramEnd"/>
    <w:r>
      <w:rPr>
        <w:rFonts w:ascii="Univers (W1)" w:hAnsi="Univers (W1)"/>
        <w:sz w:val="16"/>
      </w:rPr>
      <w:fldChar w:fldCharType="begin"/>
    </w:r>
    <w:r>
      <w:rPr>
        <w:rFonts w:ascii="Univers (W1)" w:hAnsi="Univers (W1)"/>
        <w:sz w:val="16"/>
      </w:rPr>
      <w:instrText>PAGE</w:instrText>
    </w:r>
    <w:r>
      <w:rPr>
        <w:rFonts w:ascii="Univers (W1)" w:hAnsi="Univers (W1)"/>
        <w:sz w:val="16"/>
      </w:rPr>
      <w:fldChar w:fldCharType="separate"/>
    </w:r>
    <w:r w:rsidR="00A71B01">
      <w:rPr>
        <w:rFonts w:ascii="Univers (W1)" w:hAnsi="Univers (W1)"/>
        <w:noProof/>
        <w:sz w:val="16"/>
      </w:rPr>
      <w:t>1</w:t>
    </w:r>
    <w:r>
      <w:rPr>
        <w:rFonts w:ascii="Univers (W1)" w:hAnsi="Univers (W1)"/>
        <w:sz w:val="16"/>
      </w:rPr>
      <w:fldChar w:fldCharType="end"/>
    </w:r>
    <w:r w:rsidR="00B7363A">
      <w:rPr>
        <w:rFonts w:ascii="Univers (W1)" w:hAnsi="Univers (W1)"/>
        <w:sz w:val="16"/>
      </w:rPr>
      <w:t xml:space="preserve"> of 8</w:t>
    </w:r>
  </w:p>
  <w:p w14:paraId="15CCBD92" w14:textId="77777777" w:rsidR="009A3D62" w:rsidRDefault="009A3D62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6F56F" w14:textId="77777777" w:rsidR="009A3D62" w:rsidRDefault="009A3D62" w:rsidP="004D22B5">
    <w:pPr>
      <w:pStyle w:val="Footer"/>
      <w:ind w:right="-709"/>
      <w:rPr>
        <w:sz w:val="16"/>
      </w:rPr>
    </w:pPr>
  </w:p>
  <w:p w14:paraId="25D27E5D" w14:textId="77777777" w:rsidR="009A3D62" w:rsidRDefault="009A3D62" w:rsidP="004D22B5">
    <w:pPr>
      <w:pStyle w:val="Footer"/>
      <w:pBdr>
        <w:top w:val="single" w:sz="6" w:space="1" w:color="auto"/>
      </w:pBdr>
      <w:rPr>
        <w:rFonts w:ascii="Univers (W1)" w:hAnsi="Univers (W1)"/>
        <w:sz w:val="16"/>
      </w:rPr>
    </w:pPr>
    <w:r>
      <w:rPr>
        <w:rFonts w:ascii="Arial" w:hAnsi="Arial"/>
        <w:sz w:val="22"/>
      </w:rPr>
      <w:t>ZORAC</w:t>
    </w:r>
    <w:r w:rsidRPr="00EC7CAD">
      <w:rPr>
        <w:rFonts w:ascii="Arial" w:hAnsi="Arial"/>
        <w:sz w:val="22"/>
        <w:vertAlign w:val="superscript"/>
      </w:rPr>
      <w:t>®</w:t>
    </w:r>
    <w:r>
      <w:rPr>
        <w:rFonts w:ascii="Arial" w:hAnsi="Arial"/>
        <w:sz w:val="22"/>
      </w:rPr>
      <w:t xml:space="preserve"> </w:t>
    </w:r>
    <w:r>
      <w:rPr>
        <w:rFonts w:ascii="Univers (W1)" w:hAnsi="Univers (W1)"/>
        <w:sz w:val="16"/>
      </w:rPr>
      <w:t>(</w:t>
    </w:r>
    <w:proofErr w:type="spellStart"/>
    <w:r>
      <w:rPr>
        <w:rFonts w:ascii="Univers (W1)" w:hAnsi="Univers (W1)"/>
        <w:sz w:val="16"/>
      </w:rPr>
      <w:t>tazarotene</w:t>
    </w:r>
    <w:proofErr w:type="spellEnd"/>
    <w:r>
      <w:rPr>
        <w:rFonts w:ascii="Univers (W1)" w:hAnsi="Univers (W1)"/>
        <w:sz w:val="16"/>
      </w:rPr>
      <w:t xml:space="preserve"> gel) Product Information </w:t>
    </w:r>
    <w:r>
      <w:rPr>
        <w:rFonts w:ascii="Univers (W1)" w:hAnsi="Univers (W1)"/>
        <w:sz w:val="16"/>
      </w:rPr>
      <w:tab/>
      <w:t>v 1.0</w:t>
    </w:r>
  </w:p>
  <w:p w14:paraId="174683DD" w14:textId="77777777" w:rsidR="009A3D62" w:rsidRDefault="009A3D62" w:rsidP="004D22B5">
    <w:pPr>
      <w:pStyle w:val="Footer"/>
      <w:rPr>
        <w:rFonts w:ascii="Univers (W1)" w:hAnsi="Univers (W1)"/>
        <w:sz w:val="16"/>
      </w:rPr>
    </w:pPr>
    <w:r>
      <w:rPr>
        <w:rFonts w:ascii="Univers (W1)" w:hAnsi="Univers (W1)"/>
        <w:sz w:val="16"/>
      </w:rPr>
      <w:tab/>
    </w:r>
    <w:r>
      <w:rPr>
        <w:rFonts w:ascii="Univers (W1)" w:hAnsi="Univers (W1)"/>
        <w:sz w:val="16"/>
      </w:rPr>
      <w:tab/>
      <w:t xml:space="preserve">Page </w:t>
    </w:r>
    <w:r>
      <w:rPr>
        <w:rFonts w:ascii="Univers (W1)" w:hAnsi="Univers (W1)"/>
        <w:sz w:val="16"/>
      </w:rPr>
      <w:fldChar w:fldCharType="begin"/>
    </w:r>
    <w:r>
      <w:rPr>
        <w:rFonts w:ascii="Univers (W1)" w:hAnsi="Univers (W1)"/>
        <w:sz w:val="16"/>
      </w:rPr>
      <w:instrText>PAGE</w:instrText>
    </w:r>
    <w:r>
      <w:rPr>
        <w:rFonts w:ascii="Univers (W1)" w:hAnsi="Univers (W1)"/>
        <w:sz w:val="16"/>
      </w:rPr>
      <w:fldChar w:fldCharType="separate"/>
    </w:r>
    <w:r>
      <w:rPr>
        <w:rFonts w:ascii="Univers (W1)" w:hAnsi="Univers (W1)"/>
        <w:noProof/>
        <w:sz w:val="16"/>
      </w:rPr>
      <w:t>1</w:t>
    </w:r>
    <w:r>
      <w:rPr>
        <w:rFonts w:ascii="Univers (W1)" w:hAnsi="Univers (W1)"/>
        <w:sz w:val="16"/>
      </w:rPr>
      <w:fldChar w:fldCharType="end"/>
    </w:r>
    <w:r>
      <w:rPr>
        <w:rFonts w:ascii="Univers (W1)" w:hAnsi="Univers (W1)"/>
        <w:sz w:val="16"/>
      </w:rPr>
      <w:t xml:space="preserve"> of 6</w:t>
    </w:r>
  </w:p>
  <w:p w14:paraId="073D731B" w14:textId="77777777" w:rsidR="009A3D62" w:rsidRDefault="009A3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5305C" w14:textId="77777777" w:rsidR="001A7F68" w:rsidRDefault="001A7F68">
      <w:r>
        <w:separator/>
      </w:r>
    </w:p>
  </w:footnote>
  <w:footnote w:type="continuationSeparator" w:id="0">
    <w:p w14:paraId="1764BAA0" w14:textId="77777777" w:rsidR="001A7F68" w:rsidRDefault="001A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6633CA" w14:paraId="62A59381" w14:textId="77777777" w:rsidTr="00E225A6">
      <w:tc>
        <w:tcPr>
          <w:tcW w:w="8720" w:type="dxa"/>
          <w:shd w:val="clear" w:color="auto" w:fill="E4F2E0"/>
        </w:tcPr>
        <w:p w14:paraId="4CEE0794" w14:textId="7E93A89C" w:rsidR="006633CA" w:rsidRPr="006633CA" w:rsidRDefault="006633CA" w:rsidP="006633CA">
          <w:pPr>
            <w:spacing w:before="40" w:after="40"/>
            <w:rPr>
              <w:b/>
              <w:sz w:val="20"/>
              <w:szCs w:val="20"/>
            </w:rPr>
          </w:pPr>
          <w:r w:rsidRPr="006633CA">
            <w:rPr>
              <w:b/>
              <w:sz w:val="20"/>
              <w:szCs w:val="20"/>
            </w:rPr>
            <w:t xml:space="preserve">Attachment 1: Product information </w:t>
          </w:r>
          <w:r>
            <w:rPr>
              <w:b/>
              <w:sz w:val="20"/>
              <w:szCs w:val="20"/>
            </w:rPr>
            <w:t xml:space="preserve">for </w:t>
          </w:r>
          <w:proofErr w:type="spellStart"/>
          <w:r w:rsidRPr="006633CA">
            <w:rPr>
              <w:b/>
              <w:color w:val="auto"/>
              <w:sz w:val="20"/>
              <w:szCs w:val="20"/>
            </w:rPr>
            <w:t>AusPAR</w:t>
          </w:r>
          <w:proofErr w:type="spellEnd"/>
          <w:r w:rsidRPr="006633CA">
            <w:rPr>
              <w:b/>
              <w:color w:val="auto"/>
              <w:sz w:val="20"/>
              <w:szCs w:val="20"/>
            </w:rPr>
            <w:t xml:space="preserve"> </w:t>
          </w:r>
          <w:proofErr w:type="spellStart"/>
          <w:r>
            <w:rPr>
              <w:b/>
              <w:color w:val="auto"/>
              <w:sz w:val="20"/>
              <w:szCs w:val="20"/>
            </w:rPr>
            <w:t>D</w:t>
          </w:r>
          <w:r w:rsidRPr="006633CA">
            <w:rPr>
              <w:b/>
              <w:color w:val="auto"/>
              <w:sz w:val="20"/>
              <w:szCs w:val="20"/>
            </w:rPr>
            <w:t>apsone</w:t>
          </w:r>
          <w:proofErr w:type="spellEnd"/>
          <w:r w:rsidRPr="006633CA">
            <w:rPr>
              <w:b/>
              <w:color w:val="auto"/>
              <w:sz w:val="20"/>
              <w:szCs w:val="20"/>
            </w:rPr>
            <w:t xml:space="preserve"> </w:t>
          </w:r>
          <w:proofErr w:type="spellStart"/>
          <w:r w:rsidRPr="006633CA">
            <w:rPr>
              <w:b/>
              <w:color w:val="auto"/>
              <w:sz w:val="20"/>
              <w:szCs w:val="20"/>
            </w:rPr>
            <w:t>Aczone</w:t>
          </w:r>
          <w:proofErr w:type="spellEnd"/>
          <w:r w:rsidRPr="006633CA">
            <w:rPr>
              <w:b/>
              <w:color w:val="auto"/>
              <w:sz w:val="20"/>
              <w:szCs w:val="20"/>
            </w:rPr>
            <w:t xml:space="preserve"> </w:t>
          </w:r>
          <w:r w:rsidRPr="006633CA">
            <w:rPr>
              <w:b/>
              <w:sz w:val="20"/>
              <w:szCs w:val="20"/>
            </w:rPr>
            <w:t xml:space="preserve">Allergan Australia Pty Ltd PM-2015-03568-1-5 Final 1 December 2017. This Product Information was approved at the time this </w:t>
          </w:r>
          <w:proofErr w:type="spellStart"/>
          <w:r w:rsidRPr="006633CA">
            <w:rPr>
              <w:b/>
              <w:sz w:val="20"/>
              <w:szCs w:val="20"/>
            </w:rPr>
            <w:t>AusPAR</w:t>
          </w:r>
          <w:proofErr w:type="spellEnd"/>
          <w:r w:rsidRPr="006633CA">
            <w:rPr>
              <w:b/>
              <w:sz w:val="20"/>
              <w:szCs w:val="20"/>
            </w:rPr>
            <w:t xml:space="preserve"> was published.</w:t>
          </w:r>
        </w:p>
      </w:tc>
    </w:tr>
  </w:tbl>
  <w:p w14:paraId="117C9FE0" w14:textId="53EBEB27" w:rsidR="006633CA" w:rsidRPr="006633CA" w:rsidRDefault="006633CA" w:rsidP="006633CA">
    <w:pPr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">
    <w:nsid w:val="2A7A4472"/>
    <w:multiLevelType w:val="hybridMultilevel"/>
    <w:tmpl w:val="2A0C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773CE"/>
    <w:multiLevelType w:val="hybridMultilevel"/>
    <w:tmpl w:val="F75660D6"/>
    <w:lvl w:ilvl="0" w:tplc="04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16"/>
    <w:rsid w:val="00001D4B"/>
    <w:rsid w:val="00005FBF"/>
    <w:rsid w:val="00027939"/>
    <w:rsid w:val="0003091E"/>
    <w:rsid w:val="00031549"/>
    <w:rsid w:val="00032F2C"/>
    <w:rsid w:val="00044EE6"/>
    <w:rsid w:val="00046F06"/>
    <w:rsid w:val="0005711F"/>
    <w:rsid w:val="000623BA"/>
    <w:rsid w:val="00067EDC"/>
    <w:rsid w:val="00073D43"/>
    <w:rsid w:val="0008157F"/>
    <w:rsid w:val="00082176"/>
    <w:rsid w:val="000853FE"/>
    <w:rsid w:val="00085761"/>
    <w:rsid w:val="00096660"/>
    <w:rsid w:val="000B621B"/>
    <w:rsid w:val="000C2EDA"/>
    <w:rsid w:val="000C375C"/>
    <w:rsid w:val="000C3E6A"/>
    <w:rsid w:val="000D6E30"/>
    <w:rsid w:val="000E091A"/>
    <w:rsid w:val="000F2ABC"/>
    <w:rsid w:val="000F486A"/>
    <w:rsid w:val="000F6A51"/>
    <w:rsid w:val="00105F68"/>
    <w:rsid w:val="001242F4"/>
    <w:rsid w:val="00131C61"/>
    <w:rsid w:val="00135A8D"/>
    <w:rsid w:val="00135D1F"/>
    <w:rsid w:val="0014193D"/>
    <w:rsid w:val="00144347"/>
    <w:rsid w:val="00145C02"/>
    <w:rsid w:val="001536F7"/>
    <w:rsid w:val="00155DC7"/>
    <w:rsid w:val="00156158"/>
    <w:rsid w:val="0017066C"/>
    <w:rsid w:val="00172CB1"/>
    <w:rsid w:val="00173CCF"/>
    <w:rsid w:val="00174304"/>
    <w:rsid w:val="00176638"/>
    <w:rsid w:val="001841F3"/>
    <w:rsid w:val="0018750C"/>
    <w:rsid w:val="00195966"/>
    <w:rsid w:val="001A42A5"/>
    <w:rsid w:val="001A7F68"/>
    <w:rsid w:val="001C4F30"/>
    <w:rsid w:val="001D500C"/>
    <w:rsid w:val="001F10FE"/>
    <w:rsid w:val="002056B2"/>
    <w:rsid w:val="00214FD7"/>
    <w:rsid w:val="00220655"/>
    <w:rsid w:val="0023171D"/>
    <w:rsid w:val="00236091"/>
    <w:rsid w:val="00240B3A"/>
    <w:rsid w:val="00240DEC"/>
    <w:rsid w:val="002503CB"/>
    <w:rsid w:val="00251FED"/>
    <w:rsid w:val="002823E0"/>
    <w:rsid w:val="00282C1C"/>
    <w:rsid w:val="00284E6D"/>
    <w:rsid w:val="0029215C"/>
    <w:rsid w:val="002A50C1"/>
    <w:rsid w:val="002C638D"/>
    <w:rsid w:val="003007C5"/>
    <w:rsid w:val="00304D04"/>
    <w:rsid w:val="00316364"/>
    <w:rsid w:val="003209F7"/>
    <w:rsid w:val="00320AB7"/>
    <w:rsid w:val="003304E3"/>
    <w:rsid w:val="00334375"/>
    <w:rsid w:val="00337D21"/>
    <w:rsid w:val="003416AE"/>
    <w:rsid w:val="00347145"/>
    <w:rsid w:val="00351BFF"/>
    <w:rsid w:val="00374BDB"/>
    <w:rsid w:val="00385DE7"/>
    <w:rsid w:val="00395FB8"/>
    <w:rsid w:val="003A4435"/>
    <w:rsid w:val="003A4919"/>
    <w:rsid w:val="003B64C9"/>
    <w:rsid w:val="003D082B"/>
    <w:rsid w:val="003E592E"/>
    <w:rsid w:val="003E5D1D"/>
    <w:rsid w:val="003E79E4"/>
    <w:rsid w:val="003F0514"/>
    <w:rsid w:val="003F1262"/>
    <w:rsid w:val="003F2B16"/>
    <w:rsid w:val="003F6646"/>
    <w:rsid w:val="003F7046"/>
    <w:rsid w:val="00413EC3"/>
    <w:rsid w:val="00424B75"/>
    <w:rsid w:val="00431590"/>
    <w:rsid w:val="00436CE9"/>
    <w:rsid w:val="004515C4"/>
    <w:rsid w:val="0045411C"/>
    <w:rsid w:val="0045565E"/>
    <w:rsid w:val="004628E3"/>
    <w:rsid w:val="004653A0"/>
    <w:rsid w:val="00480640"/>
    <w:rsid w:val="00480BCC"/>
    <w:rsid w:val="00481888"/>
    <w:rsid w:val="004837EE"/>
    <w:rsid w:val="004854FB"/>
    <w:rsid w:val="004A41F5"/>
    <w:rsid w:val="004B14DE"/>
    <w:rsid w:val="004B4F5A"/>
    <w:rsid w:val="004C4906"/>
    <w:rsid w:val="004C697F"/>
    <w:rsid w:val="004D1018"/>
    <w:rsid w:val="004D22B5"/>
    <w:rsid w:val="004E1F0B"/>
    <w:rsid w:val="004F205D"/>
    <w:rsid w:val="004F444D"/>
    <w:rsid w:val="0051614C"/>
    <w:rsid w:val="00517056"/>
    <w:rsid w:val="00525621"/>
    <w:rsid w:val="00527811"/>
    <w:rsid w:val="005334BF"/>
    <w:rsid w:val="00563E5A"/>
    <w:rsid w:val="00580D58"/>
    <w:rsid w:val="00591483"/>
    <w:rsid w:val="005B1F8B"/>
    <w:rsid w:val="005C1F58"/>
    <w:rsid w:val="005C2329"/>
    <w:rsid w:val="005F565F"/>
    <w:rsid w:val="005F6312"/>
    <w:rsid w:val="006159EE"/>
    <w:rsid w:val="00617616"/>
    <w:rsid w:val="0064065D"/>
    <w:rsid w:val="0064110E"/>
    <w:rsid w:val="00657E22"/>
    <w:rsid w:val="00660921"/>
    <w:rsid w:val="00660D89"/>
    <w:rsid w:val="006619F6"/>
    <w:rsid w:val="006633CA"/>
    <w:rsid w:val="006748F5"/>
    <w:rsid w:val="006826F8"/>
    <w:rsid w:val="006A12C7"/>
    <w:rsid w:val="006B5CE2"/>
    <w:rsid w:val="006D3A42"/>
    <w:rsid w:val="006E31D2"/>
    <w:rsid w:val="0070113A"/>
    <w:rsid w:val="00705AFC"/>
    <w:rsid w:val="00711581"/>
    <w:rsid w:val="00731A1C"/>
    <w:rsid w:val="0073304B"/>
    <w:rsid w:val="00747B8B"/>
    <w:rsid w:val="00750969"/>
    <w:rsid w:val="007707C8"/>
    <w:rsid w:val="00775301"/>
    <w:rsid w:val="007A0486"/>
    <w:rsid w:val="007A6743"/>
    <w:rsid w:val="007B0F42"/>
    <w:rsid w:val="007B2199"/>
    <w:rsid w:val="007B33D2"/>
    <w:rsid w:val="007B44AC"/>
    <w:rsid w:val="007B67E4"/>
    <w:rsid w:val="007C680A"/>
    <w:rsid w:val="007C7622"/>
    <w:rsid w:val="007D1D29"/>
    <w:rsid w:val="007E78CE"/>
    <w:rsid w:val="007F6469"/>
    <w:rsid w:val="007F6DCF"/>
    <w:rsid w:val="0080090B"/>
    <w:rsid w:val="00802B38"/>
    <w:rsid w:val="008059F6"/>
    <w:rsid w:val="00806D5A"/>
    <w:rsid w:val="00813D4E"/>
    <w:rsid w:val="00817324"/>
    <w:rsid w:val="00831E74"/>
    <w:rsid w:val="00832B4A"/>
    <w:rsid w:val="00846427"/>
    <w:rsid w:val="008469BC"/>
    <w:rsid w:val="00863860"/>
    <w:rsid w:val="00872A77"/>
    <w:rsid w:val="00881ABC"/>
    <w:rsid w:val="00882A38"/>
    <w:rsid w:val="00882ABB"/>
    <w:rsid w:val="008A37AC"/>
    <w:rsid w:val="008C4590"/>
    <w:rsid w:val="008D0027"/>
    <w:rsid w:val="008D72E1"/>
    <w:rsid w:val="008E4B19"/>
    <w:rsid w:val="008F30C1"/>
    <w:rsid w:val="008F57EF"/>
    <w:rsid w:val="00903687"/>
    <w:rsid w:val="009054E3"/>
    <w:rsid w:val="00911C5D"/>
    <w:rsid w:val="00917B0D"/>
    <w:rsid w:val="00931C12"/>
    <w:rsid w:val="00936586"/>
    <w:rsid w:val="009403F5"/>
    <w:rsid w:val="009514D6"/>
    <w:rsid w:val="00955CF7"/>
    <w:rsid w:val="0096561F"/>
    <w:rsid w:val="009807A5"/>
    <w:rsid w:val="0098571D"/>
    <w:rsid w:val="009876A5"/>
    <w:rsid w:val="00992E5E"/>
    <w:rsid w:val="009A1CCB"/>
    <w:rsid w:val="009A3D62"/>
    <w:rsid w:val="009C3AD5"/>
    <w:rsid w:val="009F222E"/>
    <w:rsid w:val="009F2B2B"/>
    <w:rsid w:val="009F2C11"/>
    <w:rsid w:val="00A16469"/>
    <w:rsid w:val="00A22317"/>
    <w:rsid w:val="00A25183"/>
    <w:rsid w:val="00A31E41"/>
    <w:rsid w:val="00A36767"/>
    <w:rsid w:val="00A40167"/>
    <w:rsid w:val="00A4263C"/>
    <w:rsid w:val="00A43398"/>
    <w:rsid w:val="00A50268"/>
    <w:rsid w:val="00A71B01"/>
    <w:rsid w:val="00A72110"/>
    <w:rsid w:val="00A83500"/>
    <w:rsid w:val="00A87F45"/>
    <w:rsid w:val="00A924D5"/>
    <w:rsid w:val="00AA438A"/>
    <w:rsid w:val="00AA5E64"/>
    <w:rsid w:val="00AB7D75"/>
    <w:rsid w:val="00AC50B4"/>
    <w:rsid w:val="00AD47DB"/>
    <w:rsid w:val="00AD49DE"/>
    <w:rsid w:val="00AF05D3"/>
    <w:rsid w:val="00AF0C66"/>
    <w:rsid w:val="00AF7EAB"/>
    <w:rsid w:val="00B20EC7"/>
    <w:rsid w:val="00B31EF5"/>
    <w:rsid w:val="00B373BF"/>
    <w:rsid w:val="00B44553"/>
    <w:rsid w:val="00B45BF8"/>
    <w:rsid w:val="00B52F2D"/>
    <w:rsid w:val="00B533D2"/>
    <w:rsid w:val="00B649AD"/>
    <w:rsid w:val="00B65CAE"/>
    <w:rsid w:val="00B67593"/>
    <w:rsid w:val="00B7363A"/>
    <w:rsid w:val="00B81559"/>
    <w:rsid w:val="00B81754"/>
    <w:rsid w:val="00B90CEF"/>
    <w:rsid w:val="00BA28E5"/>
    <w:rsid w:val="00BA55AC"/>
    <w:rsid w:val="00BB3A16"/>
    <w:rsid w:val="00BC3D2D"/>
    <w:rsid w:val="00BD2463"/>
    <w:rsid w:val="00BD7D2A"/>
    <w:rsid w:val="00BE2D71"/>
    <w:rsid w:val="00BE32DA"/>
    <w:rsid w:val="00BF4653"/>
    <w:rsid w:val="00C009A5"/>
    <w:rsid w:val="00C23C11"/>
    <w:rsid w:val="00C3419D"/>
    <w:rsid w:val="00C475ED"/>
    <w:rsid w:val="00C544E0"/>
    <w:rsid w:val="00C60D7E"/>
    <w:rsid w:val="00C6652F"/>
    <w:rsid w:val="00C73328"/>
    <w:rsid w:val="00C74947"/>
    <w:rsid w:val="00C77583"/>
    <w:rsid w:val="00C90C5C"/>
    <w:rsid w:val="00C93C6B"/>
    <w:rsid w:val="00CA3D11"/>
    <w:rsid w:val="00CB03F4"/>
    <w:rsid w:val="00CB7FBA"/>
    <w:rsid w:val="00CC123F"/>
    <w:rsid w:val="00CC31A2"/>
    <w:rsid w:val="00CD43A7"/>
    <w:rsid w:val="00D069F5"/>
    <w:rsid w:val="00D07290"/>
    <w:rsid w:val="00D174E0"/>
    <w:rsid w:val="00D33B17"/>
    <w:rsid w:val="00D35677"/>
    <w:rsid w:val="00D40485"/>
    <w:rsid w:val="00D442A0"/>
    <w:rsid w:val="00D52C4D"/>
    <w:rsid w:val="00D57C0B"/>
    <w:rsid w:val="00D70B71"/>
    <w:rsid w:val="00D71A95"/>
    <w:rsid w:val="00D74B67"/>
    <w:rsid w:val="00D856D2"/>
    <w:rsid w:val="00DB16A1"/>
    <w:rsid w:val="00DC4536"/>
    <w:rsid w:val="00DD22C0"/>
    <w:rsid w:val="00DE0D54"/>
    <w:rsid w:val="00DF043C"/>
    <w:rsid w:val="00DF4651"/>
    <w:rsid w:val="00E01F34"/>
    <w:rsid w:val="00E113C9"/>
    <w:rsid w:val="00E12BD3"/>
    <w:rsid w:val="00E1431A"/>
    <w:rsid w:val="00E14BC7"/>
    <w:rsid w:val="00E22CA2"/>
    <w:rsid w:val="00E2409B"/>
    <w:rsid w:val="00E3673D"/>
    <w:rsid w:val="00E5094A"/>
    <w:rsid w:val="00E60F92"/>
    <w:rsid w:val="00E85CE9"/>
    <w:rsid w:val="00EA21C8"/>
    <w:rsid w:val="00EA495D"/>
    <w:rsid w:val="00EA4E82"/>
    <w:rsid w:val="00EB4BD6"/>
    <w:rsid w:val="00EC7CAD"/>
    <w:rsid w:val="00EE0D74"/>
    <w:rsid w:val="00EE6BC8"/>
    <w:rsid w:val="00EF24FF"/>
    <w:rsid w:val="00F26408"/>
    <w:rsid w:val="00F26F0A"/>
    <w:rsid w:val="00F336E4"/>
    <w:rsid w:val="00F37DD2"/>
    <w:rsid w:val="00F52307"/>
    <w:rsid w:val="00F54F0D"/>
    <w:rsid w:val="00F57C64"/>
    <w:rsid w:val="00F64F9A"/>
    <w:rsid w:val="00F71706"/>
    <w:rsid w:val="00F84234"/>
    <w:rsid w:val="00F866FC"/>
    <w:rsid w:val="00F9708D"/>
    <w:rsid w:val="00FB250B"/>
    <w:rsid w:val="00FB4F8E"/>
    <w:rsid w:val="00FC368C"/>
    <w:rsid w:val="00FD2001"/>
    <w:rsid w:val="00FF1DA6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3316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E2409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4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9AD"/>
    <w:rPr>
      <w:sz w:val="20"/>
    </w:rPr>
  </w:style>
  <w:style w:type="character" w:customStyle="1" w:styleId="CommentTextChar">
    <w:name w:val="Comment Text Char"/>
    <w:link w:val="CommentText"/>
    <w:uiPriority w:val="99"/>
    <w:rsid w:val="00B649AD"/>
    <w:rPr>
      <w:rFonts w:ascii="Times New Roman" w:hAnsi="Times New Roman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9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49AD"/>
    <w:rPr>
      <w:rFonts w:ascii="Times New Roman" w:hAnsi="Times New Roman"/>
      <w:b/>
      <w:bCs/>
      <w:color w:val="000000"/>
      <w:lang w:eastAsia="zh-CN"/>
    </w:rPr>
  </w:style>
  <w:style w:type="paragraph" w:styleId="Revision">
    <w:name w:val="Revision"/>
    <w:hidden/>
    <w:uiPriority w:val="99"/>
    <w:semiHidden/>
    <w:rsid w:val="001C4F30"/>
    <w:rPr>
      <w:rFonts w:ascii="Times New Roman" w:hAnsi="Times New Roman"/>
      <w:color w:val="000000"/>
      <w:sz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D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4D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3304B"/>
    <w:rPr>
      <w:rFonts w:ascii="Times New Roman" w:hAnsi="Times New Roman"/>
      <w:color w:val="000000"/>
      <w:sz w:val="24"/>
      <w:lang w:val="en-US" w:eastAsia="zh-CN"/>
    </w:rPr>
  </w:style>
  <w:style w:type="paragraph" w:customStyle="1" w:styleId="Default">
    <w:name w:val="Default"/>
    <w:rsid w:val="00131C6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Bullet">
    <w:name w:val="List Bullet"/>
    <w:basedOn w:val="Normal"/>
    <w:uiPriority w:val="99"/>
    <w:qFormat/>
    <w:rsid w:val="006633CA"/>
    <w:pPr>
      <w:numPr>
        <w:numId w:val="3"/>
      </w:numPr>
      <w:spacing w:before="120" w:after="180" w:line="240" w:lineRule="atLeast"/>
    </w:pPr>
    <w:rPr>
      <w:rFonts w:ascii="Cambria" w:eastAsia="Cambria" w:hAnsi="Cambria"/>
      <w:color w:val="auto"/>
      <w:sz w:val="22"/>
      <w:szCs w:val="22"/>
      <w:lang w:val="en-AU" w:eastAsia="en-US"/>
    </w:rPr>
  </w:style>
  <w:style w:type="paragraph" w:styleId="ListBullet2">
    <w:name w:val="List Bullet 2"/>
    <w:basedOn w:val="Normal"/>
    <w:uiPriority w:val="99"/>
    <w:qFormat/>
    <w:rsid w:val="006633CA"/>
    <w:pPr>
      <w:numPr>
        <w:ilvl w:val="1"/>
        <w:numId w:val="3"/>
      </w:numPr>
      <w:spacing w:before="120" w:after="180" w:line="240" w:lineRule="atLeast"/>
    </w:pPr>
    <w:rPr>
      <w:rFonts w:ascii="Cambria" w:eastAsia="Cambria" w:hAnsi="Cambria"/>
      <w:color w:val="auto"/>
      <w:sz w:val="22"/>
      <w:szCs w:val="22"/>
      <w:lang w:val="en-AU" w:eastAsia="en-US"/>
    </w:rPr>
  </w:style>
  <w:style w:type="paragraph" w:styleId="ListBullet3">
    <w:name w:val="List Bullet 3"/>
    <w:basedOn w:val="Normal"/>
    <w:uiPriority w:val="99"/>
    <w:qFormat/>
    <w:rsid w:val="006633CA"/>
    <w:pPr>
      <w:numPr>
        <w:ilvl w:val="2"/>
        <w:numId w:val="3"/>
      </w:numPr>
      <w:spacing w:before="120" w:after="180" w:line="240" w:lineRule="atLeast"/>
    </w:pPr>
    <w:rPr>
      <w:rFonts w:ascii="Cambria" w:eastAsia="Cambria" w:hAnsi="Cambria"/>
      <w:color w:val="auto"/>
      <w:sz w:val="22"/>
      <w:szCs w:val="22"/>
      <w:lang w:val="en-AU" w:eastAsia="en-US"/>
    </w:rPr>
  </w:style>
  <w:style w:type="numbering" w:customStyle="1" w:styleId="ListBullets">
    <w:name w:val="ListBullets"/>
    <w:uiPriority w:val="99"/>
    <w:locked/>
    <w:rsid w:val="006633CA"/>
    <w:pPr>
      <w:numPr>
        <w:numId w:val="3"/>
      </w:numPr>
    </w:pPr>
  </w:style>
  <w:style w:type="table" w:styleId="TableGrid">
    <w:name w:val="Table Grid"/>
    <w:basedOn w:val="TableNormal"/>
    <w:uiPriority w:val="59"/>
    <w:rsid w:val="006633CA"/>
    <w:rPr>
      <w:rFonts w:asciiTheme="minorHAnsi" w:eastAsia="Cambr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E2409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4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9AD"/>
    <w:rPr>
      <w:sz w:val="20"/>
    </w:rPr>
  </w:style>
  <w:style w:type="character" w:customStyle="1" w:styleId="CommentTextChar">
    <w:name w:val="Comment Text Char"/>
    <w:link w:val="CommentText"/>
    <w:uiPriority w:val="99"/>
    <w:rsid w:val="00B649AD"/>
    <w:rPr>
      <w:rFonts w:ascii="Times New Roman" w:hAnsi="Times New Roman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9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49AD"/>
    <w:rPr>
      <w:rFonts w:ascii="Times New Roman" w:hAnsi="Times New Roman"/>
      <w:b/>
      <w:bCs/>
      <w:color w:val="000000"/>
      <w:lang w:eastAsia="zh-CN"/>
    </w:rPr>
  </w:style>
  <w:style w:type="paragraph" w:styleId="Revision">
    <w:name w:val="Revision"/>
    <w:hidden/>
    <w:uiPriority w:val="99"/>
    <w:semiHidden/>
    <w:rsid w:val="001C4F30"/>
    <w:rPr>
      <w:rFonts w:ascii="Times New Roman" w:hAnsi="Times New Roman"/>
      <w:color w:val="000000"/>
      <w:sz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D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4D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3304B"/>
    <w:rPr>
      <w:rFonts w:ascii="Times New Roman" w:hAnsi="Times New Roman"/>
      <w:color w:val="000000"/>
      <w:sz w:val="24"/>
      <w:lang w:val="en-US" w:eastAsia="zh-CN"/>
    </w:rPr>
  </w:style>
  <w:style w:type="paragraph" w:customStyle="1" w:styleId="Default">
    <w:name w:val="Default"/>
    <w:rsid w:val="00131C6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Bullet">
    <w:name w:val="List Bullet"/>
    <w:basedOn w:val="Normal"/>
    <w:uiPriority w:val="99"/>
    <w:qFormat/>
    <w:rsid w:val="006633CA"/>
    <w:pPr>
      <w:numPr>
        <w:numId w:val="3"/>
      </w:numPr>
      <w:spacing w:before="120" w:after="180" w:line="240" w:lineRule="atLeast"/>
    </w:pPr>
    <w:rPr>
      <w:rFonts w:ascii="Cambria" w:eastAsia="Cambria" w:hAnsi="Cambria"/>
      <w:color w:val="auto"/>
      <w:sz w:val="22"/>
      <w:szCs w:val="22"/>
      <w:lang w:val="en-AU" w:eastAsia="en-US"/>
    </w:rPr>
  </w:style>
  <w:style w:type="paragraph" w:styleId="ListBullet2">
    <w:name w:val="List Bullet 2"/>
    <w:basedOn w:val="Normal"/>
    <w:uiPriority w:val="99"/>
    <w:qFormat/>
    <w:rsid w:val="006633CA"/>
    <w:pPr>
      <w:numPr>
        <w:ilvl w:val="1"/>
        <w:numId w:val="3"/>
      </w:numPr>
      <w:spacing w:before="120" w:after="180" w:line="240" w:lineRule="atLeast"/>
    </w:pPr>
    <w:rPr>
      <w:rFonts w:ascii="Cambria" w:eastAsia="Cambria" w:hAnsi="Cambria"/>
      <w:color w:val="auto"/>
      <w:sz w:val="22"/>
      <w:szCs w:val="22"/>
      <w:lang w:val="en-AU" w:eastAsia="en-US"/>
    </w:rPr>
  </w:style>
  <w:style w:type="paragraph" w:styleId="ListBullet3">
    <w:name w:val="List Bullet 3"/>
    <w:basedOn w:val="Normal"/>
    <w:uiPriority w:val="99"/>
    <w:qFormat/>
    <w:rsid w:val="006633CA"/>
    <w:pPr>
      <w:numPr>
        <w:ilvl w:val="2"/>
        <w:numId w:val="3"/>
      </w:numPr>
      <w:spacing w:before="120" w:after="180" w:line="240" w:lineRule="atLeast"/>
    </w:pPr>
    <w:rPr>
      <w:rFonts w:ascii="Cambria" w:eastAsia="Cambria" w:hAnsi="Cambria"/>
      <w:color w:val="auto"/>
      <w:sz w:val="22"/>
      <w:szCs w:val="22"/>
      <w:lang w:val="en-AU" w:eastAsia="en-US"/>
    </w:rPr>
  </w:style>
  <w:style w:type="numbering" w:customStyle="1" w:styleId="ListBullets">
    <w:name w:val="ListBullets"/>
    <w:uiPriority w:val="99"/>
    <w:locked/>
    <w:rsid w:val="006633CA"/>
    <w:pPr>
      <w:numPr>
        <w:numId w:val="3"/>
      </w:numPr>
    </w:pPr>
  </w:style>
  <w:style w:type="table" w:styleId="TableGrid">
    <w:name w:val="Table Grid"/>
    <w:basedOn w:val="TableNormal"/>
    <w:uiPriority w:val="59"/>
    <w:rsid w:val="006633CA"/>
    <w:rPr>
      <w:rFonts w:asciiTheme="minorHAnsi" w:eastAsia="Cambr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EDE516B39246838CDD9CB1B314EB" ma:contentTypeVersion="0" ma:contentTypeDescription="Create a new document." ma:contentTypeScope="" ma:versionID="807e00df2f32697c64c2127fdfbf262d">
  <xsd:schema xmlns:xsd="http://www.w3.org/2001/XMLSchema" xmlns:p="http://schemas.microsoft.com/office/2006/metadata/properties" targetNamespace="http://schemas.microsoft.com/office/2006/metadata/properties" ma:root="true" ma:fieldsID="f4d196f5c675f743c82a55ad49450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39CB329-0360-473C-884D-74600FFD5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E9FAD-8B00-4D74-B4D5-F5DD26FE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C9C127-C2B4-4DE3-B279-3A12DDC6B57A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2810</Words>
  <Characters>15981</Characters>
  <Application>Microsoft Office Word</Application>
  <DocSecurity>0</DocSecurity>
  <Lines>532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AusPAR Attachment 1: Product Information for Dapsone</vt:lpstr>
    </vt:vector>
  </TitlesOfParts>
  <Company>Allergan Australia Pty Ltd</Company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Dapsone</dc:title>
  <dc:subject>Prescription medicine</dc:subject>
  <dc:creator>Allergan Australia Pty Ltd</dc:creator>
  <cp:keywords>Auspars</cp:keywords>
  <cp:lastModifiedBy>THOMPSON, Lynette</cp:lastModifiedBy>
  <cp:revision>9</cp:revision>
  <cp:lastPrinted>2015-09-24T07:10:00Z</cp:lastPrinted>
  <dcterms:created xsi:type="dcterms:W3CDTF">2017-01-17T02:08:00Z</dcterms:created>
  <dcterms:modified xsi:type="dcterms:W3CDTF">2017-12-08T16:12:00Z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0x0101001964EDE516B39246838CDD9CB1B314EB</vt:lpwstr>
  </property>
</Properties>
</file>