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2F6D" w14:textId="0A81277A" w:rsidR="004032BD" w:rsidRPr="009C133A" w:rsidRDefault="004032BD" w:rsidP="00DF5E99">
      <w:pPr>
        <w:pStyle w:val="Heading1"/>
        <w:numPr>
          <w:ilvl w:val="0"/>
          <w:numId w:val="0"/>
        </w:numPr>
        <w:spacing w:after="240"/>
        <w:rPr>
          <w:rFonts w:eastAsia="SimSun"/>
        </w:rPr>
      </w:pPr>
      <w:r w:rsidRPr="009C133A">
        <w:rPr>
          <w:rFonts w:eastAsia="SimSun"/>
        </w:rPr>
        <w:t>Australian PI</w:t>
      </w:r>
      <w:r>
        <w:rPr>
          <w:rFonts w:eastAsia="SimSun"/>
        </w:rPr>
        <w:t xml:space="preserve"> –</w:t>
      </w:r>
      <w:r w:rsidR="001D5DE9">
        <w:rPr>
          <w:rFonts w:eastAsia="SimSun"/>
        </w:rPr>
        <w:t xml:space="preserve"> </w:t>
      </w:r>
      <w:r w:rsidR="00F81732">
        <w:rPr>
          <w:rFonts w:eastAsia="SimSun"/>
        </w:rPr>
        <w:t>CUBICIN</w:t>
      </w:r>
      <w:r w:rsidR="00F81732" w:rsidRPr="00F81732">
        <w:rPr>
          <w:rFonts w:eastAsia="SimSun"/>
          <w:vertAlign w:val="superscript"/>
        </w:rPr>
        <w:t>®</w:t>
      </w:r>
      <w:r w:rsidR="001D5DE9" w:rsidRPr="001D5DE9">
        <w:rPr>
          <w:rFonts w:eastAsia="SimSun"/>
        </w:rPr>
        <w:t xml:space="preserve"> </w:t>
      </w:r>
      <w:r w:rsidR="001D5DE9">
        <w:rPr>
          <w:rFonts w:eastAsia="SimSun"/>
        </w:rPr>
        <w:t>(DAPTOMYCIN)</w:t>
      </w:r>
      <w:r w:rsidR="005736A3">
        <w:rPr>
          <w:rFonts w:eastAsia="SimSun"/>
        </w:rPr>
        <w:t xml:space="preserve"> </w:t>
      </w:r>
    </w:p>
    <w:p w14:paraId="04495A31" w14:textId="77777777" w:rsidR="001A3992" w:rsidRDefault="001A3992" w:rsidP="00DF5E99">
      <w:pPr>
        <w:pStyle w:val="Heading1"/>
        <w:spacing w:before="0" w:after="120"/>
        <w:ind w:left="431" w:hanging="431"/>
      </w:pPr>
      <w:r w:rsidRPr="00035C95">
        <w:t>Name of the medicine</w:t>
      </w:r>
    </w:p>
    <w:p w14:paraId="441C6791" w14:textId="6DDF8A3D" w:rsidR="00E22F34" w:rsidRDefault="00E22F34" w:rsidP="00E22F34">
      <w:pPr>
        <w:rPr>
          <w:rFonts w:cs="Times New Roman"/>
          <w:szCs w:val="24"/>
        </w:rPr>
      </w:pPr>
      <w:proofErr w:type="spellStart"/>
      <w:r w:rsidRPr="00E22F34">
        <w:rPr>
          <w:rFonts w:cs="Times New Roman"/>
          <w:szCs w:val="24"/>
        </w:rPr>
        <w:t>daptomycin</w:t>
      </w:r>
      <w:proofErr w:type="spellEnd"/>
      <w:r w:rsidR="005F3B92">
        <w:rPr>
          <w:rFonts w:cs="Times New Roman"/>
          <w:szCs w:val="24"/>
        </w:rPr>
        <w:t xml:space="preserve"> </w:t>
      </w:r>
    </w:p>
    <w:p w14:paraId="0D15CB5E" w14:textId="6581180C" w:rsidR="001A3992" w:rsidRDefault="001A3992" w:rsidP="001A3992">
      <w:pPr>
        <w:pStyle w:val="Heading1"/>
        <w:spacing w:before="0" w:after="120"/>
      </w:pPr>
      <w:r w:rsidRPr="00DE5A80">
        <w:t xml:space="preserve">Qualitative and </w:t>
      </w:r>
      <w:r>
        <w:t>quantitative c</w:t>
      </w:r>
      <w:r w:rsidRPr="00DE5A80">
        <w:t>omposition</w:t>
      </w:r>
    </w:p>
    <w:p w14:paraId="2C2E1F5D" w14:textId="0537156C" w:rsidR="00233C9A" w:rsidRPr="00283E49" w:rsidRDefault="00F23D48" w:rsidP="00233C9A">
      <w:pPr>
        <w:spacing w:after="0" w:line="240" w:lineRule="auto"/>
        <w:rPr>
          <w:rFonts w:cs="Times New Roman"/>
          <w:szCs w:val="24"/>
        </w:rPr>
      </w:pPr>
      <w:r>
        <w:rPr>
          <w:rFonts w:cs="Times New Roman"/>
          <w:szCs w:val="24"/>
        </w:rPr>
        <w:t>CUBICIN</w:t>
      </w:r>
      <w:r w:rsidR="00F24F20" w:rsidRPr="00283E49">
        <w:rPr>
          <w:rFonts w:cs="Times New Roman"/>
          <w:szCs w:val="24"/>
        </w:rPr>
        <w:t xml:space="preserve"> 350 mg powder for injection</w:t>
      </w:r>
    </w:p>
    <w:p w14:paraId="42FCA8E1" w14:textId="2D3D868F" w:rsidR="00F24F20" w:rsidRPr="00283E49" w:rsidRDefault="00F23D48" w:rsidP="00233C9A">
      <w:pPr>
        <w:spacing w:after="0" w:line="240" w:lineRule="auto"/>
        <w:rPr>
          <w:rFonts w:cs="Times New Roman"/>
          <w:szCs w:val="24"/>
        </w:rPr>
      </w:pPr>
      <w:r>
        <w:rPr>
          <w:rFonts w:cs="Times New Roman"/>
          <w:szCs w:val="24"/>
        </w:rPr>
        <w:t>CUBICIN</w:t>
      </w:r>
      <w:r w:rsidR="00F24F20" w:rsidRPr="00283E49">
        <w:rPr>
          <w:rFonts w:cs="Times New Roman"/>
          <w:szCs w:val="24"/>
        </w:rPr>
        <w:t xml:space="preserve"> 500 mg powder for injection</w:t>
      </w:r>
    </w:p>
    <w:p w14:paraId="6900A82E" w14:textId="77777777" w:rsidR="00F24F20" w:rsidRDefault="00F24F20" w:rsidP="00233C9A">
      <w:pPr>
        <w:spacing w:after="0" w:line="240" w:lineRule="auto"/>
        <w:rPr>
          <w:rFonts w:cs="Times New Roman"/>
          <w:szCs w:val="24"/>
          <w:u w:val="single"/>
        </w:rPr>
      </w:pPr>
    </w:p>
    <w:p w14:paraId="08D345EC" w14:textId="769C0C9D" w:rsidR="00233C9A" w:rsidRDefault="00233C9A" w:rsidP="005736A3">
      <w:pPr>
        <w:jc w:val="both"/>
        <w:rPr>
          <w:rFonts w:cs="Times New Roman"/>
          <w:szCs w:val="24"/>
        </w:rPr>
      </w:pPr>
      <w:proofErr w:type="spellStart"/>
      <w:r w:rsidRPr="00CE0740">
        <w:rPr>
          <w:rFonts w:cs="Times New Roman"/>
          <w:szCs w:val="24"/>
        </w:rPr>
        <w:t>Daptomycin</w:t>
      </w:r>
      <w:proofErr w:type="spellEnd"/>
      <w:r w:rsidRPr="00CE0740">
        <w:rPr>
          <w:rFonts w:cs="Times New Roman"/>
          <w:szCs w:val="24"/>
        </w:rPr>
        <w:t xml:space="preserve"> is the active ingredient in</w:t>
      </w:r>
      <w:r w:rsidR="00F0099E">
        <w:rPr>
          <w:rFonts w:cs="Times New Roman"/>
          <w:szCs w:val="24"/>
        </w:rPr>
        <w:t xml:space="preserve"> </w:t>
      </w:r>
      <w:r w:rsidR="00F23D48">
        <w:rPr>
          <w:rFonts w:cs="Times New Roman"/>
          <w:szCs w:val="24"/>
        </w:rPr>
        <w:t>CUBICIN</w:t>
      </w:r>
      <w:r w:rsidRPr="00CE0740">
        <w:rPr>
          <w:rFonts w:cs="Times New Roman"/>
          <w:szCs w:val="24"/>
        </w:rPr>
        <w:t xml:space="preserve">. It is a cyclic </w:t>
      </w:r>
      <w:proofErr w:type="spellStart"/>
      <w:r w:rsidRPr="00CE0740">
        <w:rPr>
          <w:rFonts w:cs="Times New Roman"/>
          <w:szCs w:val="24"/>
        </w:rPr>
        <w:t>lipopeptide</w:t>
      </w:r>
      <w:proofErr w:type="spellEnd"/>
      <w:r w:rsidRPr="00CE0740">
        <w:rPr>
          <w:rFonts w:cs="Times New Roman"/>
          <w:szCs w:val="24"/>
        </w:rPr>
        <w:t xml:space="preserve"> antibacterial agent derived from the fermentation of </w:t>
      </w:r>
      <w:r w:rsidRPr="00CE0740">
        <w:rPr>
          <w:rFonts w:cs="Times New Roman"/>
          <w:i/>
          <w:iCs/>
          <w:szCs w:val="24"/>
        </w:rPr>
        <w:t xml:space="preserve">Streptomyces </w:t>
      </w:r>
      <w:proofErr w:type="spellStart"/>
      <w:r w:rsidRPr="00CE0740">
        <w:rPr>
          <w:rFonts w:cs="Times New Roman"/>
          <w:i/>
          <w:iCs/>
          <w:szCs w:val="24"/>
        </w:rPr>
        <w:t>roseosporus</w:t>
      </w:r>
      <w:proofErr w:type="spellEnd"/>
      <w:r w:rsidRPr="00CE0740">
        <w:rPr>
          <w:rFonts w:cs="Times New Roman"/>
          <w:szCs w:val="24"/>
        </w:rPr>
        <w:t xml:space="preserve">.  </w:t>
      </w:r>
    </w:p>
    <w:tbl>
      <w:tblPr>
        <w:tblStyle w:val="TableGrid"/>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5861"/>
      </w:tblGrid>
      <w:tr w:rsidR="005736A3" w:rsidRPr="00951269" w14:paraId="15496B1B" w14:textId="77777777" w:rsidTr="005736A3">
        <w:tc>
          <w:tcPr>
            <w:tcW w:w="3000" w:type="dxa"/>
          </w:tcPr>
          <w:p w14:paraId="09289340" w14:textId="77777777" w:rsidR="005736A3" w:rsidRPr="00951269" w:rsidRDefault="005736A3" w:rsidP="005736A3">
            <w:pPr>
              <w:pStyle w:val="Heading3"/>
              <w:spacing w:before="0" w:after="120"/>
              <w:ind w:left="0"/>
              <w:outlineLvl w:val="2"/>
              <w:rPr>
                <w:rFonts w:ascii="Times New Roman" w:hAnsi="Times New Roman" w:cs="Times New Roman"/>
                <w:b w:val="0"/>
                <w:szCs w:val="24"/>
                <w:lang w:val="en-US"/>
              </w:rPr>
            </w:pPr>
            <w:r w:rsidRPr="00951269">
              <w:rPr>
                <w:rFonts w:ascii="Times New Roman" w:hAnsi="Times New Roman" w:cs="Times New Roman"/>
                <w:b w:val="0"/>
                <w:szCs w:val="24"/>
                <w:lang w:val="en-US"/>
              </w:rPr>
              <w:t>Active ingredient</w:t>
            </w:r>
            <w:r>
              <w:rPr>
                <w:rFonts w:ascii="Times New Roman" w:hAnsi="Times New Roman" w:cs="Times New Roman"/>
                <w:b w:val="0"/>
                <w:szCs w:val="24"/>
                <w:lang w:val="en-US"/>
              </w:rPr>
              <w:t>:</w:t>
            </w:r>
          </w:p>
        </w:tc>
        <w:tc>
          <w:tcPr>
            <w:tcW w:w="6015" w:type="dxa"/>
          </w:tcPr>
          <w:p w14:paraId="74A5BCD0" w14:textId="77777777" w:rsidR="005736A3" w:rsidRPr="00951269" w:rsidRDefault="005736A3" w:rsidP="005736A3">
            <w:pPr>
              <w:pStyle w:val="Heading3"/>
              <w:spacing w:before="0" w:after="120"/>
              <w:ind w:left="0"/>
              <w:outlineLvl w:val="2"/>
              <w:rPr>
                <w:rFonts w:ascii="Times New Roman" w:hAnsi="Times New Roman" w:cs="Times New Roman"/>
                <w:b w:val="0"/>
                <w:szCs w:val="24"/>
                <w:lang w:val="en-US"/>
              </w:rPr>
            </w:pPr>
            <w:proofErr w:type="spellStart"/>
            <w:r>
              <w:rPr>
                <w:rFonts w:ascii="Times New Roman" w:hAnsi="Times New Roman" w:cs="Times New Roman"/>
                <w:b w:val="0"/>
                <w:szCs w:val="24"/>
                <w:lang w:val="en-US"/>
              </w:rPr>
              <w:t>daptomycin</w:t>
            </w:r>
            <w:proofErr w:type="spellEnd"/>
          </w:p>
        </w:tc>
      </w:tr>
      <w:tr w:rsidR="005736A3" w:rsidRPr="00951269" w14:paraId="5F58C029" w14:textId="77777777" w:rsidTr="005736A3">
        <w:tc>
          <w:tcPr>
            <w:tcW w:w="3000" w:type="dxa"/>
          </w:tcPr>
          <w:p w14:paraId="3C9EA1BB" w14:textId="77777777" w:rsidR="005736A3" w:rsidRPr="00951269" w:rsidRDefault="005736A3" w:rsidP="005736A3">
            <w:pPr>
              <w:pStyle w:val="Heading3"/>
              <w:spacing w:before="0" w:after="120"/>
              <w:ind w:left="0"/>
              <w:outlineLvl w:val="2"/>
              <w:rPr>
                <w:rFonts w:ascii="Times New Roman" w:hAnsi="Times New Roman" w:cs="Times New Roman"/>
                <w:b w:val="0"/>
                <w:szCs w:val="24"/>
                <w:lang w:val="en-US"/>
              </w:rPr>
            </w:pPr>
            <w:r>
              <w:rPr>
                <w:rFonts w:ascii="Times New Roman" w:hAnsi="Times New Roman" w:cs="Times New Roman"/>
                <w:b w:val="0"/>
                <w:szCs w:val="24"/>
                <w:lang w:val="en-US"/>
              </w:rPr>
              <w:t>Chemical names:</w:t>
            </w:r>
          </w:p>
        </w:tc>
        <w:tc>
          <w:tcPr>
            <w:tcW w:w="6015" w:type="dxa"/>
          </w:tcPr>
          <w:p w14:paraId="2CAF623E" w14:textId="77777777" w:rsidR="005736A3" w:rsidRPr="00951269" w:rsidRDefault="005736A3" w:rsidP="005736A3">
            <w:pPr>
              <w:rPr>
                <w:b/>
                <w:szCs w:val="24"/>
                <w:lang w:val="en-US"/>
              </w:rPr>
            </w:pPr>
            <w:r w:rsidRPr="00951269">
              <w:rPr>
                <w:szCs w:val="24"/>
                <w:lang w:val="en-US"/>
              </w:rPr>
              <w:t>N-</w:t>
            </w:r>
            <w:proofErr w:type="spellStart"/>
            <w:r w:rsidRPr="00951269">
              <w:rPr>
                <w:szCs w:val="24"/>
                <w:lang w:val="en-US"/>
              </w:rPr>
              <w:t>decanoly</w:t>
            </w:r>
            <w:proofErr w:type="spellEnd"/>
            <w:r w:rsidRPr="00951269">
              <w:rPr>
                <w:szCs w:val="24"/>
                <w:lang w:val="en-US"/>
              </w:rPr>
              <w:t>-L-</w:t>
            </w:r>
            <w:r w:rsidRPr="00951269">
              <w:rPr>
                <w:szCs w:val="24"/>
              </w:rPr>
              <w:t xml:space="preserve"> </w:t>
            </w:r>
            <w:proofErr w:type="spellStart"/>
            <w:r w:rsidRPr="00951269">
              <w:rPr>
                <w:szCs w:val="24"/>
              </w:rPr>
              <w:t>tryptophyl</w:t>
            </w:r>
            <w:proofErr w:type="spellEnd"/>
            <w:r w:rsidRPr="00951269">
              <w:rPr>
                <w:szCs w:val="24"/>
              </w:rPr>
              <w:t>-D-</w:t>
            </w:r>
            <w:proofErr w:type="spellStart"/>
            <w:r w:rsidRPr="00951269">
              <w:rPr>
                <w:szCs w:val="24"/>
              </w:rPr>
              <w:t>asparaginyl</w:t>
            </w:r>
            <w:proofErr w:type="spellEnd"/>
            <w:r w:rsidRPr="00951269">
              <w:rPr>
                <w:szCs w:val="24"/>
              </w:rPr>
              <w:t>-L-aspartyl-L-</w:t>
            </w:r>
            <w:proofErr w:type="spellStart"/>
            <w:r w:rsidRPr="00951269">
              <w:rPr>
                <w:szCs w:val="24"/>
              </w:rPr>
              <w:t>threonylglycyl</w:t>
            </w:r>
            <w:proofErr w:type="spellEnd"/>
            <w:r w:rsidRPr="00951269">
              <w:rPr>
                <w:szCs w:val="24"/>
              </w:rPr>
              <w:t>- L-ornithyl-L-aspartyl-D-alanyl-L-aspartylglycyl-D-seryl-</w:t>
            </w:r>
            <w:r w:rsidRPr="00951269">
              <w:rPr>
                <w:i/>
                <w:szCs w:val="24"/>
              </w:rPr>
              <w:t>threo</w:t>
            </w:r>
            <w:r w:rsidRPr="00951269">
              <w:rPr>
                <w:szCs w:val="24"/>
              </w:rPr>
              <w:t xml:space="preserve">-3- methyl-L-glutamyl-3-anthraniloyl-L-alanine </w:t>
            </w:r>
            <w:r w:rsidRPr="00951269">
              <w:rPr>
                <w:szCs w:val="24"/>
              </w:rPr>
              <w:sym w:font="Symbol" w:char="F065"/>
            </w:r>
            <w:r w:rsidRPr="00951269">
              <w:rPr>
                <w:szCs w:val="24"/>
                <w:vertAlign w:val="subscript"/>
              </w:rPr>
              <w:t>1</w:t>
            </w:r>
            <w:r w:rsidRPr="00951269">
              <w:rPr>
                <w:szCs w:val="24"/>
              </w:rPr>
              <w:noBreakHyphen/>
              <w:t>lactone</w:t>
            </w:r>
          </w:p>
        </w:tc>
      </w:tr>
      <w:tr w:rsidR="005736A3" w:rsidRPr="00951269" w14:paraId="1970205C" w14:textId="77777777" w:rsidTr="005736A3">
        <w:tc>
          <w:tcPr>
            <w:tcW w:w="3000" w:type="dxa"/>
          </w:tcPr>
          <w:p w14:paraId="6AD0C45A" w14:textId="77777777" w:rsidR="005736A3" w:rsidRPr="00951269" w:rsidRDefault="005736A3" w:rsidP="005736A3">
            <w:pPr>
              <w:pStyle w:val="Heading3"/>
              <w:spacing w:before="0" w:after="120"/>
              <w:ind w:left="0"/>
              <w:outlineLvl w:val="2"/>
              <w:rPr>
                <w:rFonts w:ascii="Times New Roman" w:hAnsi="Times New Roman" w:cs="Times New Roman"/>
                <w:b w:val="0"/>
                <w:szCs w:val="24"/>
                <w:lang w:val="en-US"/>
              </w:rPr>
            </w:pPr>
            <w:r>
              <w:rPr>
                <w:rFonts w:ascii="Times New Roman" w:hAnsi="Times New Roman" w:cs="Times New Roman"/>
                <w:b w:val="0"/>
                <w:szCs w:val="24"/>
                <w:lang w:val="en-US"/>
              </w:rPr>
              <w:t>Molecular weight:</w:t>
            </w:r>
          </w:p>
        </w:tc>
        <w:tc>
          <w:tcPr>
            <w:tcW w:w="6015" w:type="dxa"/>
          </w:tcPr>
          <w:p w14:paraId="66099A44" w14:textId="77777777" w:rsidR="005736A3" w:rsidRPr="00951269" w:rsidRDefault="005736A3" w:rsidP="005736A3">
            <w:pPr>
              <w:pStyle w:val="Heading3"/>
              <w:spacing w:before="0" w:after="120"/>
              <w:ind w:left="0"/>
              <w:outlineLvl w:val="2"/>
              <w:rPr>
                <w:rFonts w:ascii="Times New Roman" w:hAnsi="Times New Roman" w:cs="Times New Roman"/>
                <w:b w:val="0"/>
                <w:szCs w:val="24"/>
                <w:lang w:val="en-US"/>
              </w:rPr>
            </w:pPr>
            <w:r>
              <w:rPr>
                <w:rFonts w:ascii="Times New Roman" w:hAnsi="Times New Roman" w:cs="Times New Roman"/>
                <w:b w:val="0"/>
                <w:szCs w:val="24"/>
                <w:lang w:val="en-US"/>
              </w:rPr>
              <w:t>1620.67</w:t>
            </w:r>
          </w:p>
        </w:tc>
      </w:tr>
      <w:tr w:rsidR="005736A3" w:rsidRPr="00951269" w14:paraId="25B88350" w14:textId="77777777" w:rsidTr="005736A3">
        <w:tc>
          <w:tcPr>
            <w:tcW w:w="3000" w:type="dxa"/>
          </w:tcPr>
          <w:p w14:paraId="7D963459" w14:textId="77777777" w:rsidR="005736A3" w:rsidRPr="00951269" w:rsidRDefault="005736A3" w:rsidP="005736A3">
            <w:pPr>
              <w:pStyle w:val="Heading3"/>
              <w:spacing w:before="0" w:after="120"/>
              <w:ind w:left="0"/>
              <w:outlineLvl w:val="2"/>
              <w:rPr>
                <w:rFonts w:ascii="Times New Roman" w:hAnsi="Times New Roman" w:cs="Times New Roman"/>
                <w:b w:val="0"/>
                <w:szCs w:val="24"/>
                <w:lang w:val="en-US"/>
              </w:rPr>
            </w:pPr>
            <w:r>
              <w:rPr>
                <w:rFonts w:ascii="Times New Roman" w:hAnsi="Times New Roman" w:cs="Times New Roman"/>
                <w:b w:val="0"/>
                <w:szCs w:val="24"/>
                <w:lang w:val="en-US"/>
              </w:rPr>
              <w:t>Molecular formula</w:t>
            </w:r>
          </w:p>
        </w:tc>
        <w:tc>
          <w:tcPr>
            <w:tcW w:w="6015" w:type="dxa"/>
          </w:tcPr>
          <w:p w14:paraId="06632CC0" w14:textId="77777777" w:rsidR="005736A3" w:rsidRPr="00951269" w:rsidRDefault="005736A3" w:rsidP="005736A3">
            <w:pPr>
              <w:widowControl w:val="0"/>
              <w:tabs>
                <w:tab w:val="left" w:pos="0"/>
              </w:tabs>
              <w:autoSpaceDE w:val="0"/>
              <w:autoSpaceDN w:val="0"/>
              <w:adjustRightInd w:val="0"/>
              <w:spacing w:line="320" w:lineRule="atLeast"/>
              <w:jc w:val="both"/>
              <w:rPr>
                <w:b/>
                <w:szCs w:val="24"/>
                <w:lang w:val="en-US"/>
              </w:rPr>
            </w:pPr>
            <w:r w:rsidRPr="00951269">
              <w:t>C</w:t>
            </w:r>
            <w:r w:rsidRPr="00951269">
              <w:rPr>
                <w:vertAlign w:val="subscript"/>
              </w:rPr>
              <w:t>72</w:t>
            </w:r>
            <w:r w:rsidRPr="00951269">
              <w:t>H</w:t>
            </w:r>
            <w:r w:rsidRPr="00951269">
              <w:rPr>
                <w:vertAlign w:val="subscript"/>
              </w:rPr>
              <w:t>101</w:t>
            </w:r>
            <w:r w:rsidRPr="00951269">
              <w:t>N</w:t>
            </w:r>
            <w:r w:rsidRPr="00951269">
              <w:rPr>
                <w:vertAlign w:val="subscript"/>
              </w:rPr>
              <w:t>17</w:t>
            </w:r>
            <w:r w:rsidRPr="00951269">
              <w:t>O</w:t>
            </w:r>
            <w:r w:rsidRPr="00951269">
              <w:rPr>
                <w:vertAlign w:val="subscript"/>
              </w:rPr>
              <w:t>26</w:t>
            </w:r>
          </w:p>
        </w:tc>
      </w:tr>
    </w:tbl>
    <w:p w14:paraId="11E2DB7A" w14:textId="77777777" w:rsidR="007451BB" w:rsidRDefault="007451BB" w:rsidP="007451BB">
      <w:pPr>
        <w:spacing w:after="0" w:line="240" w:lineRule="auto"/>
        <w:rPr>
          <w:rFonts w:cs="Times New Roman"/>
          <w:szCs w:val="24"/>
        </w:rPr>
      </w:pPr>
    </w:p>
    <w:p w14:paraId="55D498BD" w14:textId="77777777" w:rsidR="00233C9A" w:rsidRDefault="00233C9A" w:rsidP="00DC7758">
      <w:pPr>
        <w:spacing w:after="0" w:line="240" w:lineRule="auto"/>
        <w:jc w:val="both"/>
        <w:rPr>
          <w:rFonts w:cs="Times New Roman"/>
          <w:szCs w:val="24"/>
        </w:rPr>
      </w:pPr>
    </w:p>
    <w:p w14:paraId="0D141872" w14:textId="2B2FB791" w:rsidR="00233C9A" w:rsidRDefault="00F23D48" w:rsidP="005736A3">
      <w:pPr>
        <w:jc w:val="both"/>
        <w:rPr>
          <w:rFonts w:cs="Times New Roman"/>
          <w:szCs w:val="24"/>
        </w:rPr>
      </w:pPr>
      <w:r>
        <w:rPr>
          <w:rFonts w:cs="Times New Roman"/>
          <w:szCs w:val="24"/>
        </w:rPr>
        <w:t>CUBICIN</w:t>
      </w:r>
      <w:r w:rsidR="00233C9A" w:rsidRPr="00233C9A">
        <w:rPr>
          <w:rFonts w:cs="Times New Roman"/>
          <w:szCs w:val="24"/>
        </w:rPr>
        <w:t xml:space="preserve"> is supplied in a single-</w:t>
      </w:r>
      <w:r w:rsidR="001A5FB1">
        <w:rPr>
          <w:rFonts w:cs="Times New Roman"/>
          <w:szCs w:val="24"/>
        </w:rPr>
        <w:t>dose</w:t>
      </w:r>
      <w:r w:rsidR="00233C9A" w:rsidRPr="00233C9A">
        <w:rPr>
          <w:rFonts w:cs="Times New Roman"/>
          <w:szCs w:val="24"/>
        </w:rPr>
        <w:t xml:space="preserve"> 10 mL vial, as a sterile, preservative-free, pale yellow to light brown, lyophilised cake or powder containing </w:t>
      </w:r>
      <w:r w:rsidR="00937E44">
        <w:rPr>
          <w:rFonts w:cs="Times New Roman"/>
          <w:szCs w:val="24"/>
        </w:rPr>
        <w:t xml:space="preserve">350 mg or </w:t>
      </w:r>
      <w:r w:rsidR="000B2695">
        <w:rPr>
          <w:rFonts w:cs="Times New Roman"/>
          <w:szCs w:val="24"/>
        </w:rPr>
        <w:t>5</w:t>
      </w:r>
      <w:r w:rsidR="00233C9A" w:rsidRPr="00233C9A">
        <w:rPr>
          <w:rFonts w:cs="Times New Roman"/>
          <w:szCs w:val="24"/>
        </w:rPr>
        <w:t xml:space="preserve">00 mg of </w:t>
      </w:r>
      <w:proofErr w:type="spellStart"/>
      <w:r w:rsidR="00233C9A" w:rsidRPr="00233C9A">
        <w:rPr>
          <w:rFonts w:cs="Times New Roman"/>
          <w:szCs w:val="24"/>
        </w:rPr>
        <w:t>daptomycin</w:t>
      </w:r>
      <w:proofErr w:type="spellEnd"/>
      <w:r w:rsidR="00233C9A" w:rsidRPr="00233C9A">
        <w:rPr>
          <w:rFonts w:cs="Times New Roman"/>
          <w:szCs w:val="24"/>
        </w:rPr>
        <w:t xml:space="preserve"> for intravenous (IV) use following reconstitution with 0.9 % sodium chloride injection.  </w:t>
      </w:r>
    </w:p>
    <w:p w14:paraId="10573EF6" w14:textId="77777777" w:rsidR="002234C1" w:rsidRDefault="00233C9A" w:rsidP="005736A3">
      <w:pPr>
        <w:jc w:val="both"/>
        <w:rPr>
          <w:rFonts w:cs="Times New Roman"/>
          <w:szCs w:val="24"/>
        </w:rPr>
      </w:pPr>
      <w:proofErr w:type="spellStart"/>
      <w:r w:rsidRPr="00233C9A">
        <w:rPr>
          <w:rFonts w:cs="Times New Roman"/>
          <w:szCs w:val="24"/>
        </w:rPr>
        <w:t>Daptomycin</w:t>
      </w:r>
      <w:proofErr w:type="spellEnd"/>
      <w:r w:rsidRPr="00233C9A">
        <w:rPr>
          <w:rFonts w:cs="Times New Roman"/>
          <w:szCs w:val="24"/>
        </w:rPr>
        <w:t xml:space="preserve"> has a high aqueous solubility (</w:t>
      </w:r>
      <w:r w:rsidRPr="00233C9A">
        <w:rPr>
          <w:rFonts w:cs="Times New Roman"/>
          <w:szCs w:val="24"/>
        </w:rPr>
        <w:sym w:font="Symbol" w:char="F03E"/>
      </w:r>
      <w:r w:rsidRPr="00233C9A">
        <w:rPr>
          <w:rFonts w:cs="Times New Roman"/>
          <w:szCs w:val="24"/>
        </w:rPr>
        <w:t> 1 g/mL).</w:t>
      </w:r>
    </w:p>
    <w:p w14:paraId="2BE76F28" w14:textId="05279267" w:rsidR="00652C3C" w:rsidRPr="00E22F34" w:rsidRDefault="00DB11B6" w:rsidP="005736A3">
      <w:pPr>
        <w:jc w:val="both"/>
        <w:rPr>
          <w:rFonts w:cs="Times New Roman"/>
          <w:szCs w:val="24"/>
        </w:rPr>
      </w:pPr>
      <w:r>
        <w:rPr>
          <w:rFonts w:cs="Times New Roman"/>
          <w:szCs w:val="24"/>
        </w:rPr>
        <w:t>The only inactive ingredient is sodium hydroxide, which is used in minimal quantities for pH adjustment.</w:t>
      </w:r>
    </w:p>
    <w:p w14:paraId="3A41500F" w14:textId="5DE6DD14" w:rsidR="007451BB" w:rsidRPr="00652C3C" w:rsidRDefault="007451BB" w:rsidP="00652C3C">
      <w:pPr>
        <w:spacing w:after="0" w:line="240" w:lineRule="auto"/>
      </w:pPr>
    </w:p>
    <w:p w14:paraId="18278628" w14:textId="2574CF43" w:rsidR="001A3992" w:rsidRDefault="001A3992" w:rsidP="001A3992">
      <w:pPr>
        <w:pStyle w:val="Heading1"/>
        <w:spacing w:before="0" w:after="120"/>
      </w:pPr>
      <w:r w:rsidRPr="00035C95">
        <w:t>Pharmaceutical form</w:t>
      </w:r>
    </w:p>
    <w:p w14:paraId="472CB1DE" w14:textId="2D620A86" w:rsidR="007451BB" w:rsidRPr="00E22F34" w:rsidRDefault="007451BB" w:rsidP="00DC7758">
      <w:pPr>
        <w:spacing w:after="0" w:line="240" w:lineRule="auto"/>
        <w:jc w:val="both"/>
        <w:rPr>
          <w:rFonts w:cs="Times New Roman"/>
          <w:szCs w:val="24"/>
        </w:rPr>
      </w:pPr>
      <w:r>
        <w:rPr>
          <w:rFonts w:cs="Times New Roman"/>
          <w:szCs w:val="24"/>
        </w:rPr>
        <w:t>Powder for injection.</w:t>
      </w:r>
    </w:p>
    <w:p w14:paraId="3E25D964" w14:textId="0395BF44" w:rsidR="00E50663" w:rsidRDefault="00E50663" w:rsidP="00DC7758">
      <w:pPr>
        <w:spacing w:after="0" w:line="240" w:lineRule="auto"/>
        <w:jc w:val="both"/>
      </w:pPr>
      <w:r w:rsidRPr="00E22F34">
        <w:rPr>
          <w:rFonts w:cs="Times New Roman"/>
          <w:szCs w:val="24"/>
        </w:rPr>
        <w:t>Sterile, preservative-free, pale yellow to light brown, lyophilised cake or powder</w:t>
      </w:r>
      <w:r w:rsidR="00B87760">
        <w:rPr>
          <w:rFonts w:cs="Times New Roman"/>
          <w:szCs w:val="24"/>
        </w:rPr>
        <w:t>.</w:t>
      </w:r>
    </w:p>
    <w:p w14:paraId="07B81CE6" w14:textId="4D119D88" w:rsidR="00E50663" w:rsidRPr="00E50663" w:rsidRDefault="00E50663" w:rsidP="00E50663">
      <w:pPr>
        <w:spacing w:after="0" w:line="240" w:lineRule="auto"/>
      </w:pPr>
      <w:r>
        <w:t xml:space="preserve"> </w:t>
      </w:r>
    </w:p>
    <w:p w14:paraId="3F525811" w14:textId="77777777" w:rsidR="001A3992" w:rsidRDefault="001A3992" w:rsidP="001A3992">
      <w:pPr>
        <w:pStyle w:val="Heading1"/>
        <w:spacing w:before="0" w:after="120"/>
      </w:pPr>
      <w:r w:rsidRPr="00035C95">
        <w:t>Clinical particulars</w:t>
      </w:r>
    </w:p>
    <w:p w14:paraId="55094C1B" w14:textId="77777777" w:rsidR="001A3992" w:rsidRDefault="001A3992" w:rsidP="001A3992">
      <w:pPr>
        <w:pStyle w:val="Heading2"/>
        <w:spacing w:before="0" w:after="120"/>
      </w:pPr>
      <w:r>
        <w:t xml:space="preserve">Therapeutic indications </w:t>
      </w:r>
    </w:p>
    <w:p w14:paraId="5C37EE36" w14:textId="2B984F36" w:rsidR="00533210" w:rsidRDefault="00533210" w:rsidP="00533210">
      <w:pPr>
        <w:jc w:val="both"/>
        <w:rPr>
          <w:rFonts w:cs="Times New Roman"/>
          <w:szCs w:val="24"/>
        </w:rPr>
      </w:pPr>
      <w:proofErr w:type="spellStart"/>
      <w:r>
        <w:rPr>
          <w:rFonts w:cs="Times New Roman"/>
          <w:szCs w:val="24"/>
        </w:rPr>
        <w:t>Daptomycin</w:t>
      </w:r>
      <w:proofErr w:type="spellEnd"/>
      <w:r>
        <w:rPr>
          <w:rFonts w:cs="Times New Roman"/>
          <w:szCs w:val="24"/>
        </w:rPr>
        <w:t xml:space="preserve"> is active against Gram pos</w:t>
      </w:r>
      <w:r w:rsidR="0059713D">
        <w:rPr>
          <w:rFonts w:cs="Times New Roman"/>
          <w:szCs w:val="24"/>
        </w:rPr>
        <w:t>i</w:t>
      </w:r>
      <w:r>
        <w:rPr>
          <w:rFonts w:cs="Times New Roman"/>
          <w:szCs w:val="24"/>
        </w:rPr>
        <w:t xml:space="preserve">tive bacteria only.  In mixed infections where Gram negative and/or certain types of anaerobic bacteria are suspected, </w:t>
      </w:r>
      <w:proofErr w:type="spellStart"/>
      <w:r>
        <w:rPr>
          <w:rFonts w:cs="Times New Roman"/>
          <w:szCs w:val="24"/>
        </w:rPr>
        <w:t>Daptomycin</w:t>
      </w:r>
      <w:proofErr w:type="spellEnd"/>
      <w:r>
        <w:rPr>
          <w:rFonts w:cs="Times New Roman"/>
          <w:szCs w:val="24"/>
        </w:rPr>
        <w:t xml:space="preserve"> should be co-administered with appropriate antibacterial agent(s).</w:t>
      </w:r>
    </w:p>
    <w:p w14:paraId="7C7A431D" w14:textId="77777777" w:rsidR="005C05F7" w:rsidRPr="00E22F34" w:rsidRDefault="005C05F7" w:rsidP="005C05F7">
      <w:pPr>
        <w:jc w:val="both"/>
        <w:rPr>
          <w:rFonts w:cs="Times New Roman"/>
          <w:szCs w:val="24"/>
        </w:rPr>
      </w:pPr>
      <w:r w:rsidRPr="00E22F34">
        <w:rPr>
          <w:rFonts w:cs="Times New Roman"/>
          <w:szCs w:val="24"/>
        </w:rPr>
        <w:lastRenderedPageBreak/>
        <w:t>Consideration should be given to official guidance on the appropriate use of antibacterial agents.</w:t>
      </w:r>
    </w:p>
    <w:p w14:paraId="2D67432E" w14:textId="341E0606" w:rsidR="00533210" w:rsidRDefault="007F3F23" w:rsidP="00DC7758">
      <w:pPr>
        <w:jc w:val="both"/>
        <w:rPr>
          <w:rFonts w:cs="Times New Roman"/>
          <w:szCs w:val="24"/>
        </w:rPr>
      </w:pPr>
      <w:proofErr w:type="spellStart"/>
      <w:r w:rsidRPr="00E22F34">
        <w:rPr>
          <w:rFonts w:cs="Times New Roman"/>
          <w:szCs w:val="24"/>
        </w:rPr>
        <w:t>Daptomycin</w:t>
      </w:r>
      <w:proofErr w:type="spellEnd"/>
      <w:r w:rsidRPr="00E22F34">
        <w:rPr>
          <w:rFonts w:cs="Times New Roman"/>
          <w:szCs w:val="24"/>
        </w:rPr>
        <w:t xml:space="preserve"> is not indicated for the treatment of pneumonia.</w:t>
      </w:r>
    </w:p>
    <w:p w14:paraId="2D90D4EE" w14:textId="33C250F2" w:rsidR="00533210" w:rsidRPr="007224C9" w:rsidRDefault="00533210" w:rsidP="00DC7758">
      <w:pPr>
        <w:jc w:val="both"/>
        <w:rPr>
          <w:rFonts w:cs="Times New Roman"/>
          <w:szCs w:val="24"/>
          <w:u w:val="single"/>
        </w:rPr>
      </w:pPr>
      <w:r w:rsidRPr="007224C9">
        <w:rPr>
          <w:rFonts w:cs="Times New Roman"/>
          <w:szCs w:val="24"/>
          <w:u w:val="single"/>
        </w:rPr>
        <w:t>Adult patients (≥18 years of age)</w:t>
      </w:r>
    </w:p>
    <w:p w14:paraId="39B00659" w14:textId="2B5EC08B" w:rsidR="001A5FB1" w:rsidRDefault="001A5FB1" w:rsidP="00DC7758">
      <w:pPr>
        <w:jc w:val="both"/>
        <w:rPr>
          <w:rFonts w:cs="Times New Roman"/>
          <w:szCs w:val="24"/>
        </w:rPr>
      </w:pPr>
      <w:r w:rsidRPr="007224C9">
        <w:rPr>
          <w:rFonts w:cs="Times New Roman"/>
          <w:i/>
          <w:szCs w:val="24"/>
          <w:u w:val="single"/>
        </w:rPr>
        <w:t>Complicated Skin and Skin Structure Infections</w:t>
      </w:r>
    </w:p>
    <w:p w14:paraId="025AB223" w14:textId="366E7501" w:rsidR="003B5F06" w:rsidRPr="00E22F34" w:rsidRDefault="00F23D48" w:rsidP="00DC7758">
      <w:pPr>
        <w:jc w:val="both"/>
        <w:rPr>
          <w:rFonts w:cs="Times New Roman"/>
          <w:szCs w:val="24"/>
        </w:rPr>
      </w:pPr>
      <w:r>
        <w:rPr>
          <w:rFonts w:cs="Times New Roman"/>
          <w:szCs w:val="24"/>
        </w:rPr>
        <w:t>CUBICIN</w:t>
      </w:r>
      <w:r w:rsidR="003B5F06" w:rsidRPr="00E22F34">
        <w:rPr>
          <w:rFonts w:cs="Times New Roman"/>
          <w:szCs w:val="24"/>
        </w:rPr>
        <w:t xml:space="preserve"> is indicated for the treatment of adults </w:t>
      </w:r>
      <w:r w:rsidR="00533210">
        <w:rPr>
          <w:rFonts w:cs="Times New Roman"/>
          <w:szCs w:val="24"/>
        </w:rPr>
        <w:t xml:space="preserve">(≥ 18 years of age) </w:t>
      </w:r>
      <w:r w:rsidR="003B5F06" w:rsidRPr="00E22F34">
        <w:rPr>
          <w:rFonts w:cs="Times New Roman"/>
          <w:szCs w:val="24"/>
        </w:rPr>
        <w:t>with complicated skin and skin structure infections (</w:t>
      </w:r>
      <w:proofErr w:type="spellStart"/>
      <w:r w:rsidR="003B5F06" w:rsidRPr="00E22F34">
        <w:rPr>
          <w:rFonts w:cs="Times New Roman"/>
          <w:szCs w:val="24"/>
        </w:rPr>
        <w:t>cSSSI</w:t>
      </w:r>
      <w:proofErr w:type="spellEnd"/>
      <w:r w:rsidR="003B5F06" w:rsidRPr="00E22F34">
        <w:rPr>
          <w:rFonts w:cs="Times New Roman"/>
          <w:szCs w:val="24"/>
        </w:rPr>
        <w:t xml:space="preserve">) who require parenteral therapy and who have intolerance to alternative agents (especially penicillin allergy) or who have failed on other therapy, and when caused by organisms known to be susceptible to </w:t>
      </w:r>
      <w:proofErr w:type="spellStart"/>
      <w:r w:rsidR="003B5F06" w:rsidRPr="00E22F34">
        <w:rPr>
          <w:rFonts w:cs="Times New Roman"/>
          <w:szCs w:val="24"/>
        </w:rPr>
        <w:t>daptomycin</w:t>
      </w:r>
      <w:proofErr w:type="spellEnd"/>
      <w:r w:rsidR="003B5F06" w:rsidRPr="00E22F34">
        <w:rPr>
          <w:rFonts w:cs="Times New Roman"/>
          <w:szCs w:val="24"/>
        </w:rPr>
        <w:t>.</w:t>
      </w:r>
    </w:p>
    <w:p w14:paraId="2301C59F" w14:textId="343B6856" w:rsidR="001A5FB1" w:rsidRPr="007224C9" w:rsidRDefault="001A5FB1" w:rsidP="00DC7758">
      <w:pPr>
        <w:jc w:val="both"/>
        <w:rPr>
          <w:rFonts w:cs="Times New Roman"/>
          <w:i/>
          <w:szCs w:val="24"/>
          <w:u w:val="single"/>
        </w:rPr>
      </w:pPr>
      <w:r w:rsidRPr="007224C9">
        <w:rPr>
          <w:rFonts w:cs="Times New Roman"/>
          <w:i/>
          <w:szCs w:val="24"/>
          <w:u w:val="single"/>
        </w:rPr>
        <w:t>Staphylococcus aureus Bloodstream Infections (Bacteraemia)</w:t>
      </w:r>
    </w:p>
    <w:p w14:paraId="6F6CDBB6" w14:textId="16270278" w:rsidR="00781390" w:rsidRDefault="00F23D48" w:rsidP="00DC7758">
      <w:pPr>
        <w:jc w:val="both"/>
        <w:rPr>
          <w:rFonts w:cs="Times New Roman"/>
          <w:szCs w:val="24"/>
        </w:rPr>
      </w:pPr>
      <w:r>
        <w:rPr>
          <w:rFonts w:cs="Times New Roman"/>
          <w:szCs w:val="24"/>
        </w:rPr>
        <w:t>CUBICIN</w:t>
      </w:r>
      <w:r w:rsidR="003B5F06" w:rsidRPr="00E22F34">
        <w:rPr>
          <w:rFonts w:cs="Times New Roman"/>
          <w:szCs w:val="24"/>
        </w:rPr>
        <w:t xml:space="preserve"> is indicated in adults</w:t>
      </w:r>
      <w:r w:rsidR="001A5FB1">
        <w:rPr>
          <w:rFonts w:cs="Times New Roman"/>
          <w:szCs w:val="24"/>
        </w:rPr>
        <w:t xml:space="preserve"> (≥18 years of age)</w:t>
      </w:r>
      <w:r w:rsidR="003B5F06" w:rsidRPr="00E22F34">
        <w:rPr>
          <w:rFonts w:cs="Times New Roman"/>
          <w:szCs w:val="24"/>
        </w:rPr>
        <w:t xml:space="preserve"> for </w:t>
      </w:r>
      <w:r w:rsidR="003B5F06" w:rsidRPr="00E22F34">
        <w:rPr>
          <w:rFonts w:cs="Times New Roman"/>
          <w:i/>
          <w:iCs/>
          <w:szCs w:val="24"/>
        </w:rPr>
        <w:t xml:space="preserve">Staphylococcus aureus </w:t>
      </w:r>
      <w:r w:rsidR="003B5F06" w:rsidRPr="00E22F34">
        <w:rPr>
          <w:rFonts w:cs="Times New Roman"/>
          <w:szCs w:val="24"/>
        </w:rPr>
        <w:t xml:space="preserve">bloodstream infections (bacteraemia), including right-sided native valve infective endocarditis (RIE), caused by methicillin-susceptible and methicillin-resistant isolates.  </w:t>
      </w:r>
    </w:p>
    <w:p w14:paraId="6668795E" w14:textId="71967E59" w:rsidR="001A5FB1" w:rsidRPr="00E22F34" w:rsidRDefault="001A5FB1" w:rsidP="001A5FB1">
      <w:pPr>
        <w:jc w:val="both"/>
        <w:rPr>
          <w:rFonts w:cs="Times New Roman"/>
          <w:szCs w:val="24"/>
        </w:rPr>
      </w:pPr>
      <w:r w:rsidRPr="00E22F34">
        <w:rPr>
          <w:rFonts w:cs="Times New Roman"/>
          <w:szCs w:val="24"/>
        </w:rPr>
        <w:t xml:space="preserve">The efficacy of </w:t>
      </w:r>
      <w:proofErr w:type="spellStart"/>
      <w:r w:rsidRPr="00E22F34">
        <w:rPr>
          <w:rFonts w:cs="Times New Roman"/>
          <w:szCs w:val="24"/>
        </w:rPr>
        <w:t>daptomycin</w:t>
      </w:r>
      <w:proofErr w:type="spellEnd"/>
      <w:r w:rsidRPr="00E22F34">
        <w:rPr>
          <w:rFonts w:cs="Times New Roman"/>
          <w:szCs w:val="24"/>
        </w:rPr>
        <w:t xml:space="preserve"> in patients with prosthetic heart valves or in left-sided endocarditis due to </w:t>
      </w:r>
      <w:r w:rsidRPr="00E22F34">
        <w:rPr>
          <w:rFonts w:cs="Times New Roman"/>
          <w:i/>
          <w:iCs/>
          <w:szCs w:val="24"/>
        </w:rPr>
        <w:t xml:space="preserve">Staphylococcus aureus </w:t>
      </w:r>
      <w:r w:rsidRPr="00E22F34">
        <w:rPr>
          <w:rFonts w:cs="Times New Roman"/>
          <w:szCs w:val="24"/>
        </w:rPr>
        <w:t xml:space="preserve">has not been demonstrated.  In the setting of </w:t>
      </w:r>
      <w:r w:rsidRPr="00E22F34">
        <w:rPr>
          <w:rFonts w:cs="Times New Roman"/>
          <w:i/>
          <w:iCs/>
          <w:szCs w:val="24"/>
        </w:rPr>
        <w:t>Staphylococcus aureus</w:t>
      </w:r>
      <w:r w:rsidRPr="00E22F34">
        <w:rPr>
          <w:rFonts w:cs="Times New Roman"/>
          <w:szCs w:val="24"/>
        </w:rPr>
        <w:t xml:space="preserve"> bacteraemia (SAB), if a focus of infection is diagnosed as left-sided endocarditis after </w:t>
      </w:r>
      <w:r w:rsidR="00F23D48">
        <w:rPr>
          <w:rFonts w:cs="Times New Roman"/>
          <w:szCs w:val="24"/>
        </w:rPr>
        <w:t>CUBICIN</w:t>
      </w:r>
      <w:r w:rsidRPr="00E22F34">
        <w:rPr>
          <w:rFonts w:cs="Times New Roman"/>
          <w:szCs w:val="24"/>
        </w:rPr>
        <w:t xml:space="preserve"> therapy has been initiated, then consideration should be given to instituting alternative antibacterial therapy (see </w:t>
      </w:r>
      <w:r>
        <w:rPr>
          <w:rFonts w:cs="Times New Roman"/>
          <w:szCs w:val="24"/>
        </w:rPr>
        <w:t>Section 4.4 SPECIAL WARNINGS AND PRECAUTIONS FOR USE)</w:t>
      </w:r>
      <w:r w:rsidRPr="00E22F34">
        <w:rPr>
          <w:rFonts w:cs="Times New Roman"/>
          <w:szCs w:val="24"/>
        </w:rPr>
        <w:t>.</w:t>
      </w:r>
    </w:p>
    <w:p w14:paraId="13A04D69" w14:textId="408A00DF" w:rsidR="00781390" w:rsidRPr="007224C9" w:rsidRDefault="00781390" w:rsidP="00DC7758">
      <w:pPr>
        <w:jc w:val="both"/>
        <w:rPr>
          <w:rFonts w:cs="Times New Roman"/>
          <w:szCs w:val="24"/>
          <w:u w:val="single"/>
        </w:rPr>
      </w:pPr>
      <w:r w:rsidRPr="007224C9">
        <w:rPr>
          <w:rFonts w:cs="Times New Roman"/>
          <w:szCs w:val="24"/>
          <w:u w:val="single"/>
        </w:rPr>
        <w:t>Paediatric patients (1 to 17 years of age)</w:t>
      </w:r>
    </w:p>
    <w:p w14:paraId="09503340" w14:textId="1931439E" w:rsidR="00781390" w:rsidRDefault="00781390" w:rsidP="00DC7758">
      <w:pPr>
        <w:jc w:val="both"/>
        <w:rPr>
          <w:rFonts w:cs="Times New Roman"/>
          <w:szCs w:val="24"/>
        </w:rPr>
      </w:pPr>
      <w:proofErr w:type="spellStart"/>
      <w:r>
        <w:rPr>
          <w:rFonts w:cs="Times New Roman"/>
          <w:szCs w:val="24"/>
        </w:rPr>
        <w:t>Daptomycin</w:t>
      </w:r>
      <w:proofErr w:type="spellEnd"/>
      <w:r>
        <w:rPr>
          <w:rFonts w:cs="Times New Roman"/>
          <w:szCs w:val="24"/>
        </w:rPr>
        <w:t xml:space="preserve"> is not indicated for treatment of patients less than 1 year of age (see </w:t>
      </w:r>
      <w:r w:rsidR="00CA3101">
        <w:rPr>
          <w:rFonts w:cs="Times New Roman"/>
          <w:szCs w:val="24"/>
        </w:rPr>
        <w:t xml:space="preserve">Section 4.4 SPECIAL WARNINGS AND </w:t>
      </w:r>
      <w:r w:rsidRPr="00CA3101">
        <w:rPr>
          <w:rFonts w:cs="Times New Roman"/>
          <w:szCs w:val="24"/>
        </w:rPr>
        <w:t>PRECAUTIONS</w:t>
      </w:r>
      <w:r w:rsidR="00CA3101">
        <w:rPr>
          <w:rFonts w:cs="Times New Roman"/>
          <w:szCs w:val="24"/>
        </w:rPr>
        <w:t xml:space="preserve"> FOR USE</w:t>
      </w:r>
      <w:r w:rsidR="00CD776E">
        <w:rPr>
          <w:rFonts w:cs="Times New Roman"/>
          <w:szCs w:val="24"/>
        </w:rPr>
        <w:t>,</w:t>
      </w:r>
      <w:r w:rsidRPr="00CA3101">
        <w:rPr>
          <w:rFonts w:cs="Times New Roman"/>
          <w:szCs w:val="24"/>
        </w:rPr>
        <w:t xml:space="preserve"> </w:t>
      </w:r>
      <w:r w:rsidR="00CA3101">
        <w:rPr>
          <w:rFonts w:cs="Times New Roman"/>
          <w:szCs w:val="24"/>
        </w:rPr>
        <w:t>Paediatric use</w:t>
      </w:r>
      <w:r>
        <w:rPr>
          <w:rFonts w:cs="Times New Roman"/>
          <w:szCs w:val="24"/>
        </w:rPr>
        <w:t>).</w:t>
      </w:r>
    </w:p>
    <w:p w14:paraId="1E149F63" w14:textId="250ACF1B" w:rsidR="003B5F06" w:rsidRDefault="00781390" w:rsidP="00DC7758">
      <w:pPr>
        <w:jc w:val="both"/>
        <w:rPr>
          <w:rFonts w:cs="Times New Roman"/>
          <w:szCs w:val="24"/>
        </w:rPr>
      </w:pPr>
      <w:proofErr w:type="spellStart"/>
      <w:r>
        <w:rPr>
          <w:rFonts w:cs="Times New Roman"/>
          <w:szCs w:val="24"/>
        </w:rPr>
        <w:t>Daptomycin</w:t>
      </w:r>
      <w:proofErr w:type="spellEnd"/>
      <w:r>
        <w:rPr>
          <w:rFonts w:cs="Times New Roman"/>
          <w:szCs w:val="24"/>
        </w:rPr>
        <w:t xml:space="preserve"> has not been studie</w:t>
      </w:r>
      <w:r w:rsidR="00A77BA3">
        <w:rPr>
          <w:rFonts w:cs="Times New Roman"/>
          <w:szCs w:val="24"/>
        </w:rPr>
        <w:t>d</w:t>
      </w:r>
      <w:r>
        <w:rPr>
          <w:rFonts w:cs="Times New Roman"/>
          <w:szCs w:val="24"/>
        </w:rPr>
        <w:t xml:space="preserve"> in treatment of infective endocarditis in children (see </w:t>
      </w:r>
      <w:r w:rsidR="00A77BA3">
        <w:rPr>
          <w:rFonts w:cs="Times New Roman"/>
          <w:szCs w:val="24"/>
        </w:rPr>
        <w:t>Section 5.</w:t>
      </w:r>
      <w:r w:rsidR="007224C9">
        <w:rPr>
          <w:rFonts w:cs="Times New Roman"/>
          <w:szCs w:val="24"/>
        </w:rPr>
        <w:t>1</w:t>
      </w:r>
      <w:r w:rsidR="00A77BA3">
        <w:rPr>
          <w:rFonts w:cs="Times New Roman"/>
          <w:szCs w:val="24"/>
        </w:rPr>
        <w:t xml:space="preserve"> PHARMACODYNAMIC PROPERTIES</w:t>
      </w:r>
      <w:r w:rsidR="00CD776E">
        <w:rPr>
          <w:rFonts w:cs="Times New Roman"/>
          <w:szCs w:val="24"/>
        </w:rPr>
        <w:t xml:space="preserve">, </w:t>
      </w:r>
      <w:r w:rsidR="00A77BA3">
        <w:rPr>
          <w:rFonts w:cs="Times New Roman"/>
          <w:szCs w:val="24"/>
        </w:rPr>
        <w:t>Clinical trials</w:t>
      </w:r>
      <w:r>
        <w:rPr>
          <w:rFonts w:cs="Times New Roman"/>
          <w:szCs w:val="24"/>
        </w:rPr>
        <w:t xml:space="preserve"> and </w:t>
      </w:r>
      <w:r w:rsidR="00A77BA3">
        <w:rPr>
          <w:rFonts w:cs="Times New Roman"/>
          <w:szCs w:val="24"/>
        </w:rPr>
        <w:t xml:space="preserve">Section 4.4 SPECIAL WARNINGS AND </w:t>
      </w:r>
      <w:r>
        <w:rPr>
          <w:rFonts w:cs="Times New Roman"/>
          <w:szCs w:val="24"/>
        </w:rPr>
        <w:t>PRECAUTIONS</w:t>
      </w:r>
      <w:r w:rsidR="00A77BA3">
        <w:rPr>
          <w:rFonts w:cs="Times New Roman"/>
          <w:szCs w:val="24"/>
        </w:rPr>
        <w:t xml:space="preserve"> FOR USE</w:t>
      </w:r>
      <w:r>
        <w:rPr>
          <w:rFonts w:cs="Times New Roman"/>
          <w:szCs w:val="24"/>
        </w:rPr>
        <w:t>).</w:t>
      </w:r>
    </w:p>
    <w:p w14:paraId="64D8F714" w14:textId="1C2C9254" w:rsidR="00781390" w:rsidRPr="007224C9" w:rsidRDefault="00781390" w:rsidP="00DC7758">
      <w:pPr>
        <w:jc w:val="both"/>
        <w:rPr>
          <w:rFonts w:cs="Times New Roman"/>
          <w:i/>
          <w:szCs w:val="24"/>
          <w:u w:val="single"/>
        </w:rPr>
      </w:pPr>
      <w:r w:rsidRPr="007224C9">
        <w:rPr>
          <w:rFonts w:cs="Times New Roman"/>
          <w:i/>
          <w:szCs w:val="24"/>
          <w:u w:val="single"/>
        </w:rPr>
        <w:t>Complicated Skin and Skin Structure Infections</w:t>
      </w:r>
    </w:p>
    <w:p w14:paraId="05334D63" w14:textId="0970F22D" w:rsidR="00781390" w:rsidRDefault="00781390" w:rsidP="00DC7758">
      <w:pPr>
        <w:jc w:val="both"/>
        <w:rPr>
          <w:rFonts w:cs="Times New Roman"/>
          <w:szCs w:val="24"/>
        </w:rPr>
      </w:pPr>
      <w:r>
        <w:rPr>
          <w:rFonts w:cs="Times New Roman"/>
          <w:szCs w:val="24"/>
        </w:rPr>
        <w:t>CUB</w:t>
      </w:r>
      <w:r w:rsidR="00A77BA3">
        <w:rPr>
          <w:rFonts w:cs="Times New Roman"/>
          <w:szCs w:val="24"/>
        </w:rPr>
        <w:t>I</w:t>
      </w:r>
      <w:r>
        <w:rPr>
          <w:rFonts w:cs="Times New Roman"/>
          <w:szCs w:val="24"/>
        </w:rPr>
        <w:t>CIN is indicated for the treatment of patients aged 1 to 17 years with complicated skin and skin struct</w:t>
      </w:r>
      <w:r w:rsidR="00E92FE4">
        <w:rPr>
          <w:rFonts w:cs="Times New Roman"/>
          <w:szCs w:val="24"/>
        </w:rPr>
        <w:t>u</w:t>
      </w:r>
      <w:r>
        <w:rPr>
          <w:rFonts w:cs="Times New Roman"/>
          <w:szCs w:val="24"/>
        </w:rPr>
        <w:t>re infections (</w:t>
      </w:r>
      <w:proofErr w:type="spellStart"/>
      <w:r>
        <w:rPr>
          <w:rFonts w:cs="Times New Roman"/>
          <w:szCs w:val="24"/>
        </w:rPr>
        <w:t>cSSSI</w:t>
      </w:r>
      <w:proofErr w:type="spellEnd"/>
      <w:r>
        <w:rPr>
          <w:rFonts w:cs="Times New Roman"/>
          <w:szCs w:val="24"/>
        </w:rPr>
        <w:t xml:space="preserve">) who require parenteral therapy and who have intolerance to alternative agents (especially penicillin allergy) or </w:t>
      </w:r>
      <w:r w:rsidR="00E92FE4">
        <w:rPr>
          <w:rFonts w:cs="Times New Roman"/>
          <w:szCs w:val="24"/>
        </w:rPr>
        <w:t>w</w:t>
      </w:r>
      <w:r>
        <w:rPr>
          <w:rFonts w:cs="Times New Roman"/>
          <w:szCs w:val="24"/>
        </w:rPr>
        <w:t>ho have failed on other therapy, and when ca</w:t>
      </w:r>
      <w:r w:rsidR="00E92FE4">
        <w:rPr>
          <w:rFonts w:cs="Times New Roman"/>
          <w:szCs w:val="24"/>
        </w:rPr>
        <w:t>u</w:t>
      </w:r>
      <w:r>
        <w:rPr>
          <w:rFonts w:cs="Times New Roman"/>
          <w:szCs w:val="24"/>
        </w:rPr>
        <w:t>sed by organisms know</w:t>
      </w:r>
      <w:r w:rsidR="00E92FE4">
        <w:rPr>
          <w:rFonts w:cs="Times New Roman"/>
          <w:szCs w:val="24"/>
        </w:rPr>
        <w:t>n</w:t>
      </w:r>
      <w:r>
        <w:rPr>
          <w:rFonts w:cs="Times New Roman"/>
          <w:szCs w:val="24"/>
        </w:rPr>
        <w:t xml:space="preserve"> to be susceptible to </w:t>
      </w:r>
      <w:proofErr w:type="spellStart"/>
      <w:r>
        <w:rPr>
          <w:rFonts w:cs="Times New Roman"/>
          <w:szCs w:val="24"/>
        </w:rPr>
        <w:t>daptomycin</w:t>
      </w:r>
      <w:proofErr w:type="spellEnd"/>
      <w:r>
        <w:rPr>
          <w:rFonts w:cs="Times New Roman"/>
          <w:szCs w:val="24"/>
        </w:rPr>
        <w:t xml:space="preserve">. </w:t>
      </w:r>
    </w:p>
    <w:p w14:paraId="7AE4EFB4" w14:textId="40504FD8" w:rsidR="00E92FE4" w:rsidRPr="007224C9" w:rsidRDefault="00E92FE4" w:rsidP="00DC7758">
      <w:pPr>
        <w:jc w:val="both"/>
        <w:rPr>
          <w:rFonts w:cs="Times New Roman"/>
          <w:i/>
          <w:szCs w:val="24"/>
          <w:u w:val="single"/>
        </w:rPr>
      </w:pPr>
      <w:r w:rsidRPr="007224C9">
        <w:rPr>
          <w:rFonts w:cs="Times New Roman"/>
          <w:i/>
          <w:szCs w:val="24"/>
          <w:u w:val="single"/>
        </w:rPr>
        <w:t>Staphylococcus aureus Bloodstream Infections (Bacteraemia)</w:t>
      </w:r>
    </w:p>
    <w:p w14:paraId="07BB8DAA" w14:textId="52F451B2" w:rsidR="00C80C7C" w:rsidRPr="00E92FE4" w:rsidRDefault="00C80C7C" w:rsidP="00E92FE4">
      <w:pPr>
        <w:jc w:val="both"/>
        <w:rPr>
          <w:rFonts w:cs="Times New Roman"/>
          <w:szCs w:val="24"/>
        </w:rPr>
      </w:pPr>
      <w:r>
        <w:rPr>
          <w:rFonts w:cs="Times New Roman"/>
          <w:szCs w:val="24"/>
        </w:rPr>
        <w:t xml:space="preserve">CUBICIN is indicated in paediatric patients (1 to 17 years of age) with </w:t>
      </w:r>
      <w:r w:rsidRPr="00A46E93">
        <w:rPr>
          <w:rFonts w:cs="Times New Roman"/>
          <w:i/>
          <w:szCs w:val="24"/>
        </w:rPr>
        <w:t>Staphylococcus aureus</w:t>
      </w:r>
      <w:r>
        <w:rPr>
          <w:rFonts w:cs="Times New Roman"/>
          <w:szCs w:val="24"/>
        </w:rPr>
        <w:t xml:space="preserve"> bacteraemia not due to pneumonia, caused by </w:t>
      </w:r>
      <w:proofErr w:type="spellStart"/>
      <w:r>
        <w:rPr>
          <w:rFonts w:cs="Times New Roman"/>
          <w:szCs w:val="24"/>
        </w:rPr>
        <w:t>daptomycin</w:t>
      </w:r>
      <w:proofErr w:type="spellEnd"/>
      <w:r>
        <w:rPr>
          <w:rFonts w:cs="Times New Roman"/>
          <w:szCs w:val="24"/>
        </w:rPr>
        <w:t xml:space="preserve">-susceptible isolates.  Empiric treatment should be reviewed based on the results of susceptibility testing.  Prescribing should </w:t>
      </w:r>
      <w:r>
        <w:rPr>
          <w:rFonts w:cs="Times New Roman"/>
          <w:szCs w:val="24"/>
        </w:rPr>
        <w:lastRenderedPageBreak/>
        <w:t xml:space="preserve">be in accordance with nationally or locally-endorsed guidelines for the treatment of </w:t>
      </w:r>
      <w:r w:rsidRPr="00A46E93">
        <w:rPr>
          <w:rFonts w:cs="Times New Roman"/>
          <w:i/>
          <w:szCs w:val="24"/>
        </w:rPr>
        <w:t>Staphylococcus aureus</w:t>
      </w:r>
      <w:r>
        <w:rPr>
          <w:rFonts w:cs="Times New Roman"/>
          <w:szCs w:val="24"/>
        </w:rPr>
        <w:t xml:space="preserve"> bacteraemia.</w:t>
      </w:r>
    </w:p>
    <w:p w14:paraId="60B99008" w14:textId="77777777" w:rsidR="001A3992" w:rsidRDefault="001A3992" w:rsidP="001A3992">
      <w:pPr>
        <w:pStyle w:val="Heading2"/>
        <w:spacing w:before="0" w:after="120"/>
      </w:pPr>
      <w:r>
        <w:t xml:space="preserve">Dose and method of administration </w:t>
      </w:r>
    </w:p>
    <w:p w14:paraId="76881839" w14:textId="00421580" w:rsidR="003B5F06" w:rsidRPr="00F24F20" w:rsidRDefault="003B5F06" w:rsidP="006D2CC7">
      <w:pPr>
        <w:pStyle w:val="Heading5"/>
        <w:rPr>
          <w:rFonts w:eastAsia="MS Mincho"/>
        </w:rPr>
      </w:pPr>
      <w:r w:rsidRPr="00F24F20">
        <w:rPr>
          <w:rFonts w:eastAsia="MS Mincho"/>
        </w:rPr>
        <w:t>Adult</w:t>
      </w:r>
      <w:r w:rsidR="00684C55">
        <w:rPr>
          <w:rFonts w:eastAsia="MS Mincho"/>
        </w:rPr>
        <w:t>s</w:t>
      </w:r>
      <w:r w:rsidRPr="00F24F20">
        <w:rPr>
          <w:rFonts w:eastAsia="MS Mincho"/>
        </w:rPr>
        <w:t xml:space="preserve"> </w:t>
      </w:r>
    </w:p>
    <w:p w14:paraId="5E163400" w14:textId="023F8D18" w:rsidR="003B5F06" w:rsidRPr="00E22F34" w:rsidRDefault="00F23D48" w:rsidP="003B5F06">
      <w:pPr>
        <w:pStyle w:val="Text"/>
        <w:rPr>
          <w:rFonts w:eastAsia="MS Mincho"/>
          <w:szCs w:val="24"/>
          <w:lang w:val="en-GB"/>
        </w:rPr>
      </w:pPr>
      <w:r>
        <w:rPr>
          <w:rFonts w:eastAsia="MS Mincho"/>
          <w:szCs w:val="24"/>
          <w:lang w:val="en-GB"/>
        </w:rPr>
        <w:t>CUBICIN</w:t>
      </w:r>
      <w:r w:rsidR="003B5F06" w:rsidRPr="00E22F34">
        <w:rPr>
          <w:rFonts w:eastAsia="MS Mincho"/>
          <w:szCs w:val="24"/>
          <w:lang w:val="en-GB"/>
        </w:rPr>
        <w:t xml:space="preserve"> in 0.9 % sodium chloride is administered either by injection over a 2-minute period or infusion over a 30 minute period. Do not dose </w:t>
      </w:r>
      <w:r>
        <w:rPr>
          <w:rFonts w:eastAsia="MS Mincho"/>
          <w:szCs w:val="24"/>
          <w:lang w:val="en-GB"/>
        </w:rPr>
        <w:t>CUBICIN</w:t>
      </w:r>
      <w:r w:rsidR="003B5F06" w:rsidRPr="00E22F34">
        <w:rPr>
          <w:rFonts w:eastAsia="MS Mincho"/>
          <w:szCs w:val="24"/>
          <w:lang w:val="en-GB"/>
        </w:rPr>
        <w:t xml:space="preserve"> more frequently than once a day. Measure creatinine phosphokinase levels at baseline and at regular intervals (at least weekly (see </w:t>
      </w:r>
      <w:r w:rsidR="00277125">
        <w:rPr>
          <w:rFonts w:eastAsia="MS Mincho"/>
          <w:szCs w:val="24"/>
          <w:lang w:val="en-GB"/>
        </w:rPr>
        <w:t>Section 4.4 S</w:t>
      </w:r>
      <w:r w:rsidR="000D2F9D">
        <w:rPr>
          <w:rFonts w:eastAsia="MS Mincho"/>
          <w:szCs w:val="24"/>
          <w:lang w:val="en-GB"/>
        </w:rPr>
        <w:t>PECIAL WARNINGS AND PRECAUTIONS FOR USE</w:t>
      </w:r>
      <w:r w:rsidR="00277125">
        <w:rPr>
          <w:rFonts w:eastAsia="MS Mincho"/>
          <w:szCs w:val="24"/>
          <w:lang w:val="en-GB"/>
        </w:rPr>
        <w:t>))</w:t>
      </w:r>
      <w:r w:rsidR="003B5F06" w:rsidRPr="00E22F34">
        <w:rPr>
          <w:rFonts w:eastAsia="MS Mincho"/>
          <w:szCs w:val="24"/>
          <w:lang w:val="en-GB"/>
        </w:rPr>
        <w:t xml:space="preserve">. </w:t>
      </w:r>
    </w:p>
    <w:p w14:paraId="683F62FF" w14:textId="5543EAE8" w:rsidR="003B5F06" w:rsidRPr="00E22F34" w:rsidRDefault="003B5F06" w:rsidP="00F24F20">
      <w:pPr>
        <w:pStyle w:val="Text"/>
        <w:numPr>
          <w:ilvl w:val="0"/>
          <w:numId w:val="17"/>
        </w:numPr>
        <w:rPr>
          <w:rFonts w:eastAsia="MS Mincho"/>
          <w:szCs w:val="24"/>
          <w:lang w:val="en-GB"/>
        </w:rPr>
      </w:pPr>
      <w:r w:rsidRPr="00F24F20">
        <w:rPr>
          <w:rFonts w:eastAsia="MS Mincho"/>
          <w:i/>
          <w:szCs w:val="24"/>
          <w:lang w:val="en-GB"/>
        </w:rPr>
        <w:t>For complicated skin and skin structure infections (CSSSI)</w:t>
      </w:r>
      <w:r w:rsidRPr="00E22F34">
        <w:rPr>
          <w:rFonts w:eastAsia="MS Mincho"/>
          <w:szCs w:val="24"/>
          <w:lang w:val="en-GB"/>
        </w:rPr>
        <w:t>:</w:t>
      </w:r>
    </w:p>
    <w:p w14:paraId="62C5CC57" w14:textId="29081EAC" w:rsidR="003B5F06" w:rsidRPr="00E22F34" w:rsidRDefault="00F23D48" w:rsidP="00F24F20">
      <w:pPr>
        <w:pStyle w:val="Text"/>
        <w:ind w:firstLine="420"/>
        <w:rPr>
          <w:rFonts w:eastAsia="MS Mincho"/>
          <w:szCs w:val="24"/>
          <w:lang w:val="en-GB"/>
        </w:rPr>
      </w:pPr>
      <w:r>
        <w:rPr>
          <w:rFonts w:eastAsia="MS Mincho"/>
          <w:szCs w:val="24"/>
          <w:lang w:val="en-GB"/>
        </w:rPr>
        <w:t>CUBICIN</w:t>
      </w:r>
      <w:r w:rsidR="003B5F06" w:rsidRPr="00E22F34">
        <w:rPr>
          <w:rFonts w:eastAsia="MS Mincho"/>
          <w:szCs w:val="24"/>
          <w:lang w:val="en-GB"/>
        </w:rPr>
        <w:t xml:space="preserve"> 4 mg/kg once daily for 7</w:t>
      </w:r>
      <w:r w:rsidR="00B87760">
        <w:rPr>
          <w:rFonts w:eastAsia="MS Mincho"/>
          <w:szCs w:val="24"/>
          <w:lang w:val="en-GB"/>
        </w:rPr>
        <w:t>-</w:t>
      </w:r>
      <w:r w:rsidR="003B5F06" w:rsidRPr="00E22F34">
        <w:rPr>
          <w:rFonts w:eastAsia="MS Mincho"/>
          <w:szCs w:val="24"/>
          <w:lang w:val="en-GB"/>
        </w:rPr>
        <w:t xml:space="preserve"> 14 days or until the infection is resolved.</w:t>
      </w:r>
    </w:p>
    <w:p w14:paraId="193C6F3F" w14:textId="155D6E24" w:rsidR="003B5F06" w:rsidRPr="00F24F20" w:rsidRDefault="003B5F06" w:rsidP="00F24F20">
      <w:pPr>
        <w:pStyle w:val="Text"/>
        <w:numPr>
          <w:ilvl w:val="0"/>
          <w:numId w:val="17"/>
        </w:numPr>
        <w:rPr>
          <w:rFonts w:eastAsia="MS Mincho"/>
          <w:i/>
          <w:szCs w:val="24"/>
          <w:lang w:val="en-GB"/>
        </w:rPr>
      </w:pPr>
      <w:r w:rsidRPr="00F24F20">
        <w:rPr>
          <w:rFonts w:eastAsia="MS Mincho"/>
          <w:i/>
          <w:szCs w:val="24"/>
          <w:lang w:val="en-GB"/>
        </w:rPr>
        <w:t>For bacteraemia or right-sided endocarditis caused by S. aureus (SAB/RIE):</w:t>
      </w:r>
    </w:p>
    <w:p w14:paraId="740CD5B2" w14:textId="378D70D2" w:rsidR="003B5F06" w:rsidRDefault="00F23D48" w:rsidP="00F24F20">
      <w:pPr>
        <w:ind w:firstLine="420"/>
        <w:rPr>
          <w:rFonts w:eastAsia="MS Mincho" w:cs="Times New Roman"/>
          <w:szCs w:val="24"/>
          <w:lang w:val="en-GB"/>
        </w:rPr>
      </w:pPr>
      <w:r>
        <w:rPr>
          <w:rFonts w:eastAsia="MS Mincho" w:cs="Times New Roman"/>
          <w:szCs w:val="24"/>
          <w:lang w:val="en-GB"/>
        </w:rPr>
        <w:t>CUBICIN</w:t>
      </w:r>
      <w:r w:rsidR="003B5F06" w:rsidRPr="00277125">
        <w:rPr>
          <w:rFonts w:eastAsia="MS Mincho" w:cs="Times New Roman"/>
          <w:szCs w:val="24"/>
          <w:lang w:val="en-GB"/>
        </w:rPr>
        <w:t xml:space="preserve"> 6 mg/kg is administered once daily for 2</w:t>
      </w:r>
      <w:r w:rsidR="00B87760">
        <w:rPr>
          <w:rFonts w:eastAsia="MS Mincho" w:cs="Times New Roman"/>
          <w:szCs w:val="24"/>
          <w:lang w:val="en-GB"/>
        </w:rPr>
        <w:t xml:space="preserve"> - 6</w:t>
      </w:r>
      <w:r w:rsidR="003B5F06" w:rsidRPr="00277125">
        <w:rPr>
          <w:rFonts w:eastAsia="MS Mincho" w:cs="Times New Roman"/>
          <w:szCs w:val="24"/>
          <w:lang w:val="en-GB"/>
        </w:rPr>
        <w:t xml:space="preserve"> weeks depending on the diagnosis.</w:t>
      </w:r>
    </w:p>
    <w:p w14:paraId="79DAA955" w14:textId="5B149109" w:rsidR="00711130" w:rsidRPr="00E22F34" w:rsidRDefault="00711130" w:rsidP="00711130">
      <w:pPr>
        <w:pStyle w:val="Text"/>
        <w:rPr>
          <w:rFonts w:eastAsia="MS Mincho"/>
          <w:szCs w:val="24"/>
          <w:lang w:val="en-GB"/>
        </w:rPr>
      </w:pPr>
      <w:r w:rsidRPr="00E22F34">
        <w:rPr>
          <w:rFonts w:eastAsia="MS Mincho"/>
          <w:szCs w:val="24"/>
          <w:lang w:val="en-GB"/>
        </w:rPr>
        <w:t>For dosage in paediatric patients see Special populations.</w:t>
      </w:r>
    </w:p>
    <w:p w14:paraId="4677EB46" w14:textId="77777777" w:rsidR="003B5F06" w:rsidRPr="00F24F20" w:rsidRDefault="003B5F06" w:rsidP="003B5F06">
      <w:pPr>
        <w:keepNext/>
        <w:keepLines/>
        <w:widowControl w:val="0"/>
        <w:tabs>
          <w:tab w:val="left" w:pos="0"/>
        </w:tabs>
        <w:autoSpaceDE w:val="0"/>
        <w:autoSpaceDN w:val="0"/>
        <w:adjustRightInd w:val="0"/>
        <w:spacing w:before="240" w:after="60" w:line="320" w:lineRule="atLeast"/>
        <w:ind w:left="1701" w:hanging="1701"/>
        <w:jc w:val="both"/>
        <w:rPr>
          <w:rFonts w:eastAsia="Times New Roman" w:cs="Times New Roman"/>
          <w:szCs w:val="24"/>
          <w:u w:val="single"/>
          <w:lang w:val="en-GB"/>
        </w:rPr>
      </w:pPr>
      <w:r w:rsidRPr="00F24F20">
        <w:rPr>
          <w:rFonts w:eastAsia="Times New Roman" w:cs="Times New Roman"/>
          <w:szCs w:val="24"/>
          <w:u w:val="single"/>
          <w:lang w:val="en-GB"/>
        </w:rPr>
        <w:t>Special populations</w:t>
      </w:r>
    </w:p>
    <w:p w14:paraId="0189B8D2" w14:textId="4F6B2B60" w:rsidR="003B5F06" w:rsidRPr="006D2CC7" w:rsidRDefault="003B5F06" w:rsidP="006D2CC7">
      <w:pPr>
        <w:pStyle w:val="Heading5"/>
        <w:rPr>
          <w:b/>
        </w:rPr>
      </w:pPr>
      <w:r w:rsidRPr="006D2CC7">
        <w:t>Patients with renal impairment</w:t>
      </w:r>
      <w:r w:rsidRPr="006D2CC7">
        <w:rPr>
          <w:b/>
        </w:rPr>
        <w:t>:</w:t>
      </w:r>
    </w:p>
    <w:p w14:paraId="1B840258" w14:textId="01FAF9F5"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r w:rsidRPr="003B5F06">
        <w:rPr>
          <w:rFonts w:eastAsia="Times New Roman" w:cs="Times New Roman"/>
          <w:szCs w:val="20"/>
        </w:rPr>
        <w:t xml:space="preserve">Because </w:t>
      </w:r>
      <w:proofErr w:type="spellStart"/>
      <w:r w:rsidRPr="003B5F06">
        <w:rPr>
          <w:rFonts w:eastAsia="Times New Roman" w:cs="Times New Roman"/>
          <w:szCs w:val="20"/>
        </w:rPr>
        <w:t>daptomycin</w:t>
      </w:r>
      <w:proofErr w:type="spellEnd"/>
      <w:r w:rsidRPr="003B5F06">
        <w:rPr>
          <w:rFonts w:eastAsia="Times New Roman" w:cs="Times New Roman"/>
          <w:szCs w:val="20"/>
        </w:rPr>
        <w:t xml:space="preserve"> is eliminated primarily by the kidneys, a dosage adjustment is recommended for </w:t>
      </w:r>
      <w:r w:rsidR="00723DC1">
        <w:rPr>
          <w:rFonts w:eastAsia="Times New Roman" w:cs="Times New Roman"/>
          <w:szCs w:val="20"/>
        </w:rPr>
        <w:t xml:space="preserve">adult </w:t>
      </w:r>
      <w:r w:rsidRPr="003B5F06">
        <w:rPr>
          <w:rFonts w:eastAsia="Times New Roman" w:cs="Times New Roman"/>
          <w:szCs w:val="20"/>
        </w:rPr>
        <w:t>patients with creatinine clearance (CL</w:t>
      </w:r>
      <w:r w:rsidRPr="003B5F06">
        <w:rPr>
          <w:rFonts w:eastAsia="Times New Roman" w:cs="Times New Roman"/>
          <w:szCs w:val="20"/>
          <w:vertAlign w:val="subscript"/>
        </w:rPr>
        <w:t>CR</w:t>
      </w:r>
      <w:r w:rsidRPr="003B5F06">
        <w:rPr>
          <w:rFonts w:eastAsia="Times New Roman" w:cs="Times New Roman"/>
          <w:szCs w:val="20"/>
        </w:rPr>
        <w:t xml:space="preserve">) &lt; 30 mL/min, including </w:t>
      </w:r>
      <w:r w:rsidR="00723DC1">
        <w:rPr>
          <w:rFonts w:eastAsia="Times New Roman" w:cs="Times New Roman"/>
          <w:szCs w:val="20"/>
        </w:rPr>
        <w:t xml:space="preserve">adult </w:t>
      </w:r>
      <w:r w:rsidRPr="003B5F06">
        <w:rPr>
          <w:rFonts w:eastAsia="Times New Roman" w:cs="Times New Roman"/>
          <w:szCs w:val="20"/>
        </w:rPr>
        <w:t>patients receiving haemodialysis or continuous ambulatory peritoneal dialysis.</w:t>
      </w:r>
    </w:p>
    <w:p w14:paraId="325AAA56" w14:textId="77777777"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p>
    <w:p w14:paraId="5B456558" w14:textId="3F0CDAC7" w:rsidR="003B5F06" w:rsidRPr="003B5F06" w:rsidRDefault="00723DC1" w:rsidP="003B5F06">
      <w:pPr>
        <w:widowControl w:val="0"/>
        <w:tabs>
          <w:tab w:val="left" w:pos="0"/>
        </w:tabs>
        <w:autoSpaceDE w:val="0"/>
        <w:autoSpaceDN w:val="0"/>
        <w:adjustRightInd w:val="0"/>
        <w:spacing w:after="0" w:line="320" w:lineRule="atLeast"/>
        <w:jc w:val="both"/>
        <w:rPr>
          <w:rFonts w:eastAsia="Times New Roman" w:cs="Times New Roman"/>
          <w:szCs w:val="20"/>
        </w:rPr>
      </w:pPr>
      <w:r>
        <w:rPr>
          <w:rFonts w:eastAsia="Times New Roman" w:cs="Times New Roman"/>
          <w:i/>
          <w:szCs w:val="20"/>
        </w:rPr>
        <w:t>Adult p</w:t>
      </w:r>
      <w:r w:rsidR="003B5F06" w:rsidRPr="00F24F20">
        <w:rPr>
          <w:rFonts w:eastAsia="Times New Roman" w:cs="Times New Roman"/>
          <w:i/>
          <w:szCs w:val="20"/>
        </w:rPr>
        <w:t>atients with creatinine clearance ≥ 30 mL/min:</w:t>
      </w:r>
      <w:r w:rsidR="003B5F06" w:rsidRPr="007224C9">
        <w:rPr>
          <w:rFonts w:eastAsia="Times New Roman" w:cs="Times New Roman"/>
          <w:szCs w:val="20"/>
        </w:rPr>
        <w:t xml:space="preserve"> </w:t>
      </w:r>
      <w:r w:rsidR="003B5F06" w:rsidRPr="003B5F06">
        <w:rPr>
          <w:rFonts w:eastAsia="Times New Roman" w:cs="Times New Roman"/>
          <w:szCs w:val="20"/>
        </w:rPr>
        <w:t xml:space="preserve">No dose adjustment is required in patients whose creatinine clearance is </w:t>
      </w:r>
      <w:r w:rsidR="003B5F06" w:rsidRPr="003B5F06">
        <w:rPr>
          <w:rFonts w:eastAsia="Times New Roman" w:cs="Times New Roman"/>
          <w:szCs w:val="20"/>
        </w:rPr>
        <w:sym w:font="Symbol" w:char="F0B3"/>
      </w:r>
      <w:r w:rsidR="003B5F06" w:rsidRPr="003B5F06">
        <w:rPr>
          <w:rFonts w:eastAsia="Times New Roman" w:cs="Times New Roman"/>
          <w:szCs w:val="20"/>
        </w:rPr>
        <w:t> 30 mL/min.  Response to treatment and renal function should be closely monitored in all patients with renal insufficiency.</w:t>
      </w:r>
    </w:p>
    <w:p w14:paraId="104DB6BA" w14:textId="77777777"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p>
    <w:p w14:paraId="1067BFF6" w14:textId="72857722" w:rsidR="003B5F06" w:rsidRPr="003B5F06" w:rsidRDefault="00723DC1" w:rsidP="003B5F06">
      <w:pPr>
        <w:widowControl w:val="0"/>
        <w:tabs>
          <w:tab w:val="left" w:pos="0"/>
        </w:tabs>
        <w:autoSpaceDE w:val="0"/>
        <w:autoSpaceDN w:val="0"/>
        <w:adjustRightInd w:val="0"/>
        <w:spacing w:after="0" w:line="320" w:lineRule="atLeast"/>
        <w:jc w:val="both"/>
        <w:rPr>
          <w:rFonts w:eastAsia="Times New Roman" w:cs="Times New Roman"/>
          <w:szCs w:val="20"/>
        </w:rPr>
      </w:pPr>
      <w:r>
        <w:rPr>
          <w:rFonts w:eastAsia="Times New Roman" w:cs="Times New Roman"/>
          <w:i/>
          <w:szCs w:val="20"/>
        </w:rPr>
        <w:t>Adult</w:t>
      </w:r>
      <w:r w:rsidR="002023E6">
        <w:rPr>
          <w:rFonts w:eastAsia="Times New Roman" w:cs="Times New Roman"/>
          <w:i/>
          <w:szCs w:val="20"/>
        </w:rPr>
        <w:t xml:space="preserve"> </w:t>
      </w:r>
      <w:r w:rsidR="007224C9">
        <w:rPr>
          <w:rFonts w:eastAsia="Times New Roman" w:cs="Times New Roman"/>
          <w:i/>
          <w:szCs w:val="20"/>
        </w:rPr>
        <w:t>p</w:t>
      </w:r>
      <w:r w:rsidR="003B5F06" w:rsidRPr="00F24F20">
        <w:rPr>
          <w:rFonts w:eastAsia="Times New Roman" w:cs="Times New Roman"/>
          <w:i/>
          <w:szCs w:val="20"/>
        </w:rPr>
        <w:t>atients with creatinine clearance &lt; 30 mL/min:</w:t>
      </w:r>
      <w:r w:rsidR="003B5F06" w:rsidRPr="007224C9">
        <w:rPr>
          <w:rFonts w:eastAsia="Times New Roman" w:cs="Times New Roman"/>
          <w:szCs w:val="20"/>
        </w:rPr>
        <w:t xml:space="preserve"> </w:t>
      </w:r>
      <w:r w:rsidR="003B5F06" w:rsidRPr="003B5F06">
        <w:rPr>
          <w:rFonts w:eastAsia="Times New Roman" w:cs="Times New Roman"/>
          <w:szCs w:val="20"/>
        </w:rPr>
        <w:t>The dosing interval should be lengthened to a single dose once every 48 hours for these patients. Alternatively, patients on haemodialysis can be dosed three times per week after haemodialysis. Clinical response to treatment and renal function should be closely monitored in these patients.</w:t>
      </w:r>
    </w:p>
    <w:p w14:paraId="773BF14B" w14:textId="77777777"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p>
    <w:p w14:paraId="51A4BB89" w14:textId="107DCC6E"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r w:rsidRPr="003B5F06">
        <w:rPr>
          <w:rFonts w:eastAsia="Times New Roman" w:cs="Times New Roman"/>
          <w:szCs w:val="20"/>
        </w:rPr>
        <w:t xml:space="preserve">The same dose adjustment and advice is recommended for </w:t>
      </w:r>
      <w:r w:rsidR="00723DC1">
        <w:rPr>
          <w:rFonts w:eastAsia="Times New Roman" w:cs="Times New Roman"/>
          <w:szCs w:val="20"/>
        </w:rPr>
        <w:t xml:space="preserve">adult </w:t>
      </w:r>
      <w:r w:rsidRPr="003B5F06">
        <w:rPr>
          <w:rFonts w:eastAsia="Times New Roman" w:cs="Times New Roman"/>
          <w:szCs w:val="20"/>
        </w:rPr>
        <w:t xml:space="preserve">patients on haemodialysis or continuous ambulatory peritoneal dialysis (CAPD).  Whenever possible, </w:t>
      </w:r>
      <w:proofErr w:type="spellStart"/>
      <w:r w:rsidRPr="003B5F06">
        <w:rPr>
          <w:rFonts w:eastAsia="Times New Roman" w:cs="Times New Roman"/>
          <w:szCs w:val="20"/>
        </w:rPr>
        <w:t>daptomycin</w:t>
      </w:r>
      <w:proofErr w:type="spellEnd"/>
      <w:r w:rsidRPr="003B5F06">
        <w:rPr>
          <w:rFonts w:eastAsia="Times New Roman" w:cs="Times New Roman"/>
          <w:szCs w:val="20"/>
        </w:rPr>
        <w:t xml:space="preserve"> should be administered following the completion of haemodialysis on haemodialysis days.</w:t>
      </w:r>
    </w:p>
    <w:p w14:paraId="37BB6930" w14:textId="77777777"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p>
    <w:p w14:paraId="2BBF17ED" w14:textId="0A979B66"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r w:rsidRPr="003B5F06">
        <w:rPr>
          <w:rFonts w:eastAsia="Times New Roman" w:cs="Times New Roman"/>
          <w:szCs w:val="20"/>
        </w:rPr>
        <w:t xml:space="preserve">In </w:t>
      </w:r>
      <w:r w:rsidR="00723DC1">
        <w:rPr>
          <w:rFonts w:eastAsia="Times New Roman" w:cs="Times New Roman"/>
          <w:szCs w:val="20"/>
        </w:rPr>
        <w:t xml:space="preserve">adult </w:t>
      </w:r>
      <w:r w:rsidRPr="003B5F06">
        <w:rPr>
          <w:rFonts w:eastAsia="Times New Roman" w:cs="Times New Roman"/>
          <w:szCs w:val="20"/>
        </w:rPr>
        <w:t>patients with renal impairment, monitor both renal function and CPK more frequently than once weekly.</w:t>
      </w:r>
    </w:p>
    <w:p w14:paraId="5D05AF7F" w14:textId="77777777"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p>
    <w:p w14:paraId="3E2A7128" w14:textId="73F5EEBE"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r w:rsidRPr="003B5F06">
        <w:rPr>
          <w:rFonts w:eastAsia="Times New Roman" w:cs="Times New Roman"/>
          <w:szCs w:val="20"/>
        </w:rPr>
        <w:t xml:space="preserve">The dosage regimen for </w:t>
      </w:r>
      <w:r w:rsidR="00F23D48">
        <w:rPr>
          <w:rFonts w:eastAsia="Times New Roman" w:cs="Times New Roman"/>
          <w:szCs w:val="20"/>
        </w:rPr>
        <w:t>CUBICIN</w:t>
      </w:r>
      <w:r w:rsidRPr="003B5F06">
        <w:rPr>
          <w:rFonts w:eastAsia="Times New Roman" w:cs="Times New Roman"/>
          <w:szCs w:val="20"/>
        </w:rPr>
        <w:t xml:space="preserve"> in paediatric patients with renal impairment has not been </w:t>
      </w:r>
      <w:r w:rsidRPr="003B5F06">
        <w:rPr>
          <w:rFonts w:eastAsia="Times New Roman" w:cs="Times New Roman"/>
          <w:szCs w:val="20"/>
        </w:rPr>
        <w:lastRenderedPageBreak/>
        <w:t>established.  There is currently no dosing guidance/recommendation for paediatric patients with renal impairment.</w:t>
      </w:r>
    </w:p>
    <w:p w14:paraId="35C34CC9" w14:textId="77777777" w:rsidR="003B5F06" w:rsidRPr="00F24F20" w:rsidRDefault="003B5F06" w:rsidP="006D2CC7">
      <w:pPr>
        <w:pStyle w:val="Heading5"/>
      </w:pPr>
      <w:r w:rsidRPr="00F24F20">
        <w:t xml:space="preserve">Patients with </w:t>
      </w:r>
      <w:r w:rsidRPr="006D2CC7">
        <w:t>hepatic</w:t>
      </w:r>
      <w:r w:rsidRPr="00F24F20">
        <w:t xml:space="preserve"> impairment:</w:t>
      </w:r>
    </w:p>
    <w:p w14:paraId="206578D6" w14:textId="482DF4F1" w:rsidR="003B5F06" w:rsidRPr="003B5F06" w:rsidRDefault="003B5F06" w:rsidP="003B5F06">
      <w:pPr>
        <w:widowControl w:val="0"/>
        <w:tabs>
          <w:tab w:val="left" w:pos="0"/>
        </w:tabs>
        <w:autoSpaceDE w:val="0"/>
        <w:autoSpaceDN w:val="0"/>
        <w:adjustRightInd w:val="0"/>
        <w:spacing w:after="0" w:line="320" w:lineRule="atLeast"/>
        <w:jc w:val="both"/>
        <w:rPr>
          <w:rFonts w:eastAsia="Times New Roman" w:cs="Times New Roman"/>
          <w:szCs w:val="20"/>
        </w:rPr>
      </w:pPr>
      <w:r w:rsidRPr="003B5F06">
        <w:rPr>
          <w:rFonts w:eastAsia="Times New Roman" w:cs="Times New Roman"/>
          <w:bCs/>
          <w:szCs w:val="24"/>
        </w:rPr>
        <w:t xml:space="preserve">No dosage adjustment is warranted when administering </w:t>
      </w:r>
      <w:r w:rsidR="00F23D48">
        <w:rPr>
          <w:rFonts w:eastAsia="Times New Roman" w:cs="Times New Roman"/>
          <w:bCs/>
          <w:szCs w:val="24"/>
        </w:rPr>
        <w:t>CUBICIN</w:t>
      </w:r>
      <w:r w:rsidRPr="003B5F06">
        <w:rPr>
          <w:rFonts w:eastAsia="Times New Roman" w:cs="Times New Roman"/>
          <w:bCs/>
          <w:szCs w:val="24"/>
        </w:rPr>
        <w:t xml:space="preserve"> to patients with mild or</w:t>
      </w:r>
      <w:r w:rsidRPr="003B5F06">
        <w:rPr>
          <w:rFonts w:eastAsia="Times New Roman" w:cs="Times New Roman"/>
          <w:szCs w:val="20"/>
        </w:rPr>
        <w:t xml:space="preserve"> moderate hepatic impairment (Child-Pugh Class B). The pharmacokinetics of </w:t>
      </w:r>
      <w:proofErr w:type="spellStart"/>
      <w:r w:rsidRPr="003B5F06">
        <w:rPr>
          <w:rFonts w:eastAsia="Times New Roman" w:cs="Times New Roman"/>
          <w:szCs w:val="20"/>
        </w:rPr>
        <w:t>daptomycin</w:t>
      </w:r>
      <w:proofErr w:type="spellEnd"/>
      <w:r w:rsidRPr="003B5F06">
        <w:rPr>
          <w:rFonts w:eastAsia="Times New Roman" w:cs="Times New Roman"/>
          <w:szCs w:val="20"/>
        </w:rPr>
        <w:t xml:space="preserve"> in patients with severe hepatic impairment (Child-Pugh Class C) have not been evaluated.</w:t>
      </w:r>
    </w:p>
    <w:p w14:paraId="05C22681" w14:textId="77777777" w:rsidR="003B5F06" w:rsidRPr="00F24F20" w:rsidRDefault="003B5F06" w:rsidP="006D2CC7">
      <w:pPr>
        <w:pStyle w:val="Heading5"/>
      </w:pPr>
      <w:r w:rsidRPr="00F24F20">
        <w:t>Elderly patients:</w:t>
      </w:r>
    </w:p>
    <w:p w14:paraId="044BD824" w14:textId="64BCC906" w:rsidR="003B5F06" w:rsidRDefault="003B5F06" w:rsidP="003B5F06">
      <w:pPr>
        <w:widowControl w:val="0"/>
        <w:tabs>
          <w:tab w:val="left" w:pos="0"/>
        </w:tabs>
        <w:autoSpaceDE w:val="0"/>
        <w:autoSpaceDN w:val="0"/>
        <w:adjustRightInd w:val="0"/>
        <w:spacing w:before="120" w:after="0" w:line="320" w:lineRule="atLeast"/>
        <w:jc w:val="both"/>
        <w:rPr>
          <w:rFonts w:eastAsia="Times New Roman" w:cs="Times New Roman"/>
          <w:szCs w:val="20"/>
        </w:rPr>
      </w:pPr>
      <w:r w:rsidRPr="003B5F06">
        <w:rPr>
          <w:rFonts w:eastAsia="Times New Roman" w:cs="Times New Roman"/>
          <w:szCs w:val="20"/>
        </w:rPr>
        <w:t xml:space="preserve">Elderly patients have been treated with the same dose as patients aged 18-65. No adjustment of </w:t>
      </w:r>
      <w:r w:rsidR="00F23D48">
        <w:rPr>
          <w:rFonts w:eastAsia="Times New Roman" w:cs="Times New Roman"/>
          <w:szCs w:val="20"/>
        </w:rPr>
        <w:t>CUBICIN</w:t>
      </w:r>
      <w:r w:rsidRPr="003B5F06">
        <w:rPr>
          <w:rFonts w:eastAsia="Times New Roman" w:cs="Times New Roman"/>
          <w:szCs w:val="20"/>
        </w:rPr>
        <w:t xml:space="preserve"> dosage is warranted for elderly patients with CL</w:t>
      </w:r>
      <w:r w:rsidRPr="003B5F06">
        <w:rPr>
          <w:rFonts w:eastAsia="Times New Roman" w:cs="Times New Roman"/>
          <w:szCs w:val="20"/>
          <w:vertAlign w:val="subscript"/>
        </w:rPr>
        <w:t>CR</w:t>
      </w:r>
      <w:r w:rsidRPr="003B5F06">
        <w:rPr>
          <w:rFonts w:eastAsia="Times New Roman" w:cs="Times New Roman"/>
          <w:szCs w:val="20"/>
        </w:rPr>
        <w:t xml:space="preserve"> ≥</w:t>
      </w:r>
      <w:r w:rsidRPr="003B5F06">
        <w:rPr>
          <w:rFonts w:eastAsia="Times New Roman" w:cs="Times New Roman"/>
          <w:iCs/>
          <w:szCs w:val="20"/>
        </w:rPr>
        <w:t> 30 mL/min</w:t>
      </w:r>
      <w:r w:rsidRPr="003B5F06">
        <w:rPr>
          <w:rFonts w:eastAsia="Times New Roman" w:cs="Times New Roman"/>
          <w:szCs w:val="20"/>
        </w:rPr>
        <w:t>.</w:t>
      </w:r>
    </w:p>
    <w:p w14:paraId="0A1FADB9" w14:textId="385350DE" w:rsidR="00E22F34" w:rsidRPr="00F24F20" w:rsidRDefault="00E22F34" w:rsidP="006D2CC7">
      <w:pPr>
        <w:pStyle w:val="Heading5"/>
      </w:pPr>
      <w:r w:rsidRPr="00F24F20">
        <w:t>Paediatric patients (1 to 17 years of age):</w:t>
      </w:r>
    </w:p>
    <w:p w14:paraId="7C583964" w14:textId="77777777" w:rsidR="00E22F34" w:rsidRPr="00F24F20" w:rsidRDefault="00E22F34" w:rsidP="00E22F34">
      <w:pPr>
        <w:keepNext/>
        <w:keepLines/>
        <w:widowControl w:val="0"/>
        <w:tabs>
          <w:tab w:val="left" w:pos="0"/>
        </w:tabs>
        <w:autoSpaceDE w:val="0"/>
        <w:autoSpaceDN w:val="0"/>
        <w:adjustRightInd w:val="0"/>
        <w:spacing w:before="120" w:after="60" w:line="320" w:lineRule="atLeast"/>
        <w:ind w:left="1701" w:hanging="1701"/>
        <w:jc w:val="both"/>
        <w:rPr>
          <w:rFonts w:eastAsia="Times New Roman" w:cs="Times New Roman"/>
          <w:i/>
          <w:szCs w:val="24"/>
        </w:rPr>
      </w:pPr>
      <w:r w:rsidRPr="00F24F20">
        <w:rPr>
          <w:rFonts w:eastAsia="Times New Roman" w:cs="Times New Roman"/>
          <w:i/>
          <w:szCs w:val="24"/>
        </w:rPr>
        <w:t>Complicated skin and skin structure infections</w:t>
      </w:r>
    </w:p>
    <w:p w14:paraId="5F9EB174" w14:textId="6ECB41B2" w:rsidR="00E22F34" w:rsidRDefault="00F23D48" w:rsidP="00E22F34">
      <w:pPr>
        <w:widowControl w:val="0"/>
        <w:tabs>
          <w:tab w:val="left" w:pos="0"/>
        </w:tabs>
        <w:autoSpaceDE w:val="0"/>
        <w:autoSpaceDN w:val="0"/>
        <w:adjustRightInd w:val="0"/>
        <w:spacing w:after="0" w:line="320" w:lineRule="atLeast"/>
        <w:jc w:val="both"/>
        <w:rPr>
          <w:rFonts w:eastAsia="Times New Roman" w:cs="Times New Roman"/>
          <w:color w:val="000000"/>
          <w:szCs w:val="20"/>
        </w:rPr>
      </w:pPr>
      <w:r>
        <w:rPr>
          <w:rFonts w:eastAsia="Times New Roman" w:cs="Times New Roman"/>
          <w:szCs w:val="20"/>
          <w:lang w:val="en-GB"/>
        </w:rPr>
        <w:t>CUBICIN</w:t>
      </w:r>
      <w:r w:rsidR="00E22F34" w:rsidRPr="00E22F34">
        <w:rPr>
          <w:rFonts w:eastAsia="Times New Roman" w:cs="Times New Roman"/>
          <w:szCs w:val="20"/>
          <w:lang w:val="en-GB"/>
        </w:rPr>
        <w:t xml:space="preserve"> is administered intravenously in 0.9 % sodium chloride once every 24 hours up to 14 days, by infusion over a 30-minute period or a 60-minute period. Do not dose </w:t>
      </w:r>
      <w:r>
        <w:rPr>
          <w:rFonts w:eastAsia="Times New Roman" w:cs="Times New Roman"/>
          <w:szCs w:val="20"/>
          <w:lang w:val="en-GB"/>
        </w:rPr>
        <w:t>CUBICIN</w:t>
      </w:r>
      <w:r w:rsidR="00E22F34" w:rsidRPr="00E22F34">
        <w:rPr>
          <w:rFonts w:eastAsia="Times New Roman" w:cs="Times New Roman"/>
          <w:szCs w:val="20"/>
          <w:lang w:val="en-GB"/>
        </w:rPr>
        <w:t xml:space="preserve"> more frequently than once a day, and measure </w:t>
      </w:r>
      <w:proofErr w:type="spellStart"/>
      <w:r w:rsidR="00E22F34" w:rsidRPr="00E22F34">
        <w:rPr>
          <w:rFonts w:eastAsia="Times New Roman" w:cs="Times New Roman"/>
          <w:szCs w:val="20"/>
          <w:lang w:val="en-GB"/>
        </w:rPr>
        <w:t>creatine</w:t>
      </w:r>
      <w:proofErr w:type="spellEnd"/>
      <w:r w:rsidR="00E22F34" w:rsidRPr="00E22F34">
        <w:rPr>
          <w:rFonts w:eastAsia="Times New Roman" w:cs="Times New Roman"/>
          <w:szCs w:val="20"/>
          <w:lang w:val="en-GB"/>
        </w:rPr>
        <w:t xml:space="preserve"> phosphokinase (CPK) levels at baseline and at regular intervals (at least weekly) (see </w:t>
      </w:r>
      <w:r w:rsidR="000D2F9D">
        <w:rPr>
          <w:rFonts w:eastAsia="Times New Roman" w:cs="Times New Roman"/>
          <w:szCs w:val="20"/>
          <w:lang w:val="en-GB"/>
        </w:rPr>
        <w:t xml:space="preserve">section 4.4 SPECIAL WARNINGS AND </w:t>
      </w:r>
      <w:r w:rsidR="00E22F34" w:rsidRPr="00E22F34">
        <w:rPr>
          <w:rFonts w:eastAsia="Times New Roman" w:cs="Times New Roman"/>
          <w:szCs w:val="20"/>
          <w:lang w:val="en-GB"/>
        </w:rPr>
        <w:t>PRECAUTIONS</w:t>
      </w:r>
      <w:r w:rsidR="000D2F9D">
        <w:rPr>
          <w:rFonts w:eastAsia="Times New Roman" w:cs="Times New Roman"/>
          <w:szCs w:val="20"/>
          <w:lang w:val="en-GB"/>
        </w:rPr>
        <w:t xml:space="preserve"> FOR USE</w:t>
      </w:r>
      <w:r w:rsidR="00E22F34" w:rsidRPr="00E22F34">
        <w:rPr>
          <w:rFonts w:eastAsia="Times New Roman" w:cs="Times New Roman"/>
          <w:szCs w:val="20"/>
          <w:lang w:val="en-GB"/>
        </w:rPr>
        <w:t>).</w:t>
      </w:r>
      <w:r w:rsidR="00E22F34" w:rsidRPr="00E22F34">
        <w:rPr>
          <w:rFonts w:eastAsia="Times New Roman" w:cs="Times New Roman"/>
          <w:color w:val="000000"/>
          <w:szCs w:val="20"/>
        </w:rPr>
        <w:t xml:space="preserve"> </w:t>
      </w:r>
    </w:p>
    <w:p w14:paraId="23457C76" w14:textId="61600629" w:rsidR="004758A0" w:rsidRPr="00E22F34" w:rsidRDefault="004758A0" w:rsidP="00E22F34">
      <w:pPr>
        <w:widowControl w:val="0"/>
        <w:tabs>
          <w:tab w:val="left" w:pos="0"/>
        </w:tabs>
        <w:autoSpaceDE w:val="0"/>
        <w:autoSpaceDN w:val="0"/>
        <w:adjustRightInd w:val="0"/>
        <w:spacing w:after="0" w:line="320" w:lineRule="atLeast"/>
        <w:jc w:val="both"/>
        <w:rPr>
          <w:rFonts w:eastAsia="Times New Roman" w:cs="Times New Roman"/>
          <w:color w:val="000000"/>
          <w:szCs w:val="20"/>
        </w:rPr>
      </w:pPr>
      <w:r w:rsidRPr="004758A0">
        <w:rPr>
          <w:rFonts w:eastAsia="Times New Roman" w:cs="Times New Roman"/>
          <w:b/>
          <w:color w:val="000000"/>
          <w:szCs w:val="20"/>
        </w:rPr>
        <w:t>Unlike in adults, CUBICIN should not be administered by injection over a two (2) minute period in paediatric patients</w:t>
      </w:r>
      <w:r>
        <w:rPr>
          <w:rFonts w:eastAsia="Times New Roman" w:cs="Times New Roman"/>
          <w:color w:val="000000"/>
          <w:szCs w:val="20"/>
        </w:rPr>
        <w:t>.</w:t>
      </w:r>
    </w:p>
    <w:p w14:paraId="660AA035" w14:textId="77777777" w:rsidR="00E22F34" w:rsidRPr="00E22F34" w:rsidRDefault="00E22F34" w:rsidP="00E22F34">
      <w:pPr>
        <w:widowControl w:val="0"/>
        <w:tabs>
          <w:tab w:val="left" w:pos="0"/>
        </w:tabs>
        <w:autoSpaceDE w:val="0"/>
        <w:autoSpaceDN w:val="0"/>
        <w:adjustRightInd w:val="0"/>
        <w:spacing w:after="0" w:line="320" w:lineRule="atLeast"/>
        <w:jc w:val="both"/>
        <w:rPr>
          <w:rFonts w:eastAsia="Times New Roman" w:cs="Times New Roman"/>
          <w:szCs w:val="20"/>
        </w:rPr>
      </w:pPr>
    </w:p>
    <w:p w14:paraId="40B0EEC4" w14:textId="238D37F7" w:rsidR="00E22F34" w:rsidRPr="00E22F34" w:rsidRDefault="00E22F34" w:rsidP="00E22F34">
      <w:pPr>
        <w:widowControl w:val="0"/>
        <w:tabs>
          <w:tab w:val="left" w:pos="0"/>
        </w:tabs>
        <w:autoSpaceDE w:val="0"/>
        <w:autoSpaceDN w:val="0"/>
        <w:adjustRightInd w:val="0"/>
        <w:spacing w:after="0" w:line="320" w:lineRule="atLeast"/>
        <w:jc w:val="both"/>
        <w:rPr>
          <w:rFonts w:eastAsia="Times New Roman" w:cs="Times New Roman"/>
          <w:szCs w:val="20"/>
        </w:rPr>
      </w:pPr>
      <w:r w:rsidRPr="00E22F34">
        <w:rPr>
          <w:rFonts w:eastAsia="Times New Roman" w:cs="Times New Roman"/>
          <w:szCs w:val="20"/>
        </w:rPr>
        <w:t xml:space="preserve">The recommended dosage regimens based on age adjustment for paediatric patients with </w:t>
      </w:r>
      <w:proofErr w:type="spellStart"/>
      <w:r w:rsidRPr="00E22F34">
        <w:rPr>
          <w:rFonts w:eastAsia="Times New Roman" w:cs="Times New Roman"/>
          <w:szCs w:val="20"/>
        </w:rPr>
        <w:t>cSSSI</w:t>
      </w:r>
      <w:proofErr w:type="spellEnd"/>
      <w:r w:rsidRPr="00E22F34">
        <w:rPr>
          <w:rFonts w:eastAsia="Times New Roman" w:cs="Times New Roman"/>
          <w:szCs w:val="20"/>
        </w:rPr>
        <w:t xml:space="preserve"> are shown in the Table 1 below:</w:t>
      </w:r>
    </w:p>
    <w:p w14:paraId="088CC462" w14:textId="77777777" w:rsidR="004758A0" w:rsidRDefault="004758A0" w:rsidP="003B5F06">
      <w:pPr>
        <w:rPr>
          <w:rFonts w:eastAsia="MS Mincho"/>
          <w:lang w:val="en-GB"/>
        </w:rPr>
      </w:pPr>
    </w:p>
    <w:p w14:paraId="38B01F5C" w14:textId="689E6727" w:rsidR="00E22F34" w:rsidRPr="00BA0CC3" w:rsidRDefault="00E22F34" w:rsidP="003B5F06">
      <w:pPr>
        <w:rPr>
          <w:rFonts w:eastAsia="MS Mincho" w:cs="Times New Roman"/>
          <w:b/>
          <w:szCs w:val="24"/>
          <w:lang w:val="en-GB"/>
        </w:rPr>
      </w:pPr>
      <w:r w:rsidRPr="00BA0CC3">
        <w:rPr>
          <w:rFonts w:eastAsia="MS Mincho" w:cs="Times New Roman"/>
          <w:b/>
          <w:szCs w:val="24"/>
          <w:lang w:val="en-GB"/>
        </w:rPr>
        <w:t xml:space="preserve">Table </w:t>
      </w:r>
      <w:r w:rsidR="000D2F9D">
        <w:rPr>
          <w:rFonts w:eastAsia="MS Mincho" w:cs="Times New Roman"/>
          <w:b/>
          <w:szCs w:val="24"/>
          <w:lang w:val="en-GB"/>
        </w:rPr>
        <w:t>1</w:t>
      </w:r>
      <w:r w:rsidRPr="00BA0CC3">
        <w:rPr>
          <w:rFonts w:eastAsia="MS Mincho" w:cs="Times New Roman"/>
          <w:b/>
          <w:szCs w:val="24"/>
          <w:lang w:val="en-GB"/>
        </w:rPr>
        <w:t xml:space="preserve"> </w:t>
      </w:r>
      <w:r w:rsidR="004758A0">
        <w:rPr>
          <w:rFonts w:eastAsia="MS Mincho" w:cs="Times New Roman"/>
          <w:b/>
          <w:szCs w:val="24"/>
          <w:lang w:val="en-GB"/>
        </w:rPr>
        <w:t>Paediatric Patients</w:t>
      </w:r>
      <w:r w:rsidRPr="00BA0CC3">
        <w:rPr>
          <w:rFonts w:eastAsia="MS Mincho" w:cs="Times New Roman"/>
          <w:b/>
          <w:szCs w:val="24"/>
          <w:lang w:val="en-GB"/>
        </w:rPr>
        <w:t xml:space="preserve"> (1 t</w:t>
      </w:r>
      <w:r w:rsidR="00BA0CC3" w:rsidRPr="00BA0CC3">
        <w:rPr>
          <w:rFonts w:eastAsia="MS Mincho" w:cs="Times New Roman"/>
          <w:b/>
          <w:szCs w:val="24"/>
          <w:lang w:val="en-GB"/>
        </w:rPr>
        <w:t>o</w:t>
      </w:r>
      <w:r w:rsidRPr="00BA0CC3">
        <w:rPr>
          <w:rFonts w:eastAsia="MS Mincho" w:cs="Times New Roman"/>
          <w:b/>
          <w:szCs w:val="24"/>
          <w:lang w:val="en-GB"/>
        </w:rPr>
        <w:t xml:space="preserve"> 17 years of age)</w:t>
      </w:r>
      <w:r w:rsidR="00684C55">
        <w:rPr>
          <w:rFonts w:eastAsia="MS Mincho" w:cs="Times New Roman"/>
          <w:b/>
          <w:szCs w:val="24"/>
          <w:lang w:val="en-GB"/>
        </w:rPr>
        <w:t xml:space="preserve"> with </w:t>
      </w:r>
      <w:proofErr w:type="spellStart"/>
      <w:r w:rsidR="00684C55">
        <w:rPr>
          <w:rFonts w:eastAsia="MS Mincho" w:cs="Times New Roman"/>
          <w:b/>
          <w:szCs w:val="24"/>
          <w:lang w:val="en-GB"/>
        </w:rPr>
        <w:t>cSSSI</w:t>
      </w:r>
      <w:proofErr w:type="spellEnd"/>
    </w:p>
    <w:tbl>
      <w:tblPr>
        <w:tblStyle w:val="TableGrid"/>
        <w:tblpPr w:leftFromText="180" w:rightFromText="180" w:vertAnchor="text" w:horzAnchor="margin" w:tblpY="56"/>
        <w:tblW w:w="0" w:type="auto"/>
        <w:tblLook w:val="04A0" w:firstRow="1" w:lastRow="0" w:firstColumn="1" w:lastColumn="0" w:noHBand="0" w:noVBand="1"/>
      </w:tblPr>
      <w:tblGrid>
        <w:gridCol w:w="1910"/>
        <w:gridCol w:w="4676"/>
        <w:gridCol w:w="2430"/>
      </w:tblGrid>
      <w:tr w:rsidR="00E22F34" w:rsidRPr="00E22F34" w14:paraId="7936BB66" w14:textId="77777777" w:rsidTr="003C799A">
        <w:tc>
          <w:tcPr>
            <w:tcW w:w="1908" w:type="dxa"/>
          </w:tcPr>
          <w:p w14:paraId="399D1D1C" w14:textId="5F3048D3" w:rsidR="004758A0" w:rsidRDefault="004758A0" w:rsidP="004758A0">
            <w:pPr>
              <w:keepLines/>
              <w:widowControl w:val="0"/>
              <w:tabs>
                <w:tab w:val="left" w:pos="0"/>
                <w:tab w:val="left" w:pos="284"/>
              </w:tabs>
              <w:autoSpaceDE w:val="0"/>
              <w:autoSpaceDN w:val="0"/>
              <w:adjustRightInd w:val="0"/>
              <w:spacing w:line="320" w:lineRule="atLeast"/>
              <w:ind w:left="1134" w:hanging="1134"/>
              <w:jc w:val="both"/>
              <w:rPr>
                <w:szCs w:val="24"/>
              </w:rPr>
            </w:pPr>
            <w:r>
              <w:rPr>
                <w:szCs w:val="24"/>
              </w:rPr>
              <w:t>Age group</w:t>
            </w:r>
          </w:p>
          <w:p w14:paraId="67D7CAE8" w14:textId="43CB123C" w:rsidR="00E22F34" w:rsidRPr="00E22F34" w:rsidRDefault="00E22F34" w:rsidP="004758A0">
            <w:pPr>
              <w:keepLines/>
              <w:widowControl w:val="0"/>
              <w:tabs>
                <w:tab w:val="left" w:pos="0"/>
                <w:tab w:val="left" w:pos="284"/>
              </w:tabs>
              <w:autoSpaceDE w:val="0"/>
              <w:autoSpaceDN w:val="0"/>
              <w:adjustRightInd w:val="0"/>
              <w:spacing w:line="320" w:lineRule="atLeast"/>
              <w:ind w:left="1134" w:hanging="1134"/>
              <w:jc w:val="both"/>
              <w:rPr>
                <w:szCs w:val="24"/>
              </w:rPr>
            </w:pPr>
          </w:p>
        </w:tc>
        <w:tc>
          <w:tcPr>
            <w:tcW w:w="4680" w:type="dxa"/>
          </w:tcPr>
          <w:p w14:paraId="5C90036A" w14:textId="5A66A549"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Dosage</w:t>
            </w:r>
            <w:r w:rsidR="004758A0">
              <w:rPr>
                <w:szCs w:val="24"/>
              </w:rPr>
              <w:t>*</w:t>
            </w:r>
          </w:p>
        </w:tc>
        <w:tc>
          <w:tcPr>
            <w:tcW w:w="2430" w:type="dxa"/>
          </w:tcPr>
          <w:p w14:paraId="1BDFF13F"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Duration of therapy</w:t>
            </w:r>
          </w:p>
        </w:tc>
      </w:tr>
      <w:tr w:rsidR="00E22F34" w:rsidRPr="00E22F34" w14:paraId="4EFB7991" w14:textId="77777777" w:rsidTr="003C799A">
        <w:tc>
          <w:tcPr>
            <w:tcW w:w="1908" w:type="dxa"/>
          </w:tcPr>
          <w:p w14:paraId="43C03D21"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12 to 17 years</w:t>
            </w:r>
          </w:p>
        </w:tc>
        <w:tc>
          <w:tcPr>
            <w:tcW w:w="4680" w:type="dxa"/>
          </w:tcPr>
          <w:p w14:paraId="40F5E53E"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5 mg/kg once every 24 hours infused over 30 minutes</w:t>
            </w:r>
          </w:p>
        </w:tc>
        <w:tc>
          <w:tcPr>
            <w:tcW w:w="2430" w:type="dxa"/>
            <w:vMerge w:val="restart"/>
          </w:tcPr>
          <w:p w14:paraId="34685597"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p>
          <w:p w14:paraId="21A84212" w14:textId="4A7EDB0A"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Up to 14 days</w:t>
            </w:r>
          </w:p>
        </w:tc>
      </w:tr>
      <w:tr w:rsidR="00E22F34" w:rsidRPr="00E22F34" w14:paraId="75EE2ECA" w14:textId="77777777" w:rsidTr="003C799A">
        <w:tc>
          <w:tcPr>
            <w:tcW w:w="1908" w:type="dxa"/>
          </w:tcPr>
          <w:p w14:paraId="20737F07"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7 to 11 years</w:t>
            </w:r>
          </w:p>
        </w:tc>
        <w:tc>
          <w:tcPr>
            <w:tcW w:w="4680" w:type="dxa"/>
          </w:tcPr>
          <w:p w14:paraId="09DCF0BC"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7 mg/kg once every 24 hours infused over 30 minutes</w:t>
            </w:r>
          </w:p>
        </w:tc>
        <w:tc>
          <w:tcPr>
            <w:tcW w:w="2430" w:type="dxa"/>
            <w:vMerge/>
          </w:tcPr>
          <w:p w14:paraId="7C0C10D1"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p>
        </w:tc>
      </w:tr>
      <w:tr w:rsidR="00E22F34" w:rsidRPr="00E22F34" w14:paraId="728E09E3" w14:textId="77777777" w:rsidTr="003C799A">
        <w:tc>
          <w:tcPr>
            <w:tcW w:w="1908" w:type="dxa"/>
          </w:tcPr>
          <w:p w14:paraId="4D85E7CE"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2 to 6 years</w:t>
            </w:r>
          </w:p>
        </w:tc>
        <w:tc>
          <w:tcPr>
            <w:tcW w:w="4680" w:type="dxa"/>
          </w:tcPr>
          <w:p w14:paraId="251A9D62"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9 mg/kg once every 24 hours infused over 60 minutes</w:t>
            </w:r>
          </w:p>
        </w:tc>
        <w:tc>
          <w:tcPr>
            <w:tcW w:w="2430" w:type="dxa"/>
            <w:vMerge/>
          </w:tcPr>
          <w:p w14:paraId="09148063"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p>
        </w:tc>
      </w:tr>
      <w:tr w:rsidR="00E22F34" w:rsidRPr="00E22F34" w14:paraId="727B872A" w14:textId="77777777" w:rsidTr="003C799A">
        <w:tc>
          <w:tcPr>
            <w:tcW w:w="1908" w:type="dxa"/>
          </w:tcPr>
          <w:p w14:paraId="4E1E44F2"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1 to &lt; 2 years</w:t>
            </w:r>
          </w:p>
        </w:tc>
        <w:tc>
          <w:tcPr>
            <w:tcW w:w="4680" w:type="dxa"/>
          </w:tcPr>
          <w:p w14:paraId="7A47DEF0"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r w:rsidRPr="00E22F34">
              <w:rPr>
                <w:szCs w:val="24"/>
              </w:rPr>
              <w:t>10 mg/kg once every 24 hours infused over 60 minutes</w:t>
            </w:r>
          </w:p>
        </w:tc>
        <w:tc>
          <w:tcPr>
            <w:tcW w:w="2430" w:type="dxa"/>
            <w:vMerge/>
          </w:tcPr>
          <w:p w14:paraId="32409406" w14:textId="77777777" w:rsidR="00E22F34" w:rsidRPr="00E22F34" w:rsidRDefault="00E22F34" w:rsidP="00E22F34">
            <w:pPr>
              <w:keepLines/>
              <w:widowControl w:val="0"/>
              <w:tabs>
                <w:tab w:val="left" w:pos="0"/>
                <w:tab w:val="left" w:pos="284"/>
              </w:tabs>
              <w:autoSpaceDE w:val="0"/>
              <w:autoSpaceDN w:val="0"/>
              <w:adjustRightInd w:val="0"/>
              <w:spacing w:line="320" w:lineRule="atLeast"/>
              <w:ind w:left="1134" w:hanging="1134"/>
              <w:jc w:val="both"/>
              <w:rPr>
                <w:szCs w:val="24"/>
              </w:rPr>
            </w:pPr>
          </w:p>
        </w:tc>
      </w:tr>
    </w:tbl>
    <w:p w14:paraId="6E14300E" w14:textId="77777777" w:rsidR="004758A0" w:rsidRDefault="004758A0" w:rsidP="004758A0">
      <w:pPr>
        <w:spacing w:after="0" w:line="240" w:lineRule="auto"/>
        <w:rPr>
          <w:rFonts w:cs="Times New Roman"/>
          <w:sz w:val="20"/>
          <w:szCs w:val="20"/>
          <w:lang w:val="en-GB"/>
        </w:rPr>
      </w:pPr>
      <w:r w:rsidRPr="004758A0">
        <w:rPr>
          <w:rFonts w:cs="Times New Roman"/>
          <w:sz w:val="20"/>
          <w:szCs w:val="20"/>
          <w:lang w:val="en-GB"/>
        </w:rPr>
        <w:t>*Recommended dosage is for paediatric patients (1 to 17 years of age) with normal renal function.</w:t>
      </w:r>
    </w:p>
    <w:p w14:paraId="39E107D8" w14:textId="29B8B294" w:rsidR="00E22F34" w:rsidRPr="004758A0" w:rsidRDefault="004758A0" w:rsidP="004758A0">
      <w:pPr>
        <w:spacing w:after="0" w:line="240" w:lineRule="auto"/>
        <w:rPr>
          <w:rFonts w:cs="Times New Roman"/>
          <w:sz w:val="20"/>
          <w:szCs w:val="20"/>
          <w:lang w:val="en-GB"/>
        </w:rPr>
      </w:pPr>
      <w:r>
        <w:rPr>
          <w:rFonts w:cs="Times New Roman"/>
          <w:sz w:val="20"/>
          <w:szCs w:val="20"/>
          <w:lang w:val="en-GB"/>
        </w:rPr>
        <w:t xml:space="preserve"> Dosage adjustment for paediatric patients with renal impairment has not been established.</w:t>
      </w:r>
    </w:p>
    <w:p w14:paraId="56C49519" w14:textId="77777777" w:rsidR="004758A0" w:rsidRDefault="004758A0" w:rsidP="003B5F06">
      <w:pPr>
        <w:rPr>
          <w:rFonts w:cs="Times New Roman"/>
          <w:szCs w:val="24"/>
          <w:lang w:val="en-GB"/>
        </w:rPr>
      </w:pPr>
    </w:p>
    <w:p w14:paraId="02FFF79C" w14:textId="281D96D9" w:rsidR="00E22F34" w:rsidRPr="00E22F34" w:rsidRDefault="00E22F34" w:rsidP="004168F8">
      <w:pPr>
        <w:jc w:val="both"/>
        <w:rPr>
          <w:rFonts w:eastAsia="MS Mincho" w:cs="Times New Roman"/>
          <w:szCs w:val="24"/>
          <w:lang w:val="en-GB"/>
        </w:rPr>
      </w:pPr>
      <w:r w:rsidRPr="00E22F34">
        <w:rPr>
          <w:rFonts w:cs="Times New Roman"/>
          <w:szCs w:val="24"/>
          <w:lang w:val="en-GB"/>
        </w:rPr>
        <w:t xml:space="preserve">Paediatric patients below the age of one year should not be given </w:t>
      </w:r>
      <w:r w:rsidR="00F23D48">
        <w:rPr>
          <w:rFonts w:cs="Times New Roman"/>
          <w:szCs w:val="24"/>
          <w:lang w:val="en-GB"/>
        </w:rPr>
        <w:t>CUBICIN</w:t>
      </w:r>
      <w:r w:rsidRPr="00E22F34">
        <w:rPr>
          <w:rFonts w:cs="Times New Roman"/>
          <w:szCs w:val="24"/>
          <w:lang w:val="en-GB"/>
        </w:rPr>
        <w:t xml:space="preserve"> due to the risk of potential effects on muscular, neuromuscular, and/or nervous systems (either peripheral and/or </w:t>
      </w:r>
      <w:r w:rsidRPr="00E22F34">
        <w:rPr>
          <w:rFonts w:cs="Times New Roman"/>
          <w:szCs w:val="24"/>
          <w:lang w:val="en-GB"/>
        </w:rPr>
        <w:lastRenderedPageBreak/>
        <w:t>central) that were observed in neonatal dogs (see</w:t>
      </w:r>
      <w:r w:rsidR="000D2F9D">
        <w:rPr>
          <w:rFonts w:cs="Times New Roman"/>
          <w:szCs w:val="24"/>
          <w:lang w:val="en-GB"/>
        </w:rPr>
        <w:t xml:space="preserve"> </w:t>
      </w:r>
      <w:r w:rsidR="000D2F9D" w:rsidRPr="00912A46">
        <w:rPr>
          <w:rFonts w:cs="Times New Roman"/>
          <w:szCs w:val="24"/>
          <w:lang w:val="en-GB"/>
        </w:rPr>
        <w:t>section 4.4 SPECIAL WARNINGS AND PRECAUTIONS FOR USE</w:t>
      </w:r>
      <w:r w:rsidRPr="00912A46">
        <w:rPr>
          <w:rFonts w:cs="Times New Roman"/>
          <w:szCs w:val="24"/>
          <w:lang w:val="en-GB"/>
        </w:rPr>
        <w:t>)</w:t>
      </w:r>
      <w:r w:rsidR="00BA0CC3" w:rsidRPr="00912A46">
        <w:rPr>
          <w:rFonts w:cs="Times New Roman"/>
          <w:szCs w:val="24"/>
          <w:lang w:val="en-GB"/>
        </w:rPr>
        <w:t>.</w:t>
      </w:r>
    </w:p>
    <w:p w14:paraId="0BC48A1D" w14:textId="60876561" w:rsidR="00E22F34" w:rsidRPr="006512B2" w:rsidRDefault="00E22F34" w:rsidP="00E22F34">
      <w:pPr>
        <w:keepNext/>
        <w:keepLines/>
        <w:widowControl w:val="0"/>
        <w:tabs>
          <w:tab w:val="left" w:pos="0"/>
        </w:tabs>
        <w:autoSpaceDE w:val="0"/>
        <w:autoSpaceDN w:val="0"/>
        <w:adjustRightInd w:val="0"/>
        <w:spacing w:before="120" w:after="60" w:line="320" w:lineRule="atLeast"/>
        <w:ind w:left="1701" w:hanging="1701"/>
        <w:jc w:val="both"/>
        <w:rPr>
          <w:rFonts w:eastAsia="Times New Roman" w:cs="Times New Roman"/>
          <w:i/>
          <w:szCs w:val="24"/>
        </w:rPr>
      </w:pPr>
      <w:r w:rsidRPr="006512B2">
        <w:rPr>
          <w:rFonts w:eastAsia="Times New Roman" w:cs="Times New Roman"/>
          <w:i/>
          <w:szCs w:val="24"/>
        </w:rPr>
        <w:t>Staphylococcus aureus bloodstream infections (bacter</w:t>
      </w:r>
      <w:r w:rsidR="004758A0">
        <w:rPr>
          <w:rFonts w:eastAsia="Times New Roman" w:cs="Times New Roman"/>
          <w:i/>
          <w:szCs w:val="24"/>
        </w:rPr>
        <w:t>a</w:t>
      </w:r>
      <w:r w:rsidRPr="006512B2">
        <w:rPr>
          <w:rFonts w:eastAsia="Times New Roman" w:cs="Times New Roman"/>
          <w:i/>
          <w:szCs w:val="24"/>
        </w:rPr>
        <w:t xml:space="preserve">emia) </w:t>
      </w:r>
    </w:p>
    <w:p w14:paraId="5ADBCD8F" w14:textId="7E1A2C97" w:rsidR="004758A0" w:rsidRDefault="004758A0" w:rsidP="00E22F34">
      <w:pPr>
        <w:widowControl w:val="0"/>
        <w:tabs>
          <w:tab w:val="left" w:pos="0"/>
        </w:tabs>
        <w:autoSpaceDE w:val="0"/>
        <w:autoSpaceDN w:val="0"/>
        <w:adjustRightInd w:val="0"/>
        <w:spacing w:before="120" w:after="0" w:line="320" w:lineRule="atLeast"/>
        <w:jc w:val="both"/>
        <w:rPr>
          <w:rFonts w:eastAsia="Times New Roman" w:cs="Times New Roman"/>
          <w:szCs w:val="20"/>
          <w:lang w:eastAsia="ja-JP"/>
        </w:rPr>
      </w:pPr>
      <w:r>
        <w:rPr>
          <w:rFonts w:eastAsia="Times New Roman" w:cs="Times New Roman"/>
          <w:szCs w:val="20"/>
          <w:lang w:eastAsia="ja-JP"/>
        </w:rPr>
        <w:t xml:space="preserve">The recommended dosage regimens based on age for paediatric patients with </w:t>
      </w:r>
      <w:r w:rsidRPr="00684C55">
        <w:rPr>
          <w:rFonts w:eastAsia="Times New Roman" w:cs="Times New Roman"/>
          <w:i/>
          <w:szCs w:val="20"/>
          <w:lang w:eastAsia="ja-JP"/>
        </w:rPr>
        <w:t>S.</w:t>
      </w:r>
      <w:r w:rsidR="00684C55" w:rsidRPr="00684C55">
        <w:rPr>
          <w:rFonts w:eastAsia="Times New Roman" w:cs="Times New Roman"/>
          <w:i/>
          <w:szCs w:val="20"/>
          <w:lang w:eastAsia="ja-JP"/>
        </w:rPr>
        <w:t xml:space="preserve"> </w:t>
      </w:r>
      <w:r w:rsidRPr="00684C55">
        <w:rPr>
          <w:rFonts w:eastAsia="Times New Roman" w:cs="Times New Roman"/>
          <w:i/>
          <w:szCs w:val="20"/>
          <w:lang w:eastAsia="ja-JP"/>
        </w:rPr>
        <w:t>aureus</w:t>
      </w:r>
      <w:r>
        <w:rPr>
          <w:rFonts w:eastAsia="Times New Roman" w:cs="Times New Roman"/>
          <w:szCs w:val="20"/>
          <w:lang w:eastAsia="ja-JP"/>
        </w:rPr>
        <w:t xml:space="preserve"> bloodstream infections (bacteraemia) are shown in Table</w:t>
      </w:r>
      <w:r w:rsidR="00A679F5">
        <w:rPr>
          <w:rFonts w:eastAsia="Times New Roman" w:cs="Times New Roman"/>
          <w:szCs w:val="20"/>
          <w:lang w:eastAsia="ja-JP"/>
        </w:rPr>
        <w:t xml:space="preserve"> 2</w:t>
      </w:r>
      <w:r>
        <w:rPr>
          <w:rFonts w:eastAsia="Times New Roman" w:cs="Times New Roman"/>
          <w:szCs w:val="20"/>
          <w:lang w:eastAsia="ja-JP"/>
        </w:rPr>
        <w:t>. CUBICIN should be administered intravenously in 0.9% sodium chloride injection once every 24 hours</w:t>
      </w:r>
      <w:r w:rsidR="002023E6">
        <w:rPr>
          <w:rFonts w:eastAsia="Times New Roman" w:cs="Times New Roman"/>
          <w:szCs w:val="20"/>
          <w:lang w:eastAsia="ja-JP"/>
        </w:rPr>
        <w:t>.</w:t>
      </w:r>
      <w:r w:rsidR="007F3F23">
        <w:rPr>
          <w:rFonts w:eastAsia="Times New Roman" w:cs="Times New Roman"/>
          <w:szCs w:val="20"/>
          <w:lang w:eastAsia="ja-JP"/>
        </w:rPr>
        <w:t xml:space="preserve"> For duration of therapy, please refer to Table 2.</w:t>
      </w:r>
    </w:p>
    <w:p w14:paraId="65D86EC0" w14:textId="505B3AE8" w:rsidR="004758A0" w:rsidRPr="004758A0" w:rsidRDefault="004758A0" w:rsidP="004758A0">
      <w:pPr>
        <w:keepNext/>
        <w:keepLines/>
        <w:widowControl w:val="0"/>
        <w:suppressLineNumbers/>
        <w:autoSpaceDE w:val="0"/>
        <w:autoSpaceDN w:val="0"/>
        <w:adjustRightInd w:val="0"/>
        <w:spacing w:before="360" w:after="120" w:line="240" w:lineRule="auto"/>
        <w:jc w:val="both"/>
        <w:rPr>
          <w:rFonts w:ascii="Times New Roman Bold" w:eastAsia="Times New Roman" w:hAnsi="Times New Roman Bold" w:cs="Times New Roman"/>
          <w:b/>
          <w:snapToGrid w:val="0"/>
          <w:szCs w:val="24"/>
        </w:rPr>
      </w:pPr>
      <w:r w:rsidRPr="004758A0">
        <w:rPr>
          <w:rFonts w:ascii="Times New Roman Bold" w:eastAsia="Times New Roman" w:hAnsi="Times New Roman Bold" w:cs="Times New Roman"/>
          <w:b/>
          <w:snapToGrid w:val="0"/>
          <w:szCs w:val="24"/>
        </w:rPr>
        <w:t xml:space="preserve">Table </w:t>
      </w:r>
      <w:r w:rsidR="00A679F5">
        <w:rPr>
          <w:rFonts w:ascii="Times New Roman Bold" w:eastAsia="Times New Roman" w:hAnsi="Times New Roman Bold" w:cs="Times New Roman"/>
          <w:b/>
          <w:snapToGrid w:val="0"/>
          <w:szCs w:val="24"/>
        </w:rPr>
        <w:t>2</w:t>
      </w:r>
      <w:r w:rsidRPr="004758A0">
        <w:rPr>
          <w:rFonts w:ascii="Times New Roman Bold" w:eastAsia="Times New Roman" w:hAnsi="Times New Roman Bold" w:cs="Times New Roman"/>
          <w:b/>
          <w:snapToGrid w:val="0"/>
          <w:szCs w:val="24"/>
        </w:rPr>
        <w:t xml:space="preserve"> Paediatric Patients (1 to 17 years of age)</w:t>
      </w:r>
      <w:r w:rsidR="00684C55">
        <w:rPr>
          <w:rFonts w:ascii="Times New Roman Bold" w:eastAsia="Times New Roman" w:hAnsi="Times New Roman Bold" w:cs="Times New Roman"/>
          <w:b/>
          <w:snapToGrid w:val="0"/>
          <w:szCs w:val="24"/>
        </w:rPr>
        <w:t xml:space="preserve"> with </w:t>
      </w:r>
      <w:r w:rsidR="00684C55" w:rsidRPr="00684C55">
        <w:rPr>
          <w:rFonts w:ascii="Times New Roman Bold" w:eastAsia="Times New Roman" w:hAnsi="Times New Roman Bold" w:cs="Times New Roman"/>
          <w:b/>
          <w:i/>
          <w:snapToGrid w:val="0"/>
          <w:szCs w:val="24"/>
        </w:rPr>
        <w:t>S. aureus</w:t>
      </w:r>
      <w:r w:rsidR="00684C55">
        <w:rPr>
          <w:rFonts w:ascii="Times New Roman Bold" w:eastAsia="Times New Roman" w:hAnsi="Times New Roman Bold" w:cs="Times New Roman"/>
          <w:b/>
          <w:snapToGrid w:val="0"/>
          <w:szCs w:val="24"/>
        </w:rPr>
        <w:t xml:space="preserve"> bacteraemia</w:t>
      </w:r>
    </w:p>
    <w:tbl>
      <w:tblPr>
        <w:tblStyle w:val="TableGrid1"/>
        <w:tblW w:w="0" w:type="auto"/>
        <w:tblLook w:val="04A0" w:firstRow="1" w:lastRow="0" w:firstColumn="1" w:lastColumn="0" w:noHBand="0" w:noVBand="1"/>
      </w:tblPr>
      <w:tblGrid>
        <w:gridCol w:w="1779"/>
        <w:gridCol w:w="4086"/>
        <w:gridCol w:w="3151"/>
      </w:tblGrid>
      <w:tr w:rsidR="004758A0" w:rsidRPr="004758A0" w14:paraId="55803A34" w14:textId="77777777" w:rsidTr="005C05F7">
        <w:tc>
          <w:tcPr>
            <w:tcW w:w="1951" w:type="dxa"/>
          </w:tcPr>
          <w:p w14:paraId="3B1DB68F" w14:textId="77777777" w:rsidR="004758A0" w:rsidRPr="004758A0" w:rsidRDefault="004758A0" w:rsidP="004758A0">
            <w:pPr>
              <w:widowControl w:val="0"/>
              <w:tabs>
                <w:tab w:val="left" w:pos="0"/>
              </w:tabs>
              <w:autoSpaceDE w:val="0"/>
              <w:autoSpaceDN w:val="0"/>
              <w:adjustRightInd w:val="0"/>
              <w:spacing w:line="320" w:lineRule="atLeast"/>
              <w:jc w:val="both"/>
              <w:rPr>
                <w:b/>
                <w:sz w:val="20"/>
              </w:rPr>
            </w:pPr>
            <w:r w:rsidRPr="004758A0">
              <w:rPr>
                <w:b/>
                <w:sz w:val="20"/>
              </w:rPr>
              <w:t>Age group</w:t>
            </w:r>
          </w:p>
        </w:tc>
        <w:tc>
          <w:tcPr>
            <w:tcW w:w="4603" w:type="dxa"/>
          </w:tcPr>
          <w:p w14:paraId="7DF15A9F" w14:textId="77777777" w:rsidR="004758A0" w:rsidRPr="004758A0" w:rsidRDefault="004758A0" w:rsidP="004758A0">
            <w:pPr>
              <w:widowControl w:val="0"/>
              <w:tabs>
                <w:tab w:val="left" w:pos="0"/>
              </w:tabs>
              <w:autoSpaceDE w:val="0"/>
              <w:autoSpaceDN w:val="0"/>
              <w:adjustRightInd w:val="0"/>
              <w:spacing w:line="320" w:lineRule="atLeast"/>
              <w:jc w:val="both"/>
              <w:rPr>
                <w:b/>
                <w:sz w:val="20"/>
              </w:rPr>
            </w:pPr>
            <w:r w:rsidRPr="004758A0">
              <w:rPr>
                <w:b/>
                <w:sz w:val="20"/>
              </w:rPr>
              <w:t>Dosage*</w:t>
            </w:r>
          </w:p>
          <w:p w14:paraId="2F2E7B53" w14:textId="77777777" w:rsidR="004758A0" w:rsidRPr="004758A0" w:rsidRDefault="004758A0" w:rsidP="004758A0">
            <w:pPr>
              <w:widowControl w:val="0"/>
              <w:tabs>
                <w:tab w:val="left" w:pos="0"/>
              </w:tabs>
              <w:autoSpaceDE w:val="0"/>
              <w:autoSpaceDN w:val="0"/>
              <w:adjustRightInd w:val="0"/>
              <w:spacing w:line="320" w:lineRule="atLeast"/>
              <w:jc w:val="both"/>
              <w:rPr>
                <w:b/>
                <w:sz w:val="20"/>
              </w:rPr>
            </w:pPr>
          </w:p>
        </w:tc>
        <w:tc>
          <w:tcPr>
            <w:tcW w:w="3278" w:type="dxa"/>
          </w:tcPr>
          <w:p w14:paraId="253DF8D8" w14:textId="5FF1007F" w:rsidR="004758A0" w:rsidRPr="004758A0" w:rsidRDefault="004758A0" w:rsidP="004758A0">
            <w:pPr>
              <w:widowControl w:val="0"/>
              <w:tabs>
                <w:tab w:val="left" w:pos="0"/>
              </w:tabs>
              <w:autoSpaceDE w:val="0"/>
              <w:autoSpaceDN w:val="0"/>
              <w:adjustRightInd w:val="0"/>
              <w:spacing w:line="320" w:lineRule="atLeast"/>
              <w:jc w:val="both"/>
              <w:rPr>
                <w:b/>
                <w:sz w:val="20"/>
              </w:rPr>
            </w:pPr>
            <w:r w:rsidRPr="004758A0">
              <w:rPr>
                <w:b/>
                <w:sz w:val="20"/>
              </w:rPr>
              <w:t>Duration of therapy</w:t>
            </w:r>
          </w:p>
        </w:tc>
      </w:tr>
      <w:tr w:rsidR="004758A0" w:rsidRPr="004758A0" w14:paraId="046D7A58" w14:textId="77777777" w:rsidTr="005C05F7">
        <w:tc>
          <w:tcPr>
            <w:tcW w:w="1951" w:type="dxa"/>
          </w:tcPr>
          <w:p w14:paraId="3345BE86"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r w:rsidRPr="004758A0">
              <w:rPr>
                <w:sz w:val="20"/>
              </w:rPr>
              <w:t>12 to 17 years</w:t>
            </w:r>
          </w:p>
        </w:tc>
        <w:tc>
          <w:tcPr>
            <w:tcW w:w="4603" w:type="dxa"/>
          </w:tcPr>
          <w:p w14:paraId="15AAE829"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r w:rsidRPr="004758A0">
              <w:rPr>
                <w:sz w:val="20"/>
              </w:rPr>
              <w:t>7 mg/kg once every 24 hours infused over 30 minutes</w:t>
            </w:r>
          </w:p>
        </w:tc>
        <w:tc>
          <w:tcPr>
            <w:tcW w:w="3278" w:type="dxa"/>
            <w:vMerge w:val="restart"/>
          </w:tcPr>
          <w:p w14:paraId="258FF06B" w14:textId="1DBA74B7" w:rsidR="00684C55" w:rsidRDefault="00684C55" w:rsidP="00020FA7">
            <w:pPr>
              <w:pStyle w:val="ListParagraph"/>
              <w:widowControl w:val="0"/>
              <w:numPr>
                <w:ilvl w:val="0"/>
                <w:numId w:val="22"/>
              </w:numPr>
              <w:tabs>
                <w:tab w:val="left" w:pos="0"/>
              </w:tabs>
              <w:autoSpaceDE w:val="0"/>
              <w:autoSpaceDN w:val="0"/>
              <w:adjustRightInd w:val="0"/>
              <w:spacing w:line="320" w:lineRule="atLeast"/>
              <w:rPr>
                <w:sz w:val="20"/>
              </w:rPr>
            </w:pPr>
            <w:r w:rsidRPr="00684C55">
              <w:rPr>
                <w:sz w:val="20"/>
              </w:rPr>
              <w:t xml:space="preserve">Local </w:t>
            </w:r>
            <w:r>
              <w:rPr>
                <w:sz w:val="20"/>
              </w:rPr>
              <w:t xml:space="preserve">treatment guidelines should be consulted in determining duration of treatment. In the paediatric </w:t>
            </w:r>
            <w:r w:rsidR="00020FA7" w:rsidRPr="00020FA7">
              <w:rPr>
                <w:i/>
                <w:sz w:val="20"/>
              </w:rPr>
              <w:t>S</w:t>
            </w:r>
            <w:r w:rsidRPr="00020FA7">
              <w:rPr>
                <w:i/>
                <w:sz w:val="20"/>
              </w:rPr>
              <w:t>.</w:t>
            </w:r>
            <w:r w:rsidR="002023E6">
              <w:rPr>
                <w:i/>
                <w:sz w:val="20"/>
              </w:rPr>
              <w:t xml:space="preserve"> </w:t>
            </w:r>
            <w:r w:rsidRPr="00020FA7">
              <w:rPr>
                <w:i/>
                <w:sz w:val="20"/>
              </w:rPr>
              <w:t>aureus</w:t>
            </w:r>
            <w:r>
              <w:rPr>
                <w:sz w:val="20"/>
              </w:rPr>
              <w:t xml:space="preserve"> bacteraemia (SAB) study the mean duration of IV </w:t>
            </w:r>
            <w:proofErr w:type="spellStart"/>
            <w:r>
              <w:rPr>
                <w:sz w:val="20"/>
              </w:rPr>
              <w:t>daptomycin</w:t>
            </w:r>
            <w:proofErr w:type="spellEnd"/>
            <w:r>
              <w:rPr>
                <w:sz w:val="20"/>
              </w:rPr>
              <w:t xml:space="preserve"> was 1</w:t>
            </w:r>
            <w:r w:rsidR="007F3F23">
              <w:rPr>
                <w:sz w:val="20"/>
              </w:rPr>
              <w:t>2</w:t>
            </w:r>
            <w:r>
              <w:rPr>
                <w:sz w:val="20"/>
              </w:rPr>
              <w:t xml:space="preserve"> days (median 11 days: range</w:t>
            </w:r>
            <w:r w:rsidR="004050F5">
              <w:rPr>
                <w:sz w:val="20"/>
              </w:rPr>
              <w:t xml:space="preserve"> 1</w:t>
            </w:r>
            <w:r>
              <w:rPr>
                <w:sz w:val="20"/>
              </w:rPr>
              <w:t>-44 days).</w:t>
            </w:r>
          </w:p>
          <w:p w14:paraId="58991953" w14:textId="1CC29518" w:rsidR="00020FA7" w:rsidRPr="00684C55" w:rsidRDefault="00020FA7" w:rsidP="00020FA7">
            <w:pPr>
              <w:pStyle w:val="ListParagraph"/>
              <w:widowControl w:val="0"/>
              <w:numPr>
                <w:ilvl w:val="0"/>
                <w:numId w:val="22"/>
              </w:numPr>
              <w:tabs>
                <w:tab w:val="left" w:pos="0"/>
              </w:tabs>
              <w:autoSpaceDE w:val="0"/>
              <w:autoSpaceDN w:val="0"/>
              <w:adjustRightInd w:val="0"/>
              <w:spacing w:line="320" w:lineRule="atLeast"/>
              <w:rPr>
                <w:sz w:val="20"/>
              </w:rPr>
            </w:pPr>
            <w:r>
              <w:rPr>
                <w:sz w:val="20"/>
              </w:rPr>
              <w:t xml:space="preserve">No patient with SAB aged 1 to </w:t>
            </w:r>
            <w:r>
              <w:rPr>
                <w:sz w:val="20"/>
              </w:rPr>
              <w:sym w:font="Symbol" w:char="F03C"/>
            </w:r>
            <w:r>
              <w:rPr>
                <w:sz w:val="20"/>
              </w:rPr>
              <w:t>2 years was included in paed</w:t>
            </w:r>
            <w:r w:rsidR="004D3499">
              <w:rPr>
                <w:sz w:val="20"/>
              </w:rPr>
              <w:t>i</w:t>
            </w:r>
            <w:r>
              <w:rPr>
                <w:sz w:val="20"/>
              </w:rPr>
              <w:t>atric SAB study. Dosage for this age group is confirmed using population pharmacokinetic modelling.</w:t>
            </w:r>
          </w:p>
        </w:tc>
      </w:tr>
      <w:tr w:rsidR="004758A0" w:rsidRPr="004758A0" w14:paraId="60EA1FBF" w14:textId="77777777" w:rsidTr="005C05F7">
        <w:tc>
          <w:tcPr>
            <w:tcW w:w="1951" w:type="dxa"/>
          </w:tcPr>
          <w:p w14:paraId="76FB38BD"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r w:rsidRPr="004758A0">
              <w:rPr>
                <w:sz w:val="20"/>
              </w:rPr>
              <w:t>7 to 11 years</w:t>
            </w:r>
          </w:p>
        </w:tc>
        <w:tc>
          <w:tcPr>
            <w:tcW w:w="4603" w:type="dxa"/>
          </w:tcPr>
          <w:p w14:paraId="1EBCA266"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r w:rsidRPr="004758A0">
              <w:rPr>
                <w:sz w:val="20"/>
              </w:rPr>
              <w:t>9 mg/kg once every 24 hours infused over 30 minutes</w:t>
            </w:r>
          </w:p>
        </w:tc>
        <w:tc>
          <w:tcPr>
            <w:tcW w:w="3278" w:type="dxa"/>
            <w:vMerge/>
          </w:tcPr>
          <w:p w14:paraId="45AEE092"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p>
        </w:tc>
      </w:tr>
      <w:tr w:rsidR="004758A0" w:rsidRPr="004758A0" w14:paraId="03BB7661" w14:textId="77777777" w:rsidTr="005C05F7">
        <w:tc>
          <w:tcPr>
            <w:tcW w:w="1951" w:type="dxa"/>
          </w:tcPr>
          <w:p w14:paraId="10D0D302"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r w:rsidRPr="004758A0">
              <w:rPr>
                <w:sz w:val="20"/>
              </w:rPr>
              <w:t>1 to 6 years</w:t>
            </w:r>
          </w:p>
        </w:tc>
        <w:tc>
          <w:tcPr>
            <w:tcW w:w="4603" w:type="dxa"/>
          </w:tcPr>
          <w:p w14:paraId="363BA76E"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r w:rsidRPr="004758A0">
              <w:rPr>
                <w:sz w:val="20"/>
              </w:rPr>
              <w:t>12 mg/kg once every 24 hours infused over 60 minutes</w:t>
            </w:r>
          </w:p>
        </w:tc>
        <w:tc>
          <w:tcPr>
            <w:tcW w:w="3278" w:type="dxa"/>
            <w:vMerge/>
          </w:tcPr>
          <w:p w14:paraId="2992E72D" w14:textId="77777777" w:rsidR="004758A0" w:rsidRPr="004758A0" w:rsidRDefault="004758A0" w:rsidP="004758A0">
            <w:pPr>
              <w:widowControl w:val="0"/>
              <w:tabs>
                <w:tab w:val="left" w:pos="0"/>
              </w:tabs>
              <w:autoSpaceDE w:val="0"/>
              <w:autoSpaceDN w:val="0"/>
              <w:adjustRightInd w:val="0"/>
              <w:spacing w:line="320" w:lineRule="atLeast"/>
              <w:jc w:val="both"/>
              <w:rPr>
                <w:sz w:val="20"/>
              </w:rPr>
            </w:pPr>
          </w:p>
        </w:tc>
      </w:tr>
    </w:tbl>
    <w:p w14:paraId="2EC2DCCA" w14:textId="77777777" w:rsidR="004758A0" w:rsidRPr="004758A0" w:rsidRDefault="004758A0" w:rsidP="004758A0">
      <w:pPr>
        <w:widowControl w:val="0"/>
        <w:tabs>
          <w:tab w:val="left" w:pos="0"/>
        </w:tabs>
        <w:autoSpaceDE w:val="0"/>
        <w:autoSpaceDN w:val="0"/>
        <w:adjustRightInd w:val="0"/>
        <w:spacing w:after="0" w:line="320" w:lineRule="atLeast"/>
        <w:jc w:val="both"/>
        <w:rPr>
          <w:rFonts w:eastAsia="Times New Roman" w:cs="Times New Roman"/>
          <w:sz w:val="18"/>
          <w:szCs w:val="18"/>
        </w:rPr>
      </w:pPr>
      <w:r w:rsidRPr="004758A0">
        <w:rPr>
          <w:rFonts w:eastAsia="Times New Roman" w:cs="Times New Roman"/>
          <w:sz w:val="18"/>
          <w:szCs w:val="18"/>
        </w:rPr>
        <w:t>* Recommended dosage is for paediatric patients (1 to 17 years of age) with normal renal function.  Dosage adjustment for paediatric patients with renal impairment has not been established.</w:t>
      </w:r>
    </w:p>
    <w:p w14:paraId="541F07D4" w14:textId="77777777" w:rsidR="004758A0" w:rsidRDefault="004758A0" w:rsidP="00E22F34">
      <w:pPr>
        <w:widowControl w:val="0"/>
        <w:tabs>
          <w:tab w:val="left" w:pos="0"/>
        </w:tabs>
        <w:autoSpaceDE w:val="0"/>
        <w:autoSpaceDN w:val="0"/>
        <w:adjustRightInd w:val="0"/>
        <w:spacing w:before="120" w:after="0" w:line="320" w:lineRule="atLeast"/>
        <w:jc w:val="both"/>
        <w:rPr>
          <w:rFonts w:eastAsia="Times New Roman" w:cs="Times New Roman"/>
          <w:szCs w:val="20"/>
          <w:lang w:eastAsia="ja-JP"/>
        </w:rPr>
      </w:pPr>
    </w:p>
    <w:p w14:paraId="2B46930F" w14:textId="77777777" w:rsidR="00225799" w:rsidRPr="006512B2" w:rsidRDefault="00225799" w:rsidP="006D2CC7">
      <w:pPr>
        <w:pStyle w:val="Heading4"/>
      </w:pPr>
      <w:r w:rsidRPr="006512B2">
        <w:t>Instructions for Use and Handling</w:t>
      </w:r>
    </w:p>
    <w:p w14:paraId="70BDE45C" w14:textId="0055473D" w:rsidR="00723DC1" w:rsidRPr="00225799" w:rsidRDefault="00F23D48" w:rsidP="00225799">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CUBICIN</w:t>
      </w:r>
      <w:r w:rsidR="00723DC1">
        <w:rPr>
          <w:rFonts w:eastAsia="Times New Roman" w:cs="Times New Roman"/>
          <w:szCs w:val="20"/>
          <w:lang w:val="en-GB"/>
        </w:rPr>
        <w:t xml:space="preserve"> is supplied in single dose vials, each containing 500 mg or 350 mg </w:t>
      </w:r>
      <w:proofErr w:type="spellStart"/>
      <w:r w:rsidR="00723DC1">
        <w:rPr>
          <w:rFonts w:eastAsia="Times New Roman" w:cs="Times New Roman"/>
          <w:szCs w:val="20"/>
          <w:lang w:val="en-GB"/>
        </w:rPr>
        <w:t>daptomycin</w:t>
      </w:r>
      <w:proofErr w:type="spellEnd"/>
      <w:r w:rsidR="00723DC1">
        <w:rPr>
          <w:rFonts w:eastAsia="Times New Roman" w:cs="Times New Roman"/>
          <w:szCs w:val="20"/>
          <w:lang w:val="en-GB"/>
        </w:rPr>
        <w:t xml:space="preserve"> as a sterilised lyophilised powder.  The contents of a </w:t>
      </w:r>
      <w:r>
        <w:rPr>
          <w:rFonts w:eastAsia="Times New Roman" w:cs="Times New Roman"/>
          <w:szCs w:val="20"/>
          <w:lang w:val="en-GB"/>
        </w:rPr>
        <w:t>CUBICIN</w:t>
      </w:r>
      <w:r w:rsidR="00723DC1">
        <w:rPr>
          <w:rFonts w:eastAsia="Times New Roman" w:cs="Times New Roman"/>
          <w:szCs w:val="20"/>
          <w:lang w:val="en-GB"/>
        </w:rPr>
        <w:t xml:space="preserve"> vial are reconstituted, using aseptic technique, to 50 mg/mL as follows:</w:t>
      </w:r>
    </w:p>
    <w:p w14:paraId="06C65B89" w14:textId="77777777" w:rsidR="00225799" w:rsidRPr="00225799" w:rsidRDefault="00225799" w:rsidP="00225799">
      <w:pPr>
        <w:widowControl w:val="0"/>
        <w:tabs>
          <w:tab w:val="left" w:pos="0"/>
        </w:tabs>
        <w:autoSpaceDE w:val="0"/>
        <w:autoSpaceDN w:val="0"/>
        <w:adjustRightInd w:val="0"/>
        <w:spacing w:after="0" w:line="320" w:lineRule="atLeast"/>
        <w:jc w:val="both"/>
        <w:rPr>
          <w:rFonts w:eastAsia="Times New Roman" w:cs="Times New Roman"/>
          <w:szCs w:val="20"/>
        </w:rPr>
      </w:pPr>
    </w:p>
    <w:p w14:paraId="02B250D8" w14:textId="77777777" w:rsidR="00225799" w:rsidRPr="00225799" w:rsidRDefault="00225799" w:rsidP="00225799">
      <w:pPr>
        <w:widowControl w:val="0"/>
        <w:tabs>
          <w:tab w:val="left" w:pos="0"/>
        </w:tabs>
        <w:autoSpaceDE w:val="0"/>
        <w:autoSpaceDN w:val="0"/>
        <w:adjustRightInd w:val="0"/>
        <w:spacing w:after="0" w:line="320" w:lineRule="atLeast"/>
        <w:jc w:val="both"/>
        <w:rPr>
          <w:rFonts w:eastAsia="Times New Roman" w:cs="Times New Roman"/>
          <w:szCs w:val="20"/>
        </w:rPr>
      </w:pPr>
      <w:r w:rsidRPr="00225799">
        <w:rPr>
          <w:rFonts w:eastAsia="Times New Roman" w:cs="Times New Roman"/>
          <w:szCs w:val="20"/>
        </w:rPr>
        <w:t>Note:  To minimise foaming, AVOID vigorous agitation or shaking of the vial during or after</w:t>
      </w:r>
    </w:p>
    <w:p w14:paraId="0DD4192E" w14:textId="77777777" w:rsidR="00225799" w:rsidRPr="00225799" w:rsidRDefault="00225799" w:rsidP="00225799">
      <w:pPr>
        <w:widowControl w:val="0"/>
        <w:tabs>
          <w:tab w:val="left" w:pos="0"/>
        </w:tabs>
        <w:autoSpaceDE w:val="0"/>
        <w:autoSpaceDN w:val="0"/>
        <w:adjustRightInd w:val="0"/>
        <w:spacing w:after="0" w:line="320" w:lineRule="atLeast"/>
        <w:jc w:val="both"/>
        <w:rPr>
          <w:rFonts w:eastAsia="Times New Roman" w:cs="Times New Roman"/>
          <w:szCs w:val="20"/>
        </w:rPr>
      </w:pPr>
      <w:r w:rsidRPr="00225799">
        <w:rPr>
          <w:rFonts w:eastAsia="Times New Roman" w:cs="Times New Roman"/>
          <w:szCs w:val="20"/>
        </w:rPr>
        <w:lastRenderedPageBreak/>
        <w:t xml:space="preserve">           reconstitution.</w:t>
      </w:r>
    </w:p>
    <w:p w14:paraId="1C7EEB2A" w14:textId="78F076D3" w:rsidR="00225799" w:rsidRPr="00057FDB" w:rsidRDefault="00225799" w:rsidP="00057FDB">
      <w:pPr>
        <w:pStyle w:val="ListParagraph"/>
        <w:widowControl w:val="0"/>
        <w:numPr>
          <w:ilvl w:val="0"/>
          <w:numId w:val="19"/>
        </w:numPr>
        <w:tabs>
          <w:tab w:val="left" w:pos="0"/>
        </w:tabs>
        <w:autoSpaceDE w:val="0"/>
        <w:autoSpaceDN w:val="0"/>
        <w:adjustRightInd w:val="0"/>
        <w:spacing w:after="0" w:line="320" w:lineRule="atLeast"/>
        <w:jc w:val="both"/>
        <w:rPr>
          <w:rFonts w:eastAsia="Times New Roman" w:cs="Times New Roman"/>
          <w:szCs w:val="20"/>
        </w:rPr>
      </w:pPr>
      <w:r w:rsidRPr="00057FDB">
        <w:rPr>
          <w:rFonts w:eastAsia="Times New Roman" w:cs="Times New Roman"/>
          <w:szCs w:val="20"/>
        </w:rPr>
        <w:t xml:space="preserve">Remove the polypropylene flip-off cap from the </w:t>
      </w:r>
      <w:r w:rsidR="00F23D48">
        <w:rPr>
          <w:rFonts w:eastAsia="Times New Roman" w:cs="Times New Roman"/>
          <w:szCs w:val="20"/>
        </w:rPr>
        <w:t>CUBICIN</w:t>
      </w:r>
      <w:r w:rsidRPr="00057FDB">
        <w:rPr>
          <w:rFonts w:eastAsia="Times New Roman" w:cs="Times New Roman"/>
          <w:szCs w:val="20"/>
        </w:rPr>
        <w:t xml:space="preserve"> vial to expose the central portion of the rubber stopper.</w:t>
      </w:r>
    </w:p>
    <w:p w14:paraId="4C106C6B" w14:textId="7E1BB14A" w:rsidR="00225799" w:rsidRPr="00057FDB" w:rsidRDefault="00225799" w:rsidP="00057FDB">
      <w:pPr>
        <w:pStyle w:val="ListParagraph"/>
        <w:widowControl w:val="0"/>
        <w:numPr>
          <w:ilvl w:val="0"/>
          <w:numId w:val="19"/>
        </w:numPr>
        <w:tabs>
          <w:tab w:val="left" w:pos="0"/>
        </w:tabs>
        <w:autoSpaceDE w:val="0"/>
        <w:autoSpaceDN w:val="0"/>
        <w:adjustRightInd w:val="0"/>
        <w:spacing w:after="0" w:line="320" w:lineRule="atLeast"/>
        <w:jc w:val="both"/>
        <w:rPr>
          <w:rFonts w:eastAsia="Times New Roman" w:cs="Times New Roman"/>
          <w:szCs w:val="20"/>
        </w:rPr>
      </w:pPr>
      <w:r w:rsidRPr="00057FDB">
        <w:rPr>
          <w:rFonts w:eastAsia="Times New Roman" w:cs="Times New Roman"/>
          <w:szCs w:val="20"/>
        </w:rPr>
        <w:t>Wipe top of rubber stopper with alcohol swab or other antiseptic solution and allow to dry.  After cleaning, do not touch the rubber stopper or allow it to touch any other surface.</w:t>
      </w:r>
    </w:p>
    <w:p w14:paraId="2D1C2D9F" w14:textId="3C0B798F" w:rsidR="00225799" w:rsidRPr="00057FDB" w:rsidRDefault="00225799" w:rsidP="00057FDB">
      <w:pPr>
        <w:pStyle w:val="ListParagraph"/>
        <w:widowControl w:val="0"/>
        <w:numPr>
          <w:ilvl w:val="0"/>
          <w:numId w:val="19"/>
        </w:numPr>
        <w:tabs>
          <w:tab w:val="left" w:pos="0"/>
        </w:tabs>
        <w:autoSpaceDE w:val="0"/>
        <w:autoSpaceDN w:val="0"/>
        <w:adjustRightInd w:val="0"/>
        <w:spacing w:after="0" w:line="320" w:lineRule="atLeast"/>
        <w:jc w:val="both"/>
        <w:rPr>
          <w:rFonts w:eastAsia="Times New Roman" w:cs="Times New Roman"/>
          <w:szCs w:val="20"/>
        </w:rPr>
      </w:pPr>
      <w:r w:rsidRPr="00057FDB">
        <w:rPr>
          <w:rFonts w:eastAsia="Times New Roman" w:cs="Times New Roman"/>
          <w:szCs w:val="20"/>
        </w:rPr>
        <w:t xml:space="preserve">Slowly transfer 7 mL of 0.9 % sodium chloride injection (for 350 mg vials) or 10 mL of 0.9 % sodium chloride injection (for 500 mg vial) through the centre of the rubber stopper into the </w:t>
      </w:r>
      <w:r w:rsidR="00F23D48">
        <w:rPr>
          <w:rFonts w:eastAsia="Times New Roman" w:cs="Times New Roman"/>
          <w:szCs w:val="20"/>
        </w:rPr>
        <w:t>CUBICIN</w:t>
      </w:r>
      <w:r w:rsidRPr="00057FDB">
        <w:rPr>
          <w:rFonts w:eastAsia="Times New Roman" w:cs="Times New Roman"/>
          <w:szCs w:val="20"/>
        </w:rPr>
        <w:t xml:space="preserve"> vial using a bevelled sterile transfer needle that is 21 gauge or smaller diameter, or a needleless device, pointing the transfer needle toward the wall of the vial.</w:t>
      </w:r>
    </w:p>
    <w:p w14:paraId="2D0F040E" w14:textId="1F4334FF" w:rsidR="00225799" w:rsidRPr="00057FDB" w:rsidRDefault="00225799" w:rsidP="00057FDB">
      <w:pPr>
        <w:pStyle w:val="ListParagraph"/>
        <w:widowControl w:val="0"/>
        <w:numPr>
          <w:ilvl w:val="0"/>
          <w:numId w:val="19"/>
        </w:numPr>
        <w:tabs>
          <w:tab w:val="left" w:pos="0"/>
        </w:tabs>
        <w:autoSpaceDE w:val="0"/>
        <w:autoSpaceDN w:val="0"/>
        <w:adjustRightInd w:val="0"/>
        <w:spacing w:after="0" w:line="320" w:lineRule="atLeast"/>
        <w:jc w:val="both"/>
        <w:rPr>
          <w:rFonts w:eastAsia="Times New Roman" w:cs="Times New Roman"/>
          <w:szCs w:val="20"/>
        </w:rPr>
      </w:pPr>
      <w:r w:rsidRPr="00057FDB">
        <w:rPr>
          <w:rFonts w:eastAsia="Times New Roman" w:cs="Times New Roman"/>
          <w:szCs w:val="20"/>
        </w:rPr>
        <w:t xml:space="preserve">Ensure that the entire </w:t>
      </w:r>
      <w:r w:rsidR="00F23D48">
        <w:rPr>
          <w:rFonts w:eastAsia="Times New Roman" w:cs="Times New Roman"/>
          <w:szCs w:val="20"/>
        </w:rPr>
        <w:t>CUBICIN</w:t>
      </w:r>
      <w:r w:rsidRPr="00057FDB">
        <w:rPr>
          <w:rFonts w:eastAsia="Times New Roman" w:cs="Times New Roman"/>
          <w:szCs w:val="20"/>
        </w:rPr>
        <w:t xml:space="preserve"> product is wetted by gently rotating the vial.</w:t>
      </w:r>
    </w:p>
    <w:p w14:paraId="341B5804" w14:textId="36C894E1" w:rsidR="00225799" w:rsidRPr="00057FDB" w:rsidRDefault="00225799" w:rsidP="00057FDB">
      <w:pPr>
        <w:pStyle w:val="ListParagraph"/>
        <w:widowControl w:val="0"/>
        <w:numPr>
          <w:ilvl w:val="0"/>
          <w:numId w:val="19"/>
        </w:numPr>
        <w:tabs>
          <w:tab w:val="left" w:pos="0"/>
        </w:tabs>
        <w:autoSpaceDE w:val="0"/>
        <w:autoSpaceDN w:val="0"/>
        <w:adjustRightInd w:val="0"/>
        <w:spacing w:after="0" w:line="320" w:lineRule="atLeast"/>
        <w:jc w:val="both"/>
        <w:rPr>
          <w:rFonts w:eastAsia="Times New Roman" w:cs="Times New Roman"/>
          <w:szCs w:val="20"/>
        </w:rPr>
      </w:pPr>
      <w:r w:rsidRPr="00057FDB">
        <w:rPr>
          <w:rFonts w:eastAsia="Times New Roman" w:cs="Times New Roman"/>
          <w:szCs w:val="20"/>
        </w:rPr>
        <w:t>Allow the product to stand undisturbed for 10 minutes.</w:t>
      </w:r>
    </w:p>
    <w:p w14:paraId="180C5D82" w14:textId="5C06ACFE" w:rsidR="00225799" w:rsidRPr="00057FDB" w:rsidRDefault="00225799" w:rsidP="00057FDB">
      <w:pPr>
        <w:pStyle w:val="ListParagraph"/>
        <w:widowControl w:val="0"/>
        <w:numPr>
          <w:ilvl w:val="0"/>
          <w:numId w:val="19"/>
        </w:numPr>
        <w:tabs>
          <w:tab w:val="left" w:pos="0"/>
        </w:tabs>
        <w:autoSpaceDE w:val="0"/>
        <w:autoSpaceDN w:val="0"/>
        <w:adjustRightInd w:val="0"/>
        <w:spacing w:after="0" w:line="320" w:lineRule="atLeast"/>
        <w:jc w:val="both"/>
        <w:rPr>
          <w:rFonts w:eastAsia="Times New Roman" w:cs="Times New Roman"/>
          <w:szCs w:val="20"/>
        </w:rPr>
      </w:pPr>
      <w:r w:rsidRPr="00057FDB">
        <w:rPr>
          <w:rFonts w:eastAsia="Times New Roman" w:cs="Times New Roman"/>
          <w:szCs w:val="20"/>
        </w:rPr>
        <w:t>Gently rotate or swirl the vial contents for a few minutes, as needed, to obtain a completely reconstituted solution.</w:t>
      </w:r>
    </w:p>
    <w:p w14:paraId="2D6C05B7" w14:textId="1E55DB82" w:rsidR="00225799" w:rsidRPr="00057FDB" w:rsidRDefault="00225799" w:rsidP="00057FDB">
      <w:pPr>
        <w:pStyle w:val="ListParagraph"/>
        <w:widowControl w:val="0"/>
        <w:numPr>
          <w:ilvl w:val="0"/>
          <w:numId w:val="19"/>
        </w:numPr>
        <w:tabs>
          <w:tab w:val="left" w:pos="0"/>
        </w:tabs>
        <w:autoSpaceDE w:val="0"/>
        <w:autoSpaceDN w:val="0"/>
        <w:adjustRightInd w:val="0"/>
        <w:spacing w:after="0" w:line="320" w:lineRule="atLeast"/>
        <w:jc w:val="both"/>
        <w:rPr>
          <w:rFonts w:eastAsia="Times New Roman" w:cs="Times New Roman"/>
          <w:szCs w:val="20"/>
        </w:rPr>
      </w:pPr>
      <w:r w:rsidRPr="00057FDB">
        <w:rPr>
          <w:rFonts w:eastAsia="Times New Roman" w:cs="Times New Roman"/>
          <w:szCs w:val="20"/>
        </w:rPr>
        <w:t xml:space="preserve">Slowly remove reconstituted liquid (50 mg </w:t>
      </w:r>
      <w:proofErr w:type="spellStart"/>
      <w:r w:rsidRPr="00057FDB">
        <w:rPr>
          <w:rFonts w:eastAsia="Times New Roman" w:cs="Times New Roman"/>
          <w:szCs w:val="20"/>
        </w:rPr>
        <w:t>daptomycin</w:t>
      </w:r>
      <w:proofErr w:type="spellEnd"/>
      <w:r w:rsidRPr="00057FDB">
        <w:rPr>
          <w:rFonts w:eastAsia="Times New Roman" w:cs="Times New Roman"/>
          <w:szCs w:val="20"/>
        </w:rPr>
        <w:t xml:space="preserve">/mL) from the vial using a bevelled sterile needle 21 gauge or smaller </w:t>
      </w:r>
      <w:r w:rsidR="00057FDB">
        <w:rPr>
          <w:rFonts w:eastAsia="Times New Roman" w:cs="Times New Roman"/>
          <w:szCs w:val="20"/>
        </w:rPr>
        <w:t xml:space="preserve">in </w:t>
      </w:r>
      <w:r w:rsidRPr="00057FDB">
        <w:rPr>
          <w:rFonts w:eastAsia="Times New Roman" w:cs="Times New Roman"/>
          <w:szCs w:val="20"/>
        </w:rPr>
        <w:t>diameter.</w:t>
      </w:r>
    </w:p>
    <w:p w14:paraId="24240DE1" w14:textId="0D520E1B" w:rsidR="00225799" w:rsidRPr="007224C9" w:rsidRDefault="00057FDB" w:rsidP="00225799">
      <w:pPr>
        <w:widowControl w:val="0"/>
        <w:tabs>
          <w:tab w:val="left" w:pos="0"/>
        </w:tabs>
        <w:autoSpaceDE w:val="0"/>
        <w:autoSpaceDN w:val="0"/>
        <w:adjustRightInd w:val="0"/>
        <w:spacing w:after="0" w:line="320" w:lineRule="atLeast"/>
        <w:jc w:val="both"/>
        <w:rPr>
          <w:rFonts w:eastAsia="Times New Roman" w:cs="Times New Roman"/>
          <w:i/>
          <w:szCs w:val="20"/>
          <w:u w:val="single"/>
        </w:rPr>
      </w:pPr>
      <w:r w:rsidRPr="007224C9">
        <w:rPr>
          <w:rFonts w:eastAsia="Times New Roman" w:cs="Times New Roman"/>
          <w:i/>
          <w:szCs w:val="20"/>
          <w:u w:val="single"/>
        </w:rPr>
        <w:t>Adults</w:t>
      </w:r>
    </w:p>
    <w:p w14:paraId="01614C96" w14:textId="77777777" w:rsidR="00057FDB" w:rsidRPr="00057FDB" w:rsidRDefault="00057FDB" w:rsidP="00057FDB">
      <w:pPr>
        <w:widowControl w:val="0"/>
        <w:tabs>
          <w:tab w:val="left" w:pos="0"/>
        </w:tabs>
        <w:autoSpaceDE w:val="0"/>
        <w:autoSpaceDN w:val="0"/>
        <w:adjustRightInd w:val="0"/>
        <w:spacing w:after="0" w:line="320" w:lineRule="atLeast"/>
        <w:jc w:val="both"/>
        <w:rPr>
          <w:rFonts w:eastAsia="Times New Roman" w:cs="Times New Roman"/>
          <w:szCs w:val="24"/>
          <w:lang w:val="nb-NO"/>
        </w:rPr>
      </w:pPr>
      <w:r w:rsidRPr="00057FDB">
        <w:rPr>
          <w:rFonts w:eastAsia="Times New Roman" w:cs="Times New Roman"/>
          <w:szCs w:val="24"/>
          <w:lang w:val="nb-NO"/>
        </w:rPr>
        <w:t>Intravenous Injection over a period of 2 minutes</w:t>
      </w:r>
    </w:p>
    <w:p w14:paraId="0CC3B956" w14:textId="202BEE59" w:rsidR="00057FDB" w:rsidRPr="00057FDB" w:rsidRDefault="00057FDB" w:rsidP="00057FDB">
      <w:pPr>
        <w:widowControl w:val="0"/>
        <w:numPr>
          <w:ilvl w:val="0"/>
          <w:numId w:val="20"/>
        </w:numPr>
        <w:tabs>
          <w:tab w:val="left" w:pos="0"/>
        </w:tabs>
        <w:autoSpaceDE w:val="0"/>
        <w:autoSpaceDN w:val="0"/>
        <w:adjustRightInd w:val="0"/>
        <w:spacing w:after="0" w:line="320" w:lineRule="atLeast"/>
        <w:contextualSpacing/>
        <w:jc w:val="both"/>
        <w:rPr>
          <w:rFonts w:eastAsia="Times New Roman" w:cs="Times New Roman"/>
          <w:szCs w:val="24"/>
          <w:lang w:val="nb-NO"/>
        </w:rPr>
      </w:pPr>
      <w:r w:rsidRPr="00057FDB">
        <w:rPr>
          <w:rFonts w:eastAsia="Times New Roman" w:cs="Times New Roman"/>
          <w:szCs w:val="24"/>
          <w:lang w:val="nb-NO"/>
        </w:rPr>
        <w:t xml:space="preserve">For IV injection over a period of 2 minutes in adult patients, reconstituted </w:t>
      </w:r>
      <w:r w:rsidR="00F23D48">
        <w:rPr>
          <w:rFonts w:eastAsia="Times New Roman" w:cs="Times New Roman"/>
          <w:szCs w:val="24"/>
          <w:lang w:val="nb-NO"/>
        </w:rPr>
        <w:t>CUBICIN</w:t>
      </w:r>
      <w:r w:rsidRPr="00057FDB">
        <w:rPr>
          <w:rFonts w:eastAsia="Times New Roman" w:cs="Times New Roman"/>
          <w:szCs w:val="24"/>
          <w:lang w:val="nb-NO"/>
        </w:rPr>
        <w:t xml:space="preserve"> is administered at a concentration of 50 mg/mL.</w:t>
      </w:r>
    </w:p>
    <w:p w14:paraId="4BA9DD7A" w14:textId="77777777" w:rsidR="00057FDB" w:rsidRPr="00057FDB" w:rsidRDefault="00057FDB" w:rsidP="00057FDB">
      <w:pPr>
        <w:widowControl w:val="0"/>
        <w:tabs>
          <w:tab w:val="left" w:pos="0"/>
        </w:tabs>
        <w:autoSpaceDE w:val="0"/>
        <w:autoSpaceDN w:val="0"/>
        <w:adjustRightInd w:val="0"/>
        <w:spacing w:after="0" w:line="320" w:lineRule="atLeast"/>
        <w:ind w:left="720"/>
        <w:contextualSpacing/>
        <w:jc w:val="both"/>
        <w:rPr>
          <w:rFonts w:eastAsia="Times New Roman" w:cs="Times New Roman"/>
          <w:szCs w:val="24"/>
          <w:lang w:val="nb-NO"/>
        </w:rPr>
      </w:pPr>
    </w:p>
    <w:p w14:paraId="4EA2705E" w14:textId="77777777" w:rsidR="00057FDB" w:rsidRPr="00057FDB" w:rsidRDefault="00057FDB" w:rsidP="00057FDB">
      <w:pPr>
        <w:widowControl w:val="0"/>
        <w:tabs>
          <w:tab w:val="left" w:pos="0"/>
        </w:tabs>
        <w:autoSpaceDE w:val="0"/>
        <w:autoSpaceDN w:val="0"/>
        <w:adjustRightInd w:val="0"/>
        <w:spacing w:after="0" w:line="320" w:lineRule="atLeast"/>
        <w:jc w:val="both"/>
        <w:rPr>
          <w:rFonts w:eastAsia="Times New Roman" w:cs="Times New Roman"/>
          <w:szCs w:val="24"/>
          <w:lang w:val="nb-NO"/>
        </w:rPr>
      </w:pPr>
      <w:r w:rsidRPr="00057FDB">
        <w:rPr>
          <w:rFonts w:eastAsia="Times New Roman" w:cs="Times New Roman"/>
          <w:szCs w:val="24"/>
          <w:lang w:val="nb-NO"/>
        </w:rPr>
        <w:t>Intravenous Injection over a period of 30 minutes</w:t>
      </w:r>
    </w:p>
    <w:p w14:paraId="48BD9C9E" w14:textId="1613A3E3" w:rsidR="00057FDB" w:rsidRPr="00057FDB" w:rsidRDefault="00057FDB" w:rsidP="00057FDB">
      <w:pPr>
        <w:widowControl w:val="0"/>
        <w:numPr>
          <w:ilvl w:val="0"/>
          <w:numId w:val="20"/>
        </w:numPr>
        <w:tabs>
          <w:tab w:val="left" w:pos="0"/>
        </w:tabs>
        <w:autoSpaceDE w:val="0"/>
        <w:autoSpaceDN w:val="0"/>
        <w:adjustRightInd w:val="0"/>
        <w:spacing w:after="0" w:line="320" w:lineRule="atLeast"/>
        <w:contextualSpacing/>
        <w:jc w:val="both"/>
        <w:rPr>
          <w:rFonts w:eastAsia="Times New Roman" w:cs="Times New Roman"/>
          <w:szCs w:val="24"/>
          <w:lang w:val="nb-NO"/>
        </w:rPr>
      </w:pPr>
      <w:r w:rsidRPr="00057FDB">
        <w:rPr>
          <w:rFonts w:eastAsia="Times New Roman" w:cs="Times New Roman"/>
          <w:szCs w:val="24"/>
          <w:lang w:val="nb-NO"/>
        </w:rPr>
        <w:t xml:space="preserve">For IV infusion over a period of 30 minutes in adult patients, reconstituted </w:t>
      </w:r>
      <w:r w:rsidR="00F23D48">
        <w:rPr>
          <w:rFonts w:eastAsia="Times New Roman" w:cs="Times New Roman"/>
          <w:szCs w:val="24"/>
          <w:lang w:val="nb-NO"/>
        </w:rPr>
        <w:t>CUBICIN</w:t>
      </w:r>
      <w:r w:rsidRPr="00057FDB">
        <w:rPr>
          <w:rFonts w:eastAsia="Times New Roman" w:cs="Times New Roman"/>
          <w:szCs w:val="24"/>
          <w:lang w:val="nb-NO"/>
        </w:rPr>
        <w:t xml:space="preserve"> (concentration of 50 mg/mL) is futher diluted, using aseptic technique, with 0.9% sodium chloride.</w:t>
      </w:r>
    </w:p>
    <w:p w14:paraId="743D04D1" w14:textId="77777777" w:rsidR="00057FDB" w:rsidRDefault="00057FDB" w:rsidP="00225799">
      <w:pPr>
        <w:widowControl w:val="0"/>
        <w:tabs>
          <w:tab w:val="left" w:pos="0"/>
        </w:tabs>
        <w:autoSpaceDE w:val="0"/>
        <w:autoSpaceDN w:val="0"/>
        <w:adjustRightInd w:val="0"/>
        <w:spacing w:after="0" w:line="320" w:lineRule="atLeast"/>
        <w:jc w:val="both"/>
        <w:rPr>
          <w:rFonts w:eastAsia="Times New Roman" w:cs="Times New Roman"/>
          <w:szCs w:val="20"/>
        </w:rPr>
      </w:pPr>
    </w:p>
    <w:p w14:paraId="63960531" w14:textId="24D60D25" w:rsidR="00057FDB" w:rsidRPr="007224C9" w:rsidRDefault="00057FDB" w:rsidP="00225799">
      <w:pPr>
        <w:widowControl w:val="0"/>
        <w:tabs>
          <w:tab w:val="left" w:pos="0"/>
        </w:tabs>
        <w:autoSpaceDE w:val="0"/>
        <w:autoSpaceDN w:val="0"/>
        <w:adjustRightInd w:val="0"/>
        <w:spacing w:after="0" w:line="320" w:lineRule="atLeast"/>
        <w:jc w:val="both"/>
        <w:rPr>
          <w:rFonts w:eastAsia="Times New Roman" w:cs="Times New Roman"/>
          <w:i/>
          <w:szCs w:val="20"/>
          <w:u w:val="single"/>
        </w:rPr>
      </w:pPr>
      <w:r w:rsidRPr="007224C9">
        <w:rPr>
          <w:rFonts w:eastAsia="Times New Roman" w:cs="Times New Roman"/>
          <w:i/>
          <w:szCs w:val="20"/>
          <w:u w:val="single"/>
        </w:rPr>
        <w:t>Paediatric Patients (1 to 17 Years of Age)</w:t>
      </w:r>
    </w:p>
    <w:p w14:paraId="1317558C" w14:textId="77777777" w:rsidR="00057FDB" w:rsidRPr="00057FDB" w:rsidRDefault="00057FDB" w:rsidP="00057FDB">
      <w:pPr>
        <w:rPr>
          <w:rFonts w:eastAsia="Times New Roman" w:cs="Times New Roman"/>
          <w:szCs w:val="24"/>
          <w:lang w:val="nb-NO"/>
        </w:rPr>
      </w:pPr>
      <w:r w:rsidRPr="00057FDB">
        <w:rPr>
          <w:rFonts w:eastAsia="Times New Roman" w:cs="Times New Roman"/>
          <w:szCs w:val="24"/>
          <w:lang w:val="nb-NO"/>
        </w:rPr>
        <w:t>Intravenous Infusion over a period of 30 or 60 minutes</w:t>
      </w:r>
    </w:p>
    <w:p w14:paraId="0139A957" w14:textId="6042B51D" w:rsidR="00057FDB" w:rsidRPr="00057FDB" w:rsidRDefault="00057FDB" w:rsidP="00057FDB">
      <w:pPr>
        <w:widowControl w:val="0"/>
        <w:numPr>
          <w:ilvl w:val="0"/>
          <w:numId w:val="20"/>
        </w:numPr>
        <w:tabs>
          <w:tab w:val="left" w:pos="0"/>
        </w:tabs>
        <w:autoSpaceDE w:val="0"/>
        <w:autoSpaceDN w:val="0"/>
        <w:adjustRightInd w:val="0"/>
        <w:spacing w:after="0" w:line="320" w:lineRule="atLeast"/>
        <w:contextualSpacing/>
        <w:jc w:val="both"/>
        <w:rPr>
          <w:rFonts w:eastAsia="Times New Roman" w:cs="Times New Roman"/>
          <w:szCs w:val="24"/>
          <w:lang w:val="nb-NO"/>
        </w:rPr>
      </w:pPr>
      <w:r w:rsidRPr="00057FDB">
        <w:rPr>
          <w:rFonts w:eastAsia="Times New Roman" w:cs="Times New Roman"/>
          <w:szCs w:val="24"/>
          <w:lang w:val="nb-NO"/>
        </w:rPr>
        <w:t xml:space="preserve">For IV infusion over a period of 30 minutes in paediatric patients, reconstituted </w:t>
      </w:r>
      <w:r w:rsidR="00F23D48">
        <w:rPr>
          <w:rFonts w:eastAsia="Times New Roman" w:cs="Times New Roman"/>
          <w:szCs w:val="24"/>
          <w:lang w:val="nb-NO"/>
        </w:rPr>
        <w:t>CUBICIN</w:t>
      </w:r>
      <w:r w:rsidRPr="00057FDB">
        <w:rPr>
          <w:rFonts w:eastAsia="Times New Roman" w:cs="Times New Roman"/>
          <w:szCs w:val="24"/>
          <w:lang w:val="nb-NO"/>
        </w:rPr>
        <w:t xml:space="preserve"> (concentration of 50 mg/mL) is further diluted, using aseptic technique, into a 50 mL IV infusion bag containing 0.9% sodium chloride injection.  The infusion rate should be maintained at 1.67 mL/min over the 30 minute period.</w:t>
      </w:r>
    </w:p>
    <w:p w14:paraId="1C221B0A" w14:textId="77777777" w:rsidR="00057FDB" w:rsidRPr="00057FDB" w:rsidRDefault="00057FDB" w:rsidP="00057FDB">
      <w:pPr>
        <w:widowControl w:val="0"/>
        <w:tabs>
          <w:tab w:val="left" w:pos="0"/>
        </w:tabs>
        <w:autoSpaceDE w:val="0"/>
        <w:autoSpaceDN w:val="0"/>
        <w:adjustRightInd w:val="0"/>
        <w:spacing w:after="0" w:line="320" w:lineRule="atLeast"/>
        <w:ind w:left="720"/>
        <w:contextualSpacing/>
        <w:jc w:val="both"/>
        <w:rPr>
          <w:rFonts w:eastAsia="Times New Roman" w:cs="Times New Roman"/>
          <w:szCs w:val="24"/>
          <w:lang w:val="nb-NO"/>
        </w:rPr>
      </w:pPr>
    </w:p>
    <w:p w14:paraId="63741D75" w14:textId="58A0B9EC" w:rsidR="00057FDB" w:rsidRPr="00057FDB" w:rsidRDefault="00057FDB" w:rsidP="00057FDB">
      <w:pPr>
        <w:widowControl w:val="0"/>
        <w:numPr>
          <w:ilvl w:val="0"/>
          <w:numId w:val="20"/>
        </w:numPr>
        <w:tabs>
          <w:tab w:val="left" w:pos="0"/>
        </w:tabs>
        <w:autoSpaceDE w:val="0"/>
        <w:autoSpaceDN w:val="0"/>
        <w:adjustRightInd w:val="0"/>
        <w:spacing w:after="0" w:line="320" w:lineRule="atLeast"/>
        <w:contextualSpacing/>
        <w:jc w:val="both"/>
        <w:rPr>
          <w:rFonts w:eastAsia="Times New Roman" w:cs="Times New Roman"/>
          <w:szCs w:val="24"/>
          <w:lang w:val="nb-NO"/>
        </w:rPr>
      </w:pPr>
      <w:r w:rsidRPr="00057FDB">
        <w:rPr>
          <w:rFonts w:eastAsia="Times New Roman" w:cs="Times New Roman"/>
          <w:szCs w:val="24"/>
          <w:lang w:val="nb-NO"/>
        </w:rPr>
        <w:t xml:space="preserve">For IV infusion over a period of 60 minutes in paediatric patients, reconstituted </w:t>
      </w:r>
      <w:r w:rsidR="00F23D48">
        <w:rPr>
          <w:rFonts w:eastAsia="Times New Roman" w:cs="Times New Roman"/>
          <w:szCs w:val="24"/>
          <w:lang w:val="nb-NO"/>
        </w:rPr>
        <w:t>CUBICIN</w:t>
      </w:r>
      <w:r w:rsidRPr="00057FDB">
        <w:rPr>
          <w:rFonts w:eastAsia="Times New Roman" w:cs="Times New Roman"/>
          <w:szCs w:val="24"/>
          <w:lang w:val="nb-NO"/>
        </w:rPr>
        <w:t xml:space="preserve"> (concentration of 50 mg/mL) is further diluted, using aseptic technique, into an IV infusion bag containing 25 mL of 0.9% sodium chloride injection.  The infusion rate should be maintained at 0.42 mL/min over the 60 minute period.</w:t>
      </w:r>
    </w:p>
    <w:p w14:paraId="789AFA23" w14:textId="77777777" w:rsidR="00057FDB" w:rsidRPr="00057FDB" w:rsidRDefault="00057FDB" w:rsidP="00057FDB">
      <w:pPr>
        <w:widowControl w:val="0"/>
        <w:tabs>
          <w:tab w:val="left" w:pos="0"/>
        </w:tabs>
        <w:autoSpaceDE w:val="0"/>
        <w:autoSpaceDN w:val="0"/>
        <w:adjustRightInd w:val="0"/>
        <w:spacing w:after="0" w:line="320" w:lineRule="atLeast"/>
        <w:ind w:left="720"/>
        <w:contextualSpacing/>
        <w:jc w:val="both"/>
        <w:rPr>
          <w:rFonts w:eastAsia="Times New Roman" w:cs="Times New Roman"/>
          <w:szCs w:val="24"/>
          <w:lang w:val="nb-NO"/>
        </w:rPr>
      </w:pPr>
    </w:p>
    <w:p w14:paraId="6C7B1722" w14:textId="1B9A765D" w:rsidR="00057FDB" w:rsidRPr="00A77BA3" w:rsidRDefault="00057FDB" w:rsidP="00057FDB">
      <w:pPr>
        <w:widowControl w:val="0"/>
        <w:numPr>
          <w:ilvl w:val="0"/>
          <w:numId w:val="20"/>
        </w:numPr>
        <w:tabs>
          <w:tab w:val="left" w:pos="0"/>
        </w:tabs>
        <w:autoSpaceDE w:val="0"/>
        <w:autoSpaceDN w:val="0"/>
        <w:adjustRightInd w:val="0"/>
        <w:spacing w:after="0" w:line="320" w:lineRule="atLeast"/>
        <w:contextualSpacing/>
        <w:jc w:val="both"/>
        <w:rPr>
          <w:rFonts w:eastAsia="Times New Roman" w:cs="Times New Roman"/>
          <w:szCs w:val="24"/>
          <w:lang w:val="nb-NO"/>
        </w:rPr>
      </w:pPr>
      <w:r w:rsidRPr="00057FDB">
        <w:rPr>
          <w:rFonts w:eastAsia="Times New Roman" w:cs="Times New Roman"/>
          <w:b/>
          <w:szCs w:val="24"/>
          <w:lang w:val="nb-NO"/>
        </w:rPr>
        <w:t xml:space="preserve">Unlike in adults, </w:t>
      </w:r>
      <w:r w:rsidR="00F23D48">
        <w:rPr>
          <w:rFonts w:eastAsia="Times New Roman" w:cs="Times New Roman"/>
          <w:b/>
          <w:szCs w:val="24"/>
          <w:lang w:val="nb-NO"/>
        </w:rPr>
        <w:t>CUBICIN</w:t>
      </w:r>
      <w:r w:rsidRPr="00057FDB">
        <w:rPr>
          <w:rFonts w:eastAsia="Times New Roman" w:cs="Times New Roman"/>
          <w:b/>
          <w:szCs w:val="24"/>
          <w:lang w:val="nb-NO"/>
        </w:rPr>
        <w:t xml:space="preserve"> should not be administered by injection over a two minute period in paediatric patients</w:t>
      </w:r>
      <w:r w:rsidRPr="00057FDB">
        <w:rPr>
          <w:rFonts w:eastAsia="Times New Roman" w:cs="Times New Roman"/>
          <w:szCs w:val="24"/>
          <w:lang w:val="nb-NO"/>
        </w:rPr>
        <w:t xml:space="preserve"> (see </w:t>
      </w:r>
      <w:r w:rsidR="00A77BA3">
        <w:rPr>
          <w:rFonts w:eastAsia="Times New Roman" w:cs="Times New Roman"/>
          <w:szCs w:val="24"/>
          <w:lang w:val="nb-NO"/>
        </w:rPr>
        <w:t xml:space="preserve">Section 4.2 DOSE AND METHOD OF </w:t>
      </w:r>
      <w:r w:rsidRPr="00A77BA3">
        <w:rPr>
          <w:rFonts w:eastAsia="Times New Roman" w:cs="Times New Roman"/>
          <w:szCs w:val="24"/>
          <w:lang w:val="nb-NO"/>
        </w:rPr>
        <w:lastRenderedPageBreak/>
        <w:t>ADMINISTRATION</w:t>
      </w:r>
      <w:r w:rsidR="00CD776E">
        <w:rPr>
          <w:rFonts w:eastAsia="Times New Roman" w:cs="Times New Roman"/>
          <w:szCs w:val="24"/>
          <w:lang w:val="nb-NO"/>
        </w:rPr>
        <w:t xml:space="preserve">, </w:t>
      </w:r>
      <w:r w:rsidR="00A679F5">
        <w:rPr>
          <w:rFonts w:eastAsia="Times New Roman" w:cs="Times New Roman"/>
          <w:szCs w:val="24"/>
          <w:lang w:val="nb-NO"/>
        </w:rPr>
        <w:t>Paediatric patients</w:t>
      </w:r>
      <w:r w:rsidRPr="00A77BA3">
        <w:rPr>
          <w:rFonts w:eastAsia="Times New Roman" w:cs="Times New Roman"/>
          <w:szCs w:val="24"/>
          <w:lang w:val="nb-NO"/>
        </w:rPr>
        <w:t>).</w:t>
      </w:r>
    </w:p>
    <w:p w14:paraId="5ED2D813" w14:textId="77777777" w:rsidR="00057FDB" w:rsidRDefault="00057FDB" w:rsidP="00225799">
      <w:pPr>
        <w:widowControl w:val="0"/>
        <w:tabs>
          <w:tab w:val="left" w:pos="0"/>
        </w:tabs>
        <w:autoSpaceDE w:val="0"/>
        <w:autoSpaceDN w:val="0"/>
        <w:adjustRightInd w:val="0"/>
        <w:spacing w:after="0" w:line="320" w:lineRule="atLeast"/>
        <w:jc w:val="both"/>
        <w:rPr>
          <w:rFonts w:eastAsia="Times New Roman" w:cs="Times New Roman"/>
          <w:szCs w:val="20"/>
        </w:rPr>
      </w:pPr>
    </w:p>
    <w:p w14:paraId="6170A364" w14:textId="77777777" w:rsidR="00057FDB" w:rsidRDefault="00057FDB" w:rsidP="00057FDB">
      <w:pPr>
        <w:widowControl w:val="0"/>
        <w:tabs>
          <w:tab w:val="left" w:pos="0"/>
        </w:tabs>
        <w:autoSpaceDE w:val="0"/>
        <w:autoSpaceDN w:val="0"/>
        <w:adjustRightInd w:val="0"/>
        <w:spacing w:before="120" w:after="0" w:line="320" w:lineRule="atLeast"/>
        <w:jc w:val="both"/>
        <w:rPr>
          <w:rFonts w:eastAsia="Times New Roman" w:cs="Times New Roman"/>
          <w:szCs w:val="20"/>
        </w:rPr>
      </w:pPr>
      <w:r w:rsidRPr="00225799">
        <w:rPr>
          <w:rFonts w:eastAsia="Times New Roman" w:cs="Times New Roman"/>
          <w:szCs w:val="20"/>
        </w:rPr>
        <w:t>Prior to injection, the reconstituted product should contain no visible particulate matter.</w:t>
      </w:r>
    </w:p>
    <w:p w14:paraId="2029872B" w14:textId="5549E3F0" w:rsidR="00057FDB" w:rsidRPr="00225799" w:rsidRDefault="00F23D48" w:rsidP="00057FDB">
      <w:pPr>
        <w:widowControl w:val="0"/>
        <w:tabs>
          <w:tab w:val="left" w:pos="0"/>
        </w:tabs>
        <w:autoSpaceDE w:val="0"/>
        <w:autoSpaceDN w:val="0"/>
        <w:adjustRightInd w:val="0"/>
        <w:spacing w:before="120" w:after="0" w:line="320" w:lineRule="atLeast"/>
        <w:jc w:val="both"/>
        <w:rPr>
          <w:rFonts w:eastAsia="Times New Roman" w:cs="Times New Roman"/>
          <w:szCs w:val="20"/>
        </w:rPr>
      </w:pPr>
      <w:r>
        <w:rPr>
          <w:rFonts w:eastAsia="Times New Roman" w:cs="Times New Roman"/>
          <w:szCs w:val="20"/>
        </w:rPr>
        <w:t>CUBICIN</w:t>
      </w:r>
      <w:r w:rsidR="00057FDB" w:rsidRPr="00225799">
        <w:rPr>
          <w:rFonts w:eastAsia="Times New Roman" w:cs="Times New Roman"/>
          <w:szCs w:val="20"/>
        </w:rPr>
        <w:t xml:space="preserve"> contains no preservative or bacteriostatic agent. Aseptic technique must be used in preparation of final IV solution.</w:t>
      </w:r>
    </w:p>
    <w:p w14:paraId="495CB0DB" w14:textId="77777777" w:rsidR="00225799" w:rsidRDefault="00225799" w:rsidP="003B5F06">
      <w:pPr>
        <w:rPr>
          <w:rFonts w:eastAsia="MS Mincho"/>
          <w:lang w:val="en-GB"/>
        </w:rPr>
      </w:pPr>
    </w:p>
    <w:p w14:paraId="2E8EAED8" w14:textId="21A0ACD5" w:rsidR="007E0CA2" w:rsidRPr="006512B2" w:rsidRDefault="007E0CA2" w:rsidP="006D2CC7">
      <w:pPr>
        <w:pStyle w:val="Heading4"/>
      </w:pPr>
      <w:r w:rsidRPr="006512B2">
        <w:t>Compatible Intravenous Solutions</w:t>
      </w:r>
    </w:p>
    <w:p w14:paraId="071DE9D8" w14:textId="059B64DA" w:rsidR="000731EB" w:rsidRPr="000731EB" w:rsidRDefault="00F23D48" w:rsidP="003B5F06">
      <w:pPr>
        <w:rPr>
          <w:rFonts w:eastAsia="Times New Roman" w:cs="Times New Roman"/>
          <w:szCs w:val="20"/>
        </w:rPr>
      </w:pPr>
      <w:r>
        <w:rPr>
          <w:rFonts w:eastAsia="Times New Roman" w:cs="Times New Roman"/>
          <w:szCs w:val="20"/>
        </w:rPr>
        <w:t>CUBICIN</w:t>
      </w:r>
      <w:r w:rsidR="000731EB">
        <w:rPr>
          <w:rFonts w:eastAsia="Times New Roman" w:cs="Times New Roman"/>
          <w:szCs w:val="20"/>
        </w:rPr>
        <w:t xml:space="preserve"> is compatible with 0.9% sodium chloride injection and lactated Ringer’s injection.</w:t>
      </w:r>
    </w:p>
    <w:p w14:paraId="49D77625" w14:textId="77777777" w:rsidR="001A3992" w:rsidRDefault="001A3992" w:rsidP="001A3992">
      <w:pPr>
        <w:pStyle w:val="Heading2"/>
        <w:spacing w:before="0" w:after="120"/>
      </w:pPr>
      <w:r>
        <w:t>Contraindications</w:t>
      </w:r>
    </w:p>
    <w:p w14:paraId="44FDC4F9" w14:textId="3578A689" w:rsidR="00E22F34" w:rsidRPr="007A30E6" w:rsidRDefault="00F23D48" w:rsidP="00E22F34">
      <w:pPr>
        <w:rPr>
          <w:lang w:val="en-GB"/>
        </w:rPr>
      </w:pPr>
      <w:r>
        <w:rPr>
          <w:rFonts w:eastAsia="Times New Roman" w:cs="Times New Roman"/>
          <w:szCs w:val="20"/>
          <w:lang w:eastAsia="ja-JP"/>
        </w:rPr>
        <w:t>CUBICIN</w:t>
      </w:r>
      <w:r w:rsidR="00E22F34" w:rsidRPr="00E22F34">
        <w:rPr>
          <w:rFonts w:eastAsia="Times New Roman" w:cs="Times New Roman"/>
          <w:szCs w:val="20"/>
          <w:lang w:eastAsia="ja-JP"/>
        </w:rPr>
        <w:t xml:space="preserve"> is contraindicated in patients with known hypersensitivity to </w:t>
      </w:r>
      <w:proofErr w:type="spellStart"/>
      <w:r w:rsidR="00E22F34" w:rsidRPr="00E22F34">
        <w:rPr>
          <w:rFonts w:eastAsia="Times New Roman" w:cs="Times New Roman"/>
          <w:szCs w:val="20"/>
          <w:lang w:eastAsia="ja-JP"/>
        </w:rPr>
        <w:t>daptomycin</w:t>
      </w:r>
      <w:proofErr w:type="spellEnd"/>
      <w:r w:rsidR="00E22F34" w:rsidRPr="00E22F34">
        <w:rPr>
          <w:rFonts w:eastAsia="Times New Roman" w:cs="Times New Roman"/>
          <w:szCs w:val="20"/>
          <w:lang w:eastAsia="ja-JP"/>
        </w:rPr>
        <w:t xml:space="preserve"> or to the excipient</w:t>
      </w:r>
      <w:r w:rsidR="00E22F34" w:rsidRPr="007A30E6">
        <w:t>.</w:t>
      </w:r>
    </w:p>
    <w:p w14:paraId="69DC5137" w14:textId="77777777" w:rsidR="001A3992" w:rsidRDefault="00E74A56" w:rsidP="001A3992">
      <w:pPr>
        <w:pStyle w:val="Heading2"/>
        <w:spacing w:before="0" w:after="120"/>
      </w:pPr>
      <w:r>
        <w:t>Special warnings and p</w:t>
      </w:r>
      <w:r w:rsidR="001A3992">
        <w:t xml:space="preserve">recautions </w:t>
      </w:r>
      <w:r>
        <w:t>for use</w:t>
      </w:r>
    </w:p>
    <w:p w14:paraId="6839943A" w14:textId="696937BA" w:rsidR="00E22F34" w:rsidRPr="00BB290B" w:rsidRDefault="008B040A" w:rsidP="006D2CC7">
      <w:pPr>
        <w:pStyle w:val="Heading4"/>
      </w:pPr>
      <w:r w:rsidRPr="00BB290B">
        <w:t>General</w:t>
      </w:r>
    </w:p>
    <w:p w14:paraId="708CECE6" w14:textId="53419AA4" w:rsidR="008B040A" w:rsidRPr="008B040A" w:rsidRDefault="008B040A" w:rsidP="004168F8">
      <w:pPr>
        <w:jc w:val="both"/>
        <w:rPr>
          <w:rFonts w:cs="Times New Roman"/>
          <w:szCs w:val="24"/>
        </w:rPr>
      </w:pPr>
      <w:r w:rsidRPr="008B040A">
        <w:rPr>
          <w:rFonts w:cs="Times New Roman"/>
          <w:szCs w:val="24"/>
        </w:rPr>
        <w:t xml:space="preserve">Although </w:t>
      </w:r>
      <w:proofErr w:type="spellStart"/>
      <w:r w:rsidRPr="008B040A">
        <w:rPr>
          <w:rFonts w:cs="Times New Roman"/>
          <w:szCs w:val="24"/>
        </w:rPr>
        <w:t>daptomycin</w:t>
      </w:r>
      <w:proofErr w:type="spellEnd"/>
      <w:r w:rsidRPr="008B040A">
        <w:rPr>
          <w:rFonts w:cs="Times New Roman"/>
          <w:szCs w:val="24"/>
        </w:rPr>
        <w:t xml:space="preserve"> is indicated </w:t>
      </w:r>
      <w:r w:rsidR="006C0165">
        <w:rPr>
          <w:rFonts w:cs="Times New Roman"/>
          <w:szCs w:val="24"/>
        </w:rPr>
        <w:t xml:space="preserve">in adults </w:t>
      </w:r>
      <w:r w:rsidRPr="008B040A">
        <w:rPr>
          <w:rFonts w:cs="Times New Roman"/>
          <w:szCs w:val="24"/>
        </w:rPr>
        <w:t>for the treatment of right-sided endocarditis caused by Staphylococcus aureus, its efficacy in patients with left-sided infective endocarditis has no</w:t>
      </w:r>
      <w:r w:rsidR="00B87760">
        <w:rPr>
          <w:rFonts w:cs="Times New Roman"/>
          <w:szCs w:val="24"/>
        </w:rPr>
        <w:t>t</w:t>
      </w:r>
      <w:r w:rsidRPr="008B040A">
        <w:rPr>
          <w:rFonts w:cs="Times New Roman"/>
          <w:szCs w:val="24"/>
        </w:rPr>
        <w:t xml:space="preserve"> been demonstrated in controlled clinical trials.  Therefore, use</w:t>
      </w:r>
      <w:r>
        <w:rPr>
          <w:rFonts w:cs="Times New Roman"/>
          <w:szCs w:val="24"/>
        </w:rPr>
        <w:t xml:space="preserve"> of </w:t>
      </w:r>
      <w:proofErr w:type="spellStart"/>
      <w:r>
        <w:rPr>
          <w:rFonts w:cs="Times New Roman"/>
          <w:szCs w:val="24"/>
        </w:rPr>
        <w:t>daptomycin</w:t>
      </w:r>
      <w:proofErr w:type="spellEnd"/>
      <w:r>
        <w:rPr>
          <w:rFonts w:cs="Times New Roman"/>
          <w:szCs w:val="24"/>
        </w:rPr>
        <w:t xml:space="preserve"> in left-sided endocarditis caused by </w:t>
      </w:r>
      <w:proofErr w:type="spellStart"/>
      <w:r w:rsidRPr="008B040A">
        <w:rPr>
          <w:rFonts w:cs="Times New Roman"/>
          <w:i/>
          <w:szCs w:val="24"/>
        </w:rPr>
        <w:t>S.aureus</w:t>
      </w:r>
      <w:proofErr w:type="spellEnd"/>
      <w:r>
        <w:rPr>
          <w:rFonts w:cs="Times New Roman"/>
          <w:szCs w:val="24"/>
        </w:rPr>
        <w:t xml:space="preserve"> is not recommended and consideration should be given to instituting alternative antibacterial therapy.</w:t>
      </w:r>
    </w:p>
    <w:p w14:paraId="3B6B2D92" w14:textId="77777777" w:rsidR="008B040A" w:rsidRPr="00BB290B" w:rsidRDefault="008B040A" w:rsidP="006D2CC7">
      <w:pPr>
        <w:pStyle w:val="Heading4"/>
      </w:pPr>
      <w:r w:rsidRPr="00BB290B">
        <w:t xml:space="preserve">Anaphylaxis/hypersensitivity reactions </w:t>
      </w:r>
    </w:p>
    <w:p w14:paraId="19C010F5" w14:textId="3BC7C149"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Anaphylaxis/hypersensitivity reactions have been reported with nearly all antibacterial agents including </w:t>
      </w:r>
      <w:r w:rsidR="00F23D48">
        <w:rPr>
          <w:rFonts w:eastAsia="Times New Roman" w:cs="Times New Roman"/>
          <w:szCs w:val="20"/>
        </w:rPr>
        <w:t>CUBICIN</w:t>
      </w:r>
      <w:r w:rsidRPr="008B040A">
        <w:rPr>
          <w:rFonts w:eastAsia="Times New Roman" w:cs="Times New Roman"/>
          <w:szCs w:val="20"/>
        </w:rPr>
        <w:t xml:space="preserve">. If an allergic reaction to </w:t>
      </w:r>
      <w:r w:rsidR="00F23D48">
        <w:rPr>
          <w:rFonts w:eastAsia="Times New Roman" w:cs="Times New Roman"/>
          <w:szCs w:val="20"/>
        </w:rPr>
        <w:t>CUBICIN</w:t>
      </w:r>
      <w:r w:rsidR="00D0485E">
        <w:rPr>
          <w:rFonts w:eastAsia="Times New Roman" w:cs="Times New Roman"/>
          <w:szCs w:val="20"/>
        </w:rPr>
        <w:t xml:space="preserve"> </w:t>
      </w:r>
      <w:r w:rsidRPr="008B040A">
        <w:rPr>
          <w:rFonts w:eastAsia="Times New Roman" w:cs="Times New Roman"/>
          <w:szCs w:val="20"/>
        </w:rPr>
        <w:t>occurs, discontinue the medicine and institute appropriate therapy.</w:t>
      </w:r>
    </w:p>
    <w:p w14:paraId="54482F16" w14:textId="77777777" w:rsidR="008B040A" w:rsidRPr="00BB290B" w:rsidRDefault="008B040A" w:rsidP="006D2CC7">
      <w:pPr>
        <w:pStyle w:val="Heading4"/>
      </w:pPr>
      <w:r w:rsidRPr="00BB290B">
        <w:t>Pneumonia</w:t>
      </w:r>
    </w:p>
    <w:p w14:paraId="704340FF" w14:textId="794EF24B"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is not indicated for the treatment of pneumonia. It has been demonstrated in clinical studies that </w:t>
      </w:r>
      <w:r w:rsidR="00F23D48">
        <w:rPr>
          <w:rFonts w:eastAsia="Times New Roman" w:cs="Times New Roman"/>
          <w:szCs w:val="20"/>
        </w:rPr>
        <w:t>CUBICIN</w:t>
      </w:r>
      <w:r w:rsidRPr="008B040A">
        <w:rPr>
          <w:rFonts w:eastAsia="Times New Roman" w:cs="Times New Roman"/>
          <w:szCs w:val="20"/>
        </w:rPr>
        <w:t xml:space="preserve"> is not effective in the treatment of community-acquired pneumonia (inhalational or airborne), due to binding to pulmonary surfactant and consequent inactivation (</w:t>
      </w:r>
      <w:r w:rsidRPr="00CD0268">
        <w:rPr>
          <w:rFonts w:eastAsia="Times New Roman" w:cs="Times New Roman"/>
          <w:szCs w:val="20"/>
        </w:rPr>
        <w:t xml:space="preserve">see </w:t>
      </w:r>
      <w:r w:rsidR="00CD0268">
        <w:rPr>
          <w:rFonts w:eastAsia="Times New Roman" w:cs="Times New Roman"/>
          <w:szCs w:val="20"/>
        </w:rPr>
        <w:t xml:space="preserve">section 4.1 THERAPEUTIC </w:t>
      </w:r>
      <w:r w:rsidRPr="00CD0268">
        <w:rPr>
          <w:rFonts w:eastAsia="Times New Roman" w:cs="Times New Roman"/>
          <w:szCs w:val="20"/>
        </w:rPr>
        <w:t>INDICATIONS</w:t>
      </w:r>
      <w:r w:rsidRPr="008B040A">
        <w:rPr>
          <w:rFonts w:eastAsia="Times New Roman" w:cs="Times New Roman"/>
          <w:szCs w:val="20"/>
        </w:rPr>
        <w:t>).</w:t>
      </w:r>
    </w:p>
    <w:p w14:paraId="13907568" w14:textId="77777777" w:rsidR="008B040A" w:rsidRPr="00BB290B" w:rsidRDefault="008B040A" w:rsidP="006D2CC7">
      <w:pPr>
        <w:pStyle w:val="Heading4"/>
      </w:pPr>
      <w:r w:rsidRPr="00BB290B">
        <w:t>Eosinophilic pneumonia</w:t>
      </w:r>
    </w:p>
    <w:p w14:paraId="27F4D280" w14:textId="6A6F5CA5"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Eosinophilic pneumonia has been reported in patients receiving </w:t>
      </w:r>
      <w:r w:rsidR="00F23D48">
        <w:rPr>
          <w:rFonts w:eastAsia="Times New Roman" w:cs="Times New Roman"/>
          <w:szCs w:val="20"/>
        </w:rPr>
        <w:t>CUBICIN</w:t>
      </w:r>
      <w:r w:rsidRPr="008B040A">
        <w:rPr>
          <w:rFonts w:eastAsia="Times New Roman" w:cs="Times New Roman"/>
          <w:szCs w:val="20"/>
        </w:rPr>
        <w:t xml:space="preserve"> (see </w:t>
      </w:r>
      <w:r w:rsidR="00CD0268">
        <w:rPr>
          <w:rFonts w:eastAsia="Times New Roman" w:cs="Times New Roman"/>
          <w:szCs w:val="20"/>
        </w:rPr>
        <w:t xml:space="preserve">section 4.8 </w:t>
      </w:r>
      <w:r w:rsidRPr="008B040A">
        <w:rPr>
          <w:rFonts w:eastAsia="Times New Roman" w:cs="Times New Roman"/>
          <w:szCs w:val="20"/>
        </w:rPr>
        <w:t xml:space="preserve">ADVERSE EFFECTS). In reported cases associated with </w:t>
      </w:r>
      <w:r w:rsidR="00F23D48">
        <w:rPr>
          <w:rFonts w:eastAsia="Times New Roman" w:cs="Times New Roman"/>
          <w:szCs w:val="20"/>
        </w:rPr>
        <w:t>CUBICIN</w:t>
      </w:r>
      <w:r w:rsidRPr="008B040A">
        <w:rPr>
          <w:rFonts w:eastAsia="Times New Roman" w:cs="Times New Roman"/>
          <w:szCs w:val="20"/>
        </w:rPr>
        <w:t xml:space="preserve">, patients developed fever, dyspnoea with hypoxic respiratory insufficiency, and diffuse pulmonary infiltrates or organising pneumonia. In general, patients developed eosinophilic pneumonia 2 to 4 weeks after starting </w:t>
      </w:r>
      <w:r w:rsidR="00F23D48">
        <w:rPr>
          <w:rFonts w:eastAsia="Times New Roman" w:cs="Times New Roman"/>
          <w:szCs w:val="20"/>
        </w:rPr>
        <w:t>CUBICIN</w:t>
      </w:r>
      <w:r w:rsidRPr="008B040A">
        <w:rPr>
          <w:rFonts w:eastAsia="Times New Roman" w:cs="Times New Roman"/>
          <w:szCs w:val="20"/>
        </w:rPr>
        <w:t xml:space="preserve"> and improved when </w:t>
      </w:r>
      <w:r w:rsidR="00F23D48">
        <w:rPr>
          <w:rFonts w:eastAsia="Times New Roman" w:cs="Times New Roman"/>
          <w:szCs w:val="20"/>
        </w:rPr>
        <w:t>CUBICIN</w:t>
      </w:r>
      <w:r w:rsidR="00D0485E">
        <w:rPr>
          <w:rFonts w:eastAsia="Times New Roman" w:cs="Times New Roman"/>
          <w:szCs w:val="20"/>
        </w:rPr>
        <w:t xml:space="preserve"> </w:t>
      </w:r>
      <w:r w:rsidRPr="008B040A">
        <w:rPr>
          <w:rFonts w:eastAsia="Times New Roman" w:cs="Times New Roman"/>
          <w:szCs w:val="20"/>
        </w:rPr>
        <w:t xml:space="preserve">was discontinued and steroid therapy was initiated. Recurrence of eosinophilic pneumonia upon re-exposure has been reported. Patients who develop these signs and symptoms while receiving </w:t>
      </w:r>
      <w:r w:rsidR="00F23D48">
        <w:rPr>
          <w:rFonts w:eastAsia="Times New Roman" w:cs="Times New Roman"/>
          <w:szCs w:val="20"/>
        </w:rPr>
        <w:t>CUBICIN</w:t>
      </w:r>
      <w:r w:rsidR="00D0485E">
        <w:rPr>
          <w:rFonts w:eastAsia="Times New Roman" w:cs="Times New Roman"/>
          <w:szCs w:val="20"/>
        </w:rPr>
        <w:t xml:space="preserve"> </w:t>
      </w:r>
      <w:r w:rsidRPr="008B040A">
        <w:rPr>
          <w:rFonts w:eastAsia="Times New Roman" w:cs="Times New Roman"/>
          <w:szCs w:val="20"/>
        </w:rPr>
        <w:t xml:space="preserve">should undergo prompt medical evaluation, including, if appropriate, </w:t>
      </w:r>
      <w:proofErr w:type="spellStart"/>
      <w:r w:rsidRPr="008B040A">
        <w:rPr>
          <w:rFonts w:eastAsia="Times New Roman" w:cs="Times New Roman"/>
          <w:szCs w:val="20"/>
        </w:rPr>
        <w:t>bronchoalveolar</w:t>
      </w:r>
      <w:proofErr w:type="spellEnd"/>
      <w:r w:rsidRPr="008B040A">
        <w:rPr>
          <w:rFonts w:eastAsia="Times New Roman" w:cs="Times New Roman"/>
          <w:szCs w:val="20"/>
        </w:rPr>
        <w:t xml:space="preserve"> lavage, to exclude other </w:t>
      </w:r>
      <w:r w:rsidRPr="008B040A">
        <w:rPr>
          <w:rFonts w:eastAsia="Times New Roman" w:cs="Times New Roman"/>
          <w:szCs w:val="20"/>
        </w:rPr>
        <w:lastRenderedPageBreak/>
        <w:t xml:space="preserve">causes (e.g. bacterial infection, fungal infection, parasites, other drugs), and </w:t>
      </w:r>
      <w:r w:rsidR="00F23D48">
        <w:rPr>
          <w:rFonts w:eastAsia="Times New Roman" w:cs="Times New Roman"/>
          <w:szCs w:val="20"/>
        </w:rPr>
        <w:t>CUBICIN</w:t>
      </w:r>
      <w:r w:rsidR="00D0485E">
        <w:rPr>
          <w:rFonts w:eastAsia="Times New Roman" w:cs="Times New Roman"/>
          <w:szCs w:val="20"/>
        </w:rPr>
        <w:t xml:space="preserve"> </w:t>
      </w:r>
      <w:r w:rsidRPr="008B040A">
        <w:rPr>
          <w:rFonts w:eastAsia="Times New Roman" w:cs="Times New Roman"/>
          <w:szCs w:val="20"/>
        </w:rPr>
        <w:t>should be discontinued immediately. Treatment with systemic steroids is recommended.</w:t>
      </w:r>
    </w:p>
    <w:p w14:paraId="26895D3F" w14:textId="77777777" w:rsidR="008B040A" w:rsidRPr="00BB290B" w:rsidRDefault="008B040A" w:rsidP="006D2CC7">
      <w:pPr>
        <w:pStyle w:val="Heading4"/>
      </w:pPr>
      <w:r w:rsidRPr="00BB290B">
        <w:t>Skeletal muscle effects</w:t>
      </w:r>
    </w:p>
    <w:p w14:paraId="7ECAFC92" w14:textId="20FD09B4"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Increases in plasma </w:t>
      </w:r>
      <w:proofErr w:type="spellStart"/>
      <w:r w:rsidRPr="008B040A">
        <w:rPr>
          <w:rFonts w:eastAsia="Times New Roman" w:cs="Times New Roman"/>
          <w:szCs w:val="20"/>
        </w:rPr>
        <w:t>creatine</w:t>
      </w:r>
      <w:proofErr w:type="spellEnd"/>
      <w:r w:rsidRPr="008B040A">
        <w:rPr>
          <w:rFonts w:eastAsia="Times New Roman" w:cs="Times New Roman"/>
          <w:szCs w:val="20"/>
        </w:rPr>
        <w:t xml:space="preserve"> phosphokinase (CPK) levels associated with muscular pains, weakness and/or rhabdomyolysis have been reported during therapy with </w:t>
      </w:r>
      <w:r w:rsidR="00F23D48">
        <w:rPr>
          <w:rFonts w:eastAsia="Times New Roman" w:cs="Times New Roman"/>
          <w:szCs w:val="20"/>
        </w:rPr>
        <w:t>CUBICIN</w:t>
      </w:r>
      <w:r w:rsidRPr="008B040A">
        <w:rPr>
          <w:rFonts w:eastAsia="Times New Roman" w:cs="Times New Roman"/>
          <w:szCs w:val="20"/>
        </w:rPr>
        <w:t xml:space="preserve"> (see </w:t>
      </w:r>
      <w:r w:rsidR="005F3B92">
        <w:rPr>
          <w:rFonts w:eastAsia="Times New Roman" w:cs="Times New Roman"/>
          <w:szCs w:val="20"/>
        </w:rPr>
        <w:t xml:space="preserve">section 4.8 </w:t>
      </w:r>
      <w:r w:rsidR="005F3B92" w:rsidRPr="008B040A">
        <w:rPr>
          <w:rFonts w:eastAsia="Times New Roman" w:cs="Times New Roman"/>
          <w:szCs w:val="20"/>
        </w:rPr>
        <w:t xml:space="preserve">ADVERSE </w:t>
      </w:r>
      <w:r w:rsidRPr="008B040A">
        <w:rPr>
          <w:rFonts w:eastAsia="Times New Roman" w:cs="Times New Roman"/>
          <w:szCs w:val="20"/>
        </w:rPr>
        <w:t>EFFECTS).</w:t>
      </w:r>
    </w:p>
    <w:p w14:paraId="4C486034"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lang w:val="en-GB"/>
        </w:rPr>
      </w:pPr>
    </w:p>
    <w:p w14:paraId="0F9F8BC7" w14:textId="0EF4104C"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In a Phase 1 study </w:t>
      </w:r>
      <w:r w:rsidR="006C0165">
        <w:rPr>
          <w:rFonts w:eastAsia="Times New Roman" w:cs="Times New Roman"/>
          <w:szCs w:val="20"/>
        </w:rPr>
        <w:t xml:space="preserve">in adults </w:t>
      </w:r>
      <w:r w:rsidRPr="008B040A">
        <w:rPr>
          <w:rFonts w:eastAsia="Times New Roman" w:cs="Times New Roman"/>
          <w:szCs w:val="20"/>
        </w:rPr>
        <w:t xml:space="preserve">examining doses up to 12 mg/kg q24h of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for 14 days, no skeletal muscle effects or CPK elevations were observed.</w:t>
      </w:r>
    </w:p>
    <w:p w14:paraId="76C1FF72"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0B71B46D" w14:textId="07D2057A"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In the two Phase 3 </w:t>
      </w:r>
      <w:proofErr w:type="spellStart"/>
      <w:r w:rsidRPr="008B040A">
        <w:rPr>
          <w:rFonts w:eastAsia="Times New Roman" w:cs="Times New Roman"/>
          <w:szCs w:val="20"/>
        </w:rPr>
        <w:t>cSSSI</w:t>
      </w:r>
      <w:proofErr w:type="spellEnd"/>
      <w:r w:rsidRPr="008B040A">
        <w:rPr>
          <w:rFonts w:eastAsia="Times New Roman" w:cs="Times New Roman"/>
          <w:szCs w:val="20"/>
        </w:rPr>
        <w:t xml:space="preserve"> trials of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w:t>
      </w:r>
      <w:r w:rsidR="006C0165">
        <w:rPr>
          <w:rFonts w:eastAsia="Times New Roman" w:cs="Times New Roman"/>
          <w:szCs w:val="20"/>
        </w:rPr>
        <w:t xml:space="preserve">in adults </w:t>
      </w:r>
      <w:r w:rsidRPr="008B040A">
        <w:rPr>
          <w:rFonts w:eastAsia="Times New Roman" w:cs="Times New Roman"/>
          <w:szCs w:val="20"/>
        </w:rPr>
        <w:t xml:space="preserve">at a dose of 4 mg/kg, elevations in CPK were reported as adverse events in 15/534 (2.8 %)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-treated patients, compared with 10/558 (1.8 %) comparator-treated patients.  In only one of these two trials an elevation in CPK &gt; 500 was detected in association with a musculoskeletal event - these findings were reported in two patients, one in each treatment group.</w:t>
      </w:r>
    </w:p>
    <w:p w14:paraId="24235E64"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7BE8DCEB" w14:textId="70904D19"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In the </w:t>
      </w:r>
      <w:r w:rsidRPr="008B040A">
        <w:rPr>
          <w:rFonts w:eastAsia="Times New Roman" w:cs="Times New Roman"/>
          <w:i/>
          <w:szCs w:val="20"/>
        </w:rPr>
        <w:t>S. aureus</w:t>
      </w:r>
      <w:r w:rsidRPr="008B040A">
        <w:rPr>
          <w:rFonts w:eastAsia="Times New Roman" w:cs="Times New Roman"/>
          <w:szCs w:val="20"/>
        </w:rPr>
        <w:t xml:space="preserve"> bacteraemia/endocarditis trial</w:t>
      </w:r>
      <w:r w:rsidR="006C0165">
        <w:rPr>
          <w:rFonts w:eastAsia="Times New Roman" w:cs="Times New Roman"/>
          <w:szCs w:val="20"/>
        </w:rPr>
        <w:t xml:space="preserve"> in adults</w:t>
      </w:r>
      <w:r w:rsidRPr="008B040A">
        <w:rPr>
          <w:rFonts w:eastAsia="Times New Roman" w:cs="Times New Roman"/>
          <w:szCs w:val="20"/>
        </w:rPr>
        <w:t xml:space="preserve">, at a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dose of 6 mg/kg, elevations in CPK were reported as clinical adverse events in 8/120 (6.7 %)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-treated patients compared with 1/116 (&lt; 1 %) comparator-treated patients.  In patients with normal CPK at baseline, 25.0 % in the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group and 12.5 % in the comparator group had CPK ≥ ULN during therapy or up to 3 days post-treatment.  Eighteen (75.0 %) of the 24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patients with CPK ≥ULN at baseline had CPK return to the normal range during treatment.  A total of 11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patients had treatment-emergent elevations in CPK to &gt; 500U/L, including 3 patients with CPK </w:t>
      </w:r>
      <w:r w:rsidRPr="008B040A">
        <w:rPr>
          <w:rFonts w:eastAsia="Times New Roman" w:cs="Times New Roman"/>
          <w:szCs w:val="20"/>
        </w:rPr>
        <w:sym w:font="Symbol" w:char="F0B3"/>
      </w:r>
      <w:r w:rsidRPr="008B040A">
        <w:rPr>
          <w:rFonts w:eastAsia="Times New Roman" w:cs="Times New Roman"/>
          <w:szCs w:val="20"/>
        </w:rPr>
        <w:t xml:space="preserve">ULN at baseline.  Of these 11 patients, 4 had prior or concomitant treatment with an HMG-CoA reductase inhibitor which may have contributed to these laboratory findings.  Three of these 11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patients had an elevation in CPK &gt; 500 U/L with an associated musculoskeletal or asthenia event, 2 of whom had an alternative aetiology for these events.</w:t>
      </w:r>
    </w:p>
    <w:p w14:paraId="2F702539"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7C50CD4D"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Patients should be reviewed regularly while on therapy for any signs or symptoms that might represent myopathy such as muscle pain or weakness, particularly of the distal extremities.  Plasma CPK levels should be monitored at baseline and at regular intervals (at least once weekly) during therapy in all patients.  In addition, transaminase levels should be monitored in patients who are at increased risk for drug induced myopathies or hepatotoxicity. Patients with unexplained elevations of CPK or unexplained muscle pain, tenderness or weakness should be monitored more frequently than once weekly.  CPK should be measured more frequently than once weekly in patients who are at higher risk of developing myopathy.  These patients include those with severe renal impairment (creatinine clearance &lt; 30 ml/min) and patients taking other medications known to be associated with myopathy (e.g. HMG-CoA reductase inhibitors, fibrates and </w:t>
      </w:r>
      <w:proofErr w:type="spellStart"/>
      <w:r w:rsidRPr="008B040A">
        <w:rPr>
          <w:rFonts w:eastAsia="Times New Roman" w:cs="Times New Roman"/>
          <w:szCs w:val="20"/>
        </w:rPr>
        <w:t>cyclosporin</w:t>
      </w:r>
      <w:proofErr w:type="spellEnd"/>
      <w:r w:rsidRPr="008B040A">
        <w:rPr>
          <w:rFonts w:eastAsia="Times New Roman" w:cs="Times New Roman"/>
          <w:szCs w:val="20"/>
        </w:rPr>
        <w:t>).</w:t>
      </w:r>
    </w:p>
    <w:p w14:paraId="42E0FBC2"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4C2713D3"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lastRenderedPageBreak/>
        <w:t xml:space="preserve">It cannot be ruled out that those patients with CPK greater than 5 times upper limit of normal (ULN) at baseline may be at increased risk of further increases during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therapy.  This should be taken into account when initiating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therapy and, if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is given, these patients should be monitored more frequently than once weekly.</w:t>
      </w:r>
    </w:p>
    <w:p w14:paraId="12305109"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62A16F67"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During post-marketing surveillance very rare isolated cases of rhabdomyolysis in patients receiving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have been reported; when clinical information on the patients was available, approximately 50 % of the cases occurred in patients with pre-existing renal impairment, or in those receiving concomitant medications known to cause rhabdomyolysis. It is recommended that other medications associated with myopathy should if possible be temporarily discontinued during treatment with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unless the benefits of concomitant administration outweigh the risk.</w:t>
      </w:r>
    </w:p>
    <w:p w14:paraId="663BB7E7"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1C0B11EE"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should be discontinued in patients with unexplained signs and symptoms of myopathy in conjunction with CPK elevation &gt; 1,000 U/L (~ 5X ULN), or in patients without reported symptoms who have marked elevations in CPK &gt;2,000 U/L (≥ 10 X ULN).  In addition, consideration should be given to temporarily suspending agents associated with rhabdomyolysis, such as HMG-CoA reductase inhibitors, in patients receiving </w:t>
      </w:r>
      <w:proofErr w:type="spellStart"/>
      <w:r w:rsidRPr="008B040A">
        <w:rPr>
          <w:rFonts w:eastAsia="Times New Roman" w:cs="Times New Roman"/>
          <w:szCs w:val="20"/>
        </w:rPr>
        <w:t>daptomycin</w:t>
      </w:r>
      <w:proofErr w:type="spellEnd"/>
      <w:r w:rsidRPr="008B040A">
        <w:rPr>
          <w:rFonts w:eastAsia="Times New Roman" w:cs="Times New Roman"/>
          <w:szCs w:val="20"/>
        </w:rPr>
        <w:t>.</w:t>
      </w:r>
    </w:p>
    <w:p w14:paraId="6FBB9859"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0AD073B7"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lang w:val="en-GB"/>
        </w:rPr>
      </w:pPr>
      <w:r w:rsidRPr="008B040A">
        <w:rPr>
          <w:rFonts w:eastAsia="Times New Roman" w:cs="Times New Roman"/>
          <w:szCs w:val="20"/>
        </w:rPr>
        <w:t>In studies of clinically-relevant duration (14</w:t>
      </w:r>
      <w:r w:rsidRPr="008B040A">
        <w:rPr>
          <w:rFonts w:eastAsia="Times New Roman" w:cs="Times New Roman"/>
          <w:szCs w:val="20"/>
        </w:rPr>
        <w:noBreakHyphen/>
        <w:t xml:space="preserve">28 days), skeletal muscle effects associated with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were observed in adult rats and dogs </w:t>
      </w:r>
      <w:r w:rsidRPr="008B040A">
        <w:rPr>
          <w:rFonts w:eastAsia="Times New Roman" w:cs="Times New Roman"/>
          <w:szCs w:val="20"/>
          <w:lang w:val="en-GB"/>
        </w:rPr>
        <w:t>with no changes in cardiac or smooth muscle.  The lowest observed effect level (LOEL) for myopathy in adult rats and dogs occurred at exposure levels of 0.8 to 2.3</w:t>
      </w:r>
      <w:r w:rsidRPr="008B040A">
        <w:rPr>
          <w:rFonts w:eastAsia="Times New Roman" w:cs="Times New Roman"/>
          <w:szCs w:val="20"/>
          <w:lang w:val="en-GB"/>
        </w:rPr>
        <w:noBreakHyphen/>
        <w:t>fold the mean AUC in patients with normal renal function following 30</w:t>
      </w:r>
      <w:r w:rsidRPr="008B040A">
        <w:rPr>
          <w:rFonts w:eastAsia="Times New Roman" w:cs="Times New Roman"/>
          <w:szCs w:val="20"/>
          <w:lang w:val="en-GB"/>
        </w:rPr>
        <w:noBreakHyphen/>
        <w:t xml:space="preserve">minute continuous infusion dosing of 6 mg/kg.  Skeletal muscle effects were characterized by degenerative/regenerative changes and variable elevations in </w:t>
      </w:r>
      <w:proofErr w:type="spellStart"/>
      <w:r w:rsidRPr="008B040A">
        <w:rPr>
          <w:rFonts w:eastAsia="Times New Roman" w:cs="Times New Roman"/>
          <w:szCs w:val="20"/>
          <w:lang w:val="en-GB"/>
        </w:rPr>
        <w:t>creatine</w:t>
      </w:r>
      <w:proofErr w:type="spellEnd"/>
      <w:r w:rsidRPr="008B040A">
        <w:rPr>
          <w:rFonts w:eastAsia="Times New Roman" w:cs="Times New Roman"/>
          <w:szCs w:val="20"/>
          <w:lang w:val="en-GB"/>
        </w:rPr>
        <w:t xml:space="preserve"> phosphokinase (CPK).  No fibrosis or rhabdomyolysis was observed up to the highest doses tested in rats and dogs (approximately 9 and 5 times the human AUC at 6 mg/kg/day, respectively).  All muscle effects, including microscopic changes, were fully reversible in rats within 30 days and in dogs within 2 months following cessation of dosing.</w:t>
      </w:r>
    </w:p>
    <w:p w14:paraId="6E32D30D" w14:textId="77777777" w:rsidR="008B040A" w:rsidRPr="00BB290B" w:rsidRDefault="008B040A" w:rsidP="006D2CC7">
      <w:pPr>
        <w:pStyle w:val="Heading4"/>
      </w:pPr>
      <w:r w:rsidRPr="00BB290B">
        <w:t>Peripheral nerve effects</w:t>
      </w:r>
    </w:p>
    <w:p w14:paraId="2ED79415" w14:textId="7CC9D61A"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color w:val="000000"/>
          <w:szCs w:val="20"/>
        </w:rPr>
      </w:pPr>
      <w:r w:rsidRPr="008B040A">
        <w:rPr>
          <w:rFonts w:eastAsia="Times New Roman" w:cs="Times New Roman"/>
          <w:color w:val="000000"/>
          <w:szCs w:val="20"/>
        </w:rPr>
        <w:t xml:space="preserve">Physicians should be alert to signs and symptoms of peripheral neuropathy in patients receiving </w:t>
      </w:r>
      <w:r w:rsidR="00F23D48">
        <w:rPr>
          <w:rFonts w:eastAsia="Times New Roman" w:cs="Times New Roman"/>
          <w:color w:val="000000"/>
          <w:szCs w:val="20"/>
        </w:rPr>
        <w:t>CUBICIN</w:t>
      </w:r>
      <w:r w:rsidRPr="008B040A">
        <w:rPr>
          <w:rFonts w:eastAsia="Times New Roman" w:cs="Times New Roman"/>
          <w:color w:val="000000"/>
          <w:szCs w:val="20"/>
        </w:rPr>
        <w:t xml:space="preserve"> (see </w:t>
      </w:r>
      <w:r w:rsidR="005F3B92">
        <w:rPr>
          <w:rFonts w:eastAsia="Times New Roman" w:cs="Times New Roman"/>
          <w:color w:val="000000"/>
          <w:szCs w:val="20"/>
        </w:rPr>
        <w:t xml:space="preserve">section 4.8 </w:t>
      </w:r>
      <w:r w:rsidRPr="008B040A">
        <w:rPr>
          <w:rFonts w:eastAsia="Times New Roman" w:cs="Times New Roman"/>
          <w:color w:val="000000"/>
          <w:szCs w:val="20"/>
        </w:rPr>
        <w:t xml:space="preserve">ADVERSE EFFECTS). </w:t>
      </w:r>
      <w:r w:rsidRPr="008B040A">
        <w:rPr>
          <w:rFonts w:eastAsia="Times New Roman" w:cs="Times New Roman"/>
          <w:szCs w:val="20"/>
          <w:lang w:val="en-GB"/>
        </w:rPr>
        <w:t xml:space="preserve">Paediatric patients </w:t>
      </w:r>
      <w:r w:rsidR="003906C4">
        <w:rPr>
          <w:rFonts w:eastAsia="Times New Roman" w:cs="Times New Roman"/>
          <w:szCs w:val="20"/>
          <w:lang w:val="en-GB"/>
        </w:rPr>
        <w:t xml:space="preserve">below the age of one year </w:t>
      </w:r>
      <w:r w:rsidRPr="008B040A">
        <w:rPr>
          <w:rFonts w:eastAsia="Times New Roman" w:cs="Times New Roman"/>
          <w:szCs w:val="20"/>
          <w:lang w:val="en-GB"/>
        </w:rPr>
        <w:t xml:space="preserve">should not be given </w:t>
      </w:r>
      <w:r w:rsidR="00F23D48">
        <w:rPr>
          <w:rFonts w:eastAsia="Times New Roman" w:cs="Times New Roman"/>
          <w:szCs w:val="20"/>
          <w:lang w:val="en-GB"/>
        </w:rPr>
        <w:t>CUBICIN</w:t>
      </w:r>
      <w:r w:rsidRPr="008B040A">
        <w:rPr>
          <w:rFonts w:eastAsia="Times New Roman" w:cs="Times New Roman"/>
          <w:szCs w:val="20"/>
          <w:lang w:val="en-GB"/>
        </w:rPr>
        <w:t xml:space="preserve"> due to the risk of potential effects on muscular, neuromuscular, and/or nervous systems (either peripheral and/or central) that were observed in neonatal dogs.</w:t>
      </w:r>
    </w:p>
    <w:p w14:paraId="1F58B4EF"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2921FD5B" w14:textId="46EEE86A"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In a Phase 1 study </w:t>
      </w:r>
      <w:r w:rsidR="006C0165">
        <w:rPr>
          <w:rFonts w:eastAsia="Times New Roman" w:cs="Times New Roman"/>
          <w:szCs w:val="20"/>
        </w:rPr>
        <w:t xml:space="preserve">in adults </w:t>
      </w:r>
      <w:r w:rsidRPr="008B040A">
        <w:rPr>
          <w:rFonts w:eastAsia="Times New Roman" w:cs="Times New Roman"/>
          <w:szCs w:val="20"/>
        </w:rPr>
        <w:t xml:space="preserve">examining doses up to 12 mg/kg q24h of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for 14 days, no evidence of nerve conduction deficits or symptoms of peripheral neuropathy was observed.  In a small number of patients in Phase 1 and Phase 2 studies at doses up to 6 mg/kg, administration of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was associated with decreases in nerve conduction velocity and with adverse events (e.g., </w:t>
      </w:r>
      <w:proofErr w:type="spellStart"/>
      <w:r w:rsidRPr="008B040A">
        <w:rPr>
          <w:rFonts w:eastAsia="Times New Roman" w:cs="Times New Roman"/>
          <w:szCs w:val="20"/>
        </w:rPr>
        <w:t>paraesthesias</w:t>
      </w:r>
      <w:proofErr w:type="spellEnd"/>
      <w:r w:rsidRPr="008B040A">
        <w:rPr>
          <w:rFonts w:eastAsia="Times New Roman" w:cs="Times New Roman"/>
          <w:szCs w:val="20"/>
        </w:rPr>
        <w:t xml:space="preserve">, Bell’s palsy) possibly reflective of peripheral or cranial </w:t>
      </w:r>
      <w:r w:rsidRPr="008B040A">
        <w:rPr>
          <w:rFonts w:eastAsia="Times New Roman" w:cs="Times New Roman"/>
          <w:szCs w:val="20"/>
        </w:rPr>
        <w:lastRenderedPageBreak/>
        <w:t>neuropathy.  However, nerve conduction deficits were also detected in a similar number of comparator subjects in these studies.</w:t>
      </w:r>
    </w:p>
    <w:p w14:paraId="18015F4F"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07B2059C" w14:textId="561E63C8"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In Phase 3 </w:t>
      </w:r>
      <w:proofErr w:type="spellStart"/>
      <w:r w:rsidRPr="008B040A">
        <w:rPr>
          <w:rFonts w:eastAsia="Times New Roman" w:cs="Times New Roman"/>
          <w:szCs w:val="20"/>
        </w:rPr>
        <w:t>cSSSI</w:t>
      </w:r>
      <w:proofErr w:type="spellEnd"/>
      <w:r w:rsidRPr="008B040A">
        <w:rPr>
          <w:rFonts w:eastAsia="Times New Roman" w:cs="Times New Roman"/>
          <w:szCs w:val="20"/>
        </w:rPr>
        <w:t xml:space="preserve"> and community-acquired pneumonia (CAP) studies</w:t>
      </w:r>
      <w:r w:rsidR="0008730A">
        <w:rPr>
          <w:rFonts w:eastAsia="Times New Roman" w:cs="Times New Roman"/>
          <w:szCs w:val="20"/>
        </w:rPr>
        <w:t xml:space="preserve"> in adults</w:t>
      </w:r>
      <w:r w:rsidRPr="008B040A">
        <w:rPr>
          <w:rFonts w:eastAsia="Times New Roman" w:cs="Times New Roman"/>
          <w:szCs w:val="20"/>
        </w:rPr>
        <w:t xml:space="preserve">, 7/989 (0.7 %)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-treated patients and 7/1,018 (0.7 %) comparator-treated patients experienced </w:t>
      </w:r>
      <w:proofErr w:type="spellStart"/>
      <w:r w:rsidRPr="008B040A">
        <w:rPr>
          <w:rFonts w:eastAsia="Times New Roman" w:cs="Times New Roman"/>
          <w:szCs w:val="20"/>
        </w:rPr>
        <w:t>paraesthesias</w:t>
      </w:r>
      <w:proofErr w:type="spellEnd"/>
      <w:r w:rsidRPr="008B040A">
        <w:rPr>
          <w:rFonts w:eastAsia="Times New Roman" w:cs="Times New Roman"/>
          <w:szCs w:val="20"/>
        </w:rPr>
        <w:t xml:space="preserve">.  New or worsening peripheral neuropathy was not diagnosed in any of these patients.  In the </w:t>
      </w:r>
      <w:r w:rsidRPr="008B040A">
        <w:rPr>
          <w:rFonts w:eastAsia="Times New Roman" w:cs="Times New Roman"/>
          <w:i/>
          <w:szCs w:val="20"/>
        </w:rPr>
        <w:t>S. aureus</w:t>
      </w:r>
      <w:r w:rsidRPr="008B040A">
        <w:rPr>
          <w:rFonts w:eastAsia="Times New Roman" w:cs="Times New Roman"/>
          <w:szCs w:val="20"/>
        </w:rPr>
        <w:t xml:space="preserve"> bacteraemia/endocarditis trial</w:t>
      </w:r>
      <w:r w:rsidR="0008730A">
        <w:rPr>
          <w:rFonts w:eastAsia="Times New Roman" w:cs="Times New Roman"/>
          <w:szCs w:val="20"/>
        </w:rPr>
        <w:t xml:space="preserve"> in adults</w:t>
      </w:r>
      <w:r w:rsidRPr="008B040A">
        <w:rPr>
          <w:rFonts w:eastAsia="Times New Roman" w:cs="Times New Roman"/>
          <w:szCs w:val="20"/>
        </w:rPr>
        <w:t xml:space="preserve">, a total of 11/120 (9.2 %) patients in the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group and 2/120 (1.7 %) patients in the comparator group were identified who had experienced adverse events associated with the peripheral nervous system. All of the events were classified as mild to moderate in severity; most were of short duration and resolved during continued treatment with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or were likely due to an alternative aetiology.</w:t>
      </w:r>
    </w:p>
    <w:p w14:paraId="538DF615"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08265741"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r w:rsidRPr="008B040A">
        <w:rPr>
          <w:rFonts w:eastAsia="Times New Roman" w:cs="Times New Roman"/>
          <w:szCs w:val="20"/>
        </w:rPr>
        <w:t xml:space="preserve">In adult rats and dogs, effects of </w:t>
      </w:r>
      <w:proofErr w:type="spellStart"/>
      <w:r w:rsidRPr="008B040A">
        <w:rPr>
          <w:rFonts w:eastAsia="Times New Roman" w:cs="Times New Roman"/>
          <w:szCs w:val="20"/>
        </w:rPr>
        <w:t>daptomycin</w:t>
      </w:r>
      <w:proofErr w:type="spellEnd"/>
      <w:r w:rsidRPr="008B040A">
        <w:rPr>
          <w:rFonts w:eastAsia="Times New Roman" w:cs="Times New Roman"/>
          <w:szCs w:val="20"/>
        </w:rPr>
        <w:t xml:space="preserve"> on peripheral and/or spinal nerve (characterised by axonal degeneration and frequently accompanied in dogs by functional changes in nerve conduction and/or loss of reflexes, decreased pain perception, tremor and motor incoordination) were observed </w:t>
      </w:r>
      <w:r w:rsidRPr="008B040A">
        <w:rPr>
          <w:rFonts w:eastAsia="Times New Roman" w:cs="Times New Roman"/>
          <w:bCs/>
          <w:szCs w:val="20"/>
          <w:lang w:val="en-GB"/>
        </w:rPr>
        <w:t>at doses higher than those associated with skeletal myopathy.  Reversal of both the microscopic and functional effects was almost complete within 6 months post dose.</w:t>
      </w:r>
      <w:r w:rsidRPr="008B040A">
        <w:rPr>
          <w:rFonts w:eastAsia="Times New Roman" w:cs="Times New Roman"/>
          <w:szCs w:val="20"/>
        </w:rPr>
        <w:t xml:space="preserve"> Exposure margins for peripheral nerve effects in rats and dogs are 8- and 6- fold, respectively based on comparison of </w:t>
      </w:r>
      <w:proofErr w:type="spellStart"/>
      <w:r w:rsidRPr="008B040A">
        <w:rPr>
          <w:rFonts w:eastAsia="Times New Roman" w:cs="Times New Roman"/>
          <w:szCs w:val="20"/>
        </w:rPr>
        <w:t>C</w:t>
      </w:r>
      <w:r w:rsidRPr="008B040A">
        <w:rPr>
          <w:rFonts w:eastAsia="Times New Roman" w:cs="Times New Roman"/>
          <w:szCs w:val="20"/>
          <w:vertAlign w:val="subscript"/>
        </w:rPr>
        <w:t>max</w:t>
      </w:r>
      <w:proofErr w:type="spellEnd"/>
      <w:r w:rsidRPr="008B040A">
        <w:rPr>
          <w:rFonts w:eastAsia="Times New Roman" w:cs="Times New Roman"/>
          <w:szCs w:val="20"/>
        </w:rPr>
        <w:t xml:space="preserve"> values at the No Observed Effect Level (NOEL) with the </w:t>
      </w:r>
      <w:proofErr w:type="spellStart"/>
      <w:r w:rsidRPr="008B040A">
        <w:rPr>
          <w:rFonts w:eastAsia="Times New Roman" w:cs="Times New Roman"/>
          <w:szCs w:val="20"/>
        </w:rPr>
        <w:t>C</w:t>
      </w:r>
      <w:r w:rsidRPr="008B040A">
        <w:rPr>
          <w:rFonts w:eastAsia="Times New Roman" w:cs="Times New Roman"/>
          <w:szCs w:val="20"/>
          <w:vertAlign w:val="subscript"/>
        </w:rPr>
        <w:t>max</w:t>
      </w:r>
      <w:proofErr w:type="spellEnd"/>
      <w:r w:rsidRPr="008B040A">
        <w:rPr>
          <w:rFonts w:eastAsia="Times New Roman" w:cs="Times New Roman"/>
          <w:szCs w:val="20"/>
        </w:rPr>
        <w:t xml:space="preserve"> achieved with 30-minute continuous infusion dosing of 6mg/kg once daily in patients with normal renal function.  Therefore, physicians should be alert to the possibility of signs and symptoms of neuropathy in patients receiving </w:t>
      </w:r>
      <w:proofErr w:type="spellStart"/>
      <w:r w:rsidRPr="008B040A">
        <w:rPr>
          <w:rFonts w:eastAsia="Times New Roman" w:cs="Times New Roman"/>
          <w:szCs w:val="20"/>
        </w:rPr>
        <w:t>daptomycin</w:t>
      </w:r>
      <w:proofErr w:type="spellEnd"/>
      <w:r w:rsidRPr="008B040A">
        <w:rPr>
          <w:rFonts w:eastAsia="Times New Roman" w:cs="Times New Roman"/>
          <w:szCs w:val="20"/>
        </w:rPr>
        <w:t>.</w:t>
      </w:r>
    </w:p>
    <w:p w14:paraId="41EE0100"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rPr>
      </w:pPr>
    </w:p>
    <w:p w14:paraId="62A9332A" w14:textId="77777777" w:rsidR="008B040A" w:rsidRDefault="008B040A" w:rsidP="008B040A">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8B040A">
        <w:rPr>
          <w:rFonts w:eastAsia="Times New Roman" w:cs="Times New Roman"/>
          <w:szCs w:val="20"/>
          <w:lang w:val="en-GB"/>
        </w:rPr>
        <w:t xml:space="preserve">Neonatal dogs were more sensitive to the nerve and muscle effects of </w:t>
      </w:r>
      <w:proofErr w:type="spellStart"/>
      <w:r w:rsidRPr="008B040A">
        <w:rPr>
          <w:rFonts w:eastAsia="Times New Roman" w:cs="Times New Roman"/>
          <w:szCs w:val="20"/>
          <w:lang w:val="en-GB"/>
        </w:rPr>
        <w:t>daptomycin</w:t>
      </w:r>
      <w:proofErr w:type="spellEnd"/>
      <w:r w:rsidRPr="008B040A">
        <w:rPr>
          <w:rFonts w:eastAsia="Times New Roman" w:cs="Times New Roman"/>
          <w:szCs w:val="20"/>
          <w:lang w:val="en-GB"/>
        </w:rPr>
        <w:t xml:space="preserve"> than adult or juvenile dogs. Effects of </w:t>
      </w:r>
      <w:proofErr w:type="spellStart"/>
      <w:r w:rsidRPr="008B040A">
        <w:rPr>
          <w:rFonts w:eastAsia="Times New Roman" w:cs="Times New Roman"/>
          <w:szCs w:val="20"/>
          <w:lang w:val="en-GB"/>
        </w:rPr>
        <w:t>daptomycin</w:t>
      </w:r>
      <w:proofErr w:type="spellEnd"/>
      <w:r w:rsidRPr="008B040A">
        <w:rPr>
          <w:rFonts w:eastAsia="Times New Roman" w:cs="Times New Roman"/>
          <w:szCs w:val="20"/>
          <w:lang w:val="en-GB"/>
        </w:rPr>
        <w:t xml:space="preserve"> were assessed in neonatal dogs following once-daily IV administration for 28 consecutive days from postnatal days (PND) 4 through 31 at nominal dosage levels of 10 [no observed adverse effect level (NOAEL)], 25, 50 and 50/75 mg/kg/day.</w:t>
      </w:r>
    </w:p>
    <w:p w14:paraId="2245494E" w14:textId="77777777" w:rsidR="00277125" w:rsidRPr="008B040A" w:rsidRDefault="00277125" w:rsidP="008B040A">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p>
    <w:p w14:paraId="101CCE1E" w14:textId="77777777" w:rsidR="008B040A" w:rsidRPr="008B040A" w:rsidRDefault="008B040A" w:rsidP="008B040A">
      <w:pPr>
        <w:widowControl w:val="0"/>
        <w:tabs>
          <w:tab w:val="left" w:pos="0"/>
        </w:tabs>
        <w:autoSpaceDE w:val="0"/>
        <w:autoSpaceDN w:val="0"/>
        <w:adjustRightInd w:val="0"/>
        <w:spacing w:after="0" w:line="320" w:lineRule="atLeast"/>
        <w:jc w:val="both"/>
        <w:rPr>
          <w:rFonts w:eastAsia="Times New Roman" w:cs="Times New Roman"/>
          <w:szCs w:val="20"/>
          <w:lang w:val="en-GB"/>
        </w:rPr>
      </w:pPr>
      <w:r w:rsidRPr="008B040A">
        <w:rPr>
          <w:rFonts w:eastAsia="Times New Roman" w:cs="Times New Roman"/>
          <w:szCs w:val="20"/>
          <w:lang w:val="en-GB"/>
        </w:rPr>
        <w:t xml:space="preserve">At dose levels of 50 and 75 mg/kg/day with associated </w:t>
      </w:r>
      <w:proofErr w:type="spellStart"/>
      <w:r w:rsidRPr="008B040A">
        <w:rPr>
          <w:rFonts w:eastAsia="Times New Roman" w:cs="Times New Roman"/>
          <w:szCs w:val="20"/>
          <w:lang w:val="en-GB"/>
        </w:rPr>
        <w:t>C</w:t>
      </w:r>
      <w:r w:rsidRPr="008B040A">
        <w:rPr>
          <w:rFonts w:eastAsia="Times New Roman" w:cs="Times New Roman"/>
          <w:szCs w:val="20"/>
          <w:vertAlign w:val="subscript"/>
          <w:lang w:val="en-GB"/>
        </w:rPr>
        <w:t>max</w:t>
      </w:r>
      <w:proofErr w:type="spellEnd"/>
      <w:r w:rsidRPr="008B040A">
        <w:rPr>
          <w:rFonts w:eastAsia="Times New Roman" w:cs="Times New Roman"/>
          <w:szCs w:val="20"/>
          <w:lang w:val="en-GB"/>
        </w:rPr>
        <w:t xml:space="preserve"> and </w:t>
      </w:r>
      <w:proofErr w:type="spellStart"/>
      <w:r w:rsidRPr="008B040A">
        <w:rPr>
          <w:rFonts w:eastAsia="Times New Roman" w:cs="Times New Roman"/>
          <w:szCs w:val="20"/>
          <w:lang w:val="en-GB"/>
        </w:rPr>
        <w:t>AUC</w:t>
      </w:r>
      <w:r w:rsidRPr="008B040A">
        <w:rPr>
          <w:rFonts w:eastAsia="Times New Roman" w:cs="Times New Roman"/>
          <w:szCs w:val="20"/>
          <w:vertAlign w:val="subscript"/>
          <w:lang w:val="en-GB"/>
        </w:rPr>
        <w:t>inf</w:t>
      </w:r>
      <w:proofErr w:type="spellEnd"/>
      <w:r w:rsidRPr="008B040A">
        <w:rPr>
          <w:rFonts w:eastAsia="Times New Roman" w:cs="Times New Roman"/>
          <w:szCs w:val="20"/>
          <w:lang w:val="en-GB"/>
        </w:rPr>
        <w:t xml:space="preserve"> values of ≥321 µg/mL and ≥1,470 µ</w:t>
      </w:r>
      <w:proofErr w:type="spellStart"/>
      <w:r w:rsidRPr="008B040A">
        <w:rPr>
          <w:rFonts w:eastAsia="Times New Roman" w:cs="Times New Roman"/>
          <w:szCs w:val="20"/>
          <w:lang w:val="en-GB"/>
        </w:rPr>
        <w:t>g•h</w:t>
      </w:r>
      <w:proofErr w:type="spellEnd"/>
      <w:r w:rsidRPr="008B040A">
        <w:rPr>
          <w:rFonts w:eastAsia="Times New Roman" w:cs="Times New Roman"/>
          <w:szCs w:val="20"/>
          <w:lang w:val="en-GB"/>
        </w:rPr>
        <w:t xml:space="preserve">/mL, respectively, marked clinical signs of twitching, muscle rigidity in the limbs, and impaired use of limbs were observed. Resulting decreases in body weights and overall body condition at dose ≥50mg/kg/day necessitated early discontinuation by PND19. At the dose level of 25 mg/kg/day associated </w:t>
      </w:r>
      <w:proofErr w:type="spellStart"/>
      <w:r w:rsidRPr="008B040A">
        <w:rPr>
          <w:rFonts w:eastAsia="Times New Roman" w:cs="Times New Roman"/>
          <w:szCs w:val="20"/>
          <w:lang w:val="en-GB"/>
        </w:rPr>
        <w:t>C</w:t>
      </w:r>
      <w:r w:rsidRPr="008B040A">
        <w:rPr>
          <w:rFonts w:eastAsia="Times New Roman" w:cs="Times New Roman"/>
          <w:szCs w:val="20"/>
          <w:vertAlign w:val="subscript"/>
          <w:lang w:val="en-GB"/>
        </w:rPr>
        <w:t>max</w:t>
      </w:r>
      <w:proofErr w:type="spellEnd"/>
      <w:r w:rsidRPr="008B040A">
        <w:rPr>
          <w:rFonts w:eastAsia="Times New Roman" w:cs="Times New Roman"/>
          <w:szCs w:val="20"/>
          <w:lang w:val="en-GB"/>
        </w:rPr>
        <w:t xml:space="preserve"> and </w:t>
      </w:r>
      <w:proofErr w:type="spellStart"/>
      <w:r w:rsidRPr="008B040A">
        <w:rPr>
          <w:rFonts w:eastAsia="Times New Roman" w:cs="Times New Roman"/>
          <w:szCs w:val="20"/>
          <w:lang w:val="en-GB"/>
        </w:rPr>
        <w:t>AUC</w:t>
      </w:r>
      <w:r w:rsidRPr="008B040A">
        <w:rPr>
          <w:rFonts w:eastAsia="Times New Roman" w:cs="Times New Roman"/>
          <w:szCs w:val="20"/>
          <w:vertAlign w:val="subscript"/>
          <w:lang w:val="en-GB"/>
        </w:rPr>
        <w:t>inf</w:t>
      </w:r>
      <w:proofErr w:type="spellEnd"/>
      <w:r w:rsidRPr="008B040A">
        <w:rPr>
          <w:rFonts w:eastAsia="Times New Roman" w:cs="Times New Roman"/>
          <w:szCs w:val="20"/>
          <w:lang w:val="en-GB"/>
        </w:rPr>
        <w:t xml:space="preserve"> values of 147 µg/mL and 717 µ</w:t>
      </w:r>
      <w:proofErr w:type="spellStart"/>
      <w:r w:rsidRPr="008B040A">
        <w:rPr>
          <w:rFonts w:eastAsia="Times New Roman" w:cs="Times New Roman"/>
          <w:szCs w:val="20"/>
          <w:lang w:val="en-GB"/>
        </w:rPr>
        <w:t>g•h</w:t>
      </w:r>
      <w:proofErr w:type="spellEnd"/>
      <w:r w:rsidRPr="008B040A">
        <w:rPr>
          <w:rFonts w:eastAsia="Times New Roman" w:cs="Times New Roman"/>
          <w:szCs w:val="20"/>
          <w:lang w:val="en-GB"/>
        </w:rPr>
        <w:t xml:space="preserve">/mL, respectively, mild clinical signs of twitching and one incidence of muscle rigidity were observed without any effects on body weight and were reversible over a 28-days recovery period. These data indicate a limited margin between doses associated with mild versus marked adverse clinical signs. Histopathological assessment did not reveal any </w:t>
      </w:r>
      <w:proofErr w:type="spellStart"/>
      <w:r w:rsidRPr="008B040A">
        <w:rPr>
          <w:rFonts w:eastAsia="Times New Roman" w:cs="Times New Roman"/>
          <w:szCs w:val="20"/>
          <w:lang w:val="en-GB"/>
        </w:rPr>
        <w:t>daptomycin</w:t>
      </w:r>
      <w:proofErr w:type="spellEnd"/>
      <w:r w:rsidRPr="008B040A">
        <w:rPr>
          <w:rFonts w:eastAsia="Times New Roman" w:cs="Times New Roman"/>
          <w:szCs w:val="20"/>
          <w:lang w:val="en-GB"/>
        </w:rPr>
        <w:t xml:space="preserve">-related changes in the peripheral and central nervous system tissue, as well as in the skeletal muscle and tissue assessed, at any dose level. No adverse clinical signs for these target organs of toxicity were observed in the dogs that received </w:t>
      </w:r>
      <w:proofErr w:type="spellStart"/>
      <w:r w:rsidRPr="008B040A">
        <w:rPr>
          <w:rFonts w:eastAsia="Times New Roman" w:cs="Times New Roman"/>
          <w:szCs w:val="20"/>
          <w:lang w:val="en-GB"/>
        </w:rPr>
        <w:t>daptomycin</w:t>
      </w:r>
      <w:proofErr w:type="spellEnd"/>
      <w:r w:rsidRPr="008B040A">
        <w:rPr>
          <w:rFonts w:eastAsia="Times New Roman" w:cs="Times New Roman"/>
          <w:szCs w:val="20"/>
          <w:lang w:val="en-GB"/>
        </w:rPr>
        <w:t xml:space="preserve"> at 10 mg/kg/day, the NOAEL, </w:t>
      </w:r>
      <w:r w:rsidRPr="008B040A">
        <w:rPr>
          <w:rFonts w:eastAsia="Times New Roman" w:cs="Times New Roman"/>
          <w:szCs w:val="20"/>
          <w:lang w:val="en-GB"/>
        </w:rPr>
        <w:lastRenderedPageBreak/>
        <w:t xml:space="preserve">with associated </w:t>
      </w:r>
      <w:proofErr w:type="spellStart"/>
      <w:r w:rsidRPr="008B040A">
        <w:rPr>
          <w:rFonts w:eastAsia="Times New Roman" w:cs="Times New Roman"/>
          <w:szCs w:val="20"/>
          <w:lang w:val="en-GB"/>
        </w:rPr>
        <w:t>C</w:t>
      </w:r>
      <w:r w:rsidRPr="008B040A">
        <w:rPr>
          <w:rFonts w:eastAsia="Times New Roman" w:cs="Times New Roman"/>
          <w:szCs w:val="20"/>
          <w:vertAlign w:val="subscript"/>
          <w:lang w:val="en-GB"/>
        </w:rPr>
        <w:t>max</w:t>
      </w:r>
      <w:proofErr w:type="spellEnd"/>
      <w:r w:rsidRPr="008B040A">
        <w:rPr>
          <w:rFonts w:eastAsia="Times New Roman" w:cs="Times New Roman"/>
          <w:szCs w:val="20"/>
          <w:lang w:val="en-GB"/>
        </w:rPr>
        <w:t xml:space="preserve"> and </w:t>
      </w:r>
      <w:proofErr w:type="spellStart"/>
      <w:r w:rsidRPr="008B040A">
        <w:rPr>
          <w:rFonts w:eastAsia="Times New Roman" w:cs="Times New Roman"/>
          <w:szCs w:val="20"/>
          <w:lang w:val="en-GB"/>
        </w:rPr>
        <w:t>AUC</w:t>
      </w:r>
      <w:r w:rsidRPr="008B040A">
        <w:rPr>
          <w:rFonts w:eastAsia="Times New Roman" w:cs="Times New Roman"/>
          <w:szCs w:val="20"/>
          <w:vertAlign w:val="subscript"/>
          <w:lang w:val="en-GB"/>
        </w:rPr>
        <w:t>inf</w:t>
      </w:r>
      <w:proofErr w:type="spellEnd"/>
      <w:r w:rsidRPr="008B040A">
        <w:rPr>
          <w:rFonts w:eastAsia="Times New Roman" w:cs="Times New Roman"/>
          <w:szCs w:val="20"/>
          <w:lang w:val="en-GB"/>
        </w:rPr>
        <w:t xml:space="preserve"> values of 62 µg/mL and 247 µ</w:t>
      </w:r>
      <w:proofErr w:type="spellStart"/>
      <w:r w:rsidRPr="008B040A">
        <w:rPr>
          <w:rFonts w:eastAsia="Times New Roman" w:cs="Times New Roman"/>
          <w:szCs w:val="20"/>
          <w:lang w:val="en-GB"/>
        </w:rPr>
        <w:t>g•h</w:t>
      </w:r>
      <w:proofErr w:type="spellEnd"/>
      <w:r w:rsidRPr="008B040A">
        <w:rPr>
          <w:rFonts w:eastAsia="Times New Roman" w:cs="Times New Roman"/>
          <w:szCs w:val="20"/>
          <w:lang w:val="en-GB"/>
        </w:rPr>
        <w:t>/mL, respectively.</w:t>
      </w:r>
    </w:p>
    <w:p w14:paraId="743F45F4" w14:textId="77777777" w:rsidR="00130A9D" w:rsidRPr="00BB290B" w:rsidRDefault="00130A9D" w:rsidP="00BB290B">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BB290B">
        <w:rPr>
          <w:rFonts w:eastAsia="Times New Roman" w:cs="Times New Roman"/>
          <w:szCs w:val="24"/>
          <w:u w:val="single"/>
          <w:lang w:val="nb-NO"/>
        </w:rPr>
        <w:t>Non-susceptible organisms</w:t>
      </w:r>
    </w:p>
    <w:p w14:paraId="3A6B9C4D"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The use of antibiotics may promote the selection of non-susceptible organisms.  Should superinfection occur during therapy, appropriate measures should be taken.</w:t>
      </w:r>
    </w:p>
    <w:p w14:paraId="4D57F6C9"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p>
    <w:p w14:paraId="42A35B6E"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 xml:space="preserve">Prescribing </w:t>
      </w:r>
      <w:proofErr w:type="spellStart"/>
      <w:r w:rsidRPr="00130A9D">
        <w:rPr>
          <w:rFonts w:eastAsia="Times New Roman" w:cs="Times New Roman"/>
          <w:szCs w:val="20"/>
        </w:rPr>
        <w:t>daptomycin</w:t>
      </w:r>
      <w:proofErr w:type="spellEnd"/>
      <w:r w:rsidRPr="00130A9D">
        <w:rPr>
          <w:rFonts w:eastAsia="Times New Roman" w:cs="Times New Roman"/>
          <w:szCs w:val="20"/>
        </w:rPr>
        <w:t xml:space="preserve"> in the absence of a proven or strongly suspected bacterial infection is unlikely to provide benefit to the patient and increases the risk of the development of drug-resistant bacteria.</w:t>
      </w:r>
    </w:p>
    <w:p w14:paraId="0FF75FB5"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p>
    <w:p w14:paraId="201F66F1"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Patients with deep seated infections should receive any required surgical interventions (e.g. debridement, removal of prosthetic devices, valve replacement surgery) without delay so as not to compromise successful therapy.</w:t>
      </w:r>
    </w:p>
    <w:p w14:paraId="6FBCEA43"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p>
    <w:p w14:paraId="3D740DD1" w14:textId="6627A83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lang w:eastAsia="en-AU"/>
        </w:rPr>
      </w:pPr>
      <w:r w:rsidRPr="00130A9D">
        <w:rPr>
          <w:rFonts w:eastAsia="Times New Roman" w:cs="Times New Roman"/>
          <w:szCs w:val="20"/>
          <w:lang w:eastAsia="en-AU"/>
        </w:rPr>
        <w:t xml:space="preserve">There is insufficient evidence to be able to draw any conclusions regarding the possible clinical efficacy of </w:t>
      </w:r>
      <w:r w:rsidR="00F23D48">
        <w:rPr>
          <w:rFonts w:eastAsia="Times New Roman" w:cs="Times New Roman"/>
          <w:szCs w:val="20"/>
          <w:lang w:eastAsia="en-AU"/>
        </w:rPr>
        <w:t>CUBICIN</w:t>
      </w:r>
      <w:r w:rsidRPr="00130A9D">
        <w:rPr>
          <w:rFonts w:eastAsia="Times New Roman" w:cs="Times New Roman"/>
          <w:szCs w:val="20"/>
          <w:lang w:eastAsia="en-AU"/>
        </w:rPr>
        <w:t xml:space="preserve"> against infections due to enterococci, including </w:t>
      </w:r>
      <w:r w:rsidRPr="00130A9D">
        <w:rPr>
          <w:rFonts w:eastAsia="Times New Roman" w:cs="Times New Roman"/>
          <w:i/>
          <w:iCs/>
          <w:szCs w:val="20"/>
          <w:lang w:eastAsia="en-AU"/>
        </w:rPr>
        <w:t xml:space="preserve">Enterococcus </w:t>
      </w:r>
      <w:proofErr w:type="spellStart"/>
      <w:r w:rsidRPr="00130A9D">
        <w:rPr>
          <w:rFonts w:eastAsia="Times New Roman" w:cs="Times New Roman"/>
          <w:i/>
          <w:iCs/>
          <w:szCs w:val="20"/>
          <w:lang w:eastAsia="en-AU"/>
        </w:rPr>
        <w:t>faecalis</w:t>
      </w:r>
      <w:proofErr w:type="spellEnd"/>
      <w:r w:rsidRPr="00130A9D">
        <w:rPr>
          <w:rFonts w:eastAsia="Times New Roman" w:cs="Times New Roman"/>
          <w:i/>
          <w:iCs/>
          <w:szCs w:val="20"/>
          <w:lang w:eastAsia="en-AU"/>
        </w:rPr>
        <w:t xml:space="preserve"> </w:t>
      </w:r>
      <w:r w:rsidRPr="00130A9D">
        <w:rPr>
          <w:rFonts w:eastAsia="Times New Roman" w:cs="Times New Roman"/>
          <w:szCs w:val="20"/>
          <w:lang w:eastAsia="en-AU"/>
        </w:rPr>
        <w:t xml:space="preserve">and </w:t>
      </w:r>
      <w:r w:rsidRPr="00130A9D">
        <w:rPr>
          <w:rFonts w:eastAsia="Times New Roman" w:cs="Times New Roman"/>
          <w:i/>
          <w:iCs/>
          <w:szCs w:val="20"/>
          <w:lang w:eastAsia="en-AU"/>
        </w:rPr>
        <w:t xml:space="preserve">Enterococcus </w:t>
      </w:r>
      <w:proofErr w:type="spellStart"/>
      <w:r w:rsidRPr="00130A9D">
        <w:rPr>
          <w:rFonts w:eastAsia="Times New Roman" w:cs="Times New Roman"/>
          <w:i/>
          <w:iCs/>
          <w:szCs w:val="20"/>
          <w:lang w:eastAsia="en-AU"/>
        </w:rPr>
        <w:t>faecium</w:t>
      </w:r>
      <w:proofErr w:type="spellEnd"/>
      <w:r w:rsidRPr="00130A9D">
        <w:rPr>
          <w:rFonts w:eastAsia="Times New Roman" w:cs="Times New Roman"/>
          <w:szCs w:val="20"/>
          <w:lang w:eastAsia="en-AU"/>
        </w:rPr>
        <w:t xml:space="preserve">.  In addition, dose regimens of </w:t>
      </w:r>
      <w:proofErr w:type="spellStart"/>
      <w:r w:rsidRPr="00130A9D">
        <w:rPr>
          <w:rFonts w:eastAsia="Times New Roman" w:cs="Times New Roman"/>
          <w:szCs w:val="20"/>
          <w:lang w:eastAsia="en-AU"/>
        </w:rPr>
        <w:t>daptomycin</w:t>
      </w:r>
      <w:proofErr w:type="spellEnd"/>
      <w:r w:rsidRPr="00130A9D">
        <w:rPr>
          <w:rFonts w:eastAsia="Times New Roman" w:cs="Times New Roman"/>
          <w:szCs w:val="20"/>
          <w:lang w:eastAsia="en-AU"/>
        </w:rPr>
        <w:t xml:space="preserve"> that might be appropriate for the treatment of </w:t>
      </w:r>
      <w:proofErr w:type="spellStart"/>
      <w:r w:rsidRPr="00130A9D">
        <w:rPr>
          <w:rFonts w:eastAsia="Times New Roman" w:cs="Times New Roman"/>
          <w:szCs w:val="20"/>
          <w:lang w:eastAsia="en-AU"/>
        </w:rPr>
        <w:t>enterococcal</w:t>
      </w:r>
      <w:proofErr w:type="spellEnd"/>
      <w:r w:rsidRPr="00130A9D">
        <w:rPr>
          <w:rFonts w:eastAsia="Times New Roman" w:cs="Times New Roman"/>
          <w:szCs w:val="20"/>
          <w:lang w:eastAsia="en-AU"/>
        </w:rPr>
        <w:t xml:space="preserve"> infections, with or without bacteraemia, have not been identified.</w:t>
      </w:r>
    </w:p>
    <w:p w14:paraId="2842DFF9"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lang w:eastAsia="en-AU"/>
        </w:rPr>
      </w:pPr>
    </w:p>
    <w:p w14:paraId="28970D27"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lang w:eastAsia="en-AU"/>
        </w:rPr>
      </w:pPr>
      <w:r w:rsidRPr="00130A9D">
        <w:rPr>
          <w:rFonts w:eastAsia="Times New Roman" w:cs="Times New Roman"/>
          <w:szCs w:val="20"/>
          <w:lang w:eastAsia="en-AU"/>
        </w:rPr>
        <w:t xml:space="preserve">As documented with other antibiotics when used in patients with difficult to treat infections and/or for prolonged periods, emergent decreases in susceptibility have been observed in a limited number of </w:t>
      </w:r>
      <w:proofErr w:type="spellStart"/>
      <w:r w:rsidRPr="00130A9D">
        <w:rPr>
          <w:rFonts w:eastAsia="Times New Roman" w:cs="Times New Roman"/>
          <w:szCs w:val="20"/>
          <w:lang w:eastAsia="en-AU"/>
        </w:rPr>
        <w:t>enterococcal</w:t>
      </w:r>
      <w:proofErr w:type="spellEnd"/>
      <w:r w:rsidRPr="00130A9D">
        <w:rPr>
          <w:rFonts w:eastAsia="Times New Roman" w:cs="Times New Roman"/>
          <w:szCs w:val="20"/>
          <w:lang w:eastAsia="en-AU"/>
        </w:rPr>
        <w:t xml:space="preserve"> isolates following </w:t>
      </w:r>
      <w:proofErr w:type="spellStart"/>
      <w:r w:rsidRPr="00130A9D">
        <w:rPr>
          <w:rFonts w:eastAsia="Times New Roman" w:cs="Times New Roman"/>
          <w:szCs w:val="20"/>
          <w:lang w:eastAsia="en-AU"/>
        </w:rPr>
        <w:t>daptomycin</w:t>
      </w:r>
      <w:proofErr w:type="spellEnd"/>
      <w:r w:rsidRPr="00130A9D">
        <w:rPr>
          <w:rFonts w:eastAsia="Times New Roman" w:cs="Times New Roman"/>
          <w:szCs w:val="20"/>
          <w:lang w:eastAsia="en-AU"/>
        </w:rPr>
        <w:t xml:space="preserve"> therapy.  Failures with </w:t>
      </w:r>
      <w:proofErr w:type="spellStart"/>
      <w:r w:rsidRPr="00130A9D">
        <w:rPr>
          <w:rFonts w:eastAsia="Times New Roman" w:cs="Times New Roman"/>
          <w:szCs w:val="20"/>
          <w:lang w:eastAsia="en-AU"/>
        </w:rPr>
        <w:t>daptomycin</w:t>
      </w:r>
      <w:proofErr w:type="spellEnd"/>
      <w:r w:rsidRPr="00130A9D">
        <w:rPr>
          <w:rFonts w:eastAsia="Times New Roman" w:cs="Times New Roman"/>
          <w:szCs w:val="20"/>
          <w:lang w:eastAsia="en-AU"/>
        </w:rPr>
        <w:t xml:space="preserve"> in the treatment of </w:t>
      </w:r>
      <w:proofErr w:type="spellStart"/>
      <w:r w:rsidRPr="00130A9D">
        <w:rPr>
          <w:rFonts w:eastAsia="Times New Roman" w:cs="Times New Roman"/>
          <w:szCs w:val="20"/>
          <w:lang w:eastAsia="en-AU"/>
        </w:rPr>
        <w:t>enterococcal</w:t>
      </w:r>
      <w:proofErr w:type="spellEnd"/>
      <w:r w:rsidRPr="00130A9D">
        <w:rPr>
          <w:rFonts w:eastAsia="Times New Roman" w:cs="Times New Roman"/>
          <w:szCs w:val="20"/>
          <w:lang w:eastAsia="en-AU"/>
        </w:rPr>
        <w:t xml:space="preserve"> bloodstream infections have been reported.</w:t>
      </w:r>
    </w:p>
    <w:p w14:paraId="45E065C3"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lang w:eastAsia="en-AU"/>
        </w:rPr>
      </w:pPr>
    </w:p>
    <w:p w14:paraId="4CACC673" w14:textId="4E1A327B" w:rsid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lang w:eastAsia="en-AU"/>
        </w:rPr>
      </w:pPr>
      <w:r w:rsidRPr="00130A9D">
        <w:rPr>
          <w:rFonts w:eastAsia="Times New Roman" w:cs="Times New Roman"/>
          <w:szCs w:val="20"/>
          <w:lang w:eastAsia="en-AU"/>
        </w:rPr>
        <w:t>Resistance or lack of susceptibility needs to be monitored during therapy.</w:t>
      </w:r>
    </w:p>
    <w:p w14:paraId="51298914" w14:textId="77777777" w:rsidR="00130A9D" w:rsidRPr="00BB290B" w:rsidRDefault="00130A9D" w:rsidP="00BB290B">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BB290B">
        <w:rPr>
          <w:rFonts w:eastAsia="Times New Roman" w:cs="Times New Roman"/>
          <w:szCs w:val="24"/>
          <w:u w:val="single"/>
          <w:lang w:val="nb-NO"/>
        </w:rPr>
        <w:t>Antibiotic-associated Colitis</w:t>
      </w:r>
    </w:p>
    <w:p w14:paraId="417C9B42"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 xml:space="preserve">Pseudomembranous colitis has been reported with nearly all antibacterial agents, including </w:t>
      </w:r>
      <w:proofErr w:type="spellStart"/>
      <w:r w:rsidRPr="00130A9D">
        <w:rPr>
          <w:rFonts w:eastAsia="Times New Roman" w:cs="Times New Roman"/>
          <w:szCs w:val="20"/>
        </w:rPr>
        <w:t>daptomycin</w:t>
      </w:r>
      <w:proofErr w:type="spellEnd"/>
      <w:r w:rsidRPr="00130A9D">
        <w:rPr>
          <w:rFonts w:eastAsia="Times New Roman" w:cs="Times New Roman"/>
          <w:szCs w:val="20"/>
        </w:rPr>
        <w:t>, and may range in severity from mild to life-threatening.  Therefore, it is important to consider this diagnosis in patients who present with diarrhoea subsequent to the administration of any antibacterial agent.</w:t>
      </w:r>
    </w:p>
    <w:p w14:paraId="645D0865"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p>
    <w:p w14:paraId="6017E73A"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 xml:space="preserve">Treatment with antibacterial agents alters the normal flora of the colon and may permit overgrowth of clostridia.  Studies indicated that a toxin produced by </w:t>
      </w:r>
      <w:r w:rsidRPr="00130A9D">
        <w:rPr>
          <w:rFonts w:eastAsia="Times New Roman" w:cs="Times New Roman"/>
          <w:i/>
          <w:szCs w:val="20"/>
        </w:rPr>
        <w:t>Clostridium difficile</w:t>
      </w:r>
      <w:r w:rsidRPr="00130A9D">
        <w:rPr>
          <w:rFonts w:eastAsia="Times New Roman" w:cs="Times New Roman"/>
          <w:szCs w:val="20"/>
        </w:rPr>
        <w:t xml:space="preserve"> is a primary cause of “antibiotic-associated colitis”.</w:t>
      </w:r>
    </w:p>
    <w:p w14:paraId="100E826D"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p>
    <w:p w14:paraId="1158B2BF" w14:textId="17AE47B9" w:rsid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lang w:eastAsia="en-AU"/>
        </w:rPr>
      </w:pPr>
      <w:r w:rsidRPr="00130A9D">
        <w:rPr>
          <w:rFonts w:eastAsia="Times New Roman" w:cs="Times New Roman"/>
          <w:szCs w:val="20"/>
        </w:rPr>
        <w:t xml:space="preserve">If a diagnosis of pseudomembranous colitis has been established, appropriate therapeutic measures should be initiated.  Mild cases of pseudomembranous colitis usually respond to drug discontinuation alone.  In moderate-to-severe cases, consideration should be given to management with fluids and electrolytes, protein supplementation, and treatment with an antibacterial agent clinically effective against </w:t>
      </w:r>
      <w:r w:rsidRPr="00130A9D">
        <w:rPr>
          <w:rFonts w:eastAsia="Times New Roman" w:cs="Times New Roman"/>
          <w:i/>
          <w:szCs w:val="20"/>
        </w:rPr>
        <w:t>C. difficile</w:t>
      </w:r>
      <w:r w:rsidRPr="00130A9D">
        <w:rPr>
          <w:rFonts w:eastAsia="Times New Roman" w:cs="Times New Roman"/>
          <w:szCs w:val="20"/>
        </w:rPr>
        <w:t>.</w:t>
      </w:r>
    </w:p>
    <w:p w14:paraId="461B9CC1" w14:textId="77777777" w:rsidR="003C18F8" w:rsidRPr="00BB290B" w:rsidRDefault="003C18F8" w:rsidP="00BB290B">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BB290B">
        <w:rPr>
          <w:rFonts w:eastAsia="Times New Roman" w:cs="Times New Roman"/>
          <w:szCs w:val="24"/>
          <w:u w:val="single"/>
          <w:lang w:val="nb-NO"/>
        </w:rPr>
        <w:lastRenderedPageBreak/>
        <w:t>Drug/Laboratory test interactions</w:t>
      </w:r>
    </w:p>
    <w:p w14:paraId="2C597D7E" w14:textId="57D1C369" w:rsidR="003C18F8" w:rsidRPr="003C18F8" w:rsidRDefault="003C18F8" w:rsidP="003C18F8">
      <w:pPr>
        <w:widowControl w:val="0"/>
        <w:tabs>
          <w:tab w:val="left" w:pos="0"/>
        </w:tabs>
        <w:autoSpaceDE w:val="0"/>
        <w:autoSpaceDN w:val="0"/>
        <w:adjustRightInd w:val="0"/>
        <w:spacing w:after="0" w:line="320" w:lineRule="atLeast"/>
        <w:jc w:val="both"/>
        <w:rPr>
          <w:rFonts w:eastAsia="Times New Roman" w:cs="Times New Roman"/>
          <w:szCs w:val="20"/>
          <w:lang w:eastAsia="en-AU"/>
        </w:rPr>
      </w:pPr>
      <w:r w:rsidRPr="003C18F8">
        <w:rPr>
          <w:rFonts w:eastAsia="Times New Roman" w:cs="Times New Roman"/>
          <w:szCs w:val="20"/>
          <w:lang w:eastAsia="en-AU"/>
        </w:rPr>
        <w:t xml:space="preserve">False prolongation of prothrombin time (PT) and elevation of International Normalised Ratio (INR) have been observed when certain recombinant thromboplastin reagents are utilised for the assay (see </w:t>
      </w:r>
      <w:r w:rsidR="0086621A">
        <w:rPr>
          <w:rFonts w:eastAsia="Times New Roman" w:cs="Times New Roman"/>
          <w:szCs w:val="20"/>
          <w:lang w:eastAsia="en-AU"/>
        </w:rPr>
        <w:t xml:space="preserve">section 4.4 SPECIAL WARNINGS AND PRECAUTIONS FOR USE, </w:t>
      </w:r>
      <w:r w:rsidRPr="003C18F8">
        <w:rPr>
          <w:rFonts w:eastAsia="Times New Roman" w:cs="Times New Roman"/>
          <w:szCs w:val="20"/>
          <w:lang w:eastAsia="en-AU"/>
        </w:rPr>
        <w:t>Effect</w:t>
      </w:r>
      <w:r w:rsidR="0086621A">
        <w:rPr>
          <w:rFonts w:eastAsia="Times New Roman" w:cs="Times New Roman"/>
          <w:szCs w:val="20"/>
          <w:lang w:eastAsia="en-AU"/>
        </w:rPr>
        <w:t>s</w:t>
      </w:r>
      <w:r w:rsidRPr="003C18F8">
        <w:rPr>
          <w:rFonts w:eastAsia="Times New Roman" w:cs="Times New Roman"/>
          <w:szCs w:val="20"/>
          <w:lang w:eastAsia="en-AU"/>
        </w:rPr>
        <w:t xml:space="preserve"> on Laboratory Tests).</w:t>
      </w:r>
    </w:p>
    <w:p w14:paraId="5E3C8EAD" w14:textId="77777777" w:rsidR="00130A9D" w:rsidRPr="00BB290B" w:rsidRDefault="00130A9D" w:rsidP="00BB290B">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BB290B">
        <w:rPr>
          <w:rFonts w:eastAsia="Times New Roman" w:cs="Times New Roman"/>
          <w:szCs w:val="24"/>
          <w:u w:val="single"/>
          <w:lang w:val="nb-NO"/>
        </w:rPr>
        <w:t xml:space="preserve">Persisting or Relapsing </w:t>
      </w:r>
      <w:r w:rsidRPr="00BB290B">
        <w:rPr>
          <w:rFonts w:eastAsia="Times New Roman" w:cs="Times New Roman"/>
          <w:i/>
          <w:iCs/>
          <w:szCs w:val="24"/>
          <w:u w:val="single"/>
          <w:lang w:val="nb-NO"/>
        </w:rPr>
        <w:t>S. aureus</w:t>
      </w:r>
      <w:r w:rsidRPr="00BB290B">
        <w:rPr>
          <w:rFonts w:eastAsia="Times New Roman" w:cs="Times New Roman"/>
          <w:szCs w:val="24"/>
          <w:u w:val="single"/>
          <w:lang w:val="nb-NO"/>
        </w:rPr>
        <w:t xml:space="preserve"> Infection</w:t>
      </w:r>
    </w:p>
    <w:p w14:paraId="543A6C32"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 xml:space="preserve">Patients with persisting or relapsing </w:t>
      </w:r>
      <w:r w:rsidRPr="00130A9D">
        <w:rPr>
          <w:rFonts w:eastAsia="Times New Roman" w:cs="Times New Roman"/>
          <w:i/>
          <w:szCs w:val="20"/>
        </w:rPr>
        <w:t>S. aureus</w:t>
      </w:r>
      <w:r w:rsidRPr="00130A9D">
        <w:rPr>
          <w:rFonts w:eastAsia="Times New Roman" w:cs="Times New Roman"/>
          <w:szCs w:val="20"/>
        </w:rPr>
        <w:t xml:space="preserve"> infection or poor clinical response should have repeat blood cultures.  If a culture is positive for </w:t>
      </w:r>
      <w:r w:rsidRPr="00130A9D">
        <w:rPr>
          <w:rFonts w:eastAsia="Times New Roman" w:cs="Times New Roman"/>
          <w:i/>
          <w:szCs w:val="20"/>
        </w:rPr>
        <w:t>S. aureus,</w:t>
      </w:r>
      <w:r w:rsidRPr="00130A9D">
        <w:rPr>
          <w:rFonts w:eastAsia="Times New Roman" w:cs="Times New Roman"/>
          <w:szCs w:val="20"/>
        </w:rPr>
        <w:t xml:space="preserve"> MIC susceptibility testing of the isolate should be performed using a standardized procedure, as well as diagnostic evaluation to rule out sequestered foci of infection.  Appropriate surgical intervention (e.g., debridement, removal of prosthetic devices, valve replacement surgery) and/or consideration of a change in antibiotic regimen may be required.</w:t>
      </w:r>
    </w:p>
    <w:p w14:paraId="6055A2D6"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p>
    <w:p w14:paraId="5054E26E" w14:textId="76D8790F"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 xml:space="preserve">Failure of treatment due to persisting or relapsing </w:t>
      </w:r>
      <w:r w:rsidRPr="00130A9D">
        <w:rPr>
          <w:rFonts w:eastAsia="Times New Roman" w:cs="Times New Roman"/>
          <w:i/>
          <w:szCs w:val="20"/>
        </w:rPr>
        <w:t>S. aureus</w:t>
      </w:r>
      <w:r w:rsidRPr="00130A9D">
        <w:rPr>
          <w:rFonts w:eastAsia="Times New Roman" w:cs="Times New Roman"/>
          <w:szCs w:val="20"/>
        </w:rPr>
        <w:t xml:space="preserve"> infections was assessed by the Adjudication Committee in 19/120 (15.8 %) </w:t>
      </w:r>
      <w:proofErr w:type="spellStart"/>
      <w:r w:rsidRPr="00130A9D">
        <w:rPr>
          <w:rFonts w:eastAsia="Times New Roman" w:cs="Times New Roman"/>
          <w:szCs w:val="20"/>
        </w:rPr>
        <w:t>daptomycin</w:t>
      </w:r>
      <w:proofErr w:type="spellEnd"/>
      <w:r w:rsidRPr="00130A9D">
        <w:rPr>
          <w:rFonts w:eastAsia="Times New Roman" w:cs="Times New Roman"/>
          <w:szCs w:val="20"/>
        </w:rPr>
        <w:t xml:space="preserve">-treated patients (12 with MRSA and 7 with MSSA) and 11/115 (9.6 %) comparator-treated patients (9 with MRSA treated with vancomycin and 2 with MSSA treated with anti-staphylococcal semi-synthetic penicillin).  Among all failures, 6 </w:t>
      </w:r>
      <w:proofErr w:type="spellStart"/>
      <w:r w:rsidRPr="00130A9D">
        <w:rPr>
          <w:rFonts w:eastAsia="Times New Roman" w:cs="Times New Roman"/>
          <w:szCs w:val="20"/>
        </w:rPr>
        <w:t>daptomycin</w:t>
      </w:r>
      <w:proofErr w:type="spellEnd"/>
      <w:r w:rsidRPr="00130A9D">
        <w:rPr>
          <w:rFonts w:eastAsia="Times New Roman" w:cs="Times New Roman"/>
          <w:szCs w:val="20"/>
        </w:rPr>
        <w:t xml:space="preserve"> -treated patients and 1 vancomycin-treated patient developed increasing MICs (reduced susceptibility) by central laboratory testing on or following therapy.  Most patients who failed due to persisting or relapsing </w:t>
      </w:r>
      <w:r w:rsidRPr="00130A9D">
        <w:rPr>
          <w:rFonts w:eastAsia="Times New Roman" w:cs="Times New Roman"/>
          <w:i/>
          <w:szCs w:val="20"/>
        </w:rPr>
        <w:t>S. aureus</w:t>
      </w:r>
      <w:r w:rsidRPr="00130A9D">
        <w:rPr>
          <w:rFonts w:eastAsia="Times New Roman" w:cs="Times New Roman"/>
          <w:szCs w:val="20"/>
        </w:rPr>
        <w:t xml:space="preserve"> infection had deep-seated infection and did not receive necessary surgical intervention (</w:t>
      </w:r>
      <w:r w:rsidRPr="0086621A">
        <w:rPr>
          <w:rFonts w:eastAsia="Times New Roman" w:cs="Times New Roman"/>
          <w:szCs w:val="20"/>
        </w:rPr>
        <w:t xml:space="preserve">see </w:t>
      </w:r>
      <w:r w:rsidR="0086621A">
        <w:rPr>
          <w:rFonts w:eastAsia="Times New Roman" w:cs="Times New Roman"/>
          <w:szCs w:val="20"/>
        </w:rPr>
        <w:t>section 5.1 PHARMACODYNAMIC PROPERTIES, Clinical trials</w:t>
      </w:r>
      <w:r w:rsidRPr="0086621A">
        <w:rPr>
          <w:rFonts w:eastAsia="Times New Roman" w:cs="Times New Roman"/>
          <w:szCs w:val="20"/>
        </w:rPr>
        <w:t>).</w:t>
      </w:r>
    </w:p>
    <w:p w14:paraId="2B155A05" w14:textId="00301B67" w:rsidR="003C18F8" w:rsidRPr="003C18F8" w:rsidRDefault="003C18F8" w:rsidP="006D2CC7"/>
    <w:p w14:paraId="35D511B9" w14:textId="3E7CD4ED" w:rsidR="001A3992" w:rsidRDefault="001A3992" w:rsidP="001A3992">
      <w:pPr>
        <w:pStyle w:val="Heading3"/>
        <w:spacing w:before="0" w:after="120"/>
      </w:pPr>
      <w:r w:rsidRPr="00B878CC">
        <w:t xml:space="preserve">Use in renal impairment </w:t>
      </w:r>
    </w:p>
    <w:p w14:paraId="2CF64953" w14:textId="1A6D411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 xml:space="preserve">Renal impairment has been reported during treatment with </w:t>
      </w:r>
      <w:r w:rsidR="00F23D48">
        <w:rPr>
          <w:rFonts w:eastAsia="Times New Roman" w:cs="Times New Roman"/>
          <w:szCs w:val="20"/>
        </w:rPr>
        <w:t>CUBICIN</w:t>
      </w:r>
      <w:r w:rsidRPr="00130A9D">
        <w:rPr>
          <w:rFonts w:eastAsia="Times New Roman" w:cs="Times New Roman"/>
          <w:szCs w:val="20"/>
        </w:rPr>
        <w:t xml:space="preserve">.  Severe renal impairment may in itself also pre-dispose to elevations in </w:t>
      </w:r>
      <w:proofErr w:type="spellStart"/>
      <w:r w:rsidRPr="00130A9D">
        <w:rPr>
          <w:rFonts w:eastAsia="Times New Roman" w:cs="Times New Roman"/>
          <w:szCs w:val="20"/>
        </w:rPr>
        <w:t>daptomycin</w:t>
      </w:r>
      <w:proofErr w:type="spellEnd"/>
      <w:r w:rsidRPr="00130A9D">
        <w:rPr>
          <w:rFonts w:eastAsia="Times New Roman" w:cs="Times New Roman"/>
          <w:szCs w:val="20"/>
        </w:rPr>
        <w:t xml:space="preserve"> levels which may increase the risk of the development of myopathy or neuropathy (see above).</w:t>
      </w:r>
    </w:p>
    <w:p w14:paraId="7F67CF5D" w14:textId="777777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p>
    <w:p w14:paraId="4C8B2E4D" w14:textId="33792577" w:rsidR="00130A9D" w:rsidRPr="00130A9D" w:rsidRDefault="00130A9D" w:rsidP="00130A9D">
      <w:pPr>
        <w:widowControl w:val="0"/>
        <w:tabs>
          <w:tab w:val="left" w:pos="0"/>
        </w:tabs>
        <w:autoSpaceDE w:val="0"/>
        <w:autoSpaceDN w:val="0"/>
        <w:adjustRightInd w:val="0"/>
        <w:spacing w:after="0" w:line="320" w:lineRule="atLeast"/>
        <w:jc w:val="both"/>
        <w:rPr>
          <w:rFonts w:eastAsia="Times New Roman" w:cs="Times New Roman"/>
          <w:szCs w:val="20"/>
        </w:rPr>
      </w:pPr>
      <w:r w:rsidRPr="00130A9D">
        <w:rPr>
          <w:rFonts w:eastAsia="Times New Roman" w:cs="Times New Roman"/>
          <w:szCs w:val="20"/>
        </w:rPr>
        <w:t xml:space="preserve">In </w:t>
      </w:r>
      <w:r w:rsidR="008230C4">
        <w:rPr>
          <w:rFonts w:eastAsia="Times New Roman" w:cs="Times New Roman"/>
          <w:szCs w:val="20"/>
        </w:rPr>
        <w:t xml:space="preserve">adult </w:t>
      </w:r>
      <w:r w:rsidRPr="00130A9D">
        <w:rPr>
          <w:rFonts w:eastAsia="Times New Roman" w:cs="Times New Roman"/>
          <w:szCs w:val="20"/>
        </w:rPr>
        <w:t>patients with renal impairment, both renal function and CPK should be monitored more frequently than once a week.</w:t>
      </w:r>
    </w:p>
    <w:p w14:paraId="00BF1B09" w14:textId="77777777" w:rsidR="00130A9D" w:rsidRPr="00130A9D" w:rsidRDefault="00130A9D" w:rsidP="00130A9D"/>
    <w:p w14:paraId="4A15AF1D" w14:textId="77777777" w:rsidR="001A3992" w:rsidRDefault="001A3992" w:rsidP="001A3992">
      <w:pPr>
        <w:pStyle w:val="Heading3"/>
        <w:spacing w:before="0" w:after="120"/>
      </w:pPr>
      <w:r w:rsidRPr="00B878CC">
        <w:t>Use in the elderly</w:t>
      </w:r>
    </w:p>
    <w:p w14:paraId="199A8FD4" w14:textId="77777777" w:rsidR="00130A9D" w:rsidRPr="00130A9D" w:rsidRDefault="00130A9D" w:rsidP="00807D79">
      <w:pPr>
        <w:jc w:val="both"/>
        <w:rPr>
          <w:rFonts w:eastAsia="Times New Roman" w:cs="Times New Roman"/>
          <w:szCs w:val="20"/>
        </w:rPr>
      </w:pPr>
      <w:r w:rsidRPr="00130A9D">
        <w:rPr>
          <w:rFonts w:eastAsia="Times New Roman" w:cs="Times New Roman"/>
          <w:szCs w:val="20"/>
        </w:rPr>
        <w:t xml:space="preserve">Of the 534 patients treated with </w:t>
      </w:r>
      <w:proofErr w:type="spellStart"/>
      <w:r w:rsidRPr="00130A9D">
        <w:rPr>
          <w:rFonts w:eastAsia="Times New Roman" w:cs="Times New Roman"/>
          <w:szCs w:val="20"/>
        </w:rPr>
        <w:t>daptomycin</w:t>
      </w:r>
      <w:proofErr w:type="spellEnd"/>
      <w:r w:rsidRPr="00130A9D">
        <w:rPr>
          <w:rFonts w:eastAsia="Times New Roman" w:cs="Times New Roman"/>
          <w:szCs w:val="20"/>
        </w:rPr>
        <w:t xml:space="preserve"> in Phase 3 controlled clinical trials of </w:t>
      </w:r>
      <w:proofErr w:type="spellStart"/>
      <w:r w:rsidRPr="00130A9D">
        <w:rPr>
          <w:rFonts w:eastAsia="Times New Roman" w:cs="Times New Roman"/>
          <w:szCs w:val="20"/>
        </w:rPr>
        <w:t>cSSSI</w:t>
      </w:r>
      <w:proofErr w:type="spellEnd"/>
      <w:r w:rsidRPr="00130A9D">
        <w:rPr>
          <w:rFonts w:eastAsia="Times New Roman" w:cs="Times New Roman"/>
          <w:szCs w:val="20"/>
        </w:rPr>
        <w:t xml:space="preserve">, 27.0 % were 65 years of age or older and 12.4 % were 75 years of age or older.  Of the 120 patients treated with </w:t>
      </w:r>
      <w:proofErr w:type="spellStart"/>
      <w:r w:rsidRPr="00130A9D">
        <w:rPr>
          <w:rFonts w:eastAsia="Times New Roman" w:cs="Times New Roman"/>
          <w:szCs w:val="20"/>
        </w:rPr>
        <w:t>daptomycin</w:t>
      </w:r>
      <w:proofErr w:type="spellEnd"/>
      <w:r w:rsidRPr="00130A9D">
        <w:rPr>
          <w:rFonts w:eastAsia="Times New Roman" w:cs="Times New Roman"/>
          <w:szCs w:val="20"/>
        </w:rPr>
        <w:t xml:space="preserve"> in the Phase 3 controlled clinical trial of </w:t>
      </w:r>
      <w:r w:rsidRPr="00130A9D">
        <w:rPr>
          <w:rFonts w:eastAsia="Times New Roman" w:cs="Times New Roman"/>
          <w:i/>
          <w:szCs w:val="20"/>
        </w:rPr>
        <w:t>S. aureus</w:t>
      </w:r>
      <w:r w:rsidRPr="00130A9D">
        <w:rPr>
          <w:rFonts w:eastAsia="Times New Roman" w:cs="Times New Roman"/>
          <w:szCs w:val="20"/>
        </w:rPr>
        <w:t xml:space="preserve"> bacteraemia/endocarditis, 25.0 % were 65 years of age or older and 15.8 % were 75 years of age or older.  In Phase 3 clinical studies of </w:t>
      </w:r>
      <w:proofErr w:type="spellStart"/>
      <w:r w:rsidRPr="00130A9D">
        <w:rPr>
          <w:rFonts w:eastAsia="Times New Roman" w:cs="Times New Roman"/>
          <w:szCs w:val="20"/>
        </w:rPr>
        <w:t>cSSSI</w:t>
      </w:r>
      <w:proofErr w:type="spellEnd"/>
      <w:r w:rsidRPr="00130A9D">
        <w:rPr>
          <w:rFonts w:eastAsia="Times New Roman" w:cs="Times New Roman"/>
          <w:szCs w:val="20"/>
        </w:rPr>
        <w:t xml:space="preserve"> and </w:t>
      </w:r>
      <w:r w:rsidRPr="00130A9D">
        <w:rPr>
          <w:rFonts w:eastAsia="Times New Roman" w:cs="Times New Roman"/>
          <w:i/>
          <w:szCs w:val="20"/>
        </w:rPr>
        <w:t>S. aureus</w:t>
      </w:r>
      <w:r w:rsidRPr="00130A9D">
        <w:rPr>
          <w:rFonts w:eastAsia="Times New Roman" w:cs="Times New Roman"/>
          <w:szCs w:val="20"/>
        </w:rPr>
        <w:t xml:space="preserve"> bacteraemia/endocarditis, lower clinical success rates were seen in patients ≥ 65 years of age compared with those &lt; 65 years </w:t>
      </w:r>
      <w:r w:rsidRPr="00130A9D">
        <w:rPr>
          <w:rFonts w:eastAsia="Times New Roman" w:cs="Times New Roman"/>
          <w:szCs w:val="20"/>
        </w:rPr>
        <w:lastRenderedPageBreak/>
        <w:t>of age.  In addition, treatment-emergent adverse events were more common in patients ≥ 65 years old than in patients &lt; 65 years of age.</w:t>
      </w:r>
    </w:p>
    <w:p w14:paraId="598C6F50" w14:textId="77777777" w:rsidR="00130A9D" w:rsidRPr="00130A9D" w:rsidRDefault="00130A9D" w:rsidP="00807D79">
      <w:pPr>
        <w:widowControl w:val="0"/>
        <w:tabs>
          <w:tab w:val="left" w:pos="0"/>
        </w:tabs>
        <w:autoSpaceDE w:val="0"/>
        <w:autoSpaceDN w:val="0"/>
        <w:adjustRightInd w:val="0"/>
        <w:spacing w:before="120" w:after="0" w:line="320" w:lineRule="atLeast"/>
        <w:jc w:val="both"/>
        <w:rPr>
          <w:rFonts w:eastAsia="Times New Roman" w:cs="Times New Roman"/>
          <w:szCs w:val="20"/>
          <w:lang w:val="nb-NO"/>
        </w:rPr>
      </w:pPr>
    </w:p>
    <w:p w14:paraId="3CEBBB42" w14:textId="77777777" w:rsidR="001A3992" w:rsidRDefault="001A3992" w:rsidP="00807D79">
      <w:pPr>
        <w:pStyle w:val="Heading3"/>
        <w:spacing w:before="0" w:after="120"/>
        <w:jc w:val="both"/>
      </w:pPr>
      <w:r w:rsidRPr="00B878CC">
        <w:t>Paediatric use</w:t>
      </w:r>
    </w:p>
    <w:p w14:paraId="063F520C" w14:textId="7A1881F1" w:rsidR="0008730A" w:rsidRDefault="0008730A" w:rsidP="00807D79">
      <w:pPr>
        <w:jc w:val="both"/>
        <w:rPr>
          <w:rFonts w:eastAsia="Times New Roman" w:cs="Times New Roman"/>
          <w:szCs w:val="20"/>
          <w:lang w:val="en-GB"/>
        </w:rPr>
      </w:pPr>
      <w:r>
        <w:rPr>
          <w:rFonts w:eastAsia="Times New Roman" w:cs="Times New Roman"/>
          <w:szCs w:val="20"/>
          <w:lang w:val="en-GB"/>
        </w:rPr>
        <w:t>CUBICIN should not be administered to paediatric patients below the age of one year due to the risk of potential effects on muscular, neuromuscular, and/or nervous systems (either peripheral and/or central) that were observed in neonatal dogs.</w:t>
      </w:r>
    </w:p>
    <w:p w14:paraId="45CB153F" w14:textId="7A68F0E2" w:rsidR="0008730A" w:rsidRPr="0008730A" w:rsidRDefault="0008730A" w:rsidP="00807D79">
      <w:pPr>
        <w:jc w:val="both"/>
        <w:rPr>
          <w:rFonts w:eastAsia="Times New Roman" w:cs="Times New Roman"/>
          <w:szCs w:val="20"/>
          <w:lang w:val="en-GB"/>
        </w:rPr>
      </w:pPr>
      <w:r w:rsidRPr="0008730A">
        <w:rPr>
          <w:rFonts w:eastAsia="Times New Roman" w:cs="Times New Roman"/>
          <w:szCs w:val="20"/>
          <w:lang w:val="en-GB"/>
        </w:rPr>
        <w:t xml:space="preserve">Use in </w:t>
      </w:r>
      <w:r>
        <w:rPr>
          <w:rFonts w:eastAsia="Times New Roman" w:cs="Times New Roman"/>
          <w:szCs w:val="20"/>
          <w:lang w:val="en-GB"/>
        </w:rPr>
        <w:t>paediatric patients with renal impairment had not been studied and no dosage recommendation</w:t>
      </w:r>
      <w:r w:rsidR="00092C67">
        <w:rPr>
          <w:rFonts w:eastAsia="Times New Roman" w:cs="Times New Roman"/>
          <w:szCs w:val="20"/>
          <w:lang w:val="en-GB"/>
        </w:rPr>
        <w:t>s</w:t>
      </w:r>
      <w:r>
        <w:rPr>
          <w:rFonts w:eastAsia="Times New Roman" w:cs="Times New Roman"/>
          <w:szCs w:val="20"/>
          <w:lang w:val="en-GB"/>
        </w:rPr>
        <w:t xml:space="preserve"> have been formulated</w:t>
      </w:r>
      <w:r w:rsidR="00092C67">
        <w:rPr>
          <w:rFonts w:eastAsia="Times New Roman" w:cs="Times New Roman"/>
          <w:szCs w:val="20"/>
          <w:lang w:val="en-GB"/>
        </w:rPr>
        <w:t>.</w:t>
      </w:r>
      <w:r>
        <w:rPr>
          <w:rFonts w:eastAsia="Times New Roman" w:cs="Times New Roman"/>
          <w:szCs w:val="20"/>
          <w:lang w:val="en-GB"/>
        </w:rPr>
        <w:t xml:space="preserve"> </w:t>
      </w:r>
    </w:p>
    <w:p w14:paraId="700C1FEB" w14:textId="3655F89C" w:rsidR="003C18F8" w:rsidRDefault="00092C67" w:rsidP="00807D79">
      <w:pPr>
        <w:jc w:val="both"/>
      </w:pPr>
      <w:r>
        <w:t>Use in treatment of pneumonia is contraindicated.</w:t>
      </w:r>
    </w:p>
    <w:p w14:paraId="6044469E" w14:textId="7324FFFD" w:rsidR="00092C67" w:rsidRDefault="00092C67" w:rsidP="00807D79">
      <w:pPr>
        <w:jc w:val="both"/>
      </w:pPr>
      <w:r>
        <w:t>Use in the</w:t>
      </w:r>
      <w:r w:rsidR="002823AA">
        <w:t xml:space="preserve"> following conditions has not been studied: infective endocarditis (</w:t>
      </w:r>
      <w:r w:rsidR="00A679F5" w:rsidRPr="002023E6">
        <w:t>s</w:t>
      </w:r>
      <w:r w:rsidR="002823AA" w:rsidRPr="002023E6">
        <w:t xml:space="preserve">ee </w:t>
      </w:r>
      <w:r w:rsidR="00A679F5" w:rsidRPr="002023E6">
        <w:t>Section 5.</w:t>
      </w:r>
      <w:r w:rsidR="00CD776E" w:rsidRPr="002023E6">
        <w:t>1</w:t>
      </w:r>
      <w:r w:rsidR="00A679F5" w:rsidRPr="002023E6">
        <w:t xml:space="preserve"> PHARMACODYNAMIC PROPERTIES</w:t>
      </w:r>
      <w:r w:rsidR="00CD776E" w:rsidRPr="002023E6">
        <w:t>,</w:t>
      </w:r>
      <w:r w:rsidR="00A679F5" w:rsidRPr="002023E6">
        <w:t xml:space="preserve"> </w:t>
      </w:r>
      <w:r w:rsidR="002823AA" w:rsidRPr="002023E6">
        <w:t>C</w:t>
      </w:r>
      <w:r w:rsidR="00A679F5" w:rsidRPr="002023E6">
        <w:t>linical trials</w:t>
      </w:r>
      <w:r w:rsidR="002023E6" w:rsidRPr="002023E6">
        <w:t>)</w:t>
      </w:r>
      <w:r w:rsidR="002823AA" w:rsidRPr="002023E6">
        <w:t>.</w:t>
      </w:r>
      <w:r w:rsidRPr="002023E6">
        <w:t xml:space="preserve"> </w:t>
      </w:r>
    </w:p>
    <w:p w14:paraId="3A7BB702" w14:textId="77777777" w:rsidR="001A3992" w:rsidRDefault="001A3992" w:rsidP="00807D79">
      <w:pPr>
        <w:pStyle w:val="Heading3"/>
        <w:spacing w:before="0" w:after="120"/>
        <w:jc w:val="both"/>
      </w:pPr>
      <w:r w:rsidRPr="00B878CC">
        <w:t>Effects on</w:t>
      </w:r>
      <w:r w:rsidRPr="00CC0D90">
        <w:t xml:space="preserve"> laboratory tests</w:t>
      </w:r>
    </w:p>
    <w:p w14:paraId="4C95F80B" w14:textId="77777777" w:rsidR="003C18F8" w:rsidRPr="003C18F8" w:rsidRDefault="003C18F8" w:rsidP="00807D79">
      <w:pPr>
        <w:jc w:val="both"/>
        <w:rPr>
          <w:rFonts w:eastAsia="Times New Roman" w:cs="Times New Roman"/>
          <w:szCs w:val="20"/>
        </w:rPr>
      </w:pPr>
      <w:r w:rsidRPr="003C18F8">
        <w:rPr>
          <w:rFonts w:eastAsia="Times New Roman" w:cs="Times New Roman"/>
          <w:szCs w:val="20"/>
        </w:rPr>
        <w:t xml:space="preserve">Clinically relevant plasma concentrations of </w:t>
      </w:r>
      <w:proofErr w:type="spellStart"/>
      <w:r w:rsidRPr="003C18F8">
        <w:rPr>
          <w:rFonts w:eastAsia="Times New Roman" w:cs="Times New Roman"/>
          <w:szCs w:val="20"/>
        </w:rPr>
        <w:t>daptomycin</w:t>
      </w:r>
      <w:proofErr w:type="spellEnd"/>
      <w:r w:rsidRPr="003C18F8">
        <w:rPr>
          <w:rFonts w:eastAsia="Times New Roman" w:cs="Times New Roman"/>
          <w:szCs w:val="20"/>
        </w:rPr>
        <w:t xml:space="preserve"> have been observed to cause a significant concentration-dependant false prolongation of prothrombin time (PT) and elevation of the International Normalised Ratio (INR) when certain recombinant thromboplastin reagents are used in the assay. The possibility of an erroneously elevated PT/INR result may be minimized by drawing samples for PT or INR testing near the time of trough plasma concentrations of </w:t>
      </w:r>
      <w:proofErr w:type="spellStart"/>
      <w:r w:rsidRPr="003C18F8">
        <w:rPr>
          <w:rFonts w:eastAsia="Times New Roman" w:cs="Times New Roman"/>
          <w:szCs w:val="20"/>
        </w:rPr>
        <w:t>daptomycin</w:t>
      </w:r>
      <w:proofErr w:type="spellEnd"/>
      <w:r w:rsidRPr="003C18F8">
        <w:rPr>
          <w:rFonts w:eastAsia="Times New Roman" w:cs="Times New Roman"/>
          <w:szCs w:val="20"/>
        </w:rPr>
        <w:t xml:space="preserve">. However, sufficient </w:t>
      </w:r>
      <w:proofErr w:type="spellStart"/>
      <w:r w:rsidRPr="003C18F8">
        <w:rPr>
          <w:rFonts w:eastAsia="Times New Roman" w:cs="Times New Roman"/>
          <w:szCs w:val="20"/>
        </w:rPr>
        <w:t>daptomycin</w:t>
      </w:r>
      <w:proofErr w:type="spellEnd"/>
      <w:r w:rsidRPr="003C18F8">
        <w:rPr>
          <w:rFonts w:eastAsia="Times New Roman" w:cs="Times New Roman"/>
          <w:szCs w:val="20"/>
        </w:rPr>
        <w:t xml:space="preserve"> concentrations may be present at trough to cause interaction.</w:t>
      </w:r>
    </w:p>
    <w:p w14:paraId="76D82D49" w14:textId="6C66D38A" w:rsidR="003C18F8" w:rsidRPr="003C18F8" w:rsidRDefault="003C18F8" w:rsidP="00807D79">
      <w:pPr>
        <w:widowControl w:val="0"/>
        <w:tabs>
          <w:tab w:val="left" w:pos="0"/>
        </w:tabs>
        <w:autoSpaceDE w:val="0"/>
        <w:autoSpaceDN w:val="0"/>
        <w:adjustRightInd w:val="0"/>
        <w:spacing w:after="0" w:line="320" w:lineRule="atLeast"/>
        <w:jc w:val="both"/>
        <w:rPr>
          <w:rFonts w:eastAsia="Times New Roman" w:cs="Times New Roman"/>
          <w:szCs w:val="20"/>
        </w:rPr>
      </w:pPr>
      <w:r w:rsidRPr="003C18F8">
        <w:rPr>
          <w:rFonts w:eastAsia="Times New Roman" w:cs="Times New Roman"/>
          <w:szCs w:val="20"/>
        </w:rPr>
        <w:t xml:space="preserve">If confronted with an abnormally high PT/INR result in a patient being treated with </w:t>
      </w:r>
      <w:r w:rsidR="00F23D48">
        <w:rPr>
          <w:rFonts w:eastAsia="Times New Roman" w:cs="Times New Roman"/>
          <w:szCs w:val="20"/>
        </w:rPr>
        <w:t>CUBICIN</w:t>
      </w:r>
      <w:r w:rsidRPr="003C18F8">
        <w:rPr>
          <w:rFonts w:eastAsia="Times New Roman" w:cs="Times New Roman"/>
          <w:szCs w:val="20"/>
        </w:rPr>
        <w:t>, it is recommended that clinicians:</w:t>
      </w:r>
    </w:p>
    <w:p w14:paraId="5E4E3078" w14:textId="77777777" w:rsidR="003C18F8" w:rsidRPr="003C18F8" w:rsidRDefault="003C18F8" w:rsidP="00807D79">
      <w:pPr>
        <w:widowControl w:val="0"/>
        <w:tabs>
          <w:tab w:val="left" w:pos="0"/>
        </w:tabs>
        <w:autoSpaceDE w:val="0"/>
        <w:autoSpaceDN w:val="0"/>
        <w:adjustRightInd w:val="0"/>
        <w:spacing w:after="0" w:line="320" w:lineRule="atLeast"/>
        <w:jc w:val="both"/>
        <w:rPr>
          <w:rFonts w:eastAsia="Times New Roman" w:cs="Times New Roman"/>
          <w:szCs w:val="20"/>
        </w:rPr>
      </w:pPr>
    </w:p>
    <w:p w14:paraId="78A65B75" w14:textId="3FCE3A36" w:rsidR="003C18F8" w:rsidRPr="003C18F8" w:rsidRDefault="003C18F8" w:rsidP="003C18F8">
      <w:pPr>
        <w:widowControl w:val="0"/>
        <w:numPr>
          <w:ilvl w:val="0"/>
          <w:numId w:val="14"/>
        </w:numPr>
        <w:tabs>
          <w:tab w:val="left" w:pos="0"/>
        </w:tabs>
        <w:autoSpaceDE w:val="0"/>
        <w:autoSpaceDN w:val="0"/>
        <w:adjustRightInd w:val="0"/>
        <w:spacing w:after="0" w:line="320" w:lineRule="atLeast"/>
        <w:contextualSpacing/>
        <w:jc w:val="both"/>
        <w:rPr>
          <w:rFonts w:eastAsia="Times New Roman" w:cs="Times New Roman"/>
          <w:szCs w:val="20"/>
        </w:rPr>
      </w:pPr>
      <w:r w:rsidRPr="003C18F8">
        <w:rPr>
          <w:rFonts w:eastAsia="Times New Roman" w:cs="Times New Roman"/>
          <w:szCs w:val="20"/>
        </w:rPr>
        <w:t xml:space="preserve">Repeat the assessment of PT/INR, requesting that the specimen be drawn just prior to the next </w:t>
      </w:r>
      <w:r w:rsidR="00F23D48">
        <w:rPr>
          <w:rFonts w:eastAsia="Times New Roman" w:cs="Times New Roman"/>
          <w:szCs w:val="20"/>
        </w:rPr>
        <w:t>CUBICIN</w:t>
      </w:r>
      <w:r w:rsidRPr="003C18F8">
        <w:rPr>
          <w:rFonts w:eastAsia="Times New Roman" w:cs="Times New Roman"/>
          <w:szCs w:val="20"/>
        </w:rPr>
        <w:t xml:space="preserve"> dose (i.e., at trough concentration).  If the PT/INR value drawn at trough remains substantially elevated over what would otherwise be expected, consider evaluating PT/INR utilizing an alternative method.</w:t>
      </w:r>
    </w:p>
    <w:p w14:paraId="210F9EFA" w14:textId="77777777" w:rsidR="003C18F8" w:rsidRPr="003C18F8" w:rsidRDefault="003C18F8" w:rsidP="003C18F8">
      <w:pPr>
        <w:widowControl w:val="0"/>
        <w:tabs>
          <w:tab w:val="left" w:pos="0"/>
        </w:tabs>
        <w:autoSpaceDE w:val="0"/>
        <w:autoSpaceDN w:val="0"/>
        <w:adjustRightInd w:val="0"/>
        <w:spacing w:after="0" w:line="320" w:lineRule="atLeast"/>
        <w:jc w:val="both"/>
        <w:rPr>
          <w:rFonts w:eastAsia="Times New Roman" w:cs="Times New Roman"/>
          <w:szCs w:val="20"/>
        </w:rPr>
      </w:pPr>
    </w:p>
    <w:p w14:paraId="3BA94935" w14:textId="2323592E" w:rsidR="003C18F8" w:rsidRPr="003C18F8" w:rsidRDefault="003C18F8" w:rsidP="00A32C17">
      <w:pPr>
        <w:pStyle w:val="ListParagraph"/>
        <w:numPr>
          <w:ilvl w:val="0"/>
          <w:numId w:val="14"/>
        </w:numPr>
      </w:pPr>
      <w:r w:rsidRPr="00A32C17">
        <w:rPr>
          <w:rFonts w:ascii="Times New Roman" w:eastAsia="Times New Roman" w:hAnsi="Times New Roman" w:cs="Times New Roman"/>
          <w:szCs w:val="20"/>
        </w:rPr>
        <w:t>Evaluate for other causes of abnormally elevated PT/INR results.</w:t>
      </w:r>
    </w:p>
    <w:p w14:paraId="37288E03" w14:textId="77777777" w:rsidR="001A3992" w:rsidRDefault="001A3992" w:rsidP="001A3992">
      <w:pPr>
        <w:pStyle w:val="Heading2"/>
        <w:keepNext/>
        <w:keepLines/>
        <w:spacing w:before="0" w:after="120"/>
      </w:pPr>
      <w:r>
        <w:t>Interactions with other medicines and other forms of interactions</w:t>
      </w:r>
    </w:p>
    <w:p w14:paraId="6CF9AD7E" w14:textId="659C04CE" w:rsidR="003C18F8" w:rsidRDefault="00072BC4" w:rsidP="00C94FA2">
      <w:pPr>
        <w:spacing w:after="0" w:line="320" w:lineRule="atLeast"/>
        <w:jc w:val="both"/>
        <w:rPr>
          <w:rFonts w:cs="Times New Roman"/>
          <w:szCs w:val="24"/>
        </w:rPr>
      </w:pPr>
      <w:proofErr w:type="spellStart"/>
      <w:r w:rsidRPr="003906C4">
        <w:rPr>
          <w:rFonts w:cs="Times New Roman"/>
          <w:szCs w:val="24"/>
        </w:rPr>
        <w:t>Daptomycin</w:t>
      </w:r>
      <w:proofErr w:type="spellEnd"/>
      <w:r w:rsidRPr="003906C4">
        <w:rPr>
          <w:rFonts w:cs="Times New Roman"/>
          <w:szCs w:val="24"/>
        </w:rPr>
        <w:t xml:space="preserve"> undergoes little or no Cytochrome P450 (CYP450) mediated metabolism. It is unlikely that </w:t>
      </w:r>
      <w:proofErr w:type="spellStart"/>
      <w:r w:rsidRPr="003906C4">
        <w:rPr>
          <w:rFonts w:cs="Times New Roman"/>
          <w:szCs w:val="24"/>
        </w:rPr>
        <w:t>daptomycin</w:t>
      </w:r>
      <w:proofErr w:type="spellEnd"/>
      <w:r w:rsidRPr="003906C4">
        <w:rPr>
          <w:rFonts w:cs="Times New Roman"/>
          <w:szCs w:val="24"/>
        </w:rPr>
        <w:t xml:space="preserve"> will inhibit or induce the metabolism of drugs metaboli</w:t>
      </w:r>
      <w:r w:rsidR="007F69AA">
        <w:rPr>
          <w:rFonts w:cs="Times New Roman"/>
          <w:szCs w:val="24"/>
        </w:rPr>
        <w:t>s</w:t>
      </w:r>
      <w:r w:rsidRPr="003906C4">
        <w:rPr>
          <w:rFonts w:cs="Times New Roman"/>
          <w:szCs w:val="24"/>
        </w:rPr>
        <w:t>ed by the CYP450 system.</w:t>
      </w:r>
    </w:p>
    <w:p w14:paraId="3F12DCC2" w14:textId="77777777" w:rsidR="007F69AA" w:rsidRDefault="007F69AA" w:rsidP="00C94FA2">
      <w:pPr>
        <w:spacing w:after="0" w:line="320" w:lineRule="atLeast"/>
        <w:jc w:val="both"/>
        <w:rPr>
          <w:rFonts w:cs="Times New Roman"/>
          <w:szCs w:val="24"/>
        </w:rPr>
      </w:pPr>
    </w:p>
    <w:p w14:paraId="509BD156" w14:textId="067D3198" w:rsidR="007F69AA" w:rsidRPr="003906C4" w:rsidRDefault="00F23D48" w:rsidP="00C94FA2">
      <w:pPr>
        <w:spacing w:after="0" w:line="320" w:lineRule="atLeast"/>
        <w:jc w:val="both"/>
        <w:rPr>
          <w:rFonts w:cs="Times New Roman"/>
          <w:szCs w:val="24"/>
        </w:rPr>
      </w:pPr>
      <w:r>
        <w:rPr>
          <w:rFonts w:cs="Times New Roman"/>
          <w:szCs w:val="24"/>
        </w:rPr>
        <w:t>CUBICIN</w:t>
      </w:r>
      <w:r w:rsidR="007F69AA">
        <w:rPr>
          <w:rFonts w:cs="Times New Roman"/>
          <w:szCs w:val="24"/>
        </w:rPr>
        <w:t xml:space="preserve"> was studie</w:t>
      </w:r>
      <w:r w:rsidR="00BF67B2">
        <w:rPr>
          <w:rFonts w:cs="Times New Roman"/>
          <w:szCs w:val="24"/>
        </w:rPr>
        <w:t>d</w:t>
      </w:r>
      <w:r w:rsidR="007F69AA">
        <w:rPr>
          <w:rFonts w:cs="Times New Roman"/>
          <w:szCs w:val="24"/>
        </w:rPr>
        <w:t xml:space="preserve"> in adult human drug-drug interaction studies with </w:t>
      </w:r>
      <w:proofErr w:type="spellStart"/>
      <w:r w:rsidR="007F69AA">
        <w:rPr>
          <w:rFonts w:cs="Times New Roman"/>
          <w:szCs w:val="24"/>
        </w:rPr>
        <w:t>aztreonam</w:t>
      </w:r>
      <w:proofErr w:type="spellEnd"/>
      <w:r w:rsidR="007F69AA">
        <w:rPr>
          <w:rFonts w:cs="Times New Roman"/>
          <w:szCs w:val="24"/>
        </w:rPr>
        <w:t xml:space="preserve">, tobramycin, warfarin, simvastatin, and probenecid. </w:t>
      </w:r>
    </w:p>
    <w:p w14:paraId="2917EAAE" w14:textId="77777777" w:rsidR="00072BC4" w:rsidRPr="00072BC4" w:rsidRDefault="00072BC4" w:rsidP="00072BC4">
      <w:pPr>
        <w:spacing w:after="0" w:line="320" w:lineRule="atLeast"/>
        <w:rPr>
          <w:rFonts w:cs="Times New Roman"/>
        </w:rPr>
      </w:pPr>
    </w:p>
    <w:p w14:paraId="7EAF4235" w14:textId="77777777" w:rsidR="00072BC4" w:rsidRPr="005A3B49" w:rsidRDefault="00072BC4" w:rsidP="00072BC4">
      <w:pPr>
        <w:keepNext/>
        <w:keepLines/>
        <w:widowControl w:val="0"/>
        <w:tabs>
          <w:tab w:val="left" w:pos="0"/>
        </w:tabs>
        <w:autoSpaceDE w:val="0"/>
        <w:autoSpaceDN w:val="0"/>
        <w:adjustRightInd w:val="0"/>
        <w:spacing w:after="0" w:line="240" w:lineRule="auto"/>
        <w:jc w:val="both"/>
        <w:outlineLvl w:val="2"/>
        <w:rPr>
          <w:rFonts w:eastAsia="Times New Roman" w:cs="Times New Roman"/>
          <w:bCs/>
          <w:color w:val="000000"/>
          <w:szCs w:val="24"/>
          <w:u w:val="single"/>
        </w:rPr>
      </w:pPr>
      <w:r w:rsidRPr="005A3B49">
        <w:rPr>
          <w:rFonts w:eastAsia="Times New Roman" w:cs="Times New Roman"/>
          <w:bCs/>
          <w:color w:val="000000"/>
          <w:szCs w:val="24"/>
          <w:u w:val="single"/>
        </w:rPr>
        <w:t>Warfarin</w:t>
      </w:r>
    </w:p>
    <w:p w14:paraId="248BDC3F" w14:textId="46D0F5E5"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r w:rsidRPr="00072BC4">
        <w:rPr>
          <w:rFonts w:eastAsia="Times New Roman" w:cs="Times New Roman"/>
          <w:szCs w:val="20"/>
        </w:rPr>
        <w:t xml:space="preserve">Concomitant administration of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(6 mg/kg q24h for 5 days) and warfarin (25 mg single oral dose) had no significant effect on the pharmacokinetics of either drug, and the INR was not significantly altered.  As experience with the concomitant administration of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and warfarin is limited, anticoagulant activity in patients receiving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and warfarin should be monitored for the first several days after initiating therapy with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w:t>
      </w:r>
      <w:r w:rsidR="00273FAF">
        <w:rPr>
          <w:rFonts w:eastAsia="Times New Roman" w:cs="Times New Roman"/>
          <w:szCs w:val="20"/>
        </w:rPr>
        <w:t>see</w:t>
      </w:r>
      <w:r w:rsidR="00D81939">
        <w:rPr>
          <w:rFonts w:eastAsia="Times New Roman" w:cs="Times New Roman"/>
          <w:szCs w:val="20"/>
        </w:rPr>
        <w:t xml:space="preserve"> </w:t>
      </w:r>
      <w:r w:rsidR="00A679F5">
        <w:rPr>
          <w:rFonts w:eastAsia="Times New Roman" w:cs="Times New Roman"/>
          <w:szCs w:val="20"/>
        </w:rPr>
        <w:t>Section 4.4 SPECIAL WARNINGS AND PRECAUTIONS FOR USE</w:t>
      </w:r>
      <w:r w:rsidR="00CD776E">
        <w:rPr>
          <w:rFonts w:eastAsia="Times New Roman" w:cs="Times New Roman"/>
          <w:szCs w:val="20"/>
        </w:rPr>
        <w:t>,</w:t>
      </w:r>
      <w:r w:rsidR="00A679F5">
        <w:rPr>
          <w:rFonts w:eastAsia="Times New Roman" w:cs="Times New Roman"/>
          <w:szCs w:val="20"/>
        </w:rPr>
        <w:t xml:space="preserve"> Effects on laboratory tests</w:t>
      </w:r>
      <w:r w:rsidRPr="00072BC4">
        <w:rPr>
          <w:rFonts w:eastAsia="Times New Roman" w:cs="Times New Roman"/>
          <w:szCs w:val="20"/>
        </w:rPr>
        <w:t>).</w:t>
      </w:r>
    </w:p>
    <w:p w14:paraId="248D336E" w14:textId="77777777"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p>
    <w:p w14:paraId="57FAD4EE" w14:textId="77777777" w:rsidR="00072BC4" w:rsidRPr="005A3B49" w:rsidRDefault="00072BC4" w:rsidP="00072BC4">
      <w:pPr>
        <w:keepNext/>
        <w:keepLines/>
        <w:widowControl w:val="0"/>
        <w:tabs>
          <w:tab w:val="left" w:pos="0"/>
        </w:tabs>
        <w:autoSpaceDE w:val="0"/>
        <w:autoSpaceDN w:val="0"/>
        <w:adjustRightInd w:val="0"/>
        <w:spacing w:after="0" w:line="240" w:lineRule="auto"/>
        <w:jc w:val="both"/>
        <w:outlineLvl w:val="2"/>
        <w:rPr>
          <w:rFonts w:eastAsia="Times New Roman" w:cs="Times New Roman"/>
          <w:bCs/>
          <w:color w:val="000000"/>
          <w:szCs w:val="24"/>
          <w:u w:val="single"/>
        </w:rPr>
      </w:pPr>
      <w:r w:rsidRPr="005A3B49">
        <w:rPr>
          <w:rFonts w:eastAsia="Times New Roman" w:cs="Times New Roman"/>
          <w:bCs/>
          <w:color w:val="000000"/>
          <w:szCs w:val="24"/>
          <w:u w:val="single"/>
        </w:rPr>
        <w:t>Other Anticoagulants</w:t>
      </w:r>
    </w:p>
    <w:p w14:paraId="4CC7A3B9" w14:textId="2D712ED9"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r w:rsidRPr="00072BC4">
        <w:rPr>
          <w:rFonts w:eastAsia="Times New Roman" w:cs="Times New Roman"/>
          <w:szCs w:val="20"/>
        </w:rPr>
        <w:t xml:space="preserve">Studies of </w:t>
      </w:r>
      <w:r w:rsidR="00F23D48">
        <w:rPr>
          <w:rFonts w:eastAsia="Times New Roman" w:cs="Times New Roman"/>
          <w:szCs w:val="20"/>
        </w:rPr>
        <w:t>CUBICIN</w:t>
      </w:r>
      <w:r w:rsidRPr="00072BC4">
        <w:rPr>
          <w:rFonts w:eastAsia="Times New Roman" w:cs="Times New Roman"/>
          <w:szCs w:val="20"/>
        </w:rPr>
        <w:t xml:space="preserve"> with anticoagulants, other than warfarin, have not been conducted.</w:t>
      </w:r>
    </w:p>
    <w:p w14:paraId="21E0D450" w14:textId="77777777"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p>
    <w:p w14:paraId="493DCE50" w14:textId="77777777" w:rsidR="00072BC4" w:rsidRPr="005A3B49" w:rsidRDefault="00072BC4" w:rsidP="00072BC4">
      <w:pPr>
        <w:keepNext/>
        <w:keepLines/>
        <w:widowControl w:val="0"/>
        <w:tabs>
          <w:tab w:val="left" w:pos="0"/>
        </w:tabs>
        <w:autoSpaceDE w:val="0"/>
        <w:autoSpaceDN w:val="0"/>
        <w:adjustRightInd w:val="0"/>
        <w:spacing w:after="0" w:line="240" w:lineRule="auto"/>
        <w:jc w:val="both"/>
        <w:outlineLvl w:val="2"/>
        <w:rPr>
          <w:rFonts w:eastAsia="Times New Roman" w:cs="Times New Roman"/>
          <w:bCs/>
          <w:color w:val="000000"/>
          <w:szCs w:val="24"/>
          <w:u w:val="single"/>
        </w:rPr>
      </w:pPr>
      <w:r w:rsidRPr="005A3B49">
        <w:rPr>
          <w:rFonts w:eastAsia="Times New Roman" w:cs="Times New Roman"/>
          <w:bCs/>
          <w:color w:val="000000"/>
          <w:szCs w:val="24"/>
          <w:u w:val="single"/>
        </w:rPr>
        <w:t>HMG-CoA reductase inhibitors</w:t>
      </w:r>
    </w:p>
    <w:p w14:paraId="6320B751" w14:textId="471E0D9F"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r w:rsidRPr="00072BC4">
        <w:rPr>
          <w:rFonts w:eastAsia="Times New Roman" w:cs="Times New Roman"/>
          <w:szCs w:val="20"/>
        </w:rPr>
        <w:t xml:space="preserve">Inhibitors of HMG-CoA reductase may cause myopathy, which is manifested as muscle pain or weakness associated with elevated levels of CPK.  There were no reports of skeletal myopathy in a placebo-controlled Phase 1 trial in which 10 healthy subjects on stable simvastatin therapy were treated concurrently with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(4 mg/kg q24h) for 14 days.  In the Phase 3 </w:t>
      </w:r>
      <w:r w:rsidRPr="00072BC4">
        <w:rPr>
          <w:rFonts w:eastAsia="Times New Roman" w:cs="Times New Roman"/>
          <w:i/>
          <w:szCs w:val="20"/>
        </w:rPr>
        <w:t>S. aureus</w:t>
      </w:r>
      <w:r w:rsidRPr="00072BC4">
        <w:rPr>
          <w:rFonts w:eastAsia="Times New Roman" w:cs="Times New Roman"/>
          <w:szCs w:val="20"/>
        </w:rPr>
        <w:t xml:space="preserve"> bacteraemia/endocarditis trial, 5/22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-treated patients who received prior or concomitant therapy with an HMG-CoA reductase inhibitor developed CPK elevations &gt; 500 U/L.  Experience with co-administration of HMG-CoA reductase inhibitors and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in patients is limited; therefore, consideration should be given to temporarily suspending use of HMG-CoA reductase inhibitors in patients receiving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(see </w:t>
      </w:r>
      <w:r w:rsidR="001C4B71">
        <w:rPr>
          <w:rFonts w:eastAsia="Times New Roman" w:cs="Times New Roman"/>
          <w:szCs w:val="20"/>
        </w:rPr>
        <w:t xml:space="preserve">section 4.8 </w:t>
      </w:r>
      <w:r w:rsidRPr="00072BC4">
        <w:rPr>
          <w:rFonts w:eastAsia="Times New Roman" w:cs="Times New Roman"/>
          <w:szCs w:val="20"/>
        </w:rPr>
        <w:t xml:space="preserve">ADVERSE </w:t>
      </w:r>
      <w:r w:rsidR="001C4B71">
        <w:rPr>
          <w:rFonts w:eastAsia="Times New Roman" w:cs="Times New Roman"/>
          <w:szCs w:val="20"/>
        </w:rPr>
        <w:t>EFFECTS</w:t>
      </w:r>
      <w:r w:rsidRPr="00072BC4">
        <w:rPr>
          <w:rFonts w:eastAsia="Times New Roman" w:cs="Times New Roman"/>
          <w:szCs w:val="20"/>
        </w:rPr>
        <w:t>).</w:t>
      </w:r>
    </w:p>
    <w:p w14:paraId="7925799C" w14:textId="77777777"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p>
    <w:p w14:paraId="2DB7580C" w14:textId="77777777" w:rsidR="00072BC4" w:rsidRPr="005A3B49" w:rsidRDefault="00072BC4" w:rsidP="00072BC4">
      <w:pPr>
        <w:keepNext/>
        <w:keepLines/>
        <w:widowControl w:val="0"/>
        <w:tabs>
          <w:tab w:val="left" w:pos="0"/>
        </w:tabs>
        <w:autoSpaceDE w:val="0"/>
        <w:autoSpaceDN w:val="0"/>
        <w:adjustRightInd w:val="0"/>
        <w:spacing w:after="0" w:line="240" w:lineRule="auto"/>
        <w:jc w:val="both"/>
        <w:outlineLvl w:val="2"/>
        <w:rPr>
          <w:rFonts w:eastAsia="Times New Roman" w:cs="Times New Roman"/>
          <w:bCs/>
          <w:color w:val="000000"/>
          <w:szCs w:val="24"/>
          <w:u w:val="single"/>
        </w:rPr>
      </w:pPr>
      <w:proofErr w:type="spellStart"/>
      <w:r w:rsidRPr="005A3B49">
        <w:rPr>
          <w:rFonts w:eastAsia="Times New Roman" w:cs="Times New Roman"/>
          <w:bCs/>
          <w:color w:val="000000"/>
          <w:szCs w:val="24"/>
          <w:u w:val="single"/>
        </w:rPr>
        <w:t>Aztreonam</w:t>
      </w:r>
      <w:proofErr w:type="spellEnd"/>
      <w:r w:rsidRPr="005A3B49">
        <w:rPr>
          <w:rFonts w:eastAsia="Times New Roman" w:cs="Times New Roman"/>
          <w:bCs/>
          <w:color w:val="000000"/>
          <w:szCs w:val="24"/>
          <w:u w:val="single"/>
        </w:rPr>
        <w:t>, tobramycin and probenecid</w:t>
      </w:r>
    </w:p>
    <w:p w14:paraId="6DB9A04B" w14:textId="270BC8A4" w:rsidR="00072BC4" w:rsidRDefault="00F23D48" w:rsidP="00072BC4">
      <w:pPr>
        <w:widowControl w:val="0"/>
        <w:tabs>
          <w:tab w:val="left" w:pos="0"/>
        </w:tabs>
        <w:autoSpaceDE w:val="0"/>
        <w:autoSpaceDN w:val="0"/>
        <w:adjustRightInd w:val="0"/>
        <w:spacing w:after="120" w:line="320" w:lineRule="atLeast"/>
        <w:jc w:val="both"/>
        <w:rPr>
          <w:rFonts w:eastAsia="Times New Roman" w:cs="Times New Roman"/>
          <w:szCs w:val="20"/>
        </w:rPr>
      </w:pPr>
      <w:r>
        <w:rPr>
          <w:rFonts w:eastAsia="Times New Roman" w:cs="Times New Roman"/>
          <w:szCs w:val="20"/>
        </w:rPr>
        <w:t>CUBICIN</w:t>
      </w:r>
      <w:r w:rsidR="00072BC4" w:rsidRPr="00072BC4">
        <w:rPr>
          <w:rFonts w:eastAsia="Times New Roman" w:cs="Times New Roman"/>
          <w:szCs w:val="20"/>
        </w:rPr>
        <w:t xml:space="preserve"> was studied in human drug/drug interaction studies with </w:t>
      </w:r>
      <w:proofErr w:type="spellStart"/>
      <w:r w:rsidR="00072BC4" w:rsidRPr="00072BC4">
        <w:rPr>
          <w:rFonts w:eastAsia="Times New Roman" w:cs="Times New Roman"/>
          <w:szCs w:val="20"/>
        </w:rPr>
        <w:t>aztreonam</w:t>
      </w:r>
      <w:proofErr w:type="spellEnd"/>
      <w:r w:rsidR="00072BC4" w:rsidRPr="00072BC4">
        <w:rPr>
          <w:rFonts w:eastAsia="Times New Roman" w:cs="Times New Roman"/>
          <w:szCs w:val="20"/>
        </w:rPr>
        <w:t xml:space="preserve">, tobramycin and probenecid. </w:t>
      </w:r>
      <w:proofErr w:type="spellStart"/>
      <w:r w:rsidR="00072BC4" w:rsidRPr="00072BC4">
        <w:rPr>
          <w:rFonts w:eastAsia="Times New Roman" w:cs="Times New Roman"/>
          <w:bCs/>
          <w:i/>
          <w:iCs/>
          <w:szCs w:val="20"/>
        </w:rPr>
        <w:t>Aztreonam</w:t>
      </w:r>
      <w:proofErr w:type="spellEnd"/>
      <w:r w:rsidR="00072BC4" w:rsidRPr="00072BC4">
        <w:rPr>
          <w:rFonts w:eastAsia="Times New Roman" w:cs="Times New Roman"/>
          <w:i/>
          <w:iCs/>
          <w:szCs w:val="20"/>
        </w:rPr>
        <w:t xml:space="preserve">: </w:t>
      </w:r>
      <w:r w:rsidR="00072BC4" w:rsidRPr="00072BC4">
        <w:rPr>
          <w:rFonts w:eastAsia="Times New Roman" w:cs="Times New Roman"/>
          <w:szCs w:val="20"/>
        </w:rPr>
        <w:t xml:space="preserve">The pharmacokinetics of </w:t>
      </w:r>
      <w:proofErr w:type="spellStart"/>
      <w:r w:rsidR="00072BC4" w:rsidRPr="00072BC4">
        <w:rPr>
          <w:rFonts w:eastAsia="Times New Roman" w:cs="Times New Roman"/>
          <w:szCs w:val="20"/>
        </w:rPr>
        <w:t>daptomycin</w:t>
      </w:r>
      <w:proofErr w:type="spellEnd"/>
      <w:r w:rsidR="00072BC4" w:rsidRPr="00072BC4">
        <w:rPr>
          <w:rFonts w:eastAsia="Times New Roman" w:cs="Times New Roman"/>
          <w:szCs w:val="20"/>
        </w:rPr>
        <w:t xml:space="preserve"> were not significantly altered by </w:t>
      </w:r>
      <w:proofErr w:type="spellStart"/>
      <w:r w:rsidR="00072BC4" w:rsidRPr="00072BC4">
        <w:rPr>
          <w:rFonts w:eastAsia="Times New Roman" w:cs="Times New Roman"/>
          <w:szCs w:val="20"/>
        </w:rPr>
        <w:t>aztreonam</w:t>
      </w:r>
      <w:proofErr w:type="spellEnd"/>
      <w:r w:rsidR="00072BC4" w:rsidRPr="00072BC4">
        <w:rPr>
          <w:rFonts w:eastAsia="Times New Roman" w:cs="Times New Roman"/>
          <w:szCs w:val="20"/>
        </w:rPr>
        <w:t xml:space="preserve">. </w:t>
      </w:r>
      <w:proofErr w:type="spellStart"/>
      <w:r w:rsidR="00072BC4" w:rsidRPr="00072BC4">
        <w:rPr>
          <w:rFonts w:eastAsia="Times New Roman" w:cs="Times New Roman"/>
          <w:szCs w:val="20"/>
        </w:rPr>
        <w:t>Daptomycin</w:t>
      </w:r>
      <w:proofErr w:type="spellEnd"/>
      <w:r w:rsidR="00072BC4" w:rsidRPr="00072BC4">
        <w:rPr>
          <w:rFonts w:eastAsia="Times New Roman" w:cs="Times New Roman"/>
          <w:szCs w:val="20"/>
        </w:rPr>
        <w:t xml:space="preserve"> had no effect on the bioavailability of </w:t>
      </w:r>
      <w:proofErr w:type="spellStart"/>
      <w:r w:rsidR="00072BC4" w:rsidRPr="00072BC4">
        <w:rPr>
          <w:rFonts w:eastAsia="Times New Roman" w:cs="Times New Roman"/>
          <w:szCs w:val="20"/>
        </w:rPr>
        <w:t>aztreonam</w:t>
      </w:r>
      <w:proofErr w:type="spellEnd"/>
      <w:r w:rsidR="00072BC4" w:rsidRPr="00072BC4">
        <w:rPr>
          <w:rFonts w:eastAsia="Times New Roman" w:cs="Times New Roman"/>
          <w:szCs w:val="20"/>
        </w:rPr>
        <w:t xml:space="preserve">. </w:t>
      </w:r>
      <w:r w:rsidR="00072BC4" w:rsidRPr="00072BC4">
        <w:rPr>
          <w:rFonts w:eastAsia="Times New Roman" w:cs="Times New Roman"/>
          <w:bCs/>
          <w:i/>
          <w:iCs/>
          <w:szCs w:val="20"/>
        </w:rPr>
        <w:t>Probenecid</w:t>
      </w:r>
      <w:r w:rsidR="00072BC4" w:rsidRPr="00072BC4">
        <w:rPr>
          <w:rFonts w:eastAsia="Times New Roman" w:cs="Times New Roman"/>
          <w:szCs w:val="20"/>
        </w:rPr>
        <w:t xml:space="preserve">: </w:t>
      </w:r>
      <w:proofErr w:type="spellStart"/>
      <w:r w:rsidR="00072BC4" w:rsidRPr="00072BC4">
        <w:rPr>
          <w:rFonts w:eastAsia="Times New Roman" w:cs="Times New Roman"/>
          <w:szCs w:val="20"/>
        </w:rPr>
        <w:t>Daptomycin</w:t>
      </w:r>
      <w:proofErr w:type="spellEnd"/>
      <w:r w:rsidR="00072BC4" w:rsidRPr="00072BC4">
        <w:rPr>
          <w:rFonts w:eastAsia="Times New Roman" w:cs="Times New Roman"/>
          <w:szCs w:val="20"/>
        </w:rPr>
        <w:t xml:space="preserve"> had no effect on the pharmacokinetics of probenecid, and nor did probenecid alter the pharmacokinetics of </w:t>
      </w:r>
      <w:proofErr w:type="spellStart"/>
      <w:r w:rsidR="00072BC4" w:rsidRPr="00072BC4">
        <w:rPr>
          <w:rFonts w:eastAsia="Times New Roman" w:cs="Times New Roman"/>
          <w:szCs w:val="20"/>
        </w:rPr>
        <w:t>daptomycin</w:t>
      </w:r>
      <w:proofErr w:type="spellEnd"/>
      <w:r w:rsidR="00072BC4" w:rsidRPr="00072BC4">
        <w:rPr>
          <w:rFonts w:eastAsia="Times New Roman" w:cs="Times New Roman"/>
          <w:szCs w:val="20"/>
        </w:rPr>
        <w:t xml:space="preserve">. </w:t>
      </w:r>
      <w:r w:rsidR="00072BC4" w:rsidRPr="00072BC4">
        <w:rPr>
          <w:rFonts w:eastAsia="Times New Roman" w:cs="Times New Roman"/>
          <w:bCs/>
          <w:i/>
          <w:iCs/>
          <w:szCs w:val="20"/>
        </w:rPr>
        <w:t>Tobramycin</w:t>
      </w:r>
      <w:r w:rsidR="00072BC4" w:rsidRPr="00072BC4">
        <w:rPr>
          <w:rFonts w:eastAsia="Times New Roman" w:cs="Times New Roman"/>
          <w:szCs w:val="20"/>
        </w:rPr>
        <w:t xml:space="preserve">: Although small changes in the pharmacokinetics of </w:t>
      </w:r>
      <w:proofErr w:type="spellStart"/>
      <w:r w:rsidR="00072BC4" w:rsidRPr="00072BC4">
        <w:rPr>
          <w:rFonts w:eastAsia="Times New Roman" w:cs="Times New Roman"/>
          <w:szCs w:val="20"/>
        </w:rPr>
        <w:t>daptomycin</w:t>
      </w:r>
      <w:proofErr w:type="spellEnd"/>
      <w:r w:rsidR="00072BC4" w:rsidRPr="00072BC4">
        <w:rPr>
          <w:rFonts w:eastAsia="Times New Roman" w:cs="Times New Roman"/>
          <w:szCs w:val="20"/>
        </w:rPr>
        <w:t xml:space="preserve"> and tobramycin were observed during </w:t>
      </w:r>
      <w:proofErr w:type="spellStart"/>
      <w:r w:rsidR="00072BC4" w:rsidRPr="00072BC4">
        <w:rPr>
          <w:rFonts w:eastAsia="Times New Roman" w:cs="Times New Roman"/>
          <w:szCs w:val="20"/>
        </w:rPr>
        <w:t>coadministration</w:t>
      </w:r>
      <w:proofErr w:type="spellEnd"/>
      <w:r w:rsidR="00072BC4" w:rsidRPr="00072BC4">
        <w:rPr>
          <w:rFonts w:eastAsia="Times New Roman" w:cs="Times New Roman"/>
          <w:szCs w:val="20"/>
        </w:rPr>
        <w:t xml:space="preserve"> using a </w:t>
      </w:r>
      <w:r>
        <w:rPr>
          <w:rFonts w:eastAsia="Times New Roman" w:cs="Times New Roman"/>
          <w:szCs w:val="20"/>
        </w:rPr>
        <w:t>CUBICIN</w:t>
      </w:r>
      <w:r w:rsidR="00072BC4" w:rsidRPr="00072BC4">
        <w:rPr>
          <w:rFonts w:eastAsia="Times New Roman" w:cs="Times New Roman"/>
          <w:szCs w:val="20"/>
        </w:rPr>
        <w:t xml:space="preserve"> dose of 2 mg/kg, the changes were not statistically significant. The interaction between </w:t>
      </w:r>
      <w:proofErr w:type="spellStart"/>
      <w:r w:rsidR="00072BC4" w:rsidRPr="00072BC4">
        <w:rPr>
          <w:rFonts w:eastAsia="Times New Roman" w:cs="Times New Roman"/>
          <w:szCs w:val="20"/>
        </w:rPr>
        <w:t>daptomycin</w:t>
      </w:r>
      <w:proofErr w:type="spellEnd"/>
      <w:r w:rsidR="00072BC4" w:rsidRPr="00072BC4">
        <w:rPr>
          <w:rFonts w:eastAsia="Times New Roman" w:cs="Times New Roman"/>
          <w:szCs w:val="20"/>
        </w:rPr>
        <w:t xml:space="preserve"> and tobramycin with a clinical dose of </w:t>
      </w:r>
      <w:r>
        <w:rPr>
          <w:rFonts w:eastAsia="Times New Roman" w:cs="Times New Roman"/>
          <w:szCs w:val="20"/>
        </w:rPr>
        <w:t>CUBICIN</w:t>
      </w:r>
      <w:r w:rsidR="00072BC4" w:rsidRPr="00072BC4">
        <w:rPr>
          <w:rFonts w:eastAsia="Times New Roman" w:cs="Times New Roman"/>
          <w:szCs w:val="20"/>
        </w:rPr>
        <w:t xml:space="preserve"> is unknown. Caution is warranted when </w:t>
      </w:r>
      <w:proofErr w:type="spellStart"/>
      <w:r w:rsidR="00072BC4" w:rsidRPr="00072BC4">
        <w:rPr>
          <w:rFonts w:eastAsia="Times New Roman" w:cs="Times New Roman"/>
          <w:szCs w:val="20"/>
        </w:rPr>
        <w:t>daptomycin</w:t>
      </w:r>
      <w:proofErr w:type="spellEnd"/>
      <w:r w:rsidR="00072BC4" w:rsidRPr="00072BC4" w:rsidDel="00C728D3">
        <w:rPr>
          <w:rFonts w:eastAsia="Times New Roman" w:cs="Times New Roman"/>
          <w:szCs w:val="20"/>
        </w:rPr>
        <w:t xml:space="preserve"> </w:t>
      </w:r>
      <w:r w:rsidR="00072BC4" w:rsidRPr="00072BC4">
        <w:rPr>
          <w:rFonts w:eastAsia="Times New Roman" w:cs="Times New Roman"/>
          <w:szCs w:val="20"/>
        </w:rPr>
        <w:t xml:space="preserve">is co-administered with tobramycin. </w:t>
      </w:r>
    </w:p>
    <w:p w14:paraId="0F563D53" w14:textId="77777777" w:rsidR="003064D5" w:rsidRPr="00072BC4" w:rsidRDefault="003064D5" w:rsidP="00072BC4">
      <w:pPr>
        <w:widowControl w:val="0"/>
        <w:tabs>
          <w:tab w:val="left" w:pos="0"/>
        </w:tabs>
        <w:autoSpaceDE w:val="0"/>
        <w:autoSpaceDN w:val="0"/>
        <w:adjustRightInd w:val="0"/>
        <w:spacing w:after="120" w:line="320" w:lineRule="atLeast"/>
        <w:jc w:val="both"/>
        <w:rPr>
          <w:rFonts w:eastAsia="Times New Roman" w:cs="Times New Roman"/>
          <w:szCs w:val="20"/>
        </w:rPr>
      </w:pPr>
    </w:p>
    <w:p w14:paraId="05475895" w14:textId="4E5805CE" w:rsidR="00072BC4" w:rsidRPr="00072BC4" w:rsidRDefault="00072BC4" w:rsidP="00072BC4">
      <w:pPr>
        <w:keepNext/>
        <w:keepLines/>
        <w:widowControl w:val="0"/>
        <w:tabs>
          <w:tab w:val="left" w:pos="0"/>
        </w:tabs>
        <w:autoSpaceDE w:val="0"/>
        <w:autoSpaceDN w:val="0"/>
        <w:adjustRightInd w:val="0"/>
        <w:spacing w:after="0" w:line="240" w:lineRule="auto"/>
        <w:jc w:val="both"/>
        <w:outlineLvl w:val="2"/>
        <w:rPr>
          <w:rFonts w:eastAsia="Times New Roman" w:cs="Times New Roman"/>
          <w:bCs/>
          <w:color w:val="000000"/>
          <w:szCs w:val="24"/>
        </w:rPr>
      </w:pPr>
      <w:r w:rsidRPr="005A3B49">
        <w:rPr>
          <w:rFonts w:eastAsia="Times New Roman" w:cs="Times New Roman"/>
          <w:bCs/>
          <w:color w:val="000000"/>
          <w:szCs w:val="24"/>
          <w:u w:val="single"/>
        </w:rPr>
        <w:t>Interactions with other antibiotics</w:t>
      </w:r>
      <w:r w:rsidRPr="00072BC4">
        <w:rPr>
          <w:rFonts w:eastAsia="Times New Roman" w:cs="Times New Roman"/>
          <w:bCs/>
          <w:color w:val="000000"/>
          <w:szCs w:val="24"/>
        </w:rPr>
        <w:t xml:space="preserve"> </w:t>
      </w:r>
    </w:p>
    <w:p w14:paraId="1D1DFEDC" w14:textId="77777777"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r w:rsidRPr="00072BC4">
        <w:rPr>
          <w:rFonts w:eastAsia="Times New Roman" w:cs="Times New Roman"/>
          <w:i/>
          <w:iCs/>
          <w:szCs w:val="20"/>
        </w:rPr>
        <w:t>In vitro</w:t>
      </w:r>
      <w:r w:rsidRPr="00072BC4">
        <w:rPr>
          <w:rFonts w:eastAsia="Times New Roman" w:cs="Times New Roman"/>
          <w:szCs w:val="20"/>
        </w:rPr>
        <w:t xml:space="preserve"> studies have investigated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interactions with other antibiotics. Antagonism, as determined by kill curve studies, has not been observed. In vitro synergistic interactions of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with aminoglycosides, β-lactam antibiotics, and </w:t>
      </w:r>
      <w:proofErr w:type="spellStart"/>
      <w:r w:rsidRPr="00072BC4">
        <w:rPr>
          <w:rFonts w:eastAsia="Times New Roman" w:cs="Times New Roman"/>
          <w:szCs w:val="20"/>
        </w:rPr>
        <w:t>rifampin</w:t>
      </w:r>
      <w:proofErr w:type="spellEnd"/>
      <w:r w:rsidRPr="00072BC4">
        <w:rPr>
          <w:rFonts w:eastAsia="Times New Roman" w:cs="Times New Roman"/>
          <w:szCs w:val="20"/>
        </w:rPr>
        <w:t xml:space="preserve"> have been shown against some isolates of staphylococci (including some methicillin-resistant isolates) and enterococci (including some vancomycin-resistant isolates). The clinical significance of these </w:t>
      </w:r>
      <w:r w:rsidRPr="00072BC4">
        <w:rPr>
          <w:rFonts w:eastAsia="Times New Roman" w:cs="Times New Roman"/>
          <w:i/>
          <w:szCs w:val="20"/>
        </w:rPr>
        <w:t>in vitro</w:t>
      </w:r>
      <w:r w:rsidRPr="00072BC4">
        <w:rPr>
          <w:rFonts w:eastAsia="Times New Roman" w:cs="Times New Roman"/>
          <w:szCs w:val="20"/>
        </w:rPr>
        <w:t xml:space="preserve"> </w:t>
      </w:r>
      <w:r w:rsidRPr="00072BC4">
        <w:rPr>
          <w:rFonts w:eastAsia="Times New Roman" w:cs="Times New Roman"/>
          <w:szCs w:val="20"/>
        </w:rPr>
        <w:lastRenderedPageBreak/>
        <w:t xml:space="preserve">studies is unclear. </w:t>
      </w:r>
    </w:p>
    <w:p w14:paraId="45CF81B0" w14:textId="77777777" w:rsidR="003C18F8" w:rsidRPr="003C18F8" w:rsidRDefault="003C18F8" w:rsidP="003C18F8"/>
    <w:p w14:paraId="29DCCB1A" w14:textId="77777777" w:rsidR="001A3992" w:rsidRDefault="001A3992" w:rsidP="001A3992">
      <w:pPr>
        <w:pStyle w:val="Heading2"/>
        <w:spacing w:before="0" w:after="120"/>
      </w:pPr>
      <w:r>
        <w:t xml:space="preserve">Fertility, pregnancy and lactation </w:t>
      </w:r>
    </w:p>
    <w:p w14:paraId="16687F43" w14:textId="77777777" w:rsidR="001A3992" w:rsidRDefault="001A3992" w:rsidP="001A3992">
      <w:pPr>
        <w:pStyle w:val="Heading3"/>
        <w:spacing w:before="0" w:after="120"/>
      </w:pPr>
      <w:r w:rsidRPr="00B878CC">
        <w:t>Effects on fertility</w:t>
      </w:r>
    </w:p>
    <w:p w14:paraId="0083FDEC" w14:textId="77777777" w:rsidR="00072BC4" w:rsidRPr="00072BC4" w:rsidRDefault="00072BC4" w:rsidP="00C94FA2">
      <w:pPr>
        <w:jc w:val="both"/>
        <w:rPr>
          <w:rFonts w:eastAsia="Times New Roman" w:cs="Times New Roman"/>
          <w:szCs w:val="20"/>
        </w:rPr>
      </w:pP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did not affect the fertility or reproductive performance of male and female rats when administered intravenously at doses up to 150 mg/kg/day, which is approximately 9 times the estimated human exposure level based upon AUCs.</w:t>
      </w:r>
    </w:p>
    <w:p w14:paraId="41E6E683" w14:textId="63FE9E0F" w:rsidR="001A3992" w:rsidRDefault="001A3992" w:rsidP="001A3992">
      <w:pPr>
        <w:pStyle w:val="Heading3"/>
        <w:spacing w:before="0" w:after="120"/>
      </w:pPr>
      <w:r w:rsidRPr="00B878CC">
        <w:t xml:space="preserve">Use in pregnancy </w:t>
      </w:r>
      <w:r w:rsidR="00072BC4">
        <w:t xml:space="preserve">(Category B1) </w:t>
      </w:r>
    </w:p>
    <w:p w14:paraId="2632A83C" w14:textId="32EF6E77" w:rsidR="00072BC4" w:rsidRPr="00072BC4" w:rsidRDefault="00072BC4" w:rsidP="00C94FA2">
      <w:pPr>
        <w:jc w:val="both"/>
        <w:rPr>
          <w:rFonts w:eastAsia="Times New Roman" w:cs="Times New Roman"/>
          <w:szCs w:val="20"/>
        </w:rPr>
      </w:pPr>
      <w:r w:rsidRPr="00072BC4">
        <w:rPr>
          <w:rFonts w:eastAsia="Times New Roman" w:cs="Times New Roman"/>
          <w:szCs w:val="20"/>
        </w:rPr>
        <w:t xml:space="preserve">Embryo/foetal development studies performed in rats and rabbits at doses of up to 75 mg/kg, approximately 2 and 4 times the </w:t>
      </w:r>
      <w:r w:rsidR="00F33DBB">
        <w:rPr>
          <w:rFonts w:eastAsia="Times New Roman" w:cs="Times New Roman"/>
          <w:szCs w:val="20"/>
        </w:rPr>
        <w:t xml:space="preserve">recommended </w:t>
      </w:r>
      <w:r w:rsidRPr="00072BC4">
        <w:rPr>
          <w:rFonts w:eastAsia="Times New Roman" w:cs="Times New Roman"/>
          <w:szCs w:val="20"/>
        </w:rPr>
        <w:t xml:space="preserve">6 mg/kg human dose, respectively, on a body surface area basis, have revealed no evidence of harm to the foetus due to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There are, however, no adequate and well-controlled studies in pregnant women.  </w:t>
      </w:r>
    </w:p>
    <w:p w14:paraId="113DF8FE" w14:textId="0A1CF175" w:rsidR="00072BC4" w:rsidRPr="00072BC4" w:rsidRDefault="00072BC4" w:rsidP="00072BC4">
      <w:pPr>
        <w:widowControl w:val="0"/>
        <w:tabs>
          <w:tab w:val="left" w:pos="0"/>
        </w:tabs>
        <w:autoSpaceDE w:val="0"/>
        <w:autoSpaceDN w:val="0"/>
        <w:adjustRightInd w:val="0"/>
        <w:spacing w:after="0" w:line="320" w:lineRule="atLeast"/>
        <w:jc w:val="both"/>
        <w:rPr>
          <w:rFonts w:eastAsia="Times New Roman" w:cs="Times New Roman"/>
          <w:szCs w:val="20"/>
        </w:rPr>
      </w:pPr>
      <w:r w:rsidRPr="00072BC4">
        <w:rPr>
          <w:rFonts w:eastAsia="Times New Roman" w:cs="Times New Roman"/>
          <w:szCs w:val="20"/>
        </w:rPr>
        <w:t xml:space="preserve">Because animal reproduction studies are not always predictive of human response, </w:t>
      </w:r>
      <w:r w:rsidR="00F23D48">
        <w:rPr>
          <w:rFonts w:eastAsia="Times New Roman" w:cs="Times New Roman"/>
          <w:szCs w:val="20"/>
        </w:rPr>
        <w:t>CUBICIN</w:t>
      </w:r>
      <w:r w:rsidRPr="00072BC4">
        <w:rPr>
          <w:rFonts w:eastAsia="Times New Roman" w:cs="Times New Roman"/>
          <w:szCs w:val="20"/>
        </w:rPr>
        <w:t xml:space="preserve"> should be used during pregnancy only if the potential benefit outweighs the possible risk.</w:t>
      </w:r>
    </w:p>
    <w:p w14:paraId="712F797B" w14:textId="77777777" w:rsidR="00072BC4" w:rsidRPr="00072BC4" w:rsidRDefault="00072BC4" w:rsidP="00072BC4"/>
    <w:p w14:paraId="5225F9C5" w14:textId="77777777" w:rsidR="001A3992" w:rsidRDefault="001A3992" w:rsidP="001A3992">
      <w:pPr>
        <w:pStyle w:val="Heading3"/>
        <w:spacing w:before="0" w:after="120"/>
      </w:pPr>
      <w:r w:rsidRPr="00B878CC">
        <w:t>Use in</w:t>
      </w:r>
      <w:r w:rsidRPr="00164864">
        <w:t xml:space="preserve"> lactation. </w:t>
      </w:r>
    </w:p>
    <w:p w14:paraId="407E5A4D" w14:textId="0D48D15F" w:rsidR="00072BC4" w:rsidRPr="00072BC4" w:rsidRDefault="00072BC4" w:rsidP="00C94FA2">
      <w:pPr>
        <w:jc w:val="both"/>
        <w:rPr>
          <w:rFonts w:eastAsia="Times New Roman" w:cs="Times New Roman"/>
          <w:szCs w:val="20"/>
        </w:rPr>
      </w:pPr>
      <w:r w:rsidRPr="00072BC4">
        <w:rPr>
          <w:rFonts w:eastAsia="Times New Roman" w:cs="Times New Roman"/>
          <w:szCs w:val="20"/>
        </w:rPr>
        <w:t xml:space="preserve">In a single case study, </w:t>
      </w:r>
      <w:r w:rsidR="00F23D48">
        <w:rPr>
          <w:rFonts w:eastAsia="Times New Roman" w:cs="Times New Roman"/>
          <w:szCs w:val="20"/>
        </w:rPr>
        <w:t>CUBICIN</w:t>
      </w:r>
      <w:r w:rsidRPr="00072BC4">
        <w:rPr>
          <w:rFonts w:eastAsia="Times New Roman" w:cs="Times New Roman"/>
          <w:szCs w:val="20"/>
        </w:rPr>
        <w:t xml:space="preserve"> was administered daily for 28 days to a nursing mother at a dose of 500 mg/day, and samples of the patient’s breast milk were collected over a 24-hour period on day 27. The highest measured concentration of </w:t>
      </w:r>
      <w:proofErr w:type="spellStart"/>
      <w:r w:rsidRPr="00072BC4">
        <w:rPr>
          <w:rFonts w:eastAsia="Times New Roman" w:cs="Times New Roman"/>
          <w:szCs w:val="20"/>
        </w:rPr>
        <w:t>daptomycin</w:t>
      </w:r>
      <w:proofErr w:type="spellEnd"/>
      <w:r w:rsidRPr="00072BC4">
        <w:rPr>
          <w:rFonts w:eastAsia="Times New Roman" w:cs="Times New Roman"/>
          <w:szCs w:val="20"/>
        </w:rPr>
        <w:t xml:space="preserve"> in the breast milk was </w:t>
      </w:r>
      <w:r w:rsidRPr="00072BC4">
        <w:rPr>
          <w:rFonts w:eastAsia="Times New Roman" w:cs="Times New Roman"/>
          <w:szCs w:val="20"/>
          <w:lang w:val="en-GB"/>
        </w:rPr>
        <w:t xml:space="preserve">0.045 µg/mL, which is a low concentration. Women should be instructed to avoid breast-feeding while receiving </w:t>
      </w:r>
      <w:r w:rsidR="00F23D48">
        <w:rPr>
          <w:rFonts w:eastAsia="Times New Roman" w:cs="Times New Roman"/>
          <w:szCs w:val="20"/>
          <w:lang w:val="en-GB"/>
        </w:rPr>
        <w:t>CUBICIN</w:t>
      </w:r>
      <w:r w:rsidRPr="00072BC4">
        <w:rPr>
          <w:rFonts w:eastAsia="Times New Roman" w:cs="Times New Roman"/>
          <w:szCs w:val="20"/>
          <w:lang w:val="en-GB"/>
        </w:rPr>
        <w:t>.</w:t>
      </w:r>
    </w:p>
    <w:p w14:paraId="15EBCDAA" w14:textId="77777777" w:rsidR="001A3992" w:rsidRDefault="001A3992" w:rsidP="001A3992">
      <w:pPr>
        <w:pStyle w:val="Heading2"/>
        <w:spacing w:before="0" w:after="120"/>
      </w:pPr>
      <w:r w:rsidRPr="00EC3C40">
        <w:t>Effects</w:t>
      </w:r>
      <w:r>
        <w:t xml:space="preserve"> on ability to drive and use machines </w:t>
      </w:r>
    </w:p>
    <w:p w14:paraId="581830F6" w14:textId="3AF66B4F" w:rsidR="00EE273C" w:rsidRPr="00283E49" w:rsidRDefault="007B78EF" w:rsidP="00C94FA2">
      <w:pPr>
        <w:jc w:val="both"/>
        <w:rPr>
          <w:rFonts w:eastAsia="Times New Roman" w:cs="Times New Roman"/>
          <w:szCs w:val="20"/>
          <w:lang w:val="en-GB"/>
        </w:rPr>
      </w:pPr>
      <w:r w:rsidRPr="00283E49">
        <w:rPr>
          <w:rFonts w:eastAsia="Times New Roman" w:cs="Times New Roman"/>
          <w:szCs w:val="20"/>
          <w:lang w:val="en-GB"/>
        </w:rPr>
        <w:t>No studies on the effects on the ability to drive and use machines have been performed.</w:t>
      </w:r>
    </w:p>
    <w:p w14:paraId="27FD496C" w14:textId="78BED654" w:rsidR="007B78EF" w:rsidRPr="00283E49" w:rsidRDefault="007B78EF" w:rsidP="00C94FA2">
      <w:pPr>
        <w:jc w:val="both"/>
        <w:rPr>
          <w:rFonts w:eastAsia="Times New Roman" w:cs="Times New Roman"/>
          <w:szCs w:val="20"/>
          <w:lang w:val="en-GB"/>
        </w:rPr>
      </w:pPr>
      <w:r w:rsidRPr="00283E49">
        <w:rPr>
          <w:rFonts w:eastAsia="Times New Roman" w:cs="Times New Roman"/>
          <w:szCs w:val="20"/>
          <w:lang w:val="en-GB"/>
        </w:rPr>
        <w:t xml:space="preserve">On the basis of reported adverse drug reactions, </w:t>
      </w:r>
      <w:r w:rsidR="00F23D48">
        <w:rPr>
          <w:rFonts w:eastAsia="Times New Roman" w:cs="Times New Roman"/>
          <w:szCs w:val="20"/>
          <w:lang w:val="en-GB"/>
        </w:rPr>
        <w:t>CUBICIN</w:t>
      </w:r>
      <w:r w:rsidR="00D81939">
        <w:rPr>
          <w:rFonts w:eastAsia="Times New Roman" w:cs="Times New Roman"/>
          <w:szCs w:val="20"/>
          <w:lang w:val="en-GB"/>
        </w:rPr>
        <w:t xml:space="preserve"> </w:t>
      </w:r>
      <w:r w:rsidRPr="00283E49">
        <w:rPr>
          <w:rFonts w:eastAsia="Times New Roman" w:cs="Times New Roman"/>
          <w:szCs w:val="20"/>
          <w:lang w:val="en-GB"/>
        </w:rPr>
        <w:t>is presumed to be unlikely to produce an effect on the ability to drive or use machinery.</w:t>
      </w:r>
    </w:p>
    <w:p w14:paraId="123DB718" w14:textId="77777777" w:rsidR="001A3992" w:rsidRDefault="001A3992" w:rsidP="001A3992">
      <w:pPr>
        <w:pStyle w:val="Heading2"/>
        <w:keepNext/>
        <w:keepLines/>
        <w:spacing w:before="0" w:after="120"/>
      </w:pPr>
      <w:r>
        <w:t>Adverse effects (Undesirable effects)</w:t>
      </w:r>
    </w:p>
    <w:p w14:paraId="1B02CE28" w14:textId="67BFC58E" w:rsidR="00743A3B" w:rsidRPr="007A30E6" w:rsidRDefault="00743A3B" w:rsidP="00743A3B">
      <w:pPr>
        <w:pStyle w:val="Text"/>
      </w:pPr>
      <w:r w:rsidRPr="007A30E6">
        <w:t xml:space="preserve">During clinical trials of </w:t>
      </w:r>
      <w:r w:rsidR="00F23D48">
        <w:t>CUBICIN</w:t>
      </w:r>
      <w:r w:rsidRPr="007A30E6">
        <w:t>, the following adverse drug reactions were reported during therapy and during follow-up. The adverse drug reactions are organized by system organ class, and the frequency categories for these adverse drug reactions are reported below as follows:</w:t>
      </w:r>
    </w:p>
    <w:p w14:paraId="55AB8C0D" w14:textId="5342B2BB" w:rsidR="00743A3B" w:rsidRPr="007A30E6" w:rsidRDefault="00743A3B" w:rsidP="00743A3B">
      <w:pPr>
        <w:pStyle w:val="Text"/>
      </w:pPr>
      <w:r w:rsidRPr="007A30E6">
        <w:rPr>
          <w:lang w:val="en-GB"/>
        </w:rPr>
        <w:t>Very common:</w:t>
      </w:r>
      <w:r w:rsidR="001C4B71">
        <w:rPr>
          <w:lang w:val="en-GB"/>
        </w:rPr>
        <w:t xml:space="preserve"> </w:t>
      </w:r>
      <w:r w:rsidRPr="007A30E6">
        <w:rPr>
          <w:lang w:val="en-GB"/>
        </w:rPr>
        <w:t>≥1/10 (≥10 %); common: ≥1/100 and &lt;1/10 (≥1 % and &lt;10 %); uncommon: ≥1/1000 and &lt;1/100 (≥0.1 % and &lt; 1 %); rare:</w:t>
      </w:r>
      <w:r w:rsidR="001C4B71">
        <w:rPr>
          <w:lang w:val="en-GB"/>
        </w:rPr>
        <w:t xml:space="preserve">  </w:t>
      </w:r>
      <w:r w:rsidRPr="007A30E6">
        <w:rPr>
          <w:lang w:val="en-GB"/>
        </w:rPr>
        <w:t xml:space="preserve">≥1/10,000 and &lt;1/1000 (≥0.01 % and &lt;0.1 %); </w:t>
      </w:r>
      <w:r w:rsidRPr="007A30E6">
        <w:t>very rare: &lt;1/10,000 (&lt;0.01 %).</w:t>
      </w:r>
    </w:p>
    <w:p w14:paraId="0EAB1D50"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en-GB"/>
        </w:rPr>
      </w:pPr>
      <w:r w:rsidRPr="001C4B71">
        <w:rPr>
          <w:rFonts w:eastAsia="Times New Roman" w:cs="Times New Roman"/>
          <w:szCs w:val="24"/>
          <w:u w:val="single"/>
          <w:lang w:val="nb-NO"/>
        </w:rPr>
        <w:t>Infections and Infestations</w:t>
      </w:r>
    </w:p>
    <w:p w14:paraId="5590520A" w14:textId="40FC24E4"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sidR="00743A3B" w:rsidRPr="00743A3B">
        <w:rPr>
          <w:rFonts w:eastAsia="Times New Roman" w:cs="Times New Roman"/>
          <w:szCs w:val="20"/>
          <w:lang w:val="en-GB"/>
        </w:rPr>
        <w:tab/>
        <w:t>Fungal infection, urinary tract infection, candida infection</w:t>
      </w:r>
    </w:p>
    <w:p w14:paraId="1CA82A84"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lastRenderedPageBreak/>
        <w:t xml:space="preserve">Uncommon: </w:t>
      </w:r>
      <w:r w:rsidRPr="00743A3B">
        <w:rPr>
          <w:rFonts w:eastAsia="Times New Roman" w:cs="Times New Roman"/>
          <w:szCs w:val="20"/>
          <w:lang w:val="en-GB"/>
        </w:rPr>
        <w:tab/>
      </w:r>
      <w:proofErr w:type="spellStart"/>
      <w:r w:rsidRPr="00743A3B">
        <w:rPr>
          <w:rFonts w:eastAsia="Times New Roman" w:cs="Times New Roman"/>
          <w:szCs w:val="20"/>
          <w:lang w:val="en-GB"/>
        </w:rPr>
        <w:t>Fungemia</w:t>
      </w:r>
      <w:proofErr w:type="spellEnd"/>
    </w:p>
    <w:p w14:paraId="4A2A9D9A"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Blood and lymphatic system disorders</w:t>
      </w:r>
    </w:p>
    <w:p w14:paraId="5FECE819" w14:textId="2324D165"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 xml:space="preserve">Anaemia </w:t>
      </w:r>
    </w:p>
    <w:p w14:paraId="1E90E80B"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 xml:space="preserve">Eosinophilia, thrombocytosis, </w:t>
      </w:r>
      <w:proofErr w:type="spellStart"/>
      <w:r w:rsidRPr="00743A3B">
        <w:rPr>
          <w:rFonts w:eastAsia="Times New Roman" w:cs="Times New Roman"/>
          <w:szCs w:val="20"/>
          <w:lang w:val="en-GB"/>
        </w:rPr>
        <w:t>leukocytosis</w:t>
      </w:r>
      <w:proofErr w:type="spellEnd"/>
    </w:p>
    <w:p w14:paraId="23D8ADC9"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Metabolism and nutrition disorders</w:t>
      </w:r>
    </w:p>
    <w:p w14:paraId="4A8FC379"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 xml:space="preserve">Decreased appetite, hyperglycaemia, electrolyte imbalance </w:t>
      </w:r>
    </w:p>
    <w:p w14:paraId="3904539A"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Psychiatric disorders</w:t>
      </w:r>
    </w:p>
    <w:p w14:paraId="76080DF6" w14:textId="1F417070"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Anxiety, insomnia</w:t>
      </w:r>
    </w:p>
    <w:p w14:paraId="644EE8D9"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Nervous system disorders</w:t>
      </w:r>
    </w:p>
    <w:p w14:paraId="4247A912" w14:textId="64110CEF"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Dizziness, headache</w:t>
      </w:r>
    </w:p>
    <w:p w14:paraId="522DE204"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Paraesthesia, taste disorder, tremor, eye irritation</w:t>
      </w:r>
    </w:p>
    <w:p w14:paraId="7517E372"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Ear and labyrinth disorders</w:t>
      </w:r>
    </w:p>
    <w:p w14:paraId="307D80EE"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Vertigo</w:t>
      </w:r>
    </w:p>
    <w:p w14:paraId="6634F3DB"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Cardiac disorders</w:t>
      </w:r>
    </w:p>
    <w:p w14:paraId="187BF4F3"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Supraventricular arrhythmia</w:t>
      </w:r>
    </w:p>
    <w:p w14:paraId="0E8F3D3F"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Vascular disorders</w:t>
      </w:r>
    </w:p>
    <w:p w14:paraId="282D4E7D" w14:textId="3E7C0623"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Hypertension, hypotension</w:t>
      </w:r>
    </w:p>
    <w:p w14:paraId="6D28D884"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Flushing</w:t>
      </w:r>
    </w:p>
    <w:p w14:paraId="54A01975"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Gastrointestinal disorders</w:t>
      </w:r>
    </w:p>
    <w:p w14:paraId="1CFD8129" w14:textId="28626585"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 xml:space="preserve">Gastrointestinal and abdominal pain, constipation, diarrhoea, nausea, </w:t>
      </w:r>
    </w:p>
    <w:p w14:paraId="4450CBB3" w14:textId="72645F43"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ab/>
      </w:r>
      <w:r w:rsidRPr="00743A3B">
        <w:rPr>
          <w:rFonts w:eastAsia="Times New Roman" w:cs="Times New Roman"/>
          <w:szCs w:val="20"/>
          <w:lang w:val="en-GB"/>
        </w:rPr>
        <w:tab/>
        <w:t>vomiting, flatulence, bloating and distension</w:t>
      </w:r>
    </w:p>
    <w:p w14:paraId="6AA368A4"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Dyspepsia</w:t>
      </w:r>
    </w:p>
    <w:p w14:paraId="01955AE2"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Hepatobiliary disorders</w:t>
      </w:r>
    </w:p>
    <w:p w14:paraId="59CC4E37"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Rare: </w:t>
      </w:r>
      <w:r w:rsidRPr="00743A3B">
        <w:rPr>
          <w:rFonts w:eastAsia="Times New Roman" w:cs="Times New Roman"/>
          <w:szCs w:val="20"/>
          <w:lang w:val="en-GB"/>
        </w:rPr>
        <w:tab/>
      </w:r>
      <w:r w:rsidRPr="00743A3B">
        <w:rPr>
          <w:rFonts w:eastAsia="Times New Roman" w:cs="Times New Roman"/>
          <w:szCs w:val="20"/>
          <w:lang w:val="en-GB"/>
        </w:rPr>
        <w:tab/>
        <w:t>Jaundice</w:t>
      </w:r>
    </w:p>
    <w:p w14:paraId="1F94A804"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Skin and subcutaneous tissue disorders</w:t>
      </w:r>
    </w:p>
    <w:p w14:paraId="24FE7680" w14:textId="5F8C21D7"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 xml:space="preserve">Rash, pruritus </w:t>
      </w:r>
    </w:p>
    <w:p w14:paraId="5114C632"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r>
      <w:proofErr w:type="spellStart"/>
      <w:r w:rsidRPr="00743A3B">
        <w:rPr>
          <w:rFonts w:eastAsia="Times New Roman" w:cs="Times New Roman"/>
          <w:szCs w:val="20"/>
          <w:lang w:val="en-GB"/>
        </w:rPr>
        <w:t>Urticaria</w:t>
      </w:r>
      <w:proofErr w:type="spellEnd"/>
    </w:p>
    <w:p w14:paraId="2F352F17"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Musculoskeletal, connective tissue and bone disorders</w:t>
      </w:r>
    </w:p>
    <w:p w14:paraId="265C4C51" w14:textId="753571E2"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 xml:space="preserve">Limb pain </w:t>
      </w:r>
    </w:p>
    <w:p w14:paraId="2EEC6114" w14:textId="3DE8736D" w:rsidR="00743A3B" w:rsidRDefault="00743A3B" w:rsidP="00743A3B">
      <w:r w:rsidRPr="00743A3B">
        <w:rPr>
          <w:rFonts w:eastAsia="Times New Roman" w:cs="Times New Roman"/>
          <w:szCs w:val="20"/>
          <w:lang w:val="en-GB"/>
        </w:rPr>
        <w:t xml:space="preserve">Uncommon: </w:t>
      </w:r>
      <w:r w:rsidRPr="00743A3B">
        <w:rPr>
          <w:rFonts w:eastAsia="Times New Roman" w:cs="Times New Roman"/>
          <w:szCs w:val="20"/>
          <w:lang w:val="en-GB"/>
        </w:rPr>
        <w:tab/>
        <w:t>Arthralgia, muscle pain, muscular weakness, muscle cramps</w:t>
      </w:r>
    </w:p>
    <w:p w14:paraId="141C29E3"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lastRenderedPageBreak/>
        <w:t>Renal and Urinary disorders</w:t>
      </w:r>
    </w:p>
    <w:p w14:paraId="177FB080"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Renal impairment including renal failure and renal insufficiency</w:t>
      </w:r>
    </w:p>
    <w:p w14:paraId="3A7DA88F"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Reproductive system and breast disorders</w:t>
      </w:r>
    </w:p>
    <w:p w14:paraId="01B8593C"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Vaginitis</w:t>
      </w:r>
    </w:p>
    <w:p w14:paraId="02D172B5"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General disorders and administration site conditions</w:t>
      </w:r>
    </w:p>
    <w:p w14:paraId="382A2B19" w14:textId="3AA295E0"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 xml:space="preserve">Infusion site reaction, pyrexia, asthenia,  </w:t>
      </w:r>
    </w:p>
    <w:p w14:paraId="44C43168"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Fatigue, chills</w:t>
      </w:r>
    </w:p>
    <w:p w14:paraId="0FC62CFC"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Investigations</w:t>
      </w:r>
    </w:p>
    <w:p w14:paraId="40B86E01" w14:textId="438A2D69"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 xml:space="preserve">Common: </w:t>
      </w:r>
      <w:r>
        <w:rPr>
          <w:rFonts w:eastAsia="Times New Roman" w:cs="Times New Roman"/>
          <w:szCs w:val="20"/>
          <w:lang w:val="en-GB"/>
        </w:rPr>
        <w:tab/>
      </w:r>
      <w:r w:rsidR="00743A3B" w:rsidRPr="00743A3B">
        <w:rPr>
          <w:rFonts w:eastAsia="Times New Roman" w:cs="Times New Roman"/>
          <w:szCs w:val="20"/>
          <w:lang w:val="en-GB"/>
        </w:rPr>
        <w:t xml:space="preserve">Blood </w:t>
      </w:r>
      <w:proofErr w:type="spellStart"/>
      <w:r w:rsidR="00743A3B" w:rsidRPr="00743A3B">
        <w:rPr>
          <w:rFonts w:eastAsia="Times New Roman" w:cs="Times New Roman"/>
          <w:szCs w:val="20"/>
          <w:lang w:val="en-GB"/>
        </w:rPr>
        <w:t>creatine</w:t>
      </w:r>
      <w:proofErr w:type="spellEnd"/>
      <w:r w:rsidR="00743A3B" w:rsidRPr="00743A3B">
        <w:rPr>
          <w:rFonts w:eastAsia="Times New Roman" w:cs="Times New Roman"/>
          <w:szCs w:val="20"/>
          <w:lang w:val="en-GB"/>
        </w:rPr>
        <w:t xml:space="preserve"> phosphokinase (CPK) increased, liver function test </w:t>
      </w:r>
    </w:p>
    <w:p w14:paraId="7E60E783" w14:textId="527B7B39"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ab/>
      </w:r>
      <w:r>
        <w:rPr>
          <w:rFonts w:eastAsia="Times New Roman" w:cs="Times New Roman"/>
          <w:szCs w:val="20"/>
          <w:lang w:val="en-GB"/>
        </w:rPr>
        <w:tab/>
      </w:r>
      <w:r w:rsidR="00743A3B" w:rsidRPr="00743A3B">
        <w:rPr>
          <w:rFonts w:eastAsia="Times New Roman" w:cs="Times New Roman"/>
          <w:szCs w:val="20"/>
          <w:lang w:val="en-GB"/>
        </w:rPr>
        <w:t xml:space="preserve">abnormal (increased ALT, AST, or ALP) </w:t>
      </w:r>
    </w:p>
    <w:p w14:paraId="669E93E9"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Uncommon: </w:t>
      </w:r>
      <w:r w:rsidRPr="00743A3B">
        <w:rPr>
          <w:rFonts w:eastAsia="Times New Roman" w:cs="Times New Roman"/>
          <w:szCs w:val="20"/>
          <w:lang w:val="en-GB"/>
        </w:rPr>
        <w:tab/>
        <w:t xml:space="preserve">Blood lactate dehydrogenase (LDH) increased, blood creatinine increased, </w:t>
      </w:r>
    </w:p>
    <w:p w14:paraId="6C9D2D21" w14:textId="0684CF2A" w:rsidR="00743A3B" w:rsidRPr="00743A3B" w:rsidRDefault="003064D5"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Pr>
          <w:rFonts w:eastAsia="Times New Roman" w:cs="Times New Roman"/>
          <w:szCs w:val="20"/>
          <w:lang w:val="en-GB"/>
        </w:rPr>
        <w:tab/>
      </w:r>
      <w:r>
        <w:rPr>
          <w:rFonts w:eastAsia="Times New Roman" w:cs="Times New Roman"/>
          <w:szCs w:val="20"/>
          <w:lang w:val="en-GB"/>
        </w:rPr>
        <w:tab/>
      </w:r>
      <w:r w:rsidR="00743A3B" w:rsidRPr="00743A3B">
        <w:rPr>
          <w:rFonts w:eastAsia="Times New Roman" w:cs="Times New Roman"/>
          <w:szCs w:val="20"/>
          <w:lang w:val="en-GB"/>
        </w:rPr>
        <w:t>International Normalised Ratio (INR) increased</w:t>
      </w:r>
    </w:p>
    <w:p w14:paraId="64D942DF" w14:textId="77777777" w:rsid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lang w:val="en-GB"/>
        </w:rPr>
      </w:pPr>
      <w:r w:rsidRPr="00743A3B">
        <w:rPr>
          <w:rFonts w:eastAsia="Times New Roman" w:cs="Times New Roman"/>
          <w:szCs w:val="20"/>
          <w:lang w:val="en-GB"/>
        </w:rPr>
        <w:t xml:space="preserve">Rare: </w:t>
      </w:r>
      <w:r w:rsidRPr="00743A3B">
        <w:rPr>
          <w:rFonts w:eastAsia="Times New Roman" w:cs="Times New Roman"/>
          <w:szCs w:val="20"/>
          <w:lang w:val="en-GB"/>
        </w:rPr>
        <w:tab/>
      </w:r>
      <w:r w:rsidRPr="00743A3B">
        <w:rPr>
          <w:rFonts w:eastAsia="Times New Roman" w:cs="Times New Roman"/>
          <w:szCs w:val="20"/>
          <w:lang w:val="en-GB"/>
        </w:rPr>
        <w:tab/>
        <w:t>Prothrombin time (PT) prolonged</w:t>
      </w:r>
    </w:p>
    <w:p w14:paraId="5098DEE3" w14:textId="77777777" w:rsidR="00743A3B" w:rsidRPr="001C4B71" w:rsidRDefault="00743A3B" w:rsidP="00743A3B">
      <w:pPr>
        <w:keepNext/>
        <w:keepLines/>
        <w:widowControl w:val="0"/>
        <w:tabs>
          <w:tab w:val="left" w:pos="0"/>
        </w:tabs>
        <w:autoSpaceDE w:val="0"/>
        <w:autoSpaceDN w:val="0"/>
        <w:adjustRightInd w:val="0"/>
        <w:spacing w:before="240" w:after="60" w:line="320" w:lineRule="atLeast"/>
        <w:ind w:left="1701" w:hanging="1701"/>
        <w:jc w:val="both"/>
        <w:rPr>
          <w:rFonts w:eastAsia="Times New Roman" w:cs="Times New Roman"/>
          <w:b/>
          <w:szCs w:val="24"/>
        </w:rPr>
      </w:pPr>
      <w:r w:rsidRPr="001C4B71">
        <w:rPr>
          <w:rFonts w:eastAsia="Times New Roman" w:cs="Times New Roman"/>
          <w:b/>
          <w:szCs w:val="24"/>
        </w:rPr>
        <w:t>Post-Marketing</w:t>
      </w:r>
    </w:p>
    <w:p w14:paraId="13AB7CF7" w14:textId="77777777" w:rsid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r w:rsidRPr="00743A3B">
        <w:rPr>
          <w:rFonts w:eastAsia="Times New Roman" w:cs="Times New Roman"/>
          <w:szCs w:val="20"/>
        </w:rPr>
        <w:t>The following adverse drug reactions, not listed above, have been reported during worldwide post-marketing experience:</w:t>
      </w:r>
    </w:p>
    <w:p w14:paraId="63AB1335" w14:textId="47682307" w:rsidR="00823EB1" w:rsidRPr="00283E49" w:rsidRDefault="00823EB1" w:rsidP="00743A3B">
      <w:pPr>
        <w:widowControl w:val="0"/>
        <w:tabs>
          <w:tab w:val="left" w:pos="0"/>
        </w:tabs>
        <w:autoSpaceDE w:val="0"/>
        <w:autoSpaceDN w:val="0"/>
        <w:adjustRightInd w:val="0"/>
        <w:spacing w:before="120" w:after="0" w:line="320" w:lineRule="atLeast"/>
        <w:jc w:val="both"/>
        <w:rPr>
          <w:rFonts w:eastAsia="Times New Roman" w:cs="Times New Roman"/>
          <w:szCs w:val="20"/>
          <w:u w:val="single"/>
        </w:rPr>
      </w:pPr>
      <w:r w:rsidRPr="00283E49">
        <w:rPr>
          <w:rFonts w:eastAsia="Times New Roman" w:cs="Times New Roman"/>
          <w:szCs w:val="20"/>
          <w:u w:val="single"/>
        </w:rPr>
        <w:t>Blood and lymphatic system disorders</w:t>
      </w:r>
    </w:p>
    <w:p w14:paraId="75012151" w14:textId="6F54C5B4" w:rsidR="00823EB1" w:rsidRPr="00743A3B" w:rsidRDefault="00823EB1"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r>
        <w:rPr>
          <w:rFonts w:eastAsia="Times New Roman" w:cs="Times New Roman"/>
          <w:szCs w:val="20"/>
        </w:rPr>
        <w:t>Thrombocytopenia</w:t>
      </w:r>
    </w:p>
    <w:p w14:paraId="2D21F82C"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Immune system disorders</w:t>
      </w:r>
    </w:p>
    <w:p w14:paraId="0B3A863B" w14:textId="73F6E279"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r w:rsidRPr="00743A3B">
        <w:rPr>
          <w:rFonts w:eastAsia="Times New Roman" w:cs="Times New Roman"/>
          <w:szCs w:val="20"/>
        </w:rPr>
        <w:t xml:space="preserve">Hypersensitivity reactions (see </w:t>
      </w:r>
      <w:r w:rsidR="005729DA">
        <w:rPr>
          <w:rFonts w:eastAsia="Times New Roman" w:cs="Times New Roman"/>
          <w:szCs w:val="20"/>
        </w:rPr>
        <w:t>section 4.4 SPECIAL WARNINGS AND PRECAUTIONS FOR USE)</w:t>
      </w:r>
      <w:r w:rsidRPr="00743A3B">
        <w:rPr>
          <w:rFonts w:eastAsia="Times New Roman" w:cs="Times New Roman"/>
          <w:szCs w:val="20"/>
        </w:rPr>
        <w:t xml:space="preserve"> including, but not limited to: anaphylaxis, angioedema, drug rash with eosinophilia and systemic symptoms (DRESS) and pulmonary eosinophilia</w:t>
      </w:r>
    </w:p>
    <w:p w14:paraId="24C4AFCB"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Musculoskeletal, connective tissue and bone disorders</w:t>
      </w:r>
    </w:p>
    <w:p w14:paraId="2898BAFD" w14:textId="0AEF0CF4"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r w:rsidRPr="00743A3B">
        <w:rPr>
          <w:rFonts w:eastAsia="Times New Roman" w:cs="Times New Roman"/>
          <w:szCs w:val="20"/>
        </w:rPr>
        <w:t xml:space="preserve">Rhabdomyolysis (see </w:t>
      </w:r>
      <w:r w:rsidR="005729DA">
        <w:rPr>
          <w:rFonts w:eastAsia="Times New Roman" w:cs="Times New Roman"/>
          <w:szCs w:val="20"/>
        </w:rPr>
        <w:t xml:space="preserve">section 4.4 SPECIAL WARNINGS AND PRECAUTIONS FOR USE) </w:t>
      </w:r>
    </w:p>
    <w:p w14:paraId="6D01F5D5"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Nervous system disorders</w:t>
      </w:r>
    </w:p>
    <w:p w14:paraId="7F40E66F" w14:textId="62AD84B8" w:rsid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r w:rsidRPr="00743A3B">
        <w:rPr>
          <w:rFonts w:eastAsia="Times New Roman" w:cs="Times New Roman"/>
          <w:szCs w:val="20"/>
        </w:rPr>
        <w:t xml:space="preserve">Peripheral neuropathy (see </w:t>
      </w:r>
      <w:r w:rsidR="005729DA">
        <w:rPr>
          <w:rFonts w:eastAsia="Times New Roman" w:cs="Times New Roman"/>
          <w:szCs w:val="20"/>
        </w:rPr>
        <w:t>section 4.4 SPECIAL WARNINGS AND PRECAUTIONS FOR USE)</w:t>
      </w:r>
    </w:p>
    <w:p w14:paraId="31C40045"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Infections and infestations</w:t>
      </w:r>
    </w:p>
    <w:p w14:paraId="05099737" w14:textId="77777777" w:rsidR="005729DA" w:rsidRDefault="00743A3B" w:rsidP="005729DA">
      <w:pPr>
        <w:widowControl w:val="0"/>
        <w:tabs>
          <w:tab w:val="left" w:pos="0"/>
        </w:tabs>
        <w:autoSpaceDE w:val="0"/>
        <w:autoSpaceDN w:val="0"/>
        <w:adjustRightInd w:val="0"/>
        <w:spacing w:before="120" w:after="0" w:line="320" w:lineRule="atLeast"/>
        <w:jc w:val="both"/>
        <w:rPr>
          <w:rFonts w:eastAsia="Times New Roman" w:cs="Times New Roman"/>
          <w:szCs w:val="20"/>
        </w:rPr>
      </w:pPr>
      <w:r w:rsidRPr="00743A3B">
        <w:rPr>
          <w:rFonts w:eastAsia="Times New Roman" w:cs="Times New Roman"/>
          <w:i/>
          <w:iCs/>
          <w:szCs w:val="20"/>
          <w:lang w:val="en-GB"/>
        </w:rPr>
        <w:t>Clostridium difficile</w:t>
      </w:r>
      <w:r w:rsidRPr="00743A3B">
        <w:rPr>
          <w:rFonts w:eastAsia="Times New Roman" w:cs="Times New Roman"/>
          <w:szCs w:val="20"/>
          <w:lang w:val="en-GB"/>
        </w:rPr>
        <w:t>-</w:t>
      </w:r>
      <w:r w:rsidRPr="00743A3B">
        <w:rPr>
          <w:rFonts w:eastAsia="Times New Roman" w:cs="Times New Roman"/>
          <w:szCs w:val="20"/>
        </w:rPr>
        <w:t xml:space="preserve">associated diarrhoea (see </w:t>
      </w:r>
      <w:r w:rsidR="005729DA">
        <w:rPr>
          <w:rFonts w:eastAsia="Times New Roman" w:cs="Times New Roman"/>
          <w:szCs w:val="20"/>
        </w:rPr>
        <w:t>section 4.4 SPECIAL WARNINGS AND PRECAUTIONS FOR USE)</w:t>
      </w:r>
    </w:p>
    <w:p w14:paraId="3EBC14AA"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Investigations</w:t>
      </w:r>
    </w:p>
    <w:p w14:paraId="5071A323" w14:textId="6F11BBFB"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r w:rsidRPr="00743A3B">
        <w:rPr>
          <w:rFonts w:eastAsia="Times New Roman" w:cs="Times New Roman"/>
          <w:szCs w:val="20"/>
        </w:rPr>
        <w:t>Myoglobin increased</w:t>
      </w:r>
      <w:r w:rsidR="00823EB1">
        <w:rPr>
          <w:rFonts w:eastAsia="Times New Roman" w:cs="Times New Roman"/>
          <w:szCs w:val="20"/>
        </w:rPr>
        <w:t>, platelet count decreased</w:t>
      </w:r>
    </w:p>
    <w:p w14:paraId="4A733C2A"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lastRenderedPageBreak/>
        <w:t>Skin and subcutaneous tissue disorders</w:t>
      </w:r>
    </w:p>
    <w:p w14:paraId="41D7F8D1" w14:textId="67D7BA8E"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proofErr w:type="spellStart"/>
      <w:r w:rsidRPr="00743A3B">
        <w:rPr>
          <w:rFonts w:eastAsia="Times New Roman" w:cs="Times New Roman"/>
          <w:szCs w:val="20"/>
        </w:rPr>
        <w:t>Vesiculobullous</w:t>
      </w:r>
      <w:proofErr w:type="spellEnd"/>
      <w:r w:rsidRPr="00743A3B">
        <w:rPr>
          <w:rFonts w:eastAsia="Times New Roman" w:cs="Times New Roman"/>
          <w:szCs w:val="20"/>
        </w:rPr>
        <w:t xml:space="preserve"> rash, with or without mucous membrane involvement</w:t>
      </w:r>
    </w:p>
    <w:p w14:paraId="15713070" w14:textId="77777777" w:rsidR="00743A3B" w:rsidRPr="00743A3B" w:rsidRDefault="00743A3B" w:rsidP="00743A3B">
      <w:pPr>
        <w:widowControl w:val="0"/>
        <w:tabs>
          <w:tab w:val="left" w:pos="0"/>
        </w:tabs>
        <w:autoSpaceDE w:val="0"/>
        <w:autoSpaceDN w:val="0"/>
        <w:adjustRightInd w:val="0"/>
        <w:spacing w:before="120" w:after="0" w:line="320" w:lineRule="atLeast"/>
        <w:jc w:val="both"/>
        <w:rPr>
          <w:rFonts w:eastAsia="Times New Roman" w:cs="Times New Roman"/>
          <w:szCs w:val="20"/>
        </w:rPr>
      </w:pPr>
      <w:r w:rsidRPr="00743A3B">
        <w:rPr>
          <w:rFonts w:eastAsia="Times New Roman" w:cs="Times New Roman"/>
          <w:szCs w:val="20"/>
        </w:rPr>
        <w:t xml:space="preserve">Acute generalised </w:t>
      </w:r>
      <w:proofErr w:type="spellStart"/>
      <w:r w:rsidRPr="00743A3B">
        <w:rPr>
          <w:rFonts w:eastAsia="Times New Roman" w:cs="Times New Roman"/>
          <w:szCs w:val="20"/>
        </w:rPr>
        <w:t>exanthematous</w:t>
      </w:r>
      <w:proofErr w:type="spellEnd"/>
      <w:r w:rsidRPr="00743A3B">
        <w:rPr>
          <w:rFonts w:eastAsia="Times New Roman" w:cs="Times New Roman"/>
          <w:szCs w:val="20"/>
        </w:rPr>
        <w:t xml:space="preserve"> </w:t>
      </w:r>
      <w:proofErr w:type="spellStart"/>
      <w:r w:rsidRPr="00743A3B">
        <w:rPr>
          <w:rFonts w:eastAsia="Times New Roman" w:cs="Times New Roman"/>
          <w:szCs w:val="20"/>
        </w:rPr>
        <w:t>pustulosis</w:t>
      </w:r>
      <w:proofErr w:type="spellEnd"/>
    </w:p>
    <w:p w14:paraId="0B0FBDFA" w14:textId="77777777" w:rsidR="00743A3B" w:rsidRPr="001C4B71" w:rsidRDefault="00743A3B" w:rsidP="001C4B71">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1C4B71">
        <w:rPr>
          <w:rFonts w:eastAsia="Times New Roman" w:cs="Times New Roman"/>
          <w:szCs w:val="24"/>
          <w:u w:val="single"/>
          <w:lang w:val="nb-NO"/>
        </w:rPr>
        <w:t>Respiratory, thoracic and mediastinal disorders</w:t>
      </w:r>
    </w:p>
    <w:p w14:paraId="75F7DA1D" w14:textId="1B91001D" w:rsidR="00743A3B" w:rsidRDefault="00743A3B" w:rsidP="00743A3B">
      <w:pPr>
        <w:widowControl w:val="0"/>
        <w:tabs>
          <w:tab w:val="left" w:pos="0"/>
        </w:tabs>
        <w:autoSpaceDE w:val="0"/>
        <w:autoSpaceDN w:val="0"/>
        <w:adjustRightInd w:val="0"/>
        <w:spacing w:after="0" w:line="320" w:lineRule="atLeast"/>
        <w:jc w:val="both"/>
        <w:rPr>
          <w:rFonts w:eastAsia="Times New Roman" w:cs="Times New Roman"/>
          <w:szCs w:val="24"/>
        </w:rPr>
      </w:pPr>
      <w:r w:rsidRPr="00743A3B">
        <w:rPr>
          <w:rFonts w:eastAsia="Times New Roman" w:cs="Times New Roman"/>
          <w:szCs w:val="20"/>
        </w:rPr>
        <w:t>Eosinophilic pneumonia (see</w:t>
      </w:r>
      <w:r w:rsidR="005729DA">
        <w:rPr>
          <w:rFonts w:eastAsia="Times New Roman" w:cs="Times New Roman"/>
          <w:szCs w:val="20"/>
        </w:rPr>
        <w:t xml:space="preserve"> section 4.4 SPECIAL WARNINGS AND PRECAUTIONS FOR USE</w:t>
      </w:r>
      <w:r w:rsidRPr="00743A3B">
        <w:rPr>
          <w:rFonts w:eastAsia="Times New Roman" w:cs="Times New Roman"/>
          <w:szCs w:val="20"/>
        </w:rPr>
        <w:t xml:space="preserve">), organising pneumonia, </w:t>
      </w:r>
      <w:r w:rsidRPr="00743A3B">
        <w:rPr>
          <w:rFonts w:eastAsia="Times New Roman" w:cs="Times New Roman"/>
          <w:szCs w:val="24"/>
        </w:rPr>
        <w:t>cough.</w:t>
      </w:r>
    </w:p>
    <w:p w14:paraId="40CFC3D7" w14:textId="52C612D5" w:rsidR="008E56EC" w:rsidRDefault="008E56EC" w:rsidP="00743A3B">
      <w:pPr>
        <w:widowControl w:val="0"/>
        <w:tabs>
          <w:tab w:val="left" w:pos="0"/>
        </w:tabs>
        <w:autoSpaceDE w:val="0"/>
        <w:autoSpaceDN w:val="0"/>
        <w:adjustRightInd w:val="0"/>
        <w:spacing w:after="0" w:line="320" w:lineRule="atLeast"/>
        <w:jc w:val="both"/>
        <w:rPr>
          <w:rFonts w:eastAsia="Times New Roman" w:cs="Times New Roman"/>
          <w:szCs w:val="20"/>
          <w:u w:val="single"/>
        </w:rPr>
      </w:pPr>
    </w:p>
    <w:p w14:paraId="57181AB9" w14:textId="4206EE4C" w:rsidR="004519AF" w:rsidRPr="004519AF" w:rsidRDefault="004519AF" w:rsidP="00743A3B">
      <w:pPr>
        <w:widowControl w:val="0"/>
        <w:tabs>
          <w:tab w:val="left" w:pos="0"/>
        </w:tabs>
        <w:autoSpaceDE w:val="0"/>
        <w:autoSpaceDN w:val="0"/>
        <w:adjustRightInd w:val="0"/>
        <w:spacing w:after="0" w:line="320" w:lineRule="atLeast"/>
        <w:jc w:val="both"/>
        <w:rPr>
          <w:rFonts w:eastAsia="Times New Roman" w:cs="Times New Roman"/>
          <w:b/>
          <w:szCs w:val="20"/>
        </w:rPr>
      </w:pPr>
      <w:r w:rsidRPr="004519AF">
        <w:rPr>
          <w:rFonts w:eastAsia="Times New Roman" w:cs="Times New Roman"/>
          <w:b/>
          <w:szCs w:val="20"/>
        </w:rPr>
        <w:t>Reporting suspected adverse effects</w:t>
      </w:r>
    </w:p>
    <w:p w14:paraId="33353ECC" w14:textId="5C5F34F0" w:rsidR="00743A3B" w:rsidRPr="00E2270F" w:rsidRDefault="00743A3B" w:rsidP="00C94FA2">
      <w:pPr>
        <w:jc w:val="both"/>
        <w:rPr>
          <w:rFonts w:cs="Times New Roman"/>
          <w:color w:val="FF0000"/>
          <w:szCs w:val="24"/>
        </w:rPr>
      </w:pPr>
      <w:r w:rsidRPr="00283E49">
        <w:rPr>
          <w:rFonts w:cs="Times New Roman"/>
          <w:szCs w:val="24"/>
        </w:rPr>
        <w:t>Reporting suspected</w:t>
      </w:r>
      <w:r w:rsidR="00E2270F" w:rsidRPr="00283E49">
        <w:rPr>
          <w:rFonts w:cs="Times New Roman"/>
          <w:szCs w:val="24"/>
        </w:rPr>
        <w:t xml:space="preserve"> </w:t>
      </w:r>
      <w:r w:rsidRPr="00283E49">
        <w:rPr>
          <w:rFonts w:cs="Times New Roman"/>
          <w:szCs w:val="24"/>
        </w:rPr>
        <w:t>adverse reactions after registration of the medicinal</w:t>
      </w:r>
      <w:r w:rsidR="00E2270F" w:rsidRPr="00283E49">
        <w:rPr>
          <w:rFonts w:cs="Times New Roman"/>
          <w:szCs w:val="24"/>
        </w:rPr>
        <w:t xml:space="preserve"> </w:t>
      </w:r>
      <w:r w:rsidRPr="00283E49">
        <w:rPr>
          <w:rFonts w:cs="Times New Roman"/>
          <w:szCs w:val="24"/>
        </w:rPr>
        <w:t xml:space="preserve">product is important.  It allows continued monitoring of the benefit-risk balance of the medicinal product.  Healthcare professionals are asked to report any suspected adverse reactions at </w:t>
      </w:r>
      <w:hyperlink r:id="rId13" w:history="1">
        <w:r w:rsidR="00E2270F" w:rsidRPr="00E2270F">
          <w:rPr>
            <w:rStyle w:val="Hyperlink"/>
            <w:rFonts w:cs="Times New Roman"/>
            <w:szCs w:val="24"/>
          </w:rPr>
          <w:t>http://www.tga.gov.au/reporting-problems</w:t>
        </w:r>
      </w:hyperlink>
      <w:r w:rsidR="00E2270F" w:rsidRPr="00E2270F">
        <w:rPr>
          <w:rFonts w:cs="Times New Roman"/>
          <w:color w:val="FF0000"/>
          <w:szCs w:val="24"/>
        </w:rPr>
        <w:t>.</w:t>
      </w:r>
    </w:p>
    <w:p w14:paraId="64A5E05E" w14:textId="77777777" w:rsidR="001A3992" w:rsidRDefault="001A3992" w:rsidP="001A3992">
      <w:pPr>
        <w:pStyle w:val="Heading2"/>
        <w:keepNext/>
        <w:keepLines/>
        <w:spacing w:before="0" w:after="120"/>
      </w:pPr>
      <w:r>
        <w:t>Overdose</w:t>
      </w:r>
    </w:p>
    <w:p w14:paraId="1ECB74BB" w14:textId="77777777" w:rsidR="00E2270F" w:rsidRPr="00E2270F" w:rsidRDefault="00E2270F" w:rsidP="00C94FA2">
      <w:pPr>
        <w:jc w:val="both"/>
        <w:rPr>
          <w:rFonts w:cs="Times New Roman"/>
          <w:szCs w:val="24"/>
        </w:rPr>
      </w:pPr>
      <w:r w:rsidRPr="00E2270F">
        <w:rPr>
          <w:rFonts w:cs="Times New Roman"/>
          <w:szCs w:val="24"/>
        </w:rPr>
        <w:t xml:space="preserve">In the event of overdose, supportive care is advised.  </w:t>
      </w:r>
      <w:proofErr w:type="spellStart"/>
      <w:r w:rsidRPr="00E2270F">
        <w:rPr>
          <w:rFonts w:cs="Times New Roman"/>
          <w:szCs w:val="24"/>
        </w:rPr>
        <w:t>Daptomycin</w:t>
      </w:r>
      <w:proofErr w:type="spellEnd"/>
      <w:r w:rsidRPr="00E2270F">
        <w:rPr>
          <w:rFonts w:cs="Times New Roman"/>
          <w:szCs w:val="24"/>
        </w:rPr>
        <w:t xml:space="preserve"> is slowly cleared from the body by haemodialysis (approximately 15 % of the administered dose is removed over 4 hours) or by peritoneal dialysis (approximately 11 % of the administered dose is removed over 48 hours).</w:t>
      </w:r>
    </w:p>
    <w:p w14:paraId="73976D1D" w14:textId="72D021A3" w:rsidR="00E2270F" w:rsidRPr="00283E49" w:rsidRDefault="00E2270F" w:rsidP="00C94FA2">
      <w:pPr>
        <w:jc w:val="both"/>
        <w:rPr>
          <w:rFonts w:cs="Times New Roman"/>
          <w:strike/>
          <w:szCs w:val="24"/>
        </w:rPr>
      </w:pPr>
      <w:r w:rsidRPr="00283E49">
        <w:rPr>
          <w:rFonts w:cs="Times New Roman"/>
          <w:szCs w:val="24"/>
        </w:rPr>
        <w:t xml:space="preserve">For information on the management of overdose, contact the </w:t>
      </w:r>
      <w:r w:rsidRPr="00283E49">
        <w:rPr>
          <w:rFonts w:cs="Times New Roman"/>
          <w:i/>
          <w:szCs w:val="24"/>
        </w:rPr>
        <w:t xml:space="preserve">Poisons Information Centre </w:t>
      </w:r>
      <w:r w:rsidRPr="00283E49">
        <w:rPr>
          <w:rFonts w:cs="Times New Roman"/>
          <w:szCs w:val="24"/>
        </w:rPr>
        <w:t>on 13 11 26 (Australia).</w:t>
      </w:r>
      <w:r w:rsidR="00283E49" w:rsidRPr="00283E49" w:rsidDel="00283E49">
        <w:rPr>
          <w:rFonts w:cs="Times New Roman"/>
          <w:szCs w:val="24"/>
        </w:rPr>
        <w:t xml:space="preserve"> </w:t>
      </w:r>
    </w:p>
    <w:p w14:paraId="4C5F50B7" w14:textId="77777777" w:rsidR="00E2270F" w:rsidRPr="00E2270F" w:rsidRDefault="00E2270F" w:rsidP="00E2270F"/>
    <w:p w14:paraId="4A9D6F62" w14:textId="77777777" w:rsidR="001A3992" w:rsidRDefault="001A3992" w:rsidP="001A3992">
      <w:pPr>
        <w:pStyle w:val="Heading1"/>
        <w:spacing w:before="0" w:after="120"/>
        <w:rPr>
          <w:lang w:val="en-US"/>
        </w:rPr>
      </w:pPr>
      <w:r w:rsidRPr="00035C95">
        <w:rPr>
          <w:lang w:val="en-US"/>
        </w:rPr>
        <w:t>Pharmacolog</w:t>
      </w:r>
      <w:r>
        <w:rPr>
          <w:lang w:val="en-US"/>
        </w:rPr>
        <w:t>ical properties</w:t>
      </w:r>
    </w:p>
    <w:p w14:paraId="14C6D866" w14:textId="77777777" w:rsidR="001A3992" w:rsidRDefault="001A3992" w:rsidP="001A3992">
      <w:pPr>
        <w:pStyle w:val="Heading2"/>
        <w:spacing w:before="0" w:after="120"/>
        <w:rPr>
          <w:lang w:val="en-US"/>
        </w:rPr>
      </w:pPr>
      <w:proofErr w:type="spellStart"/>
      <w:r w:rsidRPr="00EC3C40">
        <w:rPr>
          <w:lang w:val="en-US"/>
        </w:rPr>
        <w:t>Pharmacodynamic</w:t>
      </w:r>
      <w:proofErr w:type="spellEnd"/>
      <w:r w:rsidRPr="00EC3C40">
        <w:rPr>
          <w:lang w:val="en-US"/>
        </w:rPr>
        <w:t xml:space="preserve"> properties </w:t>
      </w:r>
    </w:p>
    <w:p w14:paraId="0A4FB106" w14:textId="77777777" w:rsidR="003C799A" w:rsidRDefault="003C799A" w:rsidP="00C94FA2">
      <w:pPr>
        <w:jc w:val="both"/>
        <w:rPr>
          <w:rFonts w:eastAsia="Times New Roman" w:cs="Times New Roman"/>
          <w:szCs w:val="20"/>
        </w:rPr>
      </w:pPr>
      <w:proofErr w:type="spellStart"/>
      <w:r w:rsidRPr="00E2270F">
        <w:rPr>
          <w:rFonts w:eastAsia="Times New Roman" w:cs="Times New Roman"/>
          <w:szCs w:val="20"/>
        </w:rPr>
        <w:t>Daptomycin</w:t>
      </w:r>
      <w:proofErr w:type="spellEnd"/>
      <w:r w:rsidRPr="00E2270F">
        <w:rPr>
          <w:rFonts w:eastAsia="Times New Roman" w:cs="Times New Roman"/>
          <w:szCs w:val="20"/>
        </w:rPr>
        <w:t xml:space="preserve"> is an antibacterial agent of a new class of antibiotics, the cyclic </w:t>
      </w:r>
      <w:proofErr w:type="spellStart"/>
      <w:r w:rsidRPr="00E2270F">
        <w:rPr>
          <w:rFonts w:eastAsia="Times New Roman" w:cs="Times New Roman"/>
          <w:szCs w:val="20"/>
        </w:rPr>
        <w:t>lipopeptides</w:t>
      </w:r>
      <w:proofErr w:type="spellEnd"/>
      <w:r w:rsidRPr="00E2270F">
        <w:rPr>
          <w:rFonts w:eastAsia="Times New Roman" w:cs="Times New Roman"/>
          <w:szCs w:val="20"/>
        </w:rPr>
        <w:t xml:space="preserve">.  </w:t>
      </w:r>
      <w:proofErr w:type="spellStart"/>
      <w:r w:rsidRPr="00E2270F">
        <w:rPr>
          <w:rFonts w:eastAsia="Times New Roman" w:cs="Times New Roman"/>
          <w:szCs w:val="20"/>
        </w:rPr>
        <w:t>Daptomycin</w:t>
      </w:r>
      <w:proofErr w:type="spellEnd"/>
      <w:r w:rsidRPr="00E2270F">
        <w:rPr>
          <w:rFonts w:eastAsia="Times New Roman" w:cs="Times New Roman"/>
          <w:szCs w:val="20"/>
        </w:rPr>
        <w:t xml:space="preserve"> is a natural product that has clinical utility in the treatment of infections caused by </w:t>
      </w:r>
      <w:r w:rsidRPr="00E2270F">
        <w:rPr>
          <w:rFonts w:eastAsia="Times New Roman" w:cs="Times New Roman"/>
          <w:bCs/>
          <w:szCs w:val="20"/>
        </w:rPr>
        <w:t>aerobic</w:t>
      </w:r>
      <w:r w:rsidRPr="00E2270F">
        <w:rPr>
          <w:rFonts w:eastAsia="Times New Roman" w:cs="Times New Roman"/>
          <w:szCs w:val="20"/>
        </w:rPr>
        <w:t xml:space="preserve"> Gram-positive bacteria.  </w:t>
      </w:r>
      <w:proofErr w:type="spellStart"/>
      <w:r w:rsidRPr="00E2270F">
        <w:rPr>
          <w:rFonts w:eastAsia="Times New Roman" w:cs="Times New Roman"/>
          <w:szCs w:val="20"/>
        </w:rPr>
        <w:t>Daptomycin</w:t>
      </w:r>
      <w:proofErr w:type="spellEnd"/>
      <w:r w:rsidRPr="00E2270F">
        <w:rPr>
          <w:rFonts w:eastAsia="Times New Roman" w:cs="Times New Roman"/>
          <w:szCs w:val="20"/>
        </w:rPr>
        <w:t xml:space="preserve"> retains potency against antibiotic-resistant Gram-positive bacteria, including isolates resistant to methicillin, vancomycin, and linezolid.</w:t>
      </w:r>
    </w:p>
    <w:p w14:paraId="2B6873B5" w14:textId="77777777" w:rsidR="001A3992" w:rsidRDefault="001A3992" w:rsidP="001A3992">
      <w:pPr>
        <w:pStyle w:val="Heading3"/>
        <w:spacing w:before="0" w:after="120"/>
      </w:pPr>
      <w:r w:rsidRPr="00B878CC">
        <w:t>Mechanism of action</w:t>
      </w:r>
    </w:p>
    <w:p w14:paraId="69181C9D" w14:textId="3E05D034" w:rsidR="00E2270F" w:rsidRPr="00E2270F" w:rsidRDefault="00E2270F" w:rsidP="00C94FA2">
      <w:pPr>
        <w:jc w:val="both"/>
        <w:rPr>
          <w:rFonts w:eastAsia="Times New Roman" w:cs="Times New Roman"/>
          <w:szCs w:val="20"/>
        </w:rPr>
      </w:pPr>
      <w:r w:rsidRPr="00E2270F">
        <w:rPr>
          <w:rFonts w:eastAsia="Times New Roman" w:cs="Times New Roman"/>
          <w:szCs w:val="20"/>
        </w:rPr>
        <w:t xml:space="preserve">The mechanism of action of </w:t>
      </w:r>
      <w:proofErr w:type="spellStart"/>
      <w:r w:rsidRPr="00E2270F">
        <w:rPr>
          <w:rFonts w:eastAsia="Times New Roman" w:cs="Times New Roman"/>
          <w:szCs w:val="20"/>
        </w:rPr>
        <w:t>daptomycin</w:t>
      </w:r>
      <w:proofErr w:type="spellEnd"/>
      <w:r w:rsidRPr="00E2270F">
        <w:rPr>
          <w:rFonts w:eastAsia="Times New Roman" w:cs="Times New Roman"/>
          <w:szCs w:val="20"/>
        </w:rPr>
        <w:t xml:space="preserve"> is distinct from that of any other antibiotic.  </w:t>
      </w:r>
      <w:proofErr w:type="spellStart"/>
      <w:r w:rsidRPr="00E2270F">
        <w:rPr>
          <w:rFonts w:eastAsia="Times New Roman" w:cs="Times New Roman"/>
          <w:szCs w:val="20"/>
        </w:rPr>
        <w:t>Daptomycin</w:t>
      </w:r>
      <w:proofErr w:type="spellEnd"/>
      <w:r w:rsidRPr="00E2270F">
        <w:rPr>
          <w:rFonts w:eastAsia="Times New Roman" w:cs="Times New Roman"/>
          <w:szCs w:val="20"/>
        </w:rPr>
        <w:t xml:space="preserve"> binds to bacterial membranes and causes a rapid depolarisation of membrane potential in both growing and stationary phase cells.  This loss of membrane potential causes inhibition of protein, DNA, and RNA synthesis.  This results in bacterial cell death with negligible cell lysis.</w:t>
      </w:r>
    </w:p>
    <w:p w14:paraId="48B85F9D" w14:textId="34FF681A" w:rsidR="003C799A" w:rsidRDefault="003C799A" w:rsidP="003C799A">
      <w:pPr>
        <w:pStyle w:val="Heading3"/>
        <w:spacing w:before="0" w:after="120"/>
      </w:pPr>
      <w:r>
        <w:lastRenderedPageBreak/>
        <w:t>Resistance</w:t>
      </w:r>
    </w:p>
    <w:p w14:paraId="1F2AFD16" w14:textId="6BC393D4" w:rsidR="003C799A" w:rsidRPr="003C799A" w:rsidRDefault="003C799A" w:rsidP="003C799A">
      <w:pPr>
        <w:keepNext/>
        <w:keepLines/>
        <w:widowControl w:val="0"/>
        <w:tabs>
          <w:tab w:val="left" w:pos="0"/>
        </w:tabs>
        <w:autoSpaceDE w:val="0"/>
        <w:autoSpaceDN w:val="0"/>
        <w:adjustRightInd w:val="0"/>
        <w:spacing w:after="0" w:line="240" w:lineRule="auto"/>
        <w:jc w:val="both"/>
        <w:outlineLvl w:val="2"/>
        <w:rPr>
          <w:rFonts w:eastAsia="Times New Roman" w:cs="Times New Roman"/>
          <w:szCs w:val="20"/>
        </w:rPr>
      </w:pPr>
      <w:r w:rsidRPr="003C799A">
        <w:rPr>
          <w:rFonts w:eastAsia="Times New Roman" w:cs="Times New Roman"/>
          <w:szCs w:val="20"/>
        </w:rPr>
        <w:t xml:space="preserve">The mechanism of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resistance is not fully understood. There are no known transferable elements that confer resistance to </w:t>
      </w:r>
      <w:proofErr w:type="spellStart"/>
      <w:r w:rsidRPr="003C799A">
        <w:rPr>
          <w:rFonts w:eastAsia="Times New Roman" w:cs="Times New Roman"/>
          <w:szCs w:val="20"/>
        </w:rPr>
        <w:t>daptomycin</w:t>
      </w:r>
      <w:proofErr w:type="spellEnd"/>
      <w:r w:rsidRPr="003C799A">
        <w:rPr>
          <w:rFonts w:eastAsia="Times New Roman" w:cs="Times New Roman"/>
          <w:szCs w:val="20"/>
        </w:rPr>
        <w:t>.</w:t>
      </w:r>
    </w:p>
    <w:p w14:paraId="4F3BFFC5"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p>
    <w:p w14:paraId="4BD00D0B"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 xml:space="preserve">There is no cross-resistance due to resistance mechanisms that are specific for another class of antibiotics. </w:t>
      </w:r>
    </w:p>
    <w:p w14:paraId="07914F18"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p>
    <w:p w14:paraId="6C93F500" w14:textId="628DA08C"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 xml:space="preserve">As documented with other antibiotics when used in patients with difficult to treat infections and/or for prolonged periods, emergent decreases in susceptibility have been observed in both </w:t>
      </w:r>
      <w:r w:rsidRPr="003C799A">
        <w:rPr>
          <w:rFonts w:eastAsia="Times New Roman" w:cs="Times New Roman"/>
          <w:i/>
          <w:iCs/>
          <w:szCs w:val="20"/>
        </w:rPr>
        <w:t>S. aureus</w:t>
      </w:r>
      <w:r w:rsidRPr="003C799A">
        <w:rPr>
          <w:rFonts w:eastAsia="Times New Roman" w:cs="Times New Roman"/>
          <w:szCs w:val="20"/>
        </w:rPr>
        <w:t xml:space="preserve"> and </w:t>
      </w:r>
      <w:proofErr w:type="spellStart"/>
      <w:r w:rsidRPr="003C799A">
        <w:rPr>
          <w:rFonts w:eastAsia="Times New Roman" w:cs="Times New Roman"/>
          <w:szCs w:val="20"/>
        </w:rPr>
        <w:t>enterococcal</w:t>
      </w:r>
      <w:proofErr w:type="spellEnd"/>
      <w:r w:rsidRPr="003C799A">
        <w:rPr>
          <w:rFonts w:eastAsia="Times New Roman" w:cs="Times New Roman"/>
          <w:szCs w:val="20"/>
        </w:rPr>
        <w:t xml:space="preserve"> isolates following </w:t>
      </w:r>
      <w:r w:rsidR="00F23D48">
        <w:rPr>
          <w:rFonts w:eastAsia="Times New Roman" w:cs="Times New Roman"/>
          <w:szCs w:val="20"/>
        </w:rPr>
        <w:t>CUBICIN</w:t>
      </w:r>
      <w:r w:rsidRPr="003C799A">
        <w:rPr>
          <w:rFonts w:eastAsia="Times New Roman" w:cs="Times New Roman"/>
          <w:szCs w:val="20"/>
        </w:rPr>
        <w:t xml:space="preserve"> therapy.</w:t>
      </w:r>
    </w:p>
    <w:p w14:paraId="535FC235" w14:textId="77777777" w:rsidR="003C799A" w:rsidRDefault="003C799A" w:rsidP="003C799A">
      <w:pPr>
        <w:keepNext/>
        <w:keepLines/>
        <w:widowControl w:val="0"/>
        <w:tabs>
          <w:tab w:val="left" w:pos="0"/>
        </w:tabs>
        <w:autoSpaceDE w:val="0"/>
        <w:autoSpaceDN w:val="0"/>
        <w:adjustRightInd w:val="0"/>
        <w:spacing w:after="0" w:line="240" w:lineRule="auto"/>
        <w:jc w:val="both"/>
        <w:outlineLvl w:val="2"/>
        <w:rPr>
          <w:rFonts w:eastAsia="Times New Roman" w:cs="Times New Roman"/>
          <w:bCs/>
          <w:color w:val="000000"/>
          <w:szCs w:val="24"/>
        </w:rPr>
      </w:pPr>
    </w:p>
    <w:p w14:paraId="78E9E19B" w14:textId="0565830F" w:rsidR="003C799A" w:rsidRDefault="003C799A" w:rsidP="003C799A">
      <w:pPr>
        <w:pStyle w:val="Heading3"/>
        <w:spacing w:before="0" w:after="120"/>
      </w:pPr>
      <w:r>
        <w:t>PK/PD relationship</w:t>
      </w:r>
    </w:p>
    <w:p w14:paraId="4A59B419"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exhibits rapid, concentration dependent bactericidal activity against sensitive Gram-positive organisms </w:t>
      </w:r>
      <w:r w:rsidRPr="003C799A">
        <w:rPr>
          <w:rFonts w:eastAsia="Times New Roman" w:cs="Times New Roman"/>
          <w:i/>
          <w:szCs w:val="20"/>
        </w:rPr>
        <w:t>in vitro</w:t>
      </w:r>
      <w:r w:rsidRPr="003C799A">
        <w:rPr>
          <w:rFonts w:eastAsia="Times New Roman" w:cs="Times New Roman"/>
          <w:szCs w:val="20"/>
        </w:rPr>
        <w:t>.</w:t>
      </w:r>
    </w:p>
    <w:p w14:paraId="6E5F07DC"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p>
    <w:p w14:paraId="4EBD6886" w14:textId="151C618E"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 xml:space="preserve">Based on animal models of infection, the antimicrobial activity of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appears to correlate with the AUC/MIC (area under the concentration-time curve/minimum inhibitory concentration) ratio for certain pathogens, including </w:t>
      </w:r>
      <w:r w:rsidRPr="003C799A">
        <w:rPr>
          <w:rFonts w:eastAsia="Times New Roman" w:cs="Times New Roman"/>
          <w:i/>
          <w:szCs w:val="20"/>
        </w:rPr>
        <w:t>S.</w:t>
      </w:r>
      <w:r w:rsidR="004050F5">
        <w:rPr>
          <w:rFonts w:eastAsia="Times New Roman" w:cs="Times New Roman"/>
          <w:i/>
          <w:szCs w:val="20"/>
        </w:rPr>
        <w:t xml:space="preserve"> </w:t>
      </w:r>
      <w:r w:rsidRPr="003C799A">
        <w:rPr>
          <w:rFonts w:eastAsia="Times New Roman" w:cs="Times New Roman"/>
          <w:i/>
          <w:szCs w:val="20"/>
        </w:rPr>
        <w:t>aureus</w:t>
      </w:r>
      <w:r w:rsidRPr="003C799A">
        <w:rPr>
          <w:rFonts w:eastAsia="Times New Roman" w:cs="Times New Roman"/>
          <w:szCs w:val="20"/>
        </w:rPr>
        <w:t xml:space="preserve">. The principal pharmacokinetic/pharmacodynamics parameter best associated with clinical and microbiological cure has not been elucidated in clinical trials with </w:t>
      </w:r>
      <w:r w:rsidR="00F23D48">
        <w:rPr>
          <w:rFonts w:eastAsia="Times New Roman" w:cs="Times New Roman"/>
          <w:szCs w:val="20"/>
        </w:rPr>
        <w:t>CUBICIN</w:t>
      </w:r>
      <w:r w:rsidRPr="003C799A">
        <w:rPr>
          <w:rFonts w:eastAsia="Times New Roman" w:cs="Times New Roman"/>
          <w:szCs w:val="20"/>
        </w:rPr>
        <w:t>.</w:t>
      </w:r>
    </w:p>
    <w:p w14:paraId="3173F0E6" w14:textId="77777777" w:rsidR="003C799A" w:rsidRDefault="003C799A" w:rsidP="001A3992">
      <w:pPr>
        <w:pStyle w:val="Heading3"/>
        <w:spacing w:before="0" w:after="120"/>
      </w:pPr>
    </w:p>
    <w:p w14:paraId="612BB880" w14:textId="77777777" w:rsidR="001A3992" w:rsidRDefault="001A3992" w:rsidP="001A3992">
      <w:pPr>
        <w:pStyle w:val="Heading3"/>
        <w:spacing w:before="0" w:after="120"/>
        <w:rPr>
          <w:lang w:val="en-US"/>
        </w:rPr>
      </w:pPr>
      <w:r w:rsidRPr="00B878CC">
        <w:t>Clinical</w:t>
      </w:r>
      <w:r w:rsidRPr="00B878CC">
        <w:rPr>
          <w:lang w:val="en-US"/>
        </w:rPr>
        <w:t xml:space="preserve"> trials</w:t>
      </w:r>
    </w:p>
    <w:p w14:paraId="4C9EE139" w14:textId="37552F8E" w:rsidR="003C799A" w:rsidRPr="003C799A" w:rsidRDefault="003C799A" w:rsidP="003C799A">
      <w:pPr>
        <w:rPr>
          <w:rFonts w:cs="Times New Roman"/>
          <w:szCs w:val="24"/>
          <w:u w:val="single"/>
          <w:lang w:val="en-US"/>
        </w:rPr>
      </w:pPr>
      <w:r w:rsidRPr="003C799A">
        <w:rPr>
          <w:rFonts w:cs="Times New Roman"/>
          <w:szCs w:val="24"/>
          <w:u w:val="single"/>
          <w:lang w:val="en-US"/>
        </w:rPr>
        <w:t>Complicated Skin and Skin Structure Infections (</w:t>
      </w:r>
      <w:proofErr w:type="spellStart"/>
      <w:r w:rsidRPr="003C799A">
        <w:rPr>
          <w:rFonts w:cs="Times New Roman"/>
          <w:szCs w:val="24"/>
          <w:u w:val="single"/>
          <w:lang w:val="en-US"/>
        </w:rPr>
        <w:t>cSSSI</w:t>
      </w:r>
      <w:proofErr w:type="spellEnd"/>
      <w:r w:rsidRPr="003C799A">
        <w:rPr>
          <w:rFonts w:cs="Times New Roman"/>
          <w:szCs w:val="24"/>
          <w:u w:val="single"/>
          <w:lang w:val="en-US"/>
        </w:rPr>
        <w:t>)</w:t>
      </w:r>
    </w:p>
    <w:p w14:paraId="333B5D39" w14:textId="77777777" w:rsidR="003C799A" w:rsidRDefault="003C799A" w:rsidP="00C94FA2">
      <w:pPr>
        <w:jc w:val="both"/>
        <w:rPr>
          <w:rFonts w:eastAsia="Times New Roman" w:cs="Times New Roman"/>
          <w:szCs w:val="20"/>
          <w:lang w:val="en-GB"/>
        </w:rPr>
      </w:pPr>
      <w:r w:rsidRPr="003C799A">
        <w:rPr>
          <w:rFonts w:eastAsia="Times New Roman" w:cs="Times New Roman"/>
          <w:szCs w:val="20"/>
          <w:lang w:val="en-GB"/>
        </w:rPr>
        <w:t>Skin and skin structure infections are defined as infections of the epidermis, dermis or subcutaneous tissue, and have highly diverse aetiologies and clinical manifestations.  The complicated category includes deep soft tissue infections which require significant medical intervention, and abnormal skin or wound infections, which typically occur in compromised patients and may require surgical intervention.</w:t>
      </w:r>
    </w:p>
    <w:p w14:paraId="0DF6C48D" w14:textId="77777777" w:rsidR="00C776C2" w:rsidRPr="00C776C2" w:rsidRDefault="00C776C2" w:rsidP="00C776C2">
      <w:pPr>
        <w:rPr>
          <w:rFonts w:cs="Times New Roman"/>
          <w:i/>
          <w:szCs w:val="24"/>
          <w:u w:val="single"/>
          <w:lang w:val="en-US"/>
        </w:rPr>
      </w:pPr>
      <w:r w:rsidRPr="00C776C2">
        <w:rPr>
          <w:rFonts w:cs="Times New Roman"/>
          <w:i/>
          <w:szCs w:val="24"/>
          <w:u w:val="single"/>
          <w:lang w:val="en-US"/>
        </w:rPr>
        <w:t xml:space="preserve">Adults with </w:t>
      </w:r>
      <w:proofErr w:type="spellStart"/>
      <w:r w:rsidRPr="00C776C2">
        <w:rPr>
          <w:rFonts w:cs="Times New Roman"/>
          <w:i/>
          <w:szCs w:val="24"/>
          <w:u w:val="single"/>
          <w:lang w:val="en-US"/>
        </w:rPr>
        <w:t>cSSSI</w:t>
      </w:r>
      <w:proofErr w:type="spellEnd"/>
      <w:r w:rsidRPr="00C776C2">
        <w:rPr>
          <w:rFonts w:cs="Times New Roman"/>
          <w:i/>
          <w:szCs w:val="24"/>
          <w:u w:val="single"/>
          <w:lang w:val="en-US"/>
        </w:rPr>
        <w:t xml:space="preserve"> </w:t>
      </w:r>
    </w:p>
    <w:p w14:paraId="0BBCCB4C" w14:textId="08FC21DA" w:rsid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lang w:val="en-GB"/>
        </w:rPr>
      </w:pPr>
      <w:r w:rsidRPr="003C799A">
        <w:rPr>
          <w:rFonts w:eastAsia="Times New Roman" w:cs="Times New Roman"/>
          <w:szCs w:val="20"/>
        </w:rPr>
        <w:t xml:space="preserve">Adult patients with clinically documented </w:t>
      </w:r>
      <w:proofErr w:type="spellStart"/>
      <w:r w:rsidRPr="003C799A">
        <w:rPr>
          <w:rFonts w:eastAsia="Times New Roman" w:cs="Times New Roman"/>
          <w:szCs w:val="20"/>
        </w:rPr>
        <w:t>cSSSI</w:t>
      </w:r>
      <w:proofErr w:type="spellEnd"/>
      <w:r w:rsidRPr="003C799A">
        <w:rPr>
          <w:rFonts w:eastAsia="Times New Roman" w:cs="Times New Roman"/>
          <w:szCs w:val="20"/>
        </w:rPr>
        <w:t xml:space="preserve"> (</w:t>
      </w:r>
      <w:r w:rsidRPr="00B67592">
        <w:rPr>
          <w:rFonts w:eastAsia="Times New Roman" w:cs="Times New Roman"/>
          <w:szCs w:val="20"/>
        </w:rPr>
        <w:t xml:space="preserve">Table </w:t>
      </w:r>
      <w:r w:rsidR="00B84E20">
        <w:rPr>
          <w:rFonts w:eastAsia="Times New Roman" w:cs="Times New Roman"/>
          <w:szCs w:val="20"/>
        </w:rPr>
        <w:t>3</w:t>
      </w:r>
      <w:r w:rsidRPr="00B67592">
        <w:rPr>
          <w:rFonts w:eastAsia="Times New Roman" w:cs="Times New Roman"/>
          <w:szCs w:val="20"/>
        </w:rPr>
        <w:t>)</w:t>
      </w:r>
      <w:r w:rsidRPr="003C799A">
        <w:rPr>
          <w:rFonts w:eastAsia="Times New Roman" w:cs="Times New Roman"/>
          <w:szCs w:val="20"/>
        </w:rPr>
        <w:t xml:space="preserve"> were enrolled in two randomised, multinational, multicentre, investigator-blinded studies comparing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(4 mg/kg IV q24h) with either vancomycin (1 g IV q12h) or an anti-staphylococcal semi-synthetic penicillin (i.e., </w:t>
      </w:r>
      <w:proofErr w:type="spellStart"/>
      <w:r w:rsidRPr="003C799A">
        <w:rPr>
          <w:rFonts w:eastAsia="Times New Roman" w:cs="Times New Roman"/>
          <w:szCs w:val="20"/>
        </w:rPr>
        <w:t>nafcillin</w:t>
      </w:r>
      <w:proofErr w:type="spellEnd"/>
      <w:r w:rsidRPr="003C799A">
        <w:rPr>
          <w:rFonts w:eastAsia="Times New Roman" w:cs="Times New Roman"/>
          <w:szCs w:val="20"/>
        </w:rPr>
        <w:t xml:space="preserve">, </w:t>
      </w:r>
      <w:proofErr w:type="spellStart"/>
      <w:r w:rsidRPr="003C799A">
        <w:rPr>
          <w:rFonts w:eastAsia="Times New Roman" w:cs="Times New Roman"/>
          <w:szCs w:val="20"/>
        </w:rPr>
        <w:t>oxacillin</w:t>
      </w:r>
      <w:proofErr w:type="spellEnd"/>
      <w:r w:rsidRPr="003C799A">
        <w:rPr>
          <w:rFonts w:eastAsia="Times New Roman" w:cs="Times New Roman"/>
          <w:szCs w:val="20"/>
        </w:rPr>
        <w:t xml:space="preserve">, </w:t>
      </w:r>
      <w:proofErr w:type="spellStart"/>
      <w:r w:rsidRPr="003C799A">
        <w:rPr>
          <w:rFonts w:eastAsia="Times New Roman" w:cs="Times New Roman"/>
          <w:szCs w:val="20"/>
        </w:rPr>
        <w:t>cloxacillin</w:t>
      </w:r>
      <w:proofErr w:type="spellEnd"/>
      <w:r w:rsidRPr="003C799A">
        <w:rPr>
          <w:rFonts w:eastAsia="Times New Roman" w:cs="Times New Roman"/>
          <w:szCs w:val="20"/>
        </w:rPr>
        <w:t xml:space="preserve">, or </w:t>
      </w:r>
      <w:proofErr w:type="spellStart"/>
      <w:r w:rsidRPr="003C799A">
        <w:rPr>
          <w:rFonts w:eastAsia="Times New Roman" w:cs="Times New Roman"/>
          <w:szCs w:val="20"/>
        </w:rPr>
        <w:t>flucloxacillin</w:t>
      </w:r>
      <w:proofErr w:type="spellEnd"/>
      <w:r w:rsidRPr="003C799A">
        <w:rPr>
          <w:rFonts w:eastAsia="Times New Roman" w:cs="Times New Roman"/>
          <w:szCs w:val="20"/>
        </w:rPr>
        <w:t xml:space="preserve">; 4 to 12 g IV per day).  </w:t>
      </w:r>
      <w:r w:rsidRPr="003C799A">
        <w:rPr>
          <w:rFonts w:eastAsia="Times New Roman" w:cs="Times New Roman"/>
          <w:szCs w:val="20"/>
          <w:lang w:val="en-GB"/>
        </w:rPr>
        <w:t xml:space="preserve">In these trials </w:t>
      </w:r>
      <w:proofErr w:type="spellStart"/>
      <w:r w:rsidRPr="003C799A">
        <w:rPr>
          <w:rFonts w:eastAsia="Times New Roman" w:cs="Times New Roman"/>
          <w:szCs w:val="20"/>
          <w:lang w:val="en-GB"/>
        </w:rPr>
        <w:t>cSSSIs</w:t>
      </w:r>
      <w:proofErr w:type="spellEnd"/>
      <w:r w:rsidRPr="003C799A">
        <w:rPr>
          <w:rFonts w:eastAsia="Times New Roman" w:cs="Times New Roman"/>
          <w:szCs w:val="20"/>
          <w:lang w:val="en-GB"/>
        </w:rPr>
        <w:t xml:space="preserve"> included wound infections, major abscesses, severe </w:t>
      </w:r>
      <w:proofErr w:type="spellStart"/>
      <w:r w:rsidRPr="003C799A">
        <w:rPr>
          <w:rFonts w:eastAsia="Times New Roman" w:cs="Times New Roman"/>
          <w:szCs w:val="20"/>
          <w:lang w:val="en-GB"/>
        </w:rPr>
        <w:t>carbunculosis</w:t>
      </w:r>
      <w:proofErr w:type="spellEnd"/>
      <w:r w:rsidRPr="003C799A">
        <w:rPr>
          <w:rFonts w:eastAsia="Times New Roman" w:cs="Times New Roman"/>
          <w:szCs w:val="20"/>
          <w:lang w:val="en-GB"/>
        </w:rPr>
        <w:t>, infected ulcers and infections in the presence of a complicating factor, such as infections involving deep soft tissue, fascia, or muscle and infections in immunosuppressed patients (e.g. HIV infection, chronic systemic steroids, diabetes mellitus).</w:t>
      </w:r>
    </w:p>
    <w:p w14:paraId="64CFE3B8" w14:textId="77777777" w:rsid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lang w:val="en-GB"/>
        </w:rPr>
      </w:pPr>
    </w:p>
    <w:p w14:paraId="6AF07A31"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 xml:space="preserve">Patients known to have bacteraemia at baseline were excluded.  Patients with creatinine </w:t>
      </w:r>
      <w:r w:rsidRPr="003C799A">
        <w:rPr>
          <w:rFonts w:eastAsia="Times New Roman" w:cs="Times New Roman"/>
          <w:szCs w:val="20"/>
        </w:rPr>
        <w:lastRenderedPageBreak/>
        <w:t>clearance (CL</w:t>
      </w:r>
      <w:r w:rsidRPr="003C799A">
        <w:rPr>
          <w:rFonts w:eastAsia="Times New Roman" w:cs="Times New Roman"/>
          <w:szCs w:val="20"/>
          <w:vertAlign w:val="subscript"/>
        </w:rPr>
        <w:t>CR</w:t>
      </w:r>
      <w:r w:rsidRPr="003C799A">
        <w:rPr>
          <w:rFonts w:eastAsia="Times New Roman" w:cs="Times New Roman"/>
          <w:szCs w:val="20"/>
        </w:rPr>
        <w:t xml:space="preserve">) between 30 and 70 mL/min were to receive a lower dose of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as specified in the protocol; however, the majority of patients in this subpopulation did not have the dose of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adjusted.  In Study DAP-SST-9801 (9801), 16 % of the ITT patients treated with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had their regimen adjusted for renal function.  In Study DAP-SST-9901 (9901), only 2 % had their regimen adjusted.  Patients could switch to oral therapy after a minimum of 4 days of IV treatment if clinical improvement was demonstrated.</w:t>
      </w:r>
    </w:p>
    <w:p w14:paraId="268C8943"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p>
    <w:p w14:paraId="787A928C"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 xml:space="preserve">Study 9801 was conducted primarily in the United States and South Africa, whilst Study 9901 was conducted outside of the US, including 5 sites in Australia.  Both studies were similar in design but differed in patient characteristics, including history of diabetes and peripheral vascular disease.  There were a total of 534 patients treated with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and 558 treated with comparator in the two studies.  The majority (89.7 %) of patients received IV medication exclusively.</w:t>
      </w:r>
    </w:p>
    <w:p w14:paraId="11550271"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p>
    <w:p w14:paraId="054B6D04"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The efficacy endpoints in both studies were the clinical success rates in the intent-to-treat (ITT) population and in the clinically evaluable (CE) population.  The ITT population included all enrolled subjects who had a complicated skin and soft tissue infection and received at least one dose of study medication.  The CE population consisted of all subjects in the ITT population who met specific pre-defined criteria such that the clinical outcome of their infection could be inferred to reflect the effect of the study drug.</w:t>
      </w:r>
    </w:p>
    <w:p w14:paraId="39A1DC44"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p>
    <w:p w14:paraId="118BDDD2"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 xml:space="preserve">In study 9801, clinical success rates in the ITT population were 62.5 % (165/264) in patients treated with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and 60.9 % (162/266) in patients treated with comparator drugs.  Clinical success rates in the CE population were 76.0 % (158/208) in patients treated with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and 76.7 % (158/206) in patients treated with comparator drugs.  In study 9901, clinical success rates in the ITT population were 80.4 % (217/270) in patients treated with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and 80.5 % (235/292) in patients treated with comparator drugs.  Clinical success rates in the CE population were 89.9 % (214/238) in patients treated with </w:t>
      </w:r>
      <w:proofErr w:type="spellStart"/>
      <w:r w:rsidRPr="003C799A">
        <w:rPr>
          <w:rFonts w:eastAsia="Times New Roman" w:cs="Times New Roman"/>
          <w:szCs w:val="20"/>
        </w:rPr>
        <w:t>daptomycin</w:t>
      </w:r>
      <w:proofErr w:type="spellEnd"/>
      <w:r w:rsidRPr="003C799A">
        <w:rPr>
          <w:rFonts w:eastAsia="Times New Roman" w:cs="Times New Roman"/>
          <w:szCs w:val="20"/>
        </w:rPr>
        <w:t xml:space="preserve"> and 90.4 % (226/250) in patients treated with comparator drugs.</w:t>
      </w:r>
    </w:p>
    <w:p w14:paraId="598553E6"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lang w:val="en-GB"/>
        </w:rPr>
      </w:pPr>
    </w:p>
    <w:p w14:paraId="5754E369" w14:textId="4BAB6F2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rPr>
      </w:pPr>
      <w:r w:rsidRPr="003C799A">
        <w:rPr>
          <w:rFonts w:eastAsia="Times New Roman" w:cs="Times New Roman"/>
          <w:szCs w:val="20"/>
        </w:rPr>
        <w:t xml:space="preserve">The success rates by pathogen for microbiologically evaluable patients are presented in </w:t>
      </w:r>
      <w:r w:rsidRPr="004C3EED">
        <w:rPr>
          <w:rFonts w:eastAsia="Times New Roman" w:cs="Times New Roman"/>
          <w:szCs w:val="20"/>
        </w:rPr>
        <w:t xml:space="preserve">Table </w:t>
      </w:r>
      <w:r w:rsidR="00B84E20">
        <w:rPr>
          <w:rFonts w:eastAsia="Times New Roman" w:cs="Times New Roman"/>
          <w:szCs w:val="20"/>
        </w:rPr>
        <w:t>4</w:t>
      </w:r>
      <w:r w:rsidRPr="004C3EED">
        <w:rPr>
          <w:rFonts w:eastAsia="Times New Roman" w:cs="Times New Roman"/>
          <w:szCs w:val="20"/>
        </w:rPr>
        <w:t>.</w:t>
      </w:r>
    </w:p>
    <w:p w14:paraId="6EA508A3" w14:textId="77777777"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lang w:bidi="th-TH"/>
        </w:rPr>
      </w:pPr>
    </w:p>
    <w:p w14:paraId="4C4938B8" w14:textId="02E50E7F" w:rsidR="003C799A" w:rsidRPr="003C799A" w:rsidRDefault="003C799A" w:rsidP="003C799A">
      <w:pPr>
        <w:widowControl w:val="0"/>
        <w:tabs>
          <w:tab w:val="left" w:pos="0"/>
        </w:tabs>
        <w:autoSpaceDE w:val="0"/>
        <w:autoSpaceDN w:val="0"/>
        <w:adjustRightInd w:val="0"/>
        <w:spacing w:after="0" w:line="320" w:lineRule="atLeast"/>
        <w:jc w:val="both"/>
        <w:rPr>
          <w:rFonts w:eastAsia="Times New Roman" w:cs="Times New Roman"/>
          <w:szCs w:val="20"/>
          <w:lang w:bidi="th-TH"/>
        </w:rPr>
      </w:pPr>
      <w:r w:rsidRPr="003C799A">
        <w:rPr>
          <w:rFonts w:eastAsia="Times New Roman" w:cs="Times New Roman"/>
          <w:szCs w:val="20"/>
          <w:lang w:bidi="th-TH"/>
        </w:rPr>
        <w:t xml:space="preserve">Overall clinical efficacy results are provided in </w:t>
      </w:r>
      <w:r w:rsidRPr="004C3EED">
        <w:rPr>
          <w:rFonts w:eastAsia="Times New Roman" w:cs="Times New Roman"/>
          <w:szCs w:val="20"/>
          <w:lang w:bidi="th-TH"/>
        </w:rPr>
        <w:t xml:space="preserve">Tables </w:t>
      </w:r>
      <w:r w:rsidR="00B84E20">
        <w:rPr>
          <w:rFonts w:eastAsia="Times New Roman" w:cs="Times New Roman"/>
          <w:szCs w:val="20"/>
          <w:lang w:bidi="th-TH"/>
        </w:rPr>
        <w:t>5</w:t>
      </w:r>
      <w:r w:rsidRPr="004C3EED">
        <w:rPr>
          <w:rFonts w:eastAsia="Times New Roman" w:cs="Times New Roman"/>
          <w:szCs w:val="20"/>
          <w:lang w:bidi="th-TH"/>
        </w:rPr>
        <w:t xml:space="preserve"> and </w:t>
      </w:r>
      <w:r w:rsidR="00B84E20">
        <w:rPr>
          <w:rFonts w:eastAsia="Times New Roman" w:cs="Times New Roman"/>
          <w:szCs w:val="20"/>
          <w:lang w:bidi="th-TH"/>
        </w:rPr>
        <w:t>6</w:t>
      </w:r>
      <w:r w:rsidRPr="003C799A">
        <w:rPr>
          <w:rFonts w:eastAsia="Times New Roman" w:cs="Times New Roman"/>
          <w:szCs w:val="20"/>
          <w:lang w:bidi="th-TH"/>
        </w:rPr>
        <w:t xml:space="preserve"> in terms of the sponsor-defined primary clinical efficacy parameters at the Test of Cure visit (7</w:t>
      </w:r>
      <w:r w:rsidRPr="003C799A">
        <w:rPr>
          <w:rFonts w:eastAsia="Times New Roman" w:cs="Times New Roman"/>
          <w:szCs w:val="20"/>
          <w:lang w:bidi="th-TH"/>
        </w:rPr>
        <w:noBreakHyphen/>
        <w:t>12 days after cessation of antibiotic treatment) for MITT and CE populations.</w:t>
      </w:r>
    </w:p>
    <w:p w14:paraId="35F530C3" w14:textId="2869DAAE" w:rsidR="003C799A" w:rsidRPr="007A30E6" w:rsidRDefault="003C799A" w:rsidP="003C799A">
      <w:pPr>
        <w:pStyle w:val="Caption"/>
      </w:pPr>
      <w:r w:rsidRPr="007A30E6">
        <w:lastRenderedPageBreak/>
        <w:t xml:space="preserve">Table </w:t>
      </w:r>
      <w:r w:rsidR="00B84E20">
        <w:t>3</w:t>
      </w:r>
      <w:r w:rsidRPr="007A30E6">
        <w:t xml:space="preserve"> Investigator’s Primary Diagnosis in the </w:t>
      </w:r>
      <w:proofErr w:type="spellStart"/>
      <w:r w:rsidRPr="007A30E6">
        <w:t>cSSSI</w:t>
      </w:r>
      <w:proofErr w:type="spellEnd"/>
      <w:r w:rsidRPr="007A30E6">
        <w:t xml:space="preserve"> Studies (Population: ITT)</w:t>
      </w:r>
    </w:p>
    <w:tbl>
      <w:tblPr>
        <w:tblW w:w="3451" w:type="pct"/>
        <w:tblInd w:w="107" w:type="dxa"/>
        <w:tblBorders>
          <w:top w:val="double" w:sz="6" w:space="0" w:color="auto"/>
          <w:left w:val="single" w:sz="6" w:space="0" w:color="auto"/>
          <w:right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252"/>
        <w:gridCol w:w="1656"/>
        <w:gridCol w:w="1656"/>
        <w:gridCol w:w="1655"/>
      </w:tblGrid>
      <w:tr w:rsidR="00582DD0" w:rsidRPr="003C799A" w14:paraId="5927B5C3" w14:textId="77777777" w:rsidTr="009554FD">
        <w:tc>
          <w:tcPr>
            <w:tcW w:w="1281" w:type="dxa"/>
            <w:tcBorders>
              <w:top w:val="single" w:sz="6" w:space="0" w:color="auto"/>
              <w:bottom w:val="single" w:sz="6" w:space="0" w:color="auto"/>
              <w:right w:val="single" w:sz="6" w:space="0" w:color="auto"/>
            </w:tcBorders>
            <w:vAlign w:val="center"/>
          </w:tcPr>
          <w:p w14:paraId="788D9AC4" w14:textId="77777777" w:rsidR="00582DD0" w:rsidRPr="003C799A" w:rsidRDefault="00582DD0"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
        </w:tc>
        <w:tc>
          <w:tcPr>
            <w:tcW w:w="5096" w:type="dxa"/>
            <w:gridSpan w:val="3"/>
            <w:tcBorders>
              <w:top w:val="single" w:sz="6" w:space="0" w:color="auto"/>
              <w:left w:val="single" w:sz="6" w:space="0" w:color="auto"/>
              <w:bottom w:val="single" w:sz="6" w:space="0" w:color="auto"/>
            </w:tcBorders>
          </w:tcPr>
          <w:p w14:paraId="419BC035" w14:textId="77777777" w:rsidR="00582DD0" w:rsidRDefault="00582DD0" w:rsidP="00582DD0">
            <w:pPr>
              <w:keepNext/>
              <w:widowControl w:val="0"/>
              <w:suppressLineNumbers/>
              <w:autoSpaceDE w:val="0"/>
              <w:autoSpaceDN w:val="0"/>
              <w:adjustRightInd w:val="0"/>
              <w:spacing w:before="40" w:after="60" w:line="240" w:lineRule="auto"/>
              <w:jc w:val="center"/>
              <w:rPr>
                <w:rFonts w:eastAsia="Times" w:cs="Times New Roman"/>
                <w:b/>
                <w:snapToGrid w:val="0"/>
                <w:sz w:val="20"/>
                <w:szCs w:val="20"/>
                <w:lang w:val="pt-BR"/>
              </w:rPr>
            </w:pPr>
            <w:r>
              <w:rPr>
                <w:rFonts w:eastAsia="Times" w:cs="Times New Roman"/>
                <w:b/>
                <w:snapToGrid w:val="0"/>
                <w:sz w:val="20"/>
                <w:szCs w:val="20"/>
                <w:lang w:val="pt-BR"/>
              </w:rPr>
              <w:t>Adult Patients</w:t>
            </w:r>
          </w:p>
          <w:p w14:paraId="7E568B37" w14:textId="34556985" w:rsidR="00582DD0" w:rsidRPr="003C799A" w:rsidRDefault="00F23D48" w:rsidP="00582DD0">
            <w:pPr>
              <w:keepNext/>
              <w:widowControl w:val="0"/>
              <w:suppressLineNumbers/>
              <w:autoSpaceDE w:val="0"/>
              <w:autoSpaceDN w:val="0"/>
              <w:adjustRightInd w:val="0"/>
              <w:spacing w:before="40" w:after="60" w:line="240" w:lineRule="auto"/>
              <w:jc w:val="center"/>
              <w:rPr>
                <w:rFonts w:eastAsia="Times" w:cs="Times New Roman"/>
                <w:b/>
                <w:snapToGrid w:val="0"/>
                <w:sz w:val="20"/>
                <w:szCs w:val="20"/>
                <w:lang w:val="pt-BR"/>
              </w:rPr>
            </w:pPr>
            <w:r>
              <w:rPr>
                <w:rFonts w:eastAsia="Times" w:cs="Times New Roman"/>
                <w:b/>
                <w:snapToGrid w:val="0"/>
                <w:sz w:val="20"/>
                <w:szCs w:val="20"/>
                <w:lang w:val="pt-BR"/>
              </w:rPr>
              <w:t>CUBICIN</w:t>
            </w:r>
            <w:r w:rsidR="00582DD0">
              <w:rPr>
                <w:rFonts w:eastAsia="Times" w:cs="Times New Roman"/>
                <w:b/>
                <w:snapToGrid w:val="0"/>
                <w:sz w:val="20"/>
                <w:szCs w:val="20"/>
                <w:lang w:val="pt-BR"/>
              </w:rPr>
              <w:t>/Comparator*</w:t>
            </w:r>
          </w:p>
        </w:tc>
      </w:tr>
      <w:tr w:rsidR="003C799A" w:rsidRPr="003C799A" w14:paraId="4D103D51" w14:textId="77777777" w:rsidTr="003C799A">
        <w:tc>
          <w:tcPr>
            <w:tcW w:w="1281" w:type="dxa"/>
            <w:tcBorders>
              <w:top w:val="single" w:sz="6" w:space="0" w:color="auto"/>
              <w:bottom w:val="single" w:sz="6" w:space="0" w:color="auto"/>
              <w:right w:val="single" w:sz="6" w:space="0" w:color="auto"/>
            </w:tcBorders>
            <w:vAlign w:val="center"/>
          </w:tcPr>
          <w:p w14:paraId="29074000" w14:textId="0F297A89"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3C799A">
              <w:rPr>
                <w:rFonts w:eastAsia="Times" w:cs="Times New Roman"/>
                <w:b/>
                <w:snapToGrid w:val="0"/>
                <w:sz w:val="20"/>
                <w:szCs w:val="20"/>
              </w:rPr>
              <w:t>Primary Diagnosis</w:t>
            </w:r>
          </w:p>
        </w:tc>
        <w:tc>
          <w:tcPr>
            <w:tcW w:w="1699" w:type="dxa"/>
            <w:tcBorders>
              <w:top w:val="single" w:sz="6" w:space="0" w:color="auto"/>
              <w:left w:val="single" w:sz="6" w:space="0" w:color="auto"/>
              <w:bottom w:val="single" w:sz="6" w:space="0" w:color="auto"/>
              <w:right w:val="single" w:sz="6" w:space="0" w:color="auto"/>
            </w:tcBorders>
          </w:tcPr>
          <w:p w14:paraId="162F03BD"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3C799A">
              <w:rPr>
                <w:rFonts w:eastAsia="Times" w:cs="Times New Roman"/>
                <w:b/>
                <w:snapToGrid w:val="0"/>
                <w:sz w:val="20"/>
                <w:szCs w:val="20"/>
                <w:lang w:val="pt-BR"/>
              </w:rPr>
              <w:t>Study 9801</w:t>
            </w:r>
          </w:p>
          <w:p w14:paraId="6E288BEF"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3C799A">
              <w:rPr>
                <w:rFonts w:eastAsia="Times" w:cs="Times New Roman"/>
                <w:b/>
                <w:snapToGrid w:val="0"/>
                <w:sz w:val="20"/>
                <w:szCs w:val="20"/>
                <w:lang w:val="pt-BR"/>
              </w:rPr>
              <w:t>N=264/N=266</w:t>
            </w:r>
          </w:p>
        </w:tc>
        <w:tc>
          <w:tcPr>
            <w:tcW w:w="1699" w:type="dxa"/>
            <w:tcBorders>
              <w:top w:val="single" w:sz="6" w:space="0" w:color="auto"/>
              <w:left w:val="single" w:sz="6" w:space="0" w:color="auto"/>
              <w:bottom w:val="single" w:sz="6" w:space="0" w:color="auto"/>
              <w:right w:val="single" w:sz="6" w:space="0" w:color="auto"/>
            </w:tcBorders>
          </w:tcPr>
          <w:p w14:paraId="248D48FC"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3C799A">
              <w:rPr>
                <w:rFonts w:eastAsia="Times" w:cs="Times New Roman"/>
                <w:b/>
                <w:snapToGrid w:val="0"/>
                <w:sz w:val="20"/>
                <w:szCs w:val="20"/>
                <w:lang w:val="pt-BR"/>
              </w:rPr>
              <w:t>Study 9901</w:t>
            </w:r>
          </w:p>
          <w:p w14:paraId="373E8B85"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3C799A">
              <w:rPr>
                <w:rFonts w:eastAsia="Times" w:cs="Times New Roman"/>
                <w:b/>
                <w:snapToGrid w:val="0"/>
                <w:sz w:val="20"/>
                <w:szCs w:val="20"/>
                <w:lang w:val="pt-BR"/>
              </w:rPr>
              <w:t>N=270/N=292</w:t>
            </w:r>
          </w:p>
        </w:tc>
        <w:tc>
          <w:tcPr>
            <w:tcW w:w="1698" w:type="dxa"/>
            <w:tcBorders>
              <w:top w:val="single" w:sz="6" w:space="0" w:color="auto"/>
              <w:left w:val="single" w:sz="6" w:space="0" w:color="auto"/>
              <w:bottom w:val="single" w:sz="6" w:space="0" w:color="auto"/>
            </w:tcBorders>
          </w:tcPr>
          <w:p w14:paraId="757B3A91"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3C799A">
              <w:rPr>
                <w:rFonts w:eastAsia="Times" w:cs="Times New Roman"/>
                <w:b/>
                <w:snapToGrid w:val="0"/>
                <w:sz w:val="20"/>
                <w:szCs w:val="20"/>
                <w:lang w:val="pt-BR"/>
              </w:rPr>
              <w:t>Pooled</w:t>
            </w:r>
          </w:p>
          <w:p w14:paraId="17CA75A7"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3C799A">
              <w:rPr>
                <w:rFonts w:eastAsia="Times" w:cs="Times New Roman"/>
                <w:b/>
                <w:snapToGrid w:val="0"/>
                <w:sz w:val="20"/>
                <w:szCs w:val="20"/>
                <w:lang w:val="pt-BR"/>
              </w:rPr>
              <w:t>N=534/N=558</w:t>
            </w:r>
          </w:p>
        </w:tc>
      </w:tr>
      <w:tr w:rsidR="003C799A" w:rsidRPr="003C799A" w14:paraId="6FFFEED7" w14:textId="77777777" w:rsidTr="003C799A">
        <w:tc>
          <w:tcPr>
            <w:tcW w:w="1281" w:type="dxa"/>
            <w:tcBorders>
              <w:top w:val="single" w:sz="6" w:space="0" w:color="auto"/>
              <w:bottom w:val="single" w:sz="6" w:space="0" w:color="auto"/>
              <w:right w:val="single" w:sz="6" w:space="0" w:color="auto"/>
            </w:tcBorders>
          </w:tcPr>
          <w:p w14:paraId="030D285E"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Wound Infection</w:t>
            </w:r>
          </w:p>
        </w:tc>
        <w:tc>
          <w:tcPr>
            <w:tcW w:w="1699" w:type="dxa"/>
            <w:tcBorders>
              <w:top w:val="single" w:sz="6" w:space="0" w:color="auto"/>
              <w:left w:val="single" w:sz="6" w:space="0" w:color="auto"/>
              <w:bottom w:val="single" w:sz="6" w:space="0" w:color="auto"/>
              <w:right w:val="single" w:sz="6" w:space="0" w:color="auto"/>
            </w:tcBorders>
          </w:tcPr>
          <w:p w14:paraId="2AD24CC1"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99 (37.5 %)/ 116 (43.6 %)</w:t>
            </w:r>
          </w:p>
        </w:tc>
        <w:tc>
          <w:tcPr>
            <w:tcW w:w="1699" w:type="dxa"/>
            <w:tcBorders>
              <w:top w:val="single" w:sz="6" w:space="0" w:color="auto"/>
              <w:left w:val="single" w:sz="6" w:space="0" w:color="auto"/>
              <w:bottom w:val="single" w:sz="6" w:space="0" w:color="auto"/>
              <w:right w:val="single" w:sz="6" w:space="0" w:color="auto"/>
            </w:tcBorders>
          </w:tcPr>
          <w:p w14:paraId="60D76134"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102 (37.8 %)/ 108 (37.0 %)</w:t>
            </w:r>
          </w:p>
        </w:tc>
        <w:tc>
          <w:tcPr>
            <w:tcW w:w="1698" w:type="dxa"/>
            <w:tcBorders>
              <w:top w:val="single" w:sz="6" w:space="0" w:color="auto"/>
              <w:left w:val="single" w:sz="6" w:space="0" w:color="auto"/>
              <w:bottom w:val="single" w:sz="6" w:space="0" w:color="auto"/>
            </w:tcBorders>
          </w:tcPr>
          <w:p w14:paraId="41B8F79C"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201 (37.6 %)/ 224 (40.1 %)</w:t>
            </w:r>
          </w:p>
        </w:tc>
      </w:tr>
      <w:tr w:rsidR="003C799A" w:rsidRPr="003C799A" w14:paraId="7F6780CF" w14:textId="77777777" w:rsidTr="003C799A">
        <w:tc>
          <w:tcPr>
            <w:tcW w:w="1281" w:type="dxa"/>
            <w:tcBorders>
              <w:top w:val="single" w:sz="6" w:space="0" w:color="auto"/>
              <w:bottom w:val="single" w:sz="6" w:space="0" w:color="auto"/>
              <w:right w:val="single" w:sz="6" w:space="0" w:color="auto"/>
            </w:tcBorders>
          </w:tcPr>
          <w:p w14:paraId="487A9FC6"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Major Abscess</w:t>
            </w:r>
          </w:p>
        </w:tc>
        <w:tc>
          <w:tcPr>
            <w:tcW w:w="1699" w:type="dxa"/>
            <w:tcBorders>
              <w:top w:val="single" w:sz="6" w:space="0" w:color="auto"/>
              <w:left w:val="single" w:sz="6" w:space="0" w:color="auto"/>
              <w:bottom w:val="single" w:sz="6" w:space="0" w:color="auto"/>
              <w:right w:val="single" w:sz="6" w:space="0" w:color="auto"/>
            </w:tcBorders>
          </w:tcPr>
          <w:p w14:paraId="2350378A"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55 (20.8 %)/ 43 (16.2 %)</w:t>
            </w:r>
          </w:p>
        </w:tc>
        <w:tc>
          <w:tcPr>
            <w:tcW w:w="1699" w:type="dxa"/>
            <w:tcBorders>
              <w:top w:val="single" w:sz="6" w:space="0" w:color="auto"/>
              <w:left w:val="single" w:sz="6" w:space="0" w:color="auto"/>
              <w:bottom w:val="single" w:sz="6" w:space="0" w:color="auto"/>
              <w:right w:val="single" w:sz="6" w:space="0" w:color="auto"/>
            </w:tcBorders>
          </w:tcPr>
          <w:p w14:paraId="576F5CFB"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59 (21.9 %)/ 65 (22.3 %)</w:t>
            </w:r>
          </w:p>
        </w:tc>
        <w:tc>
          <w:tcPr>
            <w:tcW w:w="1698" w:type="dxa"/>
            <w:tcBorders>
              <w:top w:val="single" w:sz="6" w:space="0" w:color="auto"/>
              <w:left w:val="single" w:sz="6" w:space="0" w:color="auto"/>
              <w:bottom w:val="single" w:sz="6" w:space="0" w:color="auto"/>
            </w:tcBorders>
          </w:tcPr>
          <w:p w14:paraId="664EFDB2"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114 (21.3 %)/ 108 (19.4 %)</w:t>
            </w:r>
          </w:p>
        </w:tc>
      </w:tr>
      <w:tr w:rsidR="003C799A" w:rsidRPr="003C799A" w14:paraId="28419B06" w14:textId="77777777" w:rsidTr="003C799A">
        <w:tc>
          <w:tcPr>
            <w:tcW w:w="1281" w:type="dxa"/>
            <w:tcBorders>
              <w:top w:val="single" w:sz="6" w:space="0" w:color="auto"/>
              <w:bottom w:val="single" w:sz="6" w:space="0" w:color="auto"/>
              <w:right w:val="single" w:sz="6" w:space="0" w:color="auto"/>
            </w:tcBorders>
          </w:tcPr>
          <w:p w14:paraId="40C57BA9"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Ulcer Infection</w:t>
            </w:r>
          </w:p>
        </w:tc>
        <w:tc>
          <w:tcPr>
            <w:tcW w:w="1699" w:type="dxa"/>
            <w:tcBorders>
              <w:top w:val="single" w:sz="6" w:space="0" w:color="auto"/>
              <w:left w:val="single" w:sz="6" w:space="0" w:color="auto"/>
              <w:bottom w:val="single" w:sz="6" w:space="0" w:color="auto"/>
              <w:right w:val="single" w:sz="6" w:space="0" w:color="auto"/>
            </w:tcBorders>
          </w:tcPr>
          <w:p w14:paraId="7325E2F9"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71 (26.9 %)/ 75 (28.2 %)</w:t>
            </w:r>
          </w:p>
        </w:tc>
        <w:tc>
          <w:tcPr>
            <w:tcW w:w="1699" w:type="dxa"/>
            <w:tcBorders>
              <w:top w:val="single" w:sz="6" w:space="0" w:color="auto"/>
              <w:left w:val="single" w:sz="6" w:space="0" w:color="auto"/>
              <w:bottom w:val="single" w:sz="6" w:space="0" w:color="auto"/>
              <w:right w:val="single" w:sz="6" w:space="0" w:color="auto"/>
            </w:tcBorders>
          </w:tcPr>
          <w:p w14:paraId="0F816FD5"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53 (19.6 %)/ 68 (23.3 %)</w:t>
            </w:r>
          </w:p>
        </w:tc>
        <w:tc>
          <w:tcPr>
            <w:tcW w:w="1698" w:type="dxa"/>
            <w:tcBorders>
              <w:top w:val="single" w:sz="6" w:space="0" w:color="auto"/>
              <w:left w:val="single" w:sz="6" w:space="0" w:color="auto"/>
              <w:bottom w:val="single" w:sz="6" w:space="0" w:color="auto"/>
            </w:tcBorders>
          </w:tcPr>
          <w:p w14:paraId="73ABFE24"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124 (23.2 %)/ 143 (25.6 %)</w:t>
            </w:r>
          </w:p>
        </w:tc>
      </w:tr>
      <w:tr w:rsidR="003C799A" w:rsidRPr="003C799A" w14:paraId="3031AFF7" w14:textId="77777777" w:rsidTr="003C799A">
        <w:tc>
          <w:tcPr>
            <w:tcW w:w="1281" w:type="dxa"/>
            <w:tcBorders>
              <w:top w:val="single" w:sz="6" w:space="0" w:color="auto"/>
              <w:bottom w:val="single" w:sz="6" w:space="0" w:color="auto"/>
              <w:right w:val="single" w:sz="6" w:space="0" w:color="auto"/>
            </w:tcBorders>
          </w:tcPr>
          <w:p w14:paraId="77E4F6E4" w14:textId="16245654" w:rsidR="003C799A" w:rsidRPr="003C799A" w:rsidRDefault="003C799A" w:rsidP="00A50635">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Other Infection</w:t>
            </w:r>
            <w:r w:rsidR="00A50635">
              <w:rPr>
                <w:rFonts w:eastAsia="Times" w:cs="Times New Roman"/>
                <w:snapToGrid w:val="0"/>
                <w:sz w:val="20"/>
                <w:szCs w:val="20"/>
                <w:vertAlign w:val="superscript"/>
              </w:rPr>
              <w:t>†</w:t>
            </w:r>
          </w:p>
        </w:tc>
        <w:tc>
          <w:tcPr>
            <w:tcW w:w="1699" w:type="dxa"/>
            <w:tcBorders>
              <w:top w:val="single" w:sz="6" w:space="0" w:color="auto"/>
              <w:left w:val="single" w:sz="6" w:space="0" w:color="auto"/>
              <w:bottom w:val="single" w:sz="6" w:space="0" w:color="auto"/>
              <w:right w:val="single" w:sz="6" w:space="0" w:color="auto"/>
            </w:tcBorders>
          </w:tcPr>
          <w:p w14:paraId="25E06E22" w14:textId="7CD74C9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39 (14.8%)/ 32 (12.0 %)</w:t>
            </w:r>
          </w:p>
        </w:tc>
        <w:tc>
          <w:tcPr>
            <w:tcW w:w="1699" w:type="dxa"/>
            <w:tcBorders>
              <w:top w:val="single" w:sz="6" w:space="0" w:color="auto"/>
              <w:left w:val="single" w:sz="6" w:space="0" w:color="auto"/>
              <w:bottom w:val="single" w:sz="6" w:space="0" w:color="auto"/>
              <w:right w:val="single" w:sz="6" w:space="0" w:color="auto"/>
            </w:tcBorders>
          </w:tcPr>
          <w:p w14:paraId="2DEDD802"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56 (20.7 %)/ 51 (17.5 %)</w:t>
            </w:r>
          </w:p>
        </w:tc>
        <w:tc>
          <w:tcPr>
            <w:tcW w:w="1698" w:type="dxa"/>
            <w:tcBorders>
              <w:top w:val="single" w:sz="6" w:space="0" w:color="auto"/>
              <w:left w:val="single" w:sz="6" w:space="0" w:color="auto"/>
              <w:bottom w:val="single" w:sz="6" w:space="0" w:color="auto"/>
            </w:tcBorders>
          </w:tcPr>
          <w:p w14:paraId="18848D69" w14:textId="56EA2C21"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95 (17.8</w:t>
            </w:r>
            <w:r w:rsidR="004050F5">
              <w:rPr>
                <w:rFonts w:eastAsia="Times" w:cs="Times New Roman"/>
                <w:snapToGrid w:val="0"/>
                <w:sz w:val="20"/>
                <w:szCs w:val="20"/>
              </w:rPr>
              <w:t xml:space="preserve"> </w:t>
            </w:r>
            <w:r w:rsidRPr="003C799A">
              <w:rPr>
                <w:rFonts w:eastAsia="Times" w:cs="Times New Roman"/>
                <w:snapToGrid w:val="0"/>
                <w:sz w:val="20"/>
                <w:szCs w:val="20"/>
              </w:rPr>
              <w:t>%)/ 83 (14.9 %)</w:t>
            </w:r>
          </w:p>
        </w:tc>
      </w:tr>
    </w:tbl>
    <w:p w14:paraId="452572A7" w14:textId="0B109901" w:rsidR="003C799A" w:rsidRPr="007A30E6" w:rsidRDefault="00A50635" w:rsidP="003C799A">
      <w:pPr>
        <w:pStyle w:val="tablefootnotelettered"/>
        <w:numPr>
          <w:ilvl w:val="0"/>
          <w:numId w:val="0"/>
        </w:numPr>
        <w:ind w:firstLine="360"/>
        <w:rPr>
          <w:vertAlign w:val="superscript"/>
          <w:lang w:val="pt-BR"/>
        </w:rPr>
      </w:pPr>
      <w:r>
        <w:rPr>
          <w:vertAlign w:val="superscript"/>
          <w:lang w:val="pt-BR"/>
        </w:rPr>
        <w:t>*</w:t>
      </w:r>
      <w:r w:rsidR="003C799A" w:rsidRPr="007A30E6">
        <w:rPr>
          <w:vertAlign w:val="superscript"/>
          <w:lang w:val="pt-BR"/>
        </w:rPr>
        <w:t xml:space="preserve">.. </w:t>
      </w:r>
      <w:r w:rsidR="003C799A" w:rsidRPr="007A30E6">
        <w:t>Vancomycin or anti-staphylococcal semi-synthetic penicillins.</w:t>
      </w:r>
    </w:p>
    <w:p w14:paraId="48AC439D" w14:textId="16CA6F97" w:rsidR="003C799A" w:rsidRPr="007A30E6" w:rsidRDefault="00A50635" w:rsidP="003C799A">
      <w:pPr>
        <w:pStyle w:val="tablefootnotelettered"/>
        <w:numPr>
          <w:ilvl w:val="0"/>
          <w:numId w:val="0"/>
        </w:numPr>
        <w:ind w:left="360"/>
      </w:pPr>
      <w:r>
        <w:rPr>
          <w:vertAlign w:val="superscript"/>
        </w:rPr>
        <w:t>†</w:t>
      </w:r>
      <w:r w:rsidR="003C799A" w:rsidRPr="007A30E6">
        <w:rPr>
          <w:vertAlign w:val="superscript"/>
        </w:rPr>
        <w:t xml:space="preserve"> </w:t>
      </w:r>
      <w:r w:rsidR="003C799A" w:rsidRPr="007A30E6">
        <w:t>The majority of cases were subsequently categorised as complicated cellulitis, major abscesses, or traumatic wound infections.</w:t>
      </w:r>
    </w:p>
    <w:p w14:paraId="266A0AE3" w14:textId="6F27BE7B" w:rsidR="003C799A" w:rsidRPr="003C799A" w:rsidRDefault="003C799A" w:rsidP="003C799A">
      <w:pPr>
        <w:keepNext/>
        <w:keepLines/>
        <w:widowControl w:val="0"/>
        <w:suppressLineNumbers/>
        <w:autoSpaceDE w:val="0"/>
        <w:autoSpaceDN w:val="0"/>
        <w:adjustRightInd w:val="0"/>
        <w:spacing w:before="360" w:after="120" w:line="240" w:lineRule="auto"/>
        <w:jc w:val="both"/>
        <w:rPr>
          <w:rFonts w:ascii="Times New Roman Bold" w:eastAsia="Times New Roman" w:hAnsi="Times New Roman Bold" w:cs="Times New Roman"/>
          <w:b/>
          <w:snapToGrid w:val="0"/>
          <w:szCs w:val="20"/>
        </w:rPr>
      </w:pPr>
      <w:r w:rsidRPr="003C799A">
        <w:rPr>
          <w:rFonts w:ascii="Times New Roman Bold" w:eastAsia="Times New Roman" w:hAnsi="Times New Roman Bold" w:cs="Times New Roman"/>
          <w:b/>
          <w:snapToGrid w:val="0"/>
          <w:szCs w:val="20"/>
        </w:rPr>
        <w:t xml:space="preserve">Table </w:t>
      </w:r>
      <w:r w:rsidR="00B84E20">
        <w:rPr>
          <w:rFonts w:ascii="Times New Roman Bold" w:eastAsia="Times New Roman" w:hAnsi="Times New Roman Bold" w:cs="Times New Roman"/>
          <w:b/>
          <w:snapToGrid w:val="0"/>
          <w:szCs w:val="20"/>
        </w:rPr>
        <w:t>4</w:t>
      </w:r>
      <w:r w:rsidRPr="003C799A">
        <w:rPr>
          <w:rFonts w:ascii="Times New Roman Bold" w:eastAsia="Times New Roman" w:hAnsi="Times New Roman Bold" w:cs="Times New Roman"/>
          <w:b/>
          <w:snapToGrid w:val="0"/>
          <w:szCs w:val="20"/>
        </w:rPr>
        <w:t xml:space="preserve"> Clinical Success Rates by Infecting Pathogen, Primary Comparative </w:t>
      </w:r>
      <w:proofErr w:type="spellStart"/>
      <w:r w:rsidRPr="003C799A">
        <w:rPr>
          <w:rFonts w:ascii="Times New Roman Bold" w:eastAsia="Times New Roman" w:hAnsi="Times New Roman Bold" w:cs="Times New Roman"/>
          <w:b/>
          <w:snapToGrid w:val="0"/>
          <w:szCs w:val="20"/>
        </w:rPr>
        <w:t>cSSSI</w:t>
      </w:r>
      <w:proofErr w:type="spellEnd"/>
      <w:r w:rsidRPr="003C799A">
        <w:rPr>
          <w:rFonts w:ascii="Times New Roman Bold" w:eastAsia="Times New Roman" w:hAnsi="Times New Roman Bold" w:cs="Times New Roman"/>
          <w:b/>
          <w:snapToGrid w:val="0"/>
          <w:szCs w:val="20"/>
        </w:rPr>
        <w:t xml:space="preserve"> Studies (Population: Microbiologically Evaluable)</w:t>
      </w:r>
    </w:p>
    <w:tbl>
      <w:tblPr>
        <w:tblW w:w="502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94"/>
        <w:gridCol w:w="1726"/>
        <w:gridCol w:w="1726"/>
      </w:tblGrid>
      <w:tr w:rsidR="003C799A" w:rsidRPr="003C799A" w14:paraId="6115A341" w14:textId="77777777" w:rsidTr="003C799A">
        <w:tc>
          <w:tcPr>
            <w:tcW w:w="5743" w:type="dxa"/>
            <w:vMerge w:val="restart"/>
            <w:vAlign w:val="center"/>
          </w:tcPr>
          <w:p w14:paraId="7BDBAEA8"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3C799A">
              <w:rPr>
                <w:rFonts w:eastAsia="Times" w:cs="Times New Roman"/>
                <w:b/>
                <w:snapToGrid w:val="0"/>
                <w:sz w:val="20"/>
                <w:szCs w:val="20"/>
              </w:rPr>
              <w:t>Pathogen</w:t>
            </w:r>
          </w:p>
        </w:tc>
        <w:tc>
          <w:tcPr>
            <w:tcW w:w="3536" w:type="dxa"/>
            <w:gridSpan w:val="2"/>
          </w:tcPr>
          <w:p w14:paraId="35C8529A"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3C799A">
              <w:rPr>
                <w:rFonts w:eastAsia="Times" w:cs="Times New Roman"/>
                <w:b/>
                <w:snapToGrid w:val="0"/>
                <w:sz w:val="20"/>
                <w:szCs w:val="20"/>
              </w:rPr>
              <w:t>Success Rate</w:t>
            </w:r>
          </w:p>
        </w:tc>
      </w:tr>
      <w:tr w:rsidR="003C799A" w:rsidRPr="003C799A" w14:paraId="3D7AB5B1" w14:textId="77777777" w:rsidTr="003C799A">
        <w:tc>
          <w:tcPr>
            <w:tcW w:w="5743" w:type="dxa"/>
            <w:vMerge/>
          </w:tcPr>
          <w:p w14:paraId="1624CF21"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
        </w:tc>
        <w:tc>
          <w:tcPr>
            <w:tcW w:w="1768" w:type="dxa"/>
          </w:tcPr>
          <w:p w14:paraId="1D2AE8A7"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roofErr w:type="spellStart"/>
            <w:r w:rsidRPr="003C799A">
              <w:rPr>
                <w:rFonts w:eastAsia="Times" w:cs="Times New Roman"/>
                <w:b/>
                <w:snapToGrid w:val="0"/>
                <w:sz w:val="20"/>
                <w:szCs w:val="20"/>
              </w:rPr>
              <w:t>Daptomycin</w:t>
            </w:r>
            <w:proofErr w:type="spellEnd"/>
            <w:r w:rsidRPr="003C799A">
              <w:rPr>
                <w:rFonts w:eastAsia="Times" w:cs="Times New Roman"/>
                <w:b/>
                <w:snapToGrid w:val="0"/>
                <w:sz w:val="20"/>
                <w:szCs w:val="20"/>
              </w:rPr>
              <w:br/>
              <w:t>n/N (%)</w:t>
            </w:r>
          </w:p>
        </w:tc>
        <w:tc>
          <w:tcPr>
            <w:tcW w:w="1768" w:type="dxa"/>
          </w:tcPr>
          <w:p w14:paraId="122C02F9"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roofErr w:type="spellStart"/>
            <w:r w:rsidRPr="003C799A">
              <w:rPr>
                <w:rFonts w:eastAsia="Times" w:cs="Times New Roman"/>
                <w:b/>
                <w:snapToGrid w:val="0"/>
                <w:sz w:val="20"/>
                <w:szCs w:val="20"/>
              </w:rPr>
              <w:t>Comparator</w:t>
            </w:r>
            <w:r w:rsidRPr="003C799A">
              <w:rPr>
                <w:rFonts w:eastAsia="Times" w:cs="Times New Roman"/>
                <w:b/>
                <w:snapToGrid w:val="0"/>
                <w:sz w:val="20"/>
                <w:szCs w:val="20"/>
                <w:vertAlign w:val="superscript"/>
              </w:rPr>
              <w:t>a</w:t>
            </w:r>
            <w:proofErr w:type="spellEnd"/>
            <w:r w:rsidRPr="003C799A">
              <w:rPr>
                <w:rFonts w:eastAsia="Times" w:cs="Times New Roman"/>
                <w:b/>
                <w:snapToGrid w:val="0"/>
                <w:sz w:val="20"/>
                <w:szCs w:val="20"/>
              </w:rPr>
              <w:br/>
              <w:t>n/N (%)</w:t>
            </w:r>
          </w:p>
        </w:tc>
      </w:tr>
      <w:tr w:rsidR="003C799A" w:rsidRPr="003C799A" w14:paraId="7837FD3A" w14:textId="77777777" w:rsidTr="003C799A">
        <w:tc>
          <w:tcPr>
            <w:tcW w:w="5743" w:type="dxa"/>
          </w:tcPr>
          <w:p w14:paraId="279919B9"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i/>
                <w:snapToGrid w:val="0"/>
                <w:sz w:val="20"/>
                <w:szCs w:val="20"/>
                <w:lang w:val="fr-FR"/>
              </w:rPr>
            </w:pPr>
            <w:proofErr w:type="spellStart"/>
            <w:r w:rsidRPr="003C799A">
              <w:rPr>
                <w:rFonts w:eastAsia="Times" w:cs="Times New Roman"/>
                <w:snapToGrid w:val="0"/>
                <w:sz w:val="20"/>
                <w:szCs w:val="20"/>
                <w:lang w:val="fr-FR"/>
              </w:rPr>
              <w:t>Methicillin</w:t>
            </w:r>
            <w:proofErr w:type="spellEnd"/>
            <w:r w:rsidRPr="003C799A">
              <w:rPr>
                <w:rFonts w:eastAsia="Times" w:cs="Times New Roman"/>
                <w:snapToGrid w:val="0"/>
                <w:sz w:val="20"/>
                <w:szCs w:val="20"/>
                <w:lang w:val="fr-FR"/>
              </w:rPr>
              <w:t xml:space="preserve">-susceptible </w:t>
            </w:r>
            <w:r w:rsidRPr="003C799A">
              <w:rPr>
                <w:rFonts w:eastAsia="Times" w:cs="Times New Roman"/>
                <w:i/>
                <w:snapToGrid w:val="0"/>
                <w:sz w:val="20"/>
                <w:szCs w:val="20"/>
                <w:lang w:val="fr-FR"/>
              </w:rPr>
              <w:t xml:space="preserve">Staphylococcus aureus </w:t>
            </w:r>
            <w:r w:rsidRPr="003C799A">
              <w:rPr>
                <w:rFonts w:eastAsia="Times" w:cs="Times New Roman"/>
                <w:snapToGrid w:val="0"/>
                <w:sz w:val="20"/>
                <w:szCs w:val="20"/>
                <w:lang w:val="fr-FR"/>
              </w:rPr>
              <w:t>(MSSA)</w:t>
            </w:r>
            <w:r w:rsidRPr="003C799A">
              <w:rPr>
                <w:rFonts w:eastAsia="Times" w:cs="Times New Roman"/>
                <w:snapToGrid w:val="0"/>
                <w:sz w:val="20"/>
                <w:szCs w:val="20"/>
                <w:vertAlign w:val="superscript"/>
                <w:lang w:val="fr-FR"/>
              </w:rPr>
              <w:t>b</w:t>
            </w:r>
          </w:p>
        </w:tc>
        <w:tc>
          <w:tcPr>
            <w:tcW w:w="1768" w:type="dxa"/>
            <w:vAlign w:val="center"/>
          </w:tcPr>
          <w:p w14:paraId="377CA08E"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170/198 (85.9)</w:t>
            </w:r>
          </w:p>
        </w:tc>
        <w:tc>
          <w:tcPr>
            <w:tcW w:w="1768" w:type="dxa"/>
            <w:vAlign w:val="center"/>
          </w:tcPr>
          <w:p w14:paraId="432832F7"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180/207 (87.0)</w:t>
            </w:r>
          </w:p>
        </w:tc>
      </w:tr>
      <w:tr w:rsidR="003C799A" w:rsidRPr="003C799A" w14:paraId="29AA21F9" w14:textId="77777777" w:rsidTr="003C799A">
        <w:tc>
          <w:tcPr>
            <w:tcW w:w="5743" w:type="dxa"/>
          </w:tcPr>
          <w:p w14:paraId="16FA8F90"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 xml:space="preserve">Methicillin-resistant </w:t>
            </w:r>
            <w:r w:rsidRPr="003C799A">
              <w:rPr>
                <w:rFonts w:eastAsia="Times" w:cs="Times New Roman"/>
                <w:i/>
                <w:snapToGrid w:val="0"/>
                <w:sz w:val="20"/>
                <w:szCs w:val="20"/>
              </w:rPr>
              <w:t xml:space="preserve">Staphylococcus aureus </w:t>
            </w:r>
            <w:r w:rsidRPr="003C799A">
              <w:rPr>
                <w:rFonts w:eastAsia="Times" w:cs="Times New Roman"/>
                <w:snapToGrid w:val="0"/>
                <w:sz w:val="20"/>
                <w:szCs w:val="20"/>
              </w:rPr>
              <w:t>(MRSA)</w:t>
            </w:r>
            <w:r w:rsidRPr="003C799A">
              <w:rPr>
                <w:rFonts w:eastAsia="Times" w:cs="Times New Roman"/>
                <w:snapToGrid w:val="0"/>
                <w:sz w:val="20"/>
                <w:szCs w:val="20"/>
                <w:vertAlign w:val="superscript"/>
              </w:rPr>
              <w:t>b</w:t>
            </w:r>
          </w:p>
        </w:tc>
        <w:tc>
          <w:tcPr>
            <w:tcW w:w="1768" w:type="dxa"/>
            <w:vAlign w:val="center"/>
          </w:tcPr>
          <w:p w14:paraId="25623399"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21/28 (75.0)</w:t>
            </w:r>
          </w:p>
        </w:tc>
        <w:tc>
          <w:tcPr>
            <w:tcW w:w="1768" w:type="dxa"/>
            <w:vAlign w:val="center"/>
          </w:tcPr>
          <w:p w14:paraId="43623578"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25/36 (69.4)</w:t>
            </w:r>
          </w:p>
        </w:tc>
      </w:tr>
      <w:tr w:rsidR="003C799A" w:rsidRPr="003C799A" w14:paraId="7D5BB703" w14:textId="77777777" w:rsidTr="003C799A">
        <w:tc>
          <w:tcPr>
            <w:tcW w:w="5743" w:type="dxa"/>
          </w:tcPr>
          <w:p w14:paraId="7EE61E14" w14:textId="77777777" w:rsidR="003C799A" w:rsidRPr="004B2CC6" w:rsidRDefault="003C799A" w:rsidP="003C799A">
            <w:pPr>
              <w:keepNext/>
              <w:widowControl w:val="0"/>
              <w:suppressLineNumbers/>
              <w:autoSpaceDE w:val="0"/>
              <w:autoSpaceDN w:val="0"/>
              <w:adjustRightInd w:val="0"/>
              <w:spacing w:before="40" w:after="60" w:line="240" w:lineRule="auto"/>
              <w:jc w:val="both"/>
              <w:rPr>
                <w:rFonts w:eastAsia="Times" w:cs="Times New Roman"/>
                <w:i/>
                <w:snapToGrid w:val="0"/>
                <w:sz w:val="20"/>
                <w:szCs w:val="20"/>
              </w:rPr>
            </w:pPr>
            <w:r w:rsidRPr="004B2CC6">
              <w:rPr>
                <w:rFonts w:eastAsia="Times" w:cs="Times New Roman"/>
                <w:i/>
                <w:snapToGrid w:val="0"/>
                <w:sz w:val="20"/>
                <w:szCs w:val="20"/>
              </w:rPr>
              <w:t xml:space="preserve">Streptococcus </w:t>
            </w:r>
            <w:proofErr w:type="spellStart"/>
            <w:r w:rsidRPr="004B2CC6">
              <w:rPr>
                <w:rFonts w:eastAsia="Times" w:cs="Times New Roman"/>
                <w:i/>
                <w:snapToGrid w:val="0"/>
                <w:sz w:val="20"/>
                <w:szCs w:val="20"/>
              </w:rPr>
              <w:t>pyogenes</w:t>
            </w:r>
            <w:proofErr w:type="spellEnd"/>
          </w:p>
        </w:tc>
        <w:tc>
          <w:tcPr>
            <w:tcW w:w="1768" w:type="dxa"/>
            <w:vAlign w:val="center"/>
          </w:tcPr>
          <w:p w14:paraId="5D1CD030"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79/84 (94.0)</w:t>
            </w:r>
          </w:p>
        </w:tc>
        <w:tc>
          <w:tcPr>
            <w:tcW w:w="1768" w:type="dxa"/>
            <w:vAlign w:val="center"/>
          </w:tcPr>
          <w:p w14:paraId="356BA312"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80/88 (90.9)</w:t>
            </w:r>
          </w:p>
        </w:tc>
      </w:tr>
      <w:tr w:rsidR="003C799A" w:rsidRPr="003C799A" w14:paraId="411671E5" w14:textId="77777777" w:rsidTr="003C799A">
        <w:tc>
          <w:tcPr>
            <w:tcW w:w="5743" w:type="dxa"/>
          </w:tcPr>
          <w:p w14:paraId="4288E740" w14:textId="77777777" w:rsidR="003C799A" w:rsidRPr="004B2CC6" w:rsidRDefault="003C799A" w:rsidP="003C799A">
            <w:pPr>
              <w:keepNext/>
              <w:widowControl w:val="0"/>
              <w:suppressLineNumbers/>
              <w:autoSpaceDE w:val="0"/>
              <w:autoSpaceDN w:val="0"/>
              <w:adjustRightInd w:val="0"/>
              <w:spacing w:before="40" w:after="60" w:line="240" w:lineRule="auto"/>
              <w:jc w:val="both"/>
              <w:rPr>
                <w:rFonts w:eastAsia="Times" w:cs="Times New Roman"/>
                <w:i/>
                <w:snapToGrid w:val="0"/>
                <w:sz w:val="20"/>
                <w:szCs w:val="20"/>
              </w:rPr>
            </w:pPr>
            <w:r w:rsidRPr="004B2CC6">
              <w:rPr>
                <w:rFonts w:eastAsia="Times" w:cs="Times New Roman"/>
                <w:i/>
                <w:snapToGrid w:val="0"/>
                <w:sz w:val="20"/>
                <w:szCs w:val="20"/>
              </w:rPr>
              <w:t xml:space="preserve">Streptococcus </w:t>
            </w:r>
            <w:proofErr w:type="spellStart"/>
            <w:r w:rsidRPr="004B2CC6">
              <w:rPr>
                <w:rFonts w:eastAsia="Times" w:cs="Times New Roman"/>
                <w:i/>
                <w:snapToGrid w:val="0"/>
                <w:sz w:val="20"/>
                <w:szCs w:val="20"/>
              </w:rPr>
              <w:t>agalactiae</w:t>
            </w:r>
            <w:proofErr w:type="spellEnd"/>
          </w:p>
        </w:tc>
        <w:tc>
          <w:tcPr>
            <w:tcW w:w="1768" w:type="dxa"/>
            <w:vAlign w:val="center"/>
          </w:tcPr>
          <w:p w14:paraId="191C5127"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23/27 (85.2)</w:t>
            </w:r>
          </w:p>
        </w:tc>
        <w:tc>
          <w:tcPr>
            <w:tcW w:w="1768" w:type="dxa"/>
            <w:vAlign w:val="center"/>
          </w:tcPr>
          <w:p w14:paraId="6E6202E8"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22/29 (75.9)</w:t>
            </w:r>
          </w:p>
        </w:tc>
      </w:tr>
      <w:tr w:rsidR="003C799A" w:rsidRPr="003C799A" w14:paraId="27D47038" w14:textId="77777777" w:rsidTr="003C799A">
        <w:tc>
          <w:tcPr>
            <w:tcW w:w="5743" w:type="dxa"/>
          </w:tcPr>
          <w:p w14:paraId="151C4286" w14:textId="77777777" w:rsidR="003C799A" w:rsidRPr="004B2CC6" w:rsidRDefault="003C799A" w:rsidP="003C799A">
            <w:pPr>
              <w:keepNext/>
              <w:widowControl w:val="0"/>
              <w:suppressLineNumbers/>
              <w:autoSpaceDE w:val="0"/>
              <w:autoSpaceDN w:val="0"/>
              <w:adjustRightInd w:val="0"/>
              <w:spacing w:before="40" w:after="60" w:line="240" w:lineRule="auto"/>
              <w:jc w:val="both"/>
              <w:rPr>
                <w:rFonts w:eastAsia="Times" w:cs="Times New Roman"/>
                <w:i/>
                <w:snapToGrid w:val="0"/>
                <w:sz w:val="20"/>
                <w:szCs w:val="20"/>
              </w:rPr>
            </w:pPr>
            <w:r w:rsidRPr="004B2CC6">
              <w:rPr>
                <w:rFonts w:eastAsia="Times" w:cs="Times New Roman"/>
                <w:i/>
                <w:snapToGrid w:val="0"/>
                <w:sz w:val="20"/>
                <w:szCs w:val="20"/>
              </w:rPr>
              <w:t xml:space="preserve">Streptococcus </w:t>
            </w:r>
            <w:proofErr w:type="spellStart"/>
            <w:r w:rsidRPr="004B2CC6">
              <w:rPr>
                <w:rFonts w:eastAsia="Times" w:cs="Times New Roman"/>
                <w:i/>
                <w:snapToGrid w:val="0"/>
                <w:sz w:val="20"/>
                <w:szCs w:val="20"/>
              </w:rPr>
              <w:t>dysgalactiae</w:t>
            </w:r>
            <w:proofErr w:type="spellEnd"/>
            <w:r w:rsidRPr="004B2CC6">
              <w:rPr>
                <w:rFonts w:eastAsia="Times" w:cs="Times New Roman"/>
                <w:i/>
                <w:snapToGrid w:val="0"/>
                <w:sz w:val="20"/>
                <w:szCs w:val="20"/>
              </w:rPr>
              <w:t xml:space="preserve"> </w:t>
            </w:r>
            <w:r w:rsidRPr="00B84E20">
              <w:rPr>
                <w:rFonts w:eastAsia="Times" w:cs="Times New Roman"/>
                <w:snapToGrid w:val="0"/>
                <w:sz w:val="20"/>
                <w:szCs w:val="20"/>
              </w:rPr>
              <w:t>subsp</w:t>
            </w:r>
            <w:r w:rsidRPr="00A037B0">
              <w:rPr>
                <w:rFonts w:eastAsia="Times" w:cs="Times New Roman"/>
                <w:i/>
                <w:snapToGrid w:val="0"/>
                <w:sz w:val="20"/>
                <w:szCs w:val="20"/>
              </w:rPr>
              <w:t xml:space="preserve">. </w:t>
            </w:r>
            <w:proofErr w:type="spellStart"/>
            <w:r w:rsidRPr="004B2CC6">
              <w:rPr>
                <w:rFonts w:eastAsia="Times" w:cs="Times New Roman"/>
                <w:i/>
                <w:snapToGrid w:val="0"/>
                <w:sz w:val="20"/>
                <w:szCs w:val="20"/>
              </w:rPr>
              <w:t>equisimilis</w:t>
            </w:r>
            <w:proofErr w:type="spellEnd"/>
          </w:p>
        </w:tc>
        <w:tc>
          <w:tcPr>
            <w:tcW w:w="1768" w:type="dxa"/>
            <w:vAlign w:val="center"/>
          </w:tcPr>
          <w:p w14:paraId="7830CA78"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8/8 (100)</w:t>
            </w:r>
          </w:p>
        </w:tc>
        <w:tc>
          <w:tcPr>
            <w:tcW w:w="1768" w:type="dxa"/>
            <w:vAlign w:val="center"/>
          </w:tcPr>
          <w:p w14:paraId="02D45BDA"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9/11 (81.8)</w:t>
            </w:r>
          </w:p>
        </w:tc>
      </w:tr>
      <w:tr w:rsidR="003C799A" w:rsidRPr="003C799A" w14:paraId="682FA319" w14:textId="77777777" w:rsidTr="003C799A">
        <w:tc>
          <w:tcPr>
            <w:tcW w:w="5743" w:type="dxa"/>
          </w:tcPr>
          <w:p w14:paraId="1BE1ECC4" w14:textId="4F52C522" w:rsidR="003C799A" w:rsidRPr="003C799A" w:rsidRDefault="003C799A" w:rsidP="000C375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4B2CC6">
              <w:rPr>
                <w:rFonts w:eastAsia="Times" w:cs="Times New Roman"/>
                <w:i/>
                <w:snapToGrid w:val="0"/>
                <w:sz w:val="20"/>
                <w:szCs w:val="20"/>
              </w:rPr>
              <w:t xml:space="preserve">Enterococcus </w:t>
            </w:r>
            <w:proofErr w:type="spellStart"/>
            <w:r w:rsidRPr="004B2CC6">
              <w:rPr>
                <w:rFonts w:eastAsia="Times" w:cs="Times New Roman"/>
                <w:i/>
                <w:snapToGrid w:val="0"/>
                <w:sz w:val="20"/>
                <w:szCs w:val="20"/>
              </w:rPr>
              <w:t>faecalis</w:t>
            </w:r>
            <w:proofErr w:type="spellEnd"/>
            <w:r w:rsidRPr="003C799A">
              <w:rPr>
                <w:rFonts w:eastAsia="Times" w:cs="Times New Roman"/>
                <w:snapToGrid w:val="0"/>
                <w:sz w:val="20"/>
                <w:szCs w:val="20"/>
              </w:rPr>
              <w:t xml:space="preserve"> (</w:t>
            </w:r>
            <w:r w:rsidR="000C3750">
              <w:rPr>
                <w:rFonts w:eastAsia="Times" w:cs="Times New Roman"/>
                <w:snapToGrid w:val="0"/>
                <w:sz w:val="20"/>
                <w:szCs w:val="20"/>
              </w:rPr>
              <w:t>vancomycin-susceptible only</w:t>
            </w:r>
            <w:r w:rsidRPr="003C799A">
              <w:rPr>
                <w:rFonts w:eastAsia="Times" w:cs="Times New Roman"/>
                <w:snapToGrid w:val="0"/>
                <w:sz w:val="20"/>
                <w:szCs w:val="20"/>
              </w:rPr>
              <w:t>)</w:t>
            </w:r>
          </w:p>
        </w:tc>
        <w:tc>
          <w:tcPr>
            <w:tcW w:w="1768" w:type="dxa"/>
            <w:vAlign w:val="center"/>
          </w:tcPr>
          <w:p w14:paraId="4544CC35"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27/37 (73.0)</w:t>
            </w:r>
          </w:p>
        </w:tc>
        <w:tc>
          <w:tcPr>
            <w:tcW w:w="1768" w:type="dxa"/>
            <w:vAlign w:val="center"/>
          </w:tcPr>
          <w:p w14:paraId="7B5ADF26" w14:textId="77777777" w:rsidR="003C799A" w:rsidRPr="003C799A" w:rsidRDefault="003C799A" w:rsidP="003C799A">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3C799A">
              <w:rPr>
                <w:rFonts w:eastAsia="Times" w:cs="Times New Roman"/>
                <w:snapToGrid w:val="0"/>
                <w:sz w:val="20"/>
                <w:szCs w:val="20"/>
              </w:rPr>
              <w:t>40/53 (75.5)</w:t>
            </w:r>
          </w:p>
        </w:tc>
      </w:tr>
    </w:tbl>
    <w:p w14:paraId="58EC742D" w14:textId="77777777" w:rsidR="003C799A" w:rsidRPr="007A30E6" w:rsidRDefault="003C799A" w:rsidP="003C799A">
      <w:pPr>
        <w:pStyle w:val="tablebodytext"/>
      </w:pPr>
      <w:r w:rsidRPr="007A30E6">
        <w:rPr>
          <w:vertAlign w:val="superscript"/>
        </w:rPr>
        <w:t xml:space="preserve">a. </w:t>
      </w:r>
      <w:r w:rsidRPr="007A30E6">
        <w:t>Vancomycin or anti-staphylococcal semi-synthetic penicillins</w:t>
      </w:r>
    </w:p>
    <w:p w14:paraId="0231D238" w14:textId="77777777" w:rsidR="003C799A" w:rsidRDefault="003C799A" w:rsidP="003C799A">
      <w:pPr>
        <w:pStyle w:val="tablefootnotelettered"/>
        <w:numPr>
          <w:ilvl w:val="0"/>
          <w:numId w:val="0"/>
        </w:numPr>
      </w:pPr>
      <w:r w:rsidRPr="007A30E6">
        <w:rPr>
          <w:vertAlign w:val="superscript"/>
        </w:rPr>
        <w:t>b.</w:t>
      </w:r>
      <w:r w:rsidRPr="007A30E6">
        <w:t xml:space="preserve"> As determined by the central laboratory</w:t>
      </w:r>
    </w:p>
    <w:p w14:paraId="55B6FC00" w14:textId="77777777" w:rsidR="003C799A" w:rsidRDefault="003C799A" w:rsidP="003C799A">
      <w:pPr>
        <w:rPr>
          <w:lang w:val="en-US"/>
        </w:rPr>
      </w:pPr>
    </w:p>
    <w:p w14:paraId="4FFA4B04" w14:textId="62C37196" w:rsidR="0059437D" w:rsidRPr="0059437D" w:rsidRDefault="0059437D" w:rsidP="0059437D">
      <w:pPr>
        <w:keepNext/>
        <w:keepLines/>
        <w:widowControl w:val="0"/>
        <w:suppressLineNumbers/>
        <w:autoSpaceDE w:val="0"/>
        <w:autoSpaceDN w:val="0"/>
        <w:adjustRightInd w:val="0"/>
        <w:spacing w:before="360" w:after="120" w:line="240" w:lineRule="auto"/>
        <w:jc w:val="both"/>
        <w:rPr>
          <w:rFonts w:ascii="Times New Roman Bold" w:eastAsia="Times New Roman" w:hAnsi="Times New Roman Bold" w:cs="Times New Roman"/>
          <w:b/>
          <w:snapToGrid w:val="0"/>
          <w:szCs w:val="20"/>
        </w:rPr>
      </w:pPr>
      <w:r w:rsidRPr="0059437D">
        <w:rPr>
          <w:rFonts w:ascii="Times New Roman Bold" w:eastAsia="Times New Roman" w:hAnsi="Times New Roman Bold" w:cs="Times New Roman"/>
          <w:b/>
          <w:snapToGrid w:val="0"/>
          <w:szCs w:val="20"/>
        </w:rPr>
        <w:t xml:space="preserve">Table </w:t>
      </w:r>
      <w:r w:rsidR="00B84E20">
        <w:rPr>
          <w:rFonts w:ascii="Times New Roman Bold" w:eastAsia="Times New Roman" w:hAnsi="Times New Roman Bold" w:cs="Times New Roman"/>
          <w:b/>
          <w:snapToGrid w:val="0"/>
          <w:szCs w:val="20"/>
        </w:rPr>
        <w:t>5</w:t>
      </w:r>
      <w:r w:rsidRPr="0059437D">
        <w:rPr>
          <w:rFonts w:ascii="Times New Roman Bold" w:eastAsia="Times New Roman" w:hAnsi="Times New Roman Bold" w:cs="Times New Roman"/>
          <w:b/>
          <w:snapToGrid w:val="0"/>
          <w:szCs w:val="20"/>
        </w:rPr>
        <w:t xml:space="preserve"> Clinical efficacy outcome (MITT population)</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48"/>
        <w:gridCol w:w="1584"/>
        <w:gridCol w:w="1248"/>
        <w:gridCol w:w="1584"/>
        <w:gridCol w:w="1248"/>
        <w:gridCol w:w="1584"/>
      </w:tblGrid>
      <w:tr w:rsidR="0059437D" w:rsidRPr="0059437D" w14:paraId="03195DE8" w14:textId="77777777" w:rsidTr="00D842C2">
        <w:trPr>
          <w:trHeight w:val="455"/>
        </w:trPr>
        <w:tc>
          <w:tcPr>
            <w:tcW w:w="1620" w:type="dxa"/>
          </w:tcPr>
          <w:p w14:paraId="5C859EB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p>
        </w:tc>
        <w:tc>
          <w:tcPr>
            <w:tcW w:w="2832" w:type="dxa"/>
            <w:gridSpan w:val="2"/>
          </w:tcPr>
          <w:p w14:paraId="0D26B9E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Study 9801</w:t>
            </w:r>
          </w:p>
        </w:tc>
        <w:tc>
          <w:tcPr>
            <w:tcW w:w="2832" w:type="dxa"/>
            <w:gridSpan w:val="2"/>
          </w:tcPr>
          <w:p w14:paraId="21B5E00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Study 9901</w:t>
            </w:r>
          </w:p>
        </w:tc>
        <w:tc>
          <w:tcPr>
            <w:tcW w:w="2832" w:type="dxa"/>
            <w:gridSpan w:val="2"/>
          </w:tcPr>
          <w:p w14:paraId="5961417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Pooled Results</w:t>
            </w:r>
          </w:p>
        </w:tc>
      </w:tr>
      <w:tr w:rsidR="0059437D" w:rsidRPr="0059437D" w14:paraId="605282E0" w14:textId="77777777" w:rsidTr="00D842C2">
        <w:trPr>
          <w:trHeight w:val="912"/>
        </w:trPr>
        <w:tc>
          <w:tcPr>
            <w:tcW w:w="1620" w:type="dxa"/>
          </w:tcPr>
          <w:p w14:paraId="7F34416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Clinical Response</w:t>
            </w:r>
          </w:p>
        </w:tc>
        <w:tc>
          <w:tcPr>
            <w:tcW w:w="1248" w:type="dxa"/>
          </w:tcPr>
          <w:p w14:paraId="12BF02FD" w14:textId="2711DE33" w:rsidR="0059437D" w:rsidRPr="0059437D" w:rsidRDefault="00F23D48"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Pr>
                <w:rFonts w:eastAsia="Times New Roman" w:cs="Times New Roman"/>
                <w:sz w:val="20"/>
                <w:szCs w:val="20"/>
                <w:lang w:bidi="th-TH"/>
              </w:rPr>
              <w:t>CUBICIN</w:t>
            </w:r>
          </w:p>
          <w:p w14:paraId="44E26F3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(N=215)</w:t>
            </w:r>
          </w:p>
          <w:p w14:paraId="3DD1598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584" w:type="dxa"/>
          </w:tcPr>
          <w:p w14:paraId="2363C9D6"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proofErr w:type="spellStart"/>
            <w:r w:rsidRPr="0059437D">
              <w:rPr>
                <w:rFonts w:eastAsia="Times New Roman" w:cs="Times New Roman"/>
                <w:sz w:val="20"/>
                <w:szCs w:val="20"/>
                <w:lang w:bidi="th-TH"/>
              </w:rPr>
              <w:t>Comparator</w:t>
            </w:r>
            <w:r w:rsidRPr="0059437D">
              <w:rPr>
                <w:rFonts w:eastAsia="Times New Roman" w:cs="Times New Roman"/>
                <w:sz w:val="20"/>
                <w:szCs w:val="20"/>
                <w:vertAlign w:val="superscript"/>
                <w:lang w:bidi="th-TH"/>
              </w:rPr>
              <w:t>a</w:t>
            </w:r>
            <w:proofErr w:type="spellEnd"/>
          </w:p>
          <w:p w14:paraId="4642E90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(N=216)</w:t>
            </w:r>
          </w:p>
          <w:p w14:paraId="0FF202D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248" w:type="dxa"/>
          </w:tcPr>
          <w:p w14:paraId="5264ABE8" w14:textId="73862244" w:rsidR="0059437D" w:rsidRPr="0059437D" w:rsidRDefault="00F23D48"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Pr>
                <w:rFonts w:eastAsia="Times New Roman" w:cs="Times New Roman"/>
                <w:sz w:val="20"/>
                <w:szCs w:val="20"/>
                <w:lang w:bidi="th-TH"/>
              </w:rPr>
              <w:t>CUBICIN</w:t>
            </w:r>
          </w:p>
          <w:p w14:paraId="7B23B20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(N=213)</w:t>
            </w:r>
          </w:p>
          <w:p w14:paraId="2371B31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584" w:type="dxa"/>
          </w:tcPr>
          <w:p w14:paraId="5BEFB56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proofErr w:type="spellStart"/>
            <w:r w:rsidRPr="0059437D">
              <w:rPr>
                <w:rFonts w:eastAsia="Times New Roman" w:cs="Times New Roman"/>
                <w:sz w:val="20"/>
                <w:szCs w:val="20"/>
                <w:lang w:bidi="th-TH"/>
              </w:rPr>
              <w:t>Comparator</w:t>
            </w:r>
            <w:r w:rsidRPr="0059437D">
              <w:rPr>
                <w:rFonts w:eastAsia="Times New Roman" w:cs="Times New Roman"/>
                <w:sz w:val="20"/>
                <w:szCs w:val="20"/>
                <w:vertAlign w:val="superscript"/>
                <w:lang w:bidi="th-TH"/>
              </w:rPr>
              <w:t>a</w:t>
            </w:r>
            <w:proofErr w:type="spellEnd"/>
          </w:p>
          <w:p w14:paraId="160EC73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(N=255)</w:t>
            </w:r>
          </w:p>
          <w:p w14:paraId="4FFCAB6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248" w:type="dxa"/>
          </w:tcPr>
          <w:p w14:paraId="2B48208D" w14:textId="7BDD7F70" w:rsidR="0059437D" w:rsidRPr="0059437D" w:rsidRDefault="00F23D48"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Pr>
                <w:rFonts w:eastAsia="Times New Roman" w:cs="Times New Roman"/>
                <w:sz w:val="20"/>
                <w:szCs w:val="20"/>
                <w:lang w:bidi="th-TH"/>
              </w:rPr>
              <w:t>CUBICIN</w:t>
            </w:r>
          </w:p>
          <w:p w14:paraId="0915996B"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(N=428)</w:t>
            </w:r>
          </w:p>
          <w:p w14:paraId="1CAB495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584" w:type="dxa"/>
          </w:tcPr>
          <w:p w14:paraId="722902D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proofErr w:type="spellStart"/>
            <w:r w:rsidRPr="0059437D">
              <w:rPr>
                <w:rFonts w:eastAsia="Times New Roman" w:cs="Times New Roman"/>
                <w:sz w:val="20"/>
                <w:szCs w:val="20"/>
                <w:lang w:bidi="th-TH"/>
              </w:rPr>
              <w:t>Comparator</w:t>
            </w:r>
            <w:r w:rsidRPr="0059437D">
              <w:rPr>
                <w:rFonts w:eastAsia="Times New Roman" w:cs="Times New Roman"/>
                <w:sz w:val="20"/>
                <w:szCs w:val="20"/>
                <w:vertAlign w:val="superscript"/>
                <w:lang w:bidi="th-TH"/>
              </w:rPr>
              <w:t>a</w:t>
            </w:r>
            <w:proofErr w:type="spellEnd"/>
          </w:p>
          <w:p w14:paraId="2A5EDE7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(N=471)</w:t>
            </w:r>
          </w:p>
          <w:p w14:paraId="1488D4A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r>
      <w:tr w:rsidR="0059437D" w:rsidRPr="0059437D" w14:paraId="2156879D" w14:textId="77777777" w:rsidTr="00D842C2">
        <w:trPr>
          <w:trHeight w:val="455"/>
        </w:trPr>
        <w:tc>
          <w:tcPr>
            <w:tcW w:w="1620" w:type="dxa"/>
          </w:tcPr>
          <w:p w14:paraId="5873A969"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Clinical Success</w:t>
            </w:r>
          </w:p>
        </w:tc>
        <w:tc>
          <w:tcPr>
            <w:tcW w:w="1248" w:type="dxa"/>
          </w:tcPr>
          <w:p w14:paraId="6836F968"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140 (65.1)</w:t>
            </w:r>
          </w:p>
        </w:tc>
        <w:tc>
          <w:tcPr>
            <w:tcW w:w="1584" w:type="dxa"/>
          </w:tcPr>
          <w:p w14:paraId="200B09F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140 (64.8)</w:t>
            </w:r>
          </w:p>
        </w:tc>
        <w:tc>
          <w:tcPr>
            <w:tcW w:w="1248" w:type="dxa"/>
          </w:tcPr>
          <w:p w14:paraId="6288F90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179 (84.0)</w:t>
            </w:r>
          </w:p>
        </w:tc>
        <w:tc>
          <w:tcPr>
            <w:tcW w:w="1584" w:type="dxa"/>
          </w:tcPr>
          <w:p w14:paraId="3BC66E4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212 (83.1)</w:t>
            </w:r>
          </w:p>
        </w:tc>
        <w:tc>
          <w:tcPr>
            <w:tcW w:w="1248" w:type="dxa"/>
          </w:tcPr>
          <w:p w14:paraId="4680EFAF"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319 (74.5)</w:t>
            </w:r>
          </w:p>
        </w:tc>
        <w:tc>
          <w:tcPr>
            <w:tcW w:w="1584" w:type="dxa"/>
          </w:tcPr>
          <w:p w14:paraId="5B77E34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352 (74.7)</w:t>
            </w:r>
          </w:p>
        </w:tc>
      </w:tr>
      <w:tr w:rsidR="0059437D" w:rsidRPr="0059437D" w14:paraId="767745ED" w14:textId="77777777" w:rsidTr="00D842C2">
        <w:trPr>
          <w:trHeight w:val="455"/>
        </w:trPr>
        <w:tc>
          <w:tcPr>
            <w:tcW w:w="1620" w:type="dxa"/>
          </w:tcPr>
          <w:p w14:paraId="0F9D58B2"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Cure</w:t>
            </w:r>
          </w:p>
        </w:tc>
        <w:tc>
          <w:tcPr>
            <w:tcW w:w="1248" w:type="dxa"/>
          </w:tcPr>
          <w:p w14:paraId="22606328"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90 (41.9)</w:t>
            </w:r>
          </w:p>
        </w:tc>
        <w:tc>
          <w:tcPr>
            <w:tcW w:w="1584" w:type="dxa"/>
          </w:tcPr>
          <w:p w14:paraId="66C8BBB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84 (38.9)</w:t>
            </w:r>
          </w:p>
        </w:tc>
        <w:tc>
          <w:tcPr>
            <w:tcW w:w="1248" w:type="dxa"/>
          </w:tcPr>
          <w:p w14:paraId="3DD72311"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82 (38.5)</w:t>
            </w:r>
          </w:p>
        </w:tc>
        <w:tc>
          <w:tcPr>
            <w:tcW w:w="1584" w:type="dxa"/>
          </w:tcPr>
          <w:p w14:paraId="0169221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109 (42.7)</w:t>
            </w:r>
          </w:p>
        </w:tc>
        <w:tc>
          <w:tcPr>
            <w:tcW w:w="1248" w:type="dxa"/>
          </w:tcPr>
          <w:p w14:paraId="394E6B5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172 (40.2)</w:t>
            </w:r>
          </w:p>
        </w:tc>
        <w:tc>
          <w:tcPr>
            <w:tcW w:w="1584" w:type="dxa"/>
          </w:tcPr>
          <w:p w14:paraId="1078699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193 (41.0)</w:t>
            </w:r>
          </w:p>
        </w:tc>
      </w:tr>
      <w:tr w:rsidR="0059437D" w:rsidRPr="0059437D" w14:paraId="6E2B0191" w14:textId="77777777" w:rsidTr="00D842C2">
        <w:trPr>
          <w:trHeight w:val="455"/>
        </w:trPr>
        <w:tc>
          <w:tcPr>
            <w:tcW w:w="1620" w:type="dxa"/>
          </w:tcPr>
          <w:p w14:paraId="58C29C4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Clinical Improvement</w:t>
            </w:r>
          </w:p>
        </w:tc>
        <w:tc>
          <w:tcPr>
            <w:tcW w:w="1248" w:type="dxa"/>
          </w:tcPr>
          <w:p w14:paraId="3CF1D09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50 (23.3)</w:t>
            </w:r>
          </w:p>
        </w:tc>
        <w:tc>
          <w:tcPr>
            <w:tcW w:w="1584" w:type="dxa"/>
          </w:tcPr>
          <w:p w14:paraId="23DD172A"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56 (25.9)</w:t>
            </w:r>
          </w:p>
        </w:tc>
        <w:tc>
          <w:tcPr>
            <w:tcW w:w="1248" w:type="dxa"/>
          </w:tcPr>
          <w:p w14:paraId="73CE70F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97 (45.5)</w:t>
            </w:r>
          </w:p>
        </w:tc>
        <w:tc>
          <w:tcPr>
            <w:tcW w:w="1584" w:type="dxa"/>
          </w:tcPr>
          <w:p w14:paraId="51D06AE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103 (40.4)</w:t>
            </w:r>
          </w:p>
        </w:tc>
        <w:tc>
          <w:tcPr>
            <w:tcW w:w="1248" w:type="dxa"/>
          </w:tcPr>
          <w:p w14:paraId="43A1079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147 (34.3)</w:t>
            </w:r>
          </w:p>
        </w:tc>
        <w:tc>
          <w:tcPr>
            <w:tcW w:w="1584" w:type="dxa"/>
          </w:tcPr>
          <w:p w14:paraId="13ACFB22"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159 (33.8)</w:t>
            </w:r>
          </w:p>
        </w:tc>
      </w:tr>
      <w:tr w:rsidR="0059437D" w:rsidRPr="0059437D" w14:paraId="5DF473D6" w14:textId="77777777" w:rsidTr="00D842C2">
        <w:trPr>
          <w:trHeight w:val="455"/>
        </w:trPr>
        <w:tc>
          <w:tcPr>
            <w:tcW w:w="1620" w:type="dxa"/>
          </w:tcPr>
          <w:p w14:paraId="02E81D0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lastRenderedPageBreak/>
              <w:t>Clinical Failure</w:t>
            </w:r>
          </w:p>
        </w:tc>
        <w:tc>
          <w:tcPr>
            <w:tcW w:w="1248" w:type="dxa"/>
          </w:tcPr>
          <w:p w14:paraId="1DAF3B7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75 (34.9)</w:t>
            </w:r>
          </w:p>
        </w:tc>
        <w:tc>
          <w:tcPr>
            <w:tcW w:w="1584" w:type="dxa"/>
          </w:tcPr>
          <w:p w14:paraId="6689F3F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76 (35.2)</w:t>
            </w:r>
          </w:p>
        </w:tc>
        <w:tc>
          <w:tcPr>
            <w:tcW w:w="1248" w:type="dxa"/>
          </w:tcPr>
          <w:p w14:paraId="55622FF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34 (16.0)</w:t>
            </w:r>
          </w:p>
        </w:tc>
        <w:tc>
          <w:tcPr>
            <w:tcW w:w="1584" w:type="dxa"/>
          </w:tcPr>
          <w:p w14:paraId="32D7D926"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43 (16.9)</w:t>
            </w:r>
          </w:p>
        </w:tc>
        <w:tc>
          <w:tcPr>
            <w:tcW w:w="1248" w:type="dxa"/>
          </w:tcPr>
          <w:p w14:paraId="1DB25149"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109 (25.5)</w:t>
            </w:r>
          </w:p>
        </w:tc>
        <w:tc>
          <w:tcPr>
            <w:tcW w:w="1584" w:type="dxa"/>
          </w:tcPr>
          <w:p w14:paraId="5CE5262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119 (25.3)</w:t>
            </w:r>
          </w:p>
        </w:tc>
      </w:tr>
    </w:tbl>
    <w:p w14:paraId="342B21C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Cs w:val="20"/>
          <w:lang w:bidi="th-TH"/>
        </w:rPr>
      </w:pPr>
      <w:r w:rsidRPr="0059437D">
        <w:rPr>
          <w:rFonts w:eastAsia="Times New Roman" w:cs="Times New Roman"/>
          <w:szCs w:val="20"/>
          <w:vertAlign w:val="superscript"/>
          <w:lang w:bidi="th-TH"/>
        </w:rPr>
        <w:t>a</w:t>
      </w:r>
      <w:r w:rsidRPr="0059437D">
        <w:rPr>
          <w:rFonts w:eastAsia="Times New Roman" w:cs="Times New Roman"/>
          <w:szCs w:val="20"/>
          <w:lang w:bidi="th-TH"/>
        </w:rPr>
        <w:t xml:space="preserve"> </w:t>
      </w:r>
      <w:r w:rsidRPr="00CD776E">
        <w:rPr>
          <w:rFonts w:eastAsia="Times New Roman" w:cs="Times New Roman"/>
          <w:sz w:val="20"/>
          <w:szCs w:val="20"/>
          <w:lang w:bidi="th-TH"/>
        </w:rPr>
        <w:t>Vancomycin or anti-staphylococcal semi-synthetic penicillins</w:t>
      </w:r>
    </w:p>
    <w:p w14:paraId="2BD010AB" w14:textId="77777777" w:rsidR="0059437D" w:rsidRDefault="0059437D" w:rsidP="003C799A">
      <w:pPr>
        <w:rPr>
          <w:lang w:val="en-US"/>
        </w:rPr>
      </w:pPr>
    </w:p>
    <w:p w14:paraId="79578CB4" w14:textId="7EE97FE6" w:rsidR="0059437D" w:rsidRPr="0059437D" w:rsidRDefault="0059437D" w:rsidP="0059437D">
      <w:pPr>
        <w:keepNext/>
        <w:keepLines/>
        <w:widowControl w:val="0"/>
        <w:suppressLineNumbers/>
        <w:autoSpaceDE w:val="0"/>
        <w:autoSpaceDN w:val="0"/>
        <w:adjustRightInd w:val="0"/>
        <w:spacing w:before="360" w:after="120" w:line="240" w:lineRule="auto"/>
        <w:jc w:val="both"/>
        <w:rPr>
          <w:rFonts w:ascii="Times New Roman Bold" w:eastAsia="Times New Roman" w:hAnsi="Times New Roman Bold" w:cs="Times New Roman"/>
          <w:b/>
          <w:snapToGrid w:val="0"/>
          <w:szCs w:val="20"/>
          <w:lang w:val="fr-FR"/>
        </w:rPr>
      </w:pPr>
      <w:r w:rsidRPr="0059437D">
        <w:rPr>
          <w:rFonts w:ascii="Times New Roman Bold" w:eastAsia="Times New Roman" w:hAnsi="Times New Roman Bold" w:cs="Times New Roman"/>
          <w:b/>
          <w:snapToGrid w:val="0"/>
          <w:szCs w:val="20"/>
          <w:lang w:val="fr-FR"/>
        </w:rPr>
        <w:t xml:space="preserve">Table </w:t>
      </w:r>
      <w:r w:rsidR="00B84E20">
        <w:rPr>
          <w:rFonts w:ascii="Times New Roman Bold" w:eastAsia="Times New Roman" w:hAnsi="Times New Roman Bold" w:cs="Times New Roman"/>
          <w:b/>
          <w:snapToGrid w:val="0"/>
          <w:szCs w:val="20"/>
          <w:lang w:val="fr-FR"/>
        </w:rPr>
        <w:t>6</w:t>
      </w:r>
      <w:r w:rsidRPr="0059437D">
        <w:rPr>
          <w:rFonts w:ascii="Times New Roman Bold" w:eastAsia="Times New Roman" w:hAnsi="Times New Roman Bold" w:cs="Times New Roman"/>
          <w:b/>
          <w:snapToGrid w:val="0"/>
          <w:szCs w:val="20"/>
          <w:lang w:val="fr-FR"/>
        </w:rPr>
        <w:t xml:space="preserve"> </w:t>
      </w:r>
      <w:proofErr w:type="spellStart"/>
      <w:r w:rsidRPr="0059437D">
        <w:rPr>
          <w:rFonts w:ascii="Times New Roman Bold" w:eastAsia="Times New Roman" w:hAnsi="Times New Roman Bold" w:cs="Times New Roman"/>
          <w:b/>
          <w:snapToGrid w:val="0"/>
          <w:szCs w:val="20"/>
          <w:lang w:val="fr-FR"/>
        </w:rPr>
        <w:t>Clinical</w:t>
      </w:r>
      <w:proofErr w:type="spellEnd"/>
      <w:r w:rsidRPr="0059437D">
        <w:rPr>
          <w:rFonts w:ascii="Times New Roman Bold" w:eastAsia="Times New Roman" w:hAnsi="Times New Roman Bold" w:cs="Times New Roman"/>
          <w:b/>
          <w:snapToGrid w:val="0"/>
          <w:szCs w:val="20"/>
          <w:lang w:val="fr-FR"/>
        </w:rPr>
        <w:t xml:space="preserve"> </w:t>
      </w:r>
      <w:proofErr w:type="spellStart"/>
      <w:r w:rsidRPr="0059437D">
        <w:rPr>
          <w:rFonts w:ascii="Times New Roman Bold" w:eastAsia="Times New Roman" w:hAnsi="Times New Roman Bold" w:cs="Times New Roman"/>
          <w:b/>
          <w:snapToGrid w:val="0"/>
          <w:szCs w:val="20"/>
          <w:lang w:val="fr-FR"/>
        </w:rPr>
        <w:t>efficacy</w:t>
      </w:r>
      <w:proofErr w:type="spellEnd"/>
      <w:r w:rsidRPr="0059437D">
        <w:rPr>
          <w:rFonts w:ascii="Times New Roman Bold" w:eastAsia="Times New Roman" w:hAnsi="Times New Roman Bold" w:cs="Times New Roman"/>
          <w:b/>
          <w:snapToGrid w:val="0"/>
          <w:szCs w:val="20"/>
          <w:lang w:val="fr-FR"/>
        </w:rPr>
        <w:t xml:space="preserve"> </w:t>
      </w:r>
      <w:proofErr w:type="spellStart"/>
      <w:r w:rsidRPr="0059437D">
        <w:rPr>
          <w:rFonts w:ascii="Times New Roman Bold" w:eastAsia="Times New Roman" w:hAnsi="Times New Roman Bold" w:cs="Times New Roman"/>
          <w:b/>
          <w:snapToGrid w:val="0"/>
          <w:szCs w:val="20"/>
          <w:lang w:val="fr-FR"/>
        </w:rPr>
        <w:t>outcome</w:t>
      </w:r>
      <w:proofErr w:type="spellEnd"/>
      <w:r w:rsidRPr="0059437D">
        <w:rPr>
          <w:rFonts w:ascii="Times New Roman Bold" w:eastAsia="Times New Roman" w:hAnsi="Times New Roman Bold" w:cs="Times New Roman"/>
          <w:b/>
          <w:snapToGrid w:val="0"/>
          <w:szCs w:val="20"/>
          <w:lang w:val="fr-FR"/>
        </w:rPr>
        <w:t xml:space="preserve"> (CE population)</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48"/>
        <w:gridCol w:w="1584"/>
        <w:gridCol w:w="1248"/>
        <w:gridCol w:w="1584"/>
        <w:gridCol w:w="1248"/>
        <w:gridCol w:w="1584"/>
      </w:tblGrid>
      <w:tr w:rsidR="0059437D" w:rsidRPr="0059437D" w14:paraId="2101DD7C" w14:textId="77777777" w:rsidTr="00D842C2">
        <w:trPr>
          <w:trHeight w:val="432"/>
        </w:trPr>
        <w:tc>
          <w:tcPr>
            <w:tcW w:w="1526" w:type="dxa"/>
          </w:tcPr>
          <w:p w14:paraId="3E0675C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val="fr-FR"/>
              </w:rPr>
            </w:pPr>
          </w:p>
        </w:tc>
        <w:tc>
          <w:tcPr>
            <w:tcW w:w="2832" w:type="dxa"/>
            <w:gridSpan w:val="2"/>
          </w:tcPr>
          <w:p w14:paraId="18E0996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Study 9801</w:t>
            </w:r>
          </w:p>
        </w:tc>
        <w:tc>
          <w:tcPr>
            <w:tcW w:w="2832" w:type="dxa"/>
            <w:gridSpan w:val="2"/>
          </w:tcPr>
          <w:p w14:paraId="7B68C20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Study 9901</w:t>
            </w:r>
          </w:p>
        </w:tc>
        <w:tc>
          <w:tcPr>
            <w:tcW w:w="2832" w:type="dxa"/>
            <w:gridSpan w:val="2"/>
          </w:tcPr>
          <w:p w14:paraId="7CE9662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Pooled Results</w:t>
            </w:r>
          </w:p>
        </w:tc>
      </w:tr>
      <w:tr w:rsidR="0059437D" w:rsidRPr="0059437D" w14:paraId="76826537" w14:textId="77777777" w:rsidTr="00D842C2">
        <w:trPr>
          <w:trHeight w:val="893"/>
        </w:trPr>
        <w:tc>
          <w:tcPr>
            <w:tcW w:w="1526" w:type="dxa"/>
          </w:tcPr>
          <w:p w14:paraId="5F9AB1B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Clinical Response</w:t>
            </w:r>
          </w:p>
        </w:tc>
        <w:tc>
          <w:tcPr>
            <w:tcW w:w="1248" w:type="dxa"/>
          </w:tcPr>
          <w:p w14:paraId="4CA19BBE" w14:textId="7B6EEBE3" w:rsidR="0059437D" w:rsidRPr="0059437D" w:rsidRDefault="00F23D48"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Pr>
                <w:rFonts w:eastAsia="Times New Roman" w:cs="Times New Roman"/>
                <w:sz w:val="20"/>
                <w:szCs w:val="20"/>
                <w:lang w:bidi="th-TH"/>
              </w:rPr>
              <w:t>CUBICIN</w:t>
            </w:r>
          </w:p>
          <w:p w14:paraId="6EE09A11"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(N=208)</w:t>
            </w:r>
          </w:p>
          <w:p w14:paraId="39837A68"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584" w:type="dxa"/>
          </w:tcPr>
          <w:p w14:paraId="03FBC7C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proofErr w:type="spellStart"/>
            <w:r w:rsidRPr="0059437D">
              <w:rPr>
                <w:rFonts w:eastAsia="Times New Roman" w:cs="Times New Roman"/>
                <w:sz w:val="20"/>
                <w:szCs w:val="20"/>
                <w:lang w:bidi="th-TH"/>
              </w:rPr>
              <w:t>Comparator</w:t>
            </w:r>
            <w:r w:rsidRPr="0059437D">
              <w:rPr>
                <w:rFonts w:eastAsia="Times New Roman" w:cs="Times New Roman"/>
                <w:sz w:val="20"/>
                <w:szCs w:val="20"/>
                <w:vertAlign w:val="superscript"/>
                <w:lang w:bidi="th-TH"/>
              </w:rPr>
              <w:t>a</w:t>
            </w:r>
            <w:proofErr w:type="spellEnd"/>
          </w:p>
          <w:p w14:paraId="6D2B77D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(N=206)</w:t>
            </w:r>
          </w:p>
          <w:p w14:paraId="37A0E0C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248" w:type="dxa"/>
          </w:tcPr>
          <w:p w14:paraId="31DAEC69" w14:textId="695C5B93" w:rsidR="0059437D" w:rsidRPr="0059437D" w:rsidRDefault="00F23D48"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Pr>
                <w:rFonts w:eastAsia="Times New Roman" w:cs="Times New Roman"/>
                <w:sz w:val="20"/>
                <w:szCs w:val="20"/>
                <w:lang w:bidi="th-TH"/>
              </w:rPr>
              <w:t>CUBICIN</w:t>
            </w:r>
          </w:p>
          <w:p w14:paraId="36AC36A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(N=238)</w:t>
            </w:r>
          </w:p>
          <w:p w14:paraId="07B8D16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584" w:type="dxa"/>
          </w:tcPr>
          <w:p w14:paraId="5846FDA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proofErr w:type="spellStart"/>
            <w:r w:rsidRPr="0059437D">
              <w:rPr>
                <w:rFonts w:eastAsia="Times New Roman" w:cs="Times New Roman"/>
                <w:sz w:val="20"/>
                <w:szCs w:val="20"/>
                <w:lang w:bidi="th-TH"/>
              </w:rPr>
              <w:t>Comparator</w:t>
            </w:r>
            <w:r w:rsidRPr="0059437D">
              <w:rPr>
                <w:rFonts w:eastAsia="Times New Roman" w:cs="Times New Roman"/>
                <w:sz w:val="20"/>
                <w:szCs w:val="20"/>
                <w:vertAlign w:val="superscript"/>
                <w:lang w:bidi="th-TH"/>
              </w:rPr>
              <w:t>a</w:t>
            </w:r>
            <w:proofErr w:type="spellEnd"/>
          </w:p>
          <w:p w14:paraId="367D5B8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(N=250)</w:t>
            </w:r>
          </w:p>
          <w:p w14:paraId="022C8FC1"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248" w:type="dxa"/>
          </w:tcPr>
          <w:p w14:paraId="02938674" w14:textId="1731F6D6" w:rsidR="0059437D" w:rsidRPr="0059437D" w:rsidRDefault="00F23D48"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Pr>
                <w:rFonts w:eastAsia="Times New Roman" w:cs="Times New Roman"/>
                <w:sz w:val="20"/>
                <w:szCs w:val="20"/>
                <w:lang w:bidi="th-TH"/>
              </w:rPr>
              <w:t>CUBICIN</w:t>
            </w:r>
          </w:p>
          <w:p w14:paraId="7099D17A"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(N=446)</w:t>
            </w:r>
          </w:p>
          <w:p w14:paraId="5806352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c>
          <w:tcPr>
            <w:tcW w:w="1584" w:type="dxa"/>
          </w:tcPr>
          <w:p w14:paraId="013199FF"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proofErr w:type="spellStart"/>
            <w:r w:rsidRPr="0059437D">
              <w:rPr>
                <w:rFonts w:eastAsia="Times New Roman" w:cs="Times New Roman"/>
                <w:sz w:val="20"/>
                <w:szCs w:val="20"/>
                <w:lang w:bidi="th-TH"/>
              </w:rPr>
              <w:t>Comparator</w:t>
            </w:r>
            <w:r w:rsidRPr="0059437D">
              <w:rPr>
                <w:rFonts w:eastAsia="Times New Roman" w:cs="Times New Roman"/>
                <w:sz w:val="20"/>
                <w:szCs w:val="20"/>
                <w:vertAlign w:val="superscript"/>
                <w:lang w:bidi="th-TH"/>
              </w:rPr>
              <w:t>a</w:t>
            </w:r>
            <w:proofErr w:type="spellEnd"/>
          </w:p>
          <w:p w14:paraId="66ED7F09"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lang w:bidi="th-TH"/>
              </w:rPr>
              <w:t>(N=456)</w:t>
            </w:r>
          </w:p>
          <w:p w14:paraId="402F6D56"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n (%)</w:t>
            </w:r>
          </w:p>
        </w:tc>
      </w:tr>
      <w:tr w:rsidR="0059437D" w:rsidRPr="0059437D" w14:paraId="203EF2CC" w14:textId="77777777" w:rsidTr="00D842C2">
        <w:trPr>
          <w:trHeight w:val="447"/>
        </w:trPr>
        <w:tc>
          <w:tcPr>
            <w:tcW w:w="1526" w:type="dxa"/>
          </w:tcPr>
          <w:p w14:paraId="0371DB2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Clinical Success</w:t>
            </w:r>
          </w:p>
        </w:tc>
        <w:tc>
          <w:tcPr>
            <w:tcW w:w="1248" w:type="dxa"/>
          </w:tcPr>
          <w:p w14:paraId="41F2324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158 (76.0)</w:t>
            </w:r>
          </w:p>
        </w:tc>
        <w:tc>
          <w:tcPr>
            <w:tcW w:w="1584" w:type="dxa"/>
          </w:tcPr>
          <w:p w14:paraId="037F9AF9"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158 (76.7)</w:t>
            </w:r>
          </w:p>
        </w:tc>
        <w:tc>
          <w:tcPr>
            <w:tcW w:w="1248" w:type="dxa"/>
          </w:tcPr>
          <w:p w14:paraId="5168F961"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214 (89.9)</w:t>
            </w:r>
          </w:p>
        </w:tc>
        <w:tc>
          <w:tcPr>
            <w:tcW w:w="1584" w:type="dxa"/>
          </w:tcPr>
          <w:p w14:paraId="4333DD8C"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226 (90.4)</w:t>
            </w:r>
          </w:p>
        </w:tc>
        <w:tc>
          <w:tcPr>
            <w:tcW w:w="1248" w:type="dxa"/>
          </w:tcPr>
          <w:p w14:paraId="37C71F7F"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372 (83.4)</w:t>
            </w:r>
          </w:p>
        </w:tc>
        <w:tc>
          <w:tcPr>
            <w:tcW w:w="1584" w:type="dxa"/>
          </w:tcPr>
          <w:p w14:paraId="6D102A98"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384 (84.2)</w:t>
            </w:r>
          </w:p>
        </w:tc>
      </w:tr>
      <w:tr w:rsidR="0059437D" w:rsidRPr="0059437D" w14:paraId="4DA76753" w14:textId="77777777" w:rsidTr="00D842C2">
        <w:trPr>
          <w:trHeight w:val="447"/>
        </w:trPr>
        <w:tc>
          <w:tcPr>
            <w:tcW w:w="1526" w:type="dxa"/>
          </w:tcPr>
          <w:p w14:paraId="29F52D0A"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Cure</w:t>
            </w:r>
          </w:p>
        </w:tc>
        <w:tc>
          <w:tcPr>
            <w:tcW w:w="1248" w:type="dxa"/>
          </w:tcPr>
          <w:p w14:paraId="3DCDA39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105 (50.5)</w:t>
            </w:r>
          </w:p>
        </w:tc>
        <w:tc>
          <w:tcPr>
            <w:tcW w:w="1584" w:type="dxa"/>
          </w:tcPr>
          <w:p w14:paraId="1508975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96 (46.6)</w:t>
            </w:r>
          </w:p>
        </w:tc>
        <w:tc>
          <w:tcPr>
            <w:tcW w:w="1248" w:type="dxa"/>
          </w:tcPr>
          <w:p w14:paraId="05A3B2A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103 (43.3)</w:t>
            </w:r>
          </w:p>
        </w:tc>
        <w:tc>
          <w:tcPr>
            <w:tcW w:w="1584" w:type="dxa"/>
          </w:tcPr>
          <w:p w14:paraId="7408E79C"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117 (46.8)</w:t>
            </w:r>
          </w:p>
        </w:tc>
        <w:tc>
          <w:tcPr>
            <w:tcW w:w="1248" w:type="dxa"/>
          </w:tcPr>
          <w:p w14:paraId="14AA480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208 (46.6)</w:t>
            </w:r>
          </w:p>
        </w:tc>
        <w:tc>
          <w:tcPr>
            <w:tcW w:w="1584" w:type="dxa"/>
          </w:tcPr>
          <w:p w14:paraId="639B08A4"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213 (46.7)</w:t>
            </w:r>
          </w:p>
        </w:tc>
      </w:tr>
      <w:tr w:rsidR="0059437D" w:rsidRPr="0059437D" w14:paraId="48909829" w14:textId="77777777" w:rsidTr="00D842C2">
        <w:trPr>
          <w:trHeight w:val="447"/>
        </w:trPr>
        <w:tc>
          <w:tcPr>
            <w:tcW w:w="1526" w:type="dxa"/>
          </w:tcPr>
          <w:p w14:paraId="2A33BCA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Clinical Improvement</w:t>
            </w:r>
          </w:p>
        </w:tc>
        <w:tc>
          <w:tcPr>
            <w:tcW w:w="1248" w:type="dxa"/>
          </w:tcPr>
          <w:p w14:paraId="1DD878C2"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53 (25.5)</w:t>
            </w:r>
          </w:p>
        </w:tc>
        <w:tc>
          <w:tcPr>
            <w:tcW w:w="1584" w:type="dxa"/>
          </w:tcPr>
          <w:p w14:paraId="149D5F27"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62 (30.1)</w:t>
            </w:r>
          </w:p>
        </w:tc>
        <w:tc>
          <w:tcPr>
            <w:tcW w:w="1248" w:type="dxa"/>
          </w:tcPr>
          <w:p w14:paraId="7458293E"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111 (46.6)</w:t>
            </w:r>
          </w:p>
        </w:tc>
        <w:tc>
          <w:tcPr>
            <w:tcW w:w="1584" w:type="dxa"/>
          </w:tcPr>
          <w:p w14:paraId="753313B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109 (43.6)</w:t>
            </w:r>
          </w:p>
        </w:tc>
        <w:tc>
          <w:tcPr>
            <w:tcW w:w="1248" w:type="dxa"/>
          </w:tcPr>
          <w:p w14:paraId="4387B4AF"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164 (36.8)</w:t>
            </w:r>
          </w:p>
        </w:tc>
        <w:tc>
          <w:tcPr>
            <w:tcW w:w="1584" w:type="dxa"/>
          </w:tcPr>
          <w:p w14:paraId="482B84C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171 (37.5)</w:t>
            </w:r>
          </w:p>
        </w:tc>
      </w:tr>
      <w:tr w:rsidR="0059437D" w:rsidRPr="0059437D" w14:paraId="7420C00E" w14:textId="77777777" w:rsidTr="00D842C2">
        <w:trPr>
          <w:trHeight w:val="461"/>
        </w:trPr>
        <w:tc>
          <w:tcPr>
            <w:tcW w:w="1526" w:type="dxa"/>
          </w:tcPr>
          <w:p w14:paraId="6E2A31A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Clinical Failure</w:t>
            </w:r>
          </w:p>
        </w:tc>
        <w:tc>
          <w:tcPr>
            <w:tcW w:w="1248" w:type="dxa"/>
          </w:tcPr>
          <w:p w14:paraId="63BF24C3"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50 (24.0)</w:t>
            </w:r>
          </w:p>
        </w:tc>
        <w:tc>
          <w:tcPr>
            <w:tcW w:w="1584" w:type="dxa"/>
          </w:tcPr>
          <w:p w14:paraId="36F231EB"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48 (23.3)</w:t>
            </w:r>
          </w:p>
        </w:tc>
        <w:tc>
          <w:tcPr>
            <w:tcW w:w="1248" w:type="dxa"/>
          </w:tcPr>
          <w:p w14:paraId="0471DF7D"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24 (10.1)</w:t>
            </w:r>
          </w:p>
        </w:tc>
        <w:tc>
          <w:tcPr>
            <w:tcW w:w="1584" w:type="dxa"/>
          </w:tcPr>
          <w:p w14:paraId="1F976D18"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24 (9.6)</w:t>
            </w:r>
          </w:p>
        </w:tc>
        <w:tc>
          <w:tcPr>
            <w:tcW w:w="1248" w:type="dxa"/>
          </w:tcPr>
          <w:p w14:paraId="0F40EB6B"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74 (16.6)</w:t>
            </w:r>
          </w:p>
        </w:tc>
        <w:tc>
          <w:tcPr>
            <w:tcW w:w="1584" w:type="dxa"/>
          </w:tcPr>
          <w:p w14:paraId="4894161A"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rPr>
            </w:pPr>
            <w:r w:rsidRPr="0059437D">
              <w:rPr>
                <w:rFonts w:eastAsia="Times New Roman" w:cs="Times New Roman"/>
                <w:sz w:val="20"/>
                <w:szCs w:val="20"/>
                <w:lang w:bidi="th-TH"/>
              </w:rPr>
              <w:t>72 (15.8)</w:t>
            </w:r>
          </w:p>
        </w:tc>
      </w:tr>
    </w:tbl>
    <w:p w14:paraId="45EC5E38"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 w:val="20"/>
          <w:szCs w:val="20"/>
          <w:lang w:bidi="th-TH"/>
        </w:rPr>
      </w:pPr>
      <w:r w:rsidRPr="0059437D">
        <w:rPr>
          <w:rFonts w:eastAsia="Times New Roman" w:cs="Times New Roman"/>
          <w:sz w:val="20"/>
          <w:szCs w:val="20"/>
          <w:vertAlign w:val="superscript"/>
          <w:lang w:bidi="th-TH"/>
        </w:rPr>
        <w:t>a</w:t>
      </w:r>
      <w:r w:rsidRPr="0059437D">
        <w:rPr>
          <w:rFonts w:eastAsia="Times New Roman" w:cs="Times New Roman"/>
          <w:sz w:val="20"/>
          <w:szCs w:val="20"/>
          <w:lang w:bidi="th-TH"/>
        </w:rPr>
        <w:t xml:space="preserve"> Vancomycin or anti-staphylococcal semi-synthetic penicillins</w:t>
      </w:r>
    </w:p>
    <w:p w14:paraId="22DFA8B2" w14:textId="77777777" w:rsidR="0059437D" w:rsidRDefault="0059437D" w:rsidP="003C799A">
      <w:pPr>
        <w:rPr>
          <w:lang w:val="en-US"/>
        </w:rPr>
      </w:pPr>
    </w:p>
    <w:p w14:paraId="63C2B64D" w14:textId="4048C796" w:rsidR="0059437D" w:rsidRPr="005C21FD" w:rsidRDefault="0059437D" w:rsidP="005C21FD">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i/>
          <w:szCs w:val="24"/>
          <w:u w:val="single"/>
          <w:lang w:val="nb-NO"/>
        </w:rPr>
      </w:pPr>
      <w:r w:rsidRPr="005C21FD">
        <w:rPr>
          <w:rFonts w:eastAsia="Times New Roman" w:cs="Times New Roman"/>
          <w:i/>
          <w:szCs w:val="24"/>
          <w:u w:val="single"/>
          <w:lang w:val="nb-NO"/>
        </w:rPr>
        <w:t>Paediatric Patients</w:t>
      </w:r>
      <w:r w:rsidR="000C3750">
        <w:rPr>
          <w:rFonts w:eastAsia="Times New Roman" w:cs="Times New Roman"/>
          <w:i/>
          <w:szCs w:val="24"/>
          <w:u w:val="single"/>
          <w:lang w:val="nb-NO"/>
        </w:rPr>
        <w:t xml:space="preserve"> (1 to 17 Years</w:t>
      </w:r>
      <w:r w:rsidR="00A95BE6">
        <w:rPr>
          <w:rFonts w:eastAsia="Times New Roman" w:cs="Times New Roman"/>
          <w:i/>
          <w:szCs w:val="24"/>
          <w:u w:val="single"/>
          <w:lang w:val="nb-NO"/>
        </w:rPr>
        <w:t xml:space="preserve"> </w:t>
      </w:r>
      <w:r w:rsidR="000C3750">
        <w:rPr>
          <w:rFonts w:eastAsia="Times New Roman" w:cs="Times New Roman"/>
          <w:i/>
          <w:szCs w:val="24"/>
          <w:u w:val="single"/>
          <w:lang w:val="nb-NO"/>
        </w:rPr>
        <w:t xml:space="preserve">of Age) with cSSSI </w:t>
      </w:r>
    </w:p>
    <w:p w14:paraId="3FD89A3D" w14:textId="77777777" w:rsidR="0059437D" w:rsidRPr="0059437D" w:rsidRDefault="0059437D" w:rsidP="0059437D">
      <w:pPr>
        <w:widowControl w:val="0"/>
        <w:tabs>
          <w:tab w:val="left" w:pos="0"/>
        </w:tabs>
        <w:autoSpaceDE w:val="0"/>
        <w:autoSpaceDN w:val="0"/>
        <w:adjustRightInd w:val="0"/>
        <w:spacing w:before="120" w:after="0" w:line="320" w:lineRule="atLeast"/>
        <w:jc w:val="both"/>
        <w:rPr>
          <w:rFonts w:eastAsia="Times New Roman" w:cs="Times New Roman"/>
          <w:szCs w:val="20"/>
        </w:rPr>
      </w:pPr>
      <w:r w:rsidRPr="0059437D">
        <w:rPr>
          <w:rFonts w:eastAsia="Times New Roman" w:cs="Times New Roman"/>
          <w:szCs w:val="20"/>
        </w:rPr>
        <w:t xml:space="preserve">The safety and efficacy of </w:t>
      </w:r>
      <w:proofErr w:type="spellStart"/>
      <w:r w:rsidRPr="0059437D">
        <w:rPr>
          <w:rFonts w:eastAsia="Times New Roman" w:cs="Times New Roman"/>
          <w:szCs w:val="20"/>
        </w:rPr>
        <w:t>daptomycin</w:t>
      </w:r>
      <w:proofErr w:type="spellEnd"/>
      <w:r w:rsidRPr="0059437D">
        <w:rPr>
          <w:rFonts w:eastAsia="Times New Roman" w:cs="Times New Roman"/>
          <w:szCs w:val="20"/>
        </w:rPr>
        <w:t xml:space="preserve"> was evaluated in paediatric patients 1 to 17 years of age (DAP-PEDS-07-03) with </w:t>
      </w:r>
      <w:proofErr w:type="spellStart"/>
      <w:r w:rsidRPr="0059437D">
        <w:rPr>
          <w:rFonts w:eastAsia="Times New Roman" w:cs="Times New Roman"/>
          <w:szCs w:val="20"/>
        </w:rPr>
        <w:t>cSSSI</w:t>
      </w:r>
      <w:proofErr w:type="spellEnd"/>
      <w:r w:rsidRPr="0059437D">
        <w:rPr>
          <w:rFonts w:eastAsia="Times New Roman" w:cs="Times New Roman"/>
          <w:szCs w:val="20"/>
        </w:rPr>
        <w:t xml:space="preserve"> caused by Gram-positive pathogens. Patients were enrolled in a stepwise approach into well-defined age groups and given age</w:t>
      </w:r>
      <w:r w:rsidRPr="0059437D">
        <w:rPr>
          <w:rFonts w:eastAsia="Times New Roman" w:cs="Times New Roman"/>
          <w:szCs w:val="20"/>
        </w:rPr>
        <w:noBreakHyphen/>
        <w:t>dependent doses once daily up to 14 days as follows:</w:t>
      </w:r>
    </w:p>
    <w:p w14:paraId="73A1F012" w14:textId="77777777" w:rsidR="0059437D" w:rsidRPr="0059437D" w:rsidRDefault="0059437D" w:rsidP="0059437D">
      <w:pPr>
        <w:widowControl w:val="0"/>
        <w:numPr>
          <w:ilvl w:val="0"/>
          <w:numId w:val="16"/>
        </w:numPr>
        <w:tabs>
          <w:tab w:val="left" w:pos="0"/>
        </w:tabs>
        <w:autoSpaceDE w:val="0"/>
        <w:autoSpaceDN w:val="0"/>
        <w:adjustRightInd w:val="0"/>
        <w:spacing w:before="40" w:after="20" w:line="240" w:lineRule="auto"/>
        <w:jc w:val="both"/>
        <w:rPr>
          <w:rFonts w:eastAsia="MS Mincho" w:cs="Times New Roman"/>
          <w:szCs w:val="20"/>
          <w:lang w:val="en-US"/>
        </w:rPr>
      </w:pPr>
      <w:r w:rsidRPr="0059437D">
        <w:rPr>
          <w:rFonts w:eastAsia="MS Mincho" w:cs="Times New Roman"/>
          <w:szCs w:val="20"/>
          <w:lang w:val="en-US"/>
        </w:rPr>
        <w:t xml:space="preserve">Age Group 1 (n=113): 12 to 17 years treated with </w:t>
      </w:r>
      <w:proofErr w:type="spellStart"/>
      <w:r w:rsidRPr="0059437D">
        <w:rPr>
          <w:rFonts w:eastAsia="MS Mincho" w:cs="Times New Roman"/>
          <w:szCs w:val="20"/>
          <w:lang w:val="en-US"/>
        </w:rPr>
        <w:t>daptomycin</w:t>
      </w:r>
      <w:proofErr w:type="spellEnd"/>
      <w:r w:rsidRPr="0059437D">
        <w:rPr>
          <w:rFonts w:eastAsia="MS Mincho" w:cs="Times New Roman"/>
          <w:szCs w:val="20"/>
          <w:lang w:val="en-US"/>
        </w:rPr>
        <w:t xml:space="preserve"> dosed at 5 mg/kg or standard of care (SOC); </w:t>
      </w:r>
    </w:p>
    <w:p w14:paraId="2683E18B" w14:textId="77777777" w:rsidR="0059437D" w:rsidRPr="0059437D" w:rsidRDefault="0059437D" w:rsidP="0059437D">
      <w:pPr>
        <w:widowControl w:val="0"/>
        <w:numPr>
          <w:ilvl w:val="0"/>
          <w:numId w:val="16"/>
        </w:numPr>
        <w:tabs>
          <w:tab w:val="left" w:pos="0"/>
        </w:tabs>
        <w:autoSpaceDE w:val="0"/>
        <w:autoSpaceDN w:val="0"/>
        <w:adjustRightInd w:val="0"/>
        <w:spacing w:before="40" w:after="20" w:line="240" w:lineRule="auto"/>
        <w:jc w:val="both"/>
        <w:rPr>
          <w:rFonts w:eastAsia="MS Mincho" w:cs="Times New Roman"/>
          <w:szCs w:val="20"/>
          <w:lang w:val="en-US"/>
        </w:rPr>
      </w:pPr>
      <w:r w:rsidRPr="0059437D">
        <w:rPr>
          <w:rFonts w:eastAsia="MS Mincho" w:cs="Times New Roman"/>
          <w:szCs w:val="20"/>
          <w:lang w:val="en-US"/>
        </w:rPr>
        <w:t xml:space="preserve">Age Group 2 (n=113): 7 to 11 years treated with </w:t>
      </w:r>
      <w:proofErr w:type="spellStart"/>
      <w:r w:rsidRPr="0059437D">
        <w:rPr>
          <w:rFonts w:eastAsia="MS Mincho" w:cs="Times New Roman"/>
          <w:szCs w:val="20"/>
          <w:lang w:val="en-US"/>
        </w:rPr>
        <w:t>daptomycin</w:t>
      </w:r>
      <w:proofErr w:type="spellEnd"/>
      <w:r w:rsidRPr="0059437D">
        <w:rPr>
          <w:rFonts w:eastAsia="MS Mincho" w:cs="Times New Roman"/>
          <w:szCs w:val="20"/>
          <w:lang w:val="en-US"/>
        </w:rPr>
        <w:t xml:space="preserve"> dosed at 7 mg/kg or SOC; </w:t>
      </w:r>
    </w:p>
    <w:p w14:paraId="2C7066D7" w14:textId="77777777" w:rsidR="0059437D" w:rsidRPr="0059437D" w:rsidRDefault="0059437D" w:rsidP="0059437D">
      <w:pPr>
        <w:widowControl w:val="0"/>
        <w:numPr>
          <w:ilvl w:val="0"/>
          <w:numId w:val="16"/>
        </w:numPr>
        <w:tabs>
          <w:tab w:val="left" w:pos="0"/>
        </w:tabs>
        <w:autoSpaceDE w:val="0"/>
        <w:autoSpaceDN w:val="0"/>
        <w:adjustRightInd w:val="0"/>
        <w:spacing w:before="40" w:after="20" w:line="240" w:lineRule="auto"/>
        <w:jc w:val="both"/>
        <w:rPr>
          <w:rFonts w:eastAsia="MS Mincho" w:cs="Times New Roman"/>
          <w:szCs w:val="20"/>
          <w:lang w:val="en-US"/>
        </w:rPr>
      </w:pPr>
      <w:r w:rsidRPr="0059437D">
        <w:rPr>
          <w:rFonts w:eastAsia="MS Mincho" w:cs="Times New Roman"/>
          <w:szCs w:val="20"/>
          <w:lang w:val="en-US"/>
        </w:rPr>
        <w:t xml:space="preserve">Age Group 3 (n=125): 2 to 6 years treated with </w:t>
      </w:r>
      <w:proofErr w:type="spellStart"/>
      <w:r w:rsidRPr="0059437D">
        <w:rPr>
          <w:rFonts w:eastAsia="MS Mincho" w:cs="Times New Roman"/>
          <w:szCs w:val="20"/>
          <w:lang w:val="en-US"/>
        </w:rPr>
        <w:t>daptomycin</w:t>
      </w:r>
      <w:proofErr w:type="spellEnd"/>
      <w:r w:rsidRPr="0059437D">
        <w:rPr>
          <w:rFonts w:eastAsia="MS Mincho" w:cs="Times New Roman"/>
          <w:szCs w:val="20"/>
          <w:lang w:val="en-US"/>
        </w:rPr>
        <w:t xml:space="preserve"> dosed at 9 mg/kg or SOC; </w:t>
      </w:r>
    </w:p>
    <w:p w14:paraId="6F261BAC" w14:textId="77777777" w:rsidR="0059437D" w:rsidRPr="0059437D" w:rsidRDefault="0059437D" w:rsidP="0059437D">
      <w:pPr>
        <w:widowControl w:val="0"/>
        <w:numPr>
          <w:ilvl w:val="0"/>
          <w:numId w:val="16"/>
        </w:numPr>
        <w:tabs>
          <w:tab w:val="left" w:pos="0"/>
        </w:tabs>
        <w:autoSpaceDE w:val="0"/>
        <w:autoSpaceDN w:val="0"/>
        <w:adjustRightInd w:val="0"/>
        <w:spacing w:before="40" w:after="20" w:line="240" w:lineRule="auto"/>
        <w:jc w:val="both"/>
        <w:rPr>
          <w:rFonts w:eastAsia="MS Mincho" w:cs="Times New Roman"/>
          <w:szCs w:val="20"/>
          <w:lang w:val="en-US"/>
        </w:rPr>
      </w:pPr>
      <w:r w:rsidRPr="0059437D">
        <w:rPr>
          <w:rFonts w:eastAsia="MS Mincho" w:cs="Times New Roman"/>
          <w:szCs w:val="20"/>
          <w:lang w:val="en-US"/>
        </w:rPr>
        <w:t xml:space="preserve">Age Group 4 (n=45): 1 to &lt; 2 years treated with </w:t>
      </w:r>
      <w:proofErr w:type="spellStart"/>
      <w:r w:rsidRPr="0059437D">
        <w:rPr>
          <w:rFonts w:eastAsia="MS Mincho" w:cs="Times New Roman"/>
          <w:szCs w:val="20"/>
          <w:lang w:val="en-US"/>
        </w:rPr>
        <w:t>daptomycin</w:t>
      </w:r>
      <w:proofErr w:type="spellEnd"/>
      <w:r w:rsidRPr="0059437D">
        <w:rPr>
          <w:rFonts w:eastAsia="MS Mincho" w:cs="Times New Roman"/>
          <w:szCs w:val="20"/>
          <w:lang w:val="en-US"/>
        </w:rPr>
        <w:t xml:space="preserve"> dosed at 10 mg/kg or SOC. </w:t>
      </w:r>
    </w:p>
    <w:p w14:paraId="24007FF6" w14:textId="653EBEED" w:rsidR="0059437D" w:rsidRPr="0059437D" w:rsidRDefault="0059437D" w:rsidP="0059437D">
      <w:pPr>
        <w:widowControl w:val="0"/>
        <w:tabs>
          <w:tab w:val="left" w:pos="0"/>
        </w:tabs>
        <w:autoSpaceDE w:val="0"/>
        <w:autoSpaceDN w:val="0"/>
        <w:adjustRightInd w:val="0"/>
        <w:spacing w:before="120" w:after="0" w:line="320" w:lineRule="atLeast"/>
        <w:jc w:val="both"/>
        <w:rPr>
          <w:rFonts w:eastAsia="Times New Roman" w:cs="Times New Roman"/>
          <w:szCs w:val="20"/>
        </w:rPr>
      </w:pPr>
      <w:r w:rsidRPr="0059437D">
        <w:rPr>
          <w:rFonts w:eastAsia="Times New Roman" w:cs="Times New Roman"/>
          <w:szCs w:val="20"/>
        </w:rPr>
        <w:t xml:space="preserve">The primary objective of Study DAP-PEDS-07-03 was to assess the safety of treatment. Secondary objectives included an assessment of efficacy of age-dependent doses of </w:t>
      </w:r>
      <w:r w:rsidR="004D3499">
        <w:rPr>
          <w:rFonts w:eastAsia="Times New Roman" w:cs="Times New Roman"/>
          <w:szCs w:val="20"/>
        </w:rPr>
        <w:t>IV</w:t>
      </w:r>
      <w:r w:rsidRPr="0059437D">
        <w:rPr>
          <w:rFonts w:eastAsia="Times New Roman" w:cs="Times New Roman"/>
          <w:szCs w:val="20"/>
        </w:rPr>
        <w:t xml:space="preserve"> </w:t>
      </w:r>
      <w:proofErr w:type="spellStart"/>
      <w:r w:rsidRPr="0059437D">
        <w:rPr>
          <w:rFonts w:eastAsia="Times New Roman" w:cs="Times New Roman"/>
          <w:szCs w:val="20"/>
        </w:rPr>
        <w:t>daptomycin</w:t>
      </w:r>
      <w:proofErr w:type="spellEnd"/>
      <w:r w:rsidRPr="0059437D">
        <w:rPr>
          <w:rFonts w:eastAsia="Times New Roman" w:cs="Times New Roman"/>
          <w:szCs w:val="20"/>
        </w:rPr>
        <w:t xml:space="preserve"> in comparison with standard-of-care therapy. The key efficacy endpoint was the sponsor</w:t>
      </w:r>
      <w:r w:rsidRPr="0059437D">
        <w:rPr>
          <w:rFonts w:eastAsia="Times New Roman" w:cs="Times New Roman"/>
          <w:szCs w:val="20"/>
        </w:rPr>
        <w:noBreakHyphen/>
        <w:t>defined clinical outcome at Test-of-Cure (TOC), which was defined by a blinded medical director.</w:t>
      </w:r>
    </w:p>
    <w:p w14:paraId="4239B830"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Cs w:val="20"/>
        </w:rPr>
      </w:pPr>
    </w:p>
    <w:p w14:paraId="3B5BEFA4" w14:textId="58EDF934"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Cs w:val="20"/>
        </w:rPr>
      </w:pPr>
      <w:r w:rsidRPr="0059437D">
        <w:rPr>
          <w:rFonts w:eastAsia="Times New Roman" w:cs="Times New Roman"/>
          <w:szCs w:val="20"/>
        </w:rPr>
        <w:t xml:space="preserve">A total of 389 subjects were treated in the study, including 256 subjects who received </w:t>
      </w:r>
      <w:proofErr w:type="spellStart"/>
      <w:r w:rsidRPr="0059437D">
        <w:rPr>
          <w:rFonts w:eastAsia="Times New Roman" w:cs="Times New Roman"/>
          <w:szCs w:val="20"/>
        </w:rPr>
        <w:t>daptomycin</w:t>
      </w:r>
      <w:proofErr w:type="spellEnd"/>
      <w:r w:rsidRPr="0059437D">
        <w:rPr>
          <w:rFonts w:eastAsia="Times New Roman" w:cs="Times New Roman"/>
          <w:szCs w:val="20"/>
        </w:rPr>
        <w:t xml:space="preserve"> and 133 subjects who received standard-of-care. In all populations the clinical success rates were comparable between the </w:t>
      </w:r>
      <w:proofErr w:type="spellStart"/>
      <w:r w:rsidRPr="0059437D">
        <w:rPr>
          <w:rFonts w:eastAsia="Times New Roman" w:cs="Times New Roman"/>
          <w:szCs w:val="20"/>
        </w:rPr>
        <w:t>daptomycin</w:t>
      </w:r>
      <w:proofErr w:type="spellEnd"/>
      <w:r w:rsidRPr="0059437D">
        <w:rPr>
          <w:rFonts w:eastAsia="Times New Roman" w:cs="Times New Roman"/>
          <w:szCs w:val="20"/>
        </w:rPr>
        <w:t xml:space="preserve"> and SOC treatment arms supporting the primary efficacy analysis in the ITT population</w:t>
      </w:r>
      <w:r w:rsidR="003E67F9">
        <w:rPr>
          <w:rFonts w:eastAsia="Times New Roman" w:cs="Times New Roman"/>
          <w:szCs w:val="20"/>
        </w:rPr>
        <w:t xml:space="preserve"> (see Table 7)</w:t>
      </w:r>
      <w:r w:rsidRPr="0059437D">
        <w:rPr>
          <w:rFonts w:eastAsia="Times New Roman" w:cs="Times New Roman"/>
          <w:szCs w:val="20"/>
        </w:rPr>
        <w:t>.</w:t>
      </w:r>
    </w:p>
    <w:p w14:paraId="2D796D7C" w14:textId="77777777" w:rsidR="003C799A" w:rsidRDefault="003C799A" w:rsidP="003C799A">
      <w:pPr>
        <w:rPr>
          <w:lang w:val="en-US"/>
        </w:rPr>
      </w:pPr>
    </w:p>
    <w:p w14:paraId="51053720" w14:textId="332F874E" w:rsidR="0059437D" w:rsidRPr="0059437D" w:rsidRDefault="0059437D" w:rsidP="003C799A">
      <w:pPr>
        <w:rPr>
          <w:rFonts w:cs="Times New Roman"/>
          <w:b/>
          <w:szCs w:val="24"/>
          <w:lang w:val="en-US"/>
        </w:rPr>
      </w:pPr>
      <w:r w:rsidRPr="0059437D">
        <w:rPr>
          <w:rFonts w:cs="Times New Roman"/>
          <w:b/>
          <w:szCs w:val="24"/>
          <w:lang w:val="en-US"/>
        </w:rPr>
        <w:lastRenderedPageBreak/>
        <w:t xml:space="preserve">Table </w:t>
      </w:r>
      <w:r w:rsidR="00B84E20">
        <w:rPr>
          <w:rFonts w:cs="Times New Roman"/>
          <w:b/>
          <w:szCs w:val="24"/>
          <w:lang w:val="en-US"/>
        </w:rPr>
        <w:t>7</w:t>
      </w:r>
      <w:r w:rsidRPr="0059437D">
        <w:rPr>
          <w:rFonts w:cs="Times New Roman"/>
          <w:b/>
          <w:szCs w:val="24"/>
          <w:lang w:val="en-US"/>
        </w:rPr>
        <w:t xml:space="preserve"> Summary of sponsor-defined clinical outcome at test-of-cure</w:t>
      </w:r>
      <w:r w:rsidR="00C776C2">
        <w:rPr>
          <w:rFonts w:cs="Times New Roman"/>
          <w:b/>
          <w:szCs w:val="24"/>
          <w:lang w:val="en-US"/>
        </w:rPr>
        <w:t xml:space="preserve"> for </w:t>
      </w:r>
      <w:proofErr w:type="spellStart"/>
      <w:r w:rsidR="00C776C2">
        <w:rPr>
          <w:rFonts w:cs="Times New Roman"/>
          <w:b/>
          <w:szCs w:val="24"/>
          <w:lang w:val="en-US"/>
        </w:rPr>
        <w:t>paediatric</w:t>
      </w:r>
      <w:proofErr w:type="spellEnd"/>
      <w:r w:rsidR="00C776C2">
        <w:rPr>
          <w:rFonts w:cs="Times New Roman"/>
          <w:b/>
          <w:szCs w:val="24"/>
          <w:lang w:val="en-US"/>
        </w:rPr>
        <w:t xml:space="preserve"> patients (1 to 17 years of age) with </w:t>
      </w:r>
      <w:proofErr w:type="spellStart"/>
      <w:r w:rsidR="00C776C2">
        <w:rPr>
          <w:rFonts w:cs="Times New Roman"/>
          <w:b/>
          <w:szCs w:val="24"/>
          <w:lang w:val="en-US"/>
        </w:rPr>
        <w:t>cSSSI</w:t>
      </w:r>
      <w:proofErr w:type="spellEnd"/>
    </w:p>
    <w:tbl>
      <w:tblPr>
        <w:tblW w:w="4891" w:type="pct"/>
        <w:tblInd w:w="108" w:type="dxa"/>
        <w:tblLook w:val="04A0" w:firstRow="1" w:lastRow="0" w:firstColumn="1" w:lastColumn="0" w:noHBand="0" w:noVBand="1"/>
      </w:tblPr>
      <w:tblGrid>
        <w:gridCol w:w="2892"/>
        <w:gridCol w:w="2130"/>
        <w:gridCol w:w="2130"/>
        <w:gridCol w:w="1766"/>
      </w:tblGrid>
      <w:tr w:rsidR="0059437D" w:rsidRPr="0059437D" w14:paraId="38444C96" w14:textId="77777777" w:rsidTr="0059437D">
        <w:trPr>
          <w:trHeight w:val="300"/>
        </w:trPr>
        <w:tc>
          <w:tcPr>
            <w:tcW w:w="1642" w:type="pct"/>
            <w:tcBorders>
              <w:top w:val="single" w:sz="4" w:space="0" w:color="auto"/>
              <w:left w:val="nil"/>
              <w:bottom w:val="nil"/>
              <w:right w:val="nil"/>
            </w:tcBorders>
            <w:noWrap/>
            <w:vAlign w:val="bottom"/>
            <w:hideMark/>
          </w:tcPr>
          <w:p w14:paraId="7F1EA4CB"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b/>
                <w:szCs w:val="20"/>
              </w:rPr>
            </w:pPr>
            <w:r w:rsidRPr="0059437D">
              <w:rPr>
                <w:rFonts w:eastAsia="Times New Roman" w:cs="Times New Roman"/>
                <w:b/>
                <w:szCs w:val="20"/>
              </w:rPr>
              <w:t> </w:t>
            </w:r>
          </w:p>
        </w:tc>
        <w:tc>
          <w:tcPr>
            <w:tcW w:w="2237" w:type="pct"/>
            <w:gridSpan w:val="2"/>
            <w:tcBorders>
              <w:top w:val="single" w:sz="4" w:space="0" w:color="auto"/>
              <w:left w:val="nil"/>
              <w:bottom w:val="nil"/>
              <w:right w:val="nil"/>
            </w:tcBorders>
            <w:noWrap/>
            <w:vAlign w:val="bottom"/>
            <w:hideMark/>
          </w:tcPr>
          <w:p w14:paraId="55A4FC93"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b/>
                <w:szCs w:val="20"/>
              </w:rPr>
            </w:pPr>
            <w:r w:rsidRPr="0059437D">
              <w:rPr>
                <w:rFonts w:eastAsia="Times New Roman" w:cs="Times New Roman"/>
                <w:b/>
                <w:szCs w:val="20"/>
              </w:rPr>
              <w:t>Clinical Success</w:t>
            </w:r>
          </w:p>
        </w:tc>
        <w:tc>
          <w:tcPr>
            <w:tcW w:w="1121" w:type="pct"/>
            <w:tcBorders>
              <w:top w:val="single" w:sz="4" w:space="0" w:color="auto"/>
              <w:left w:val="nil"/>
              <w:bottom w:val="nil"/>
              <w:right w:val="nil"/>
            </w:tcBorders>
            <w:noWrap/>
            <w:vAlign w:val="bottom"/>
            <w:hideMark/>
          </w:tcPr>
          <w:p w14:paraId="357A84C5" w14:textId="77777777"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Cs w:val="20"/>
              </w:rPr>
            </w:pPr>
          </w:p>
        </w:tc>
      </w:tr>
      <w:tr w:rsidR="0059437D" w:rsidRPr="0059437D" w14:paraId="7E33C3CC" w14:textId="77777777" w:rsidTr="0059437D">
        <w:trPr>
          <w:trHeight w:val="300"/>
        </w:trPr>
        <w:tc>
          <w:tcPr>
            <w:tcW w:w="1642" w:type="pct"/>
            <w:tcBorders>
              <w:top w:val="nil"/>
              <w:left w:val="nil"/>
              <w:bottom w:val="single" w:sz="4" w:space="0" w:color="auto"/>
              <w:right w:val="nil"/>
            </w:tcBorders>
            <w:noWrap/>
            <w:vAlign w:val="bottom"/>
            <w:hideMark/>
          </w:tcPr>
          <w:p w14:paraId="2F3AFA39"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b/>
                <w:szCs w:val="20"/>
              </w:rPr>
            </w:pPr>
            <w:r w:rsidRPr="0059437D">
              <w:rPr>
                <w:rFonts w:eastAsia="Times New Roman" w:cs="Times New Roman"/>
                <w:b/>
                <w:szCs w:val="20"/>
              </w:rPr>
              <w:t> </w:t>
            </w:r>
          </w:p>
        </w:tc>
        <w:tc>
          <w:tcPr>
            <w:tcW w:w="1118" w:type="pct"/>
            <w:tcBorders>
              <w:top w:val="nil"/>
              <w:left w:val="nil"/>
              <w:bottom w:val="single" w:sz="4" w:space="0" w:color="auto"/>
              <w:right w:val="nil"/>
            </w:tcBorders>
            <w:noWrap/>
            <w:vAlign w:val="bottom"/>
            <w:hideMark/>
          </w:tcPr>
          <w:p w14:paraId="049E2D7C"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b/>
                <w:szCs w:val="20"/>
              </w:rPr>
            </w:pPr>
            <w:r w:rsidRPr="0059437D">
              <w:rPr>
                <w:rFonts w:eastAsia="Times New Roman" w:cs="Times New Roman"/>
                <w:b/>
                <w:szCs w:val="20"/>
              </w:rPr>
              <w:t>DAP</w:t>
            </w:r>
            <w:r w:rsidRPr="0059437D">
              <w:rPr>
                <w:rFonts w:eastAsia="Times New Roman" w:cs="Times New Roman"/>
                <w:b/>
                <w:szCs w:val="20"/>
              </w:rPr>
              <w:br/>
              <w:t>n/N (%)</w:t>
            </w:r>
          </w:p>
        </w:tc>
        <w:tc>
          <w:tcPr>
            <w:tcW w:w="1119" w:type="pct"/>
            <w:tcBorders>
              <w:top w:val="nil"/>
              <w:left w:val="nil"/>
              <w:bottom w:val="single" w:sz="4" w:space="0" w:color="auto"/>
              <w:right w:val="nil"/>
            </w:tcBorders>
            <w:noWrap/>
            <w:vAlign w:val="bottom"/>
            <w:hideMark/>
          </w:tcPr>
          <w:p w14:paraId="43439A2E"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b/>
                <w:szCs w:val="20"/>
              </w:rPr>
            </w:pPr>
            <w:r w:rsidRPr="0059437D">
              <w:rPr>
                <w:rFonts w:eastAsia="Times New Roman" w:cs="Times New Roman"/>
                <w:b/>
                <w:szCs w:val="20"/>
              </w:rPr>
              <w:t>SOC</w:t>
            </w:r>
            <w:r w:rsidRPr="0059437D">
              <w:rPr>
                <w:rFonts w:eastAsia="Times New Roman" w:cs="Times New Roman"/>
                <w:b/>
                <w:szCs w:val="20"/>
              </w:rPr>
              <w:br/>
              <w:t>n/N (%)</w:t>
            </w:r>
          </w:p>
        </w:tc>
        <w:tc>
          <w:tcPr>
            <w:tcW w:w="1121" w:type="pct"/>
            <w:tcBorders>
              <w:top w:val="nil"/>
              <w:left w:val="nil"/>
              <w:bottom w:val="single" w:sz="4" w:space="0" w:color="auto"/>
              <w:right w:val="nil"/>
            </w:tcBorders>
            <w:noWrap/>
            <w:vAlign w:val="bottom"/>
            <w:hideMark/>
          </w:tcPr>
          <w:p w14:paraId="137EB007"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b/>
                <w:szCs w:val="20"/>
              </w:rPr>
            </w:pPr>
            <w:r w:rsidRPr="0059437D">
              <w:rPr>
                <w:rFonts w:eastAsia="Times New Roman" w:cs="Times New Roman"/>
                <w:b/>
                <w:szCs w:val="20"/>
              </w:rPr>
              <w:t>% Diff.</w:t>
            </w:r>
          </w:p>
        </w:tc>
      </w:tr>
      <w:tr w:rsidR="0059437D" w:rsidRPr="0059437D" w14:paraId="3A5494EF" w14:textId="77777777" w:rsidTr="0059437D">
        <w:trPr>
          <w:trHeight w:val="300"/>
        </w:trPr>
        <w:tc>
          <w:tcPr>
            <w:tcW w:w="1642" w:type="pct"/>
            <w:noWrap/>
            <w:vAlign w:val="bottom"/>
            <w:hideMark/>
          </w:tcPr>
          <w:p w14:paraId="22EB5F59"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Intent-to-Treat</w:t>
            </w:r>
          </w:p>
        </w:tc>
        <w:tc>
          <w:tcPr>
            <w:tcW w:w="1118" w:type="pct"/>
            <w:noWrap/>
            <w:vAlign w:val="bottom"/>
            <w:hideMark/>
          </w:tcPr>
          <w:p w14:paraId="3AB5A4EF"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227/257 (88.3%)</w:t>
            </w:r>
          </w:p>
        </w:tc>
        <w:tc>
          <w:tcPr>
            <w:tcW w:w="1119" w:type="pct"/>
            <w:noWrap/>
            <w:vAlign w:val="bottom"/>
            <w:hideMark/>
          </w:tcPr>
          <w:p w14:paraId="6585493A"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114/132 (86.4%)</w:t>
            </w:r>
          </w:p>
        </w:tc>
        <w:tc>
          <w:tcPr>
            <w:tcW w:w="1121" w:type="pct"/>
            <w:noWrap/>
            <w:vAlign w:val="bottom"/>
            <w:hideMark/>
          </w:tcPr>
          <w:p w14:paraId="45571F32"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2.0</w:t>
            </w:r>
          </w:p>
        </w:tc>
      </w:tr>
      <w:tr w:rsidR="0059437D" w:rsidRPr="0059437D" w14:paraId="32D70583" w14:textId="77777777" w:rsidTr="0059437D">
        <w:trPr>
          <w:trHeight w:val="300"/>
        </w:trPr>
        <w:tc>
          <w:tcPr>
            <w:tcW w:w="1642" w:type="pct"/>
            <w:noWrap/>
            <w:vAlign w:val="bottom"/>
            <w:hideMark/>
          </w:tcPr>
          <w:p w14:paraId="59E27182"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Modified Intent-to-Treat</w:t>
            </w:r>
          </w:p>
        </w:tc>
        <w:tc>
          <w:tcPr>
            <w:tcW w:w="1118" w:type="pct"/>
            <w:noWrap/>
            <w:vAlign w:val="bottom"/>
            <w:hideMark/>
          </w:tcPr>
          <w:p w14:paraId="5F297C84"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186/210 (88.6%)</w:t>
            </w:r>
          </w:p>
        </w:tc>
        <w:tc>
          <w:tcPr>
            <w:tcW w:w="1119" w:type="pct"/>
            <w:noWrap/>
            <w:vAlign w:val="bottom"/>
            <w:hideMark/>
          </w:tcPr>
          <w:p w14:paraId="559AAA32"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92/105 (87.6%)</w:t>
            </w:r>
          </w:p>
        </w:tc>
        <w:tc>
          <w:tcPr>
            <w:tcW w:w="1121" w:type="pct"/>
            <w:noWrap/>
            <w:vAlign w:val="bottom"/>
            <w:hideMark/>
          </w:tcPr>
          <w:p w14:paraId="29801CA1"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0.9</w:t>
            </w:r>
          </w:p>
        </w:tc>
      </w:tr>
      <w:tr w:rsidR="0059437D" w:rsidRPr="0059437D" w14:paraId="5F1811A3" w14:textId="77777777" w:rsidTr="0059437D">
        <w:trPr>
          <w:trHeight w:val="300"/>
        </w:trPr>
        <w:tc>
          <w:tcPr>
            <w:tcW w:w="1642" w:type="pct"/>
            <w:noWrap/>
            <w:vAlign w:val="bottom"/>
            <w:hideMark/>
          </w:tcPr>
          <w:p w14:paraId="7DFB2ED4"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Clinically Evaluable</w:t>
            </w:r>
          </w:p>
        </w:tc>
        <w:tc>
          <w:tcPr>
            <w:tcW w:w="1118" w:type="pct"/>
            <w:noWrap/>
            <w:vAlign w:val="bottom"/>
            <w:hideMark/>
          </w:tcPr>
          <w:p w14:paraId="28407CB8"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204/207 (98.6%)</w:t>
            </w:r>
          </w:p>
        </w:tc>
        <w:tc>
          <w:tcPr>
            <w:tcW w:w="1119" w:type="pct"/>
            <w:noWrap/>
            <w:vAlign w:val="bottom"/>
            <w:hideMark/>
          </w:tcPr>
          <w:p w14:paraId="4CFD6281"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99/99 (100%)</w:t>
            </w:r>
          </w:p>
        </w:tc>
        <w:tc>
          <w:tcPr>
            <w:tcW w:w="1121" w:type="pct"/>
            <w:noWrap/>
            <w:vAlign w:val="bottom"/>
            <w:hideMark/>
          </w:tcPr>
          <w:p w14:paraId="2FB8C987"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-1.5</w:t>
            </w:r>
          </w:p>
        </w:tc>
      </w:tr>
      <w:tr w:rsidR="0059437D" w:rsidRPr="0059437D" w14:paraId="77592385" w14:textId="77777777" w:rsidTr="0059437D">
        <w:trPr>
          <w:trHeight w:val="300"/>
        </w:trPr>
        <w:tc>
          <w:tcPr>
            <w:tcW w:w="1642" w:type="pct"/>
            <w:tcBorders>
              <w:top w:val="nil"/>
              <w:left w:val="nil"/>
              <w:bottom w:val="single" w:sz="4" w:space="0" w:color="auto"/>
              <w:right w:val="nil"/>
            </w:tcBorders>
            <w:noWrap/>
            <w:vAlign w:val="bottom"/>
            <w:hideMark/>
          </w:tcPr>
          <w:p w14:paraId="39699300"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Microbiologically Evaluable</w:t>
            </w:r>
          </w:p>
        </w:tc>
        <w:tc>
          <w:tcPr>
            <w:tcW w:w="1118" w:type="pct"/>
            <w:tcBorders>
              <w:top w:val="nil"/>
              <w:left w:val="nil"/>
              <w:bottom w:val="single" w:sz="4" w:space="0" w:color="auto"/>
              <w:right w:val="nil"/>
            </w:tcBorders>
            <w:noWrap/>
            <w:vAlign w:val="bottom"/>
            <w:hideMark/>
          </w:tcPr>
          <w:p w14:paraId="22393959"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164/167 (98.2%)</w:t>
            </w:r>
          </w:p>
        </w:tc>
        <w:tc>
          <w:tcPr>
            <w:tcW w:w="1119" w:type="pct"/>
            <w:tcBorders>
              <w:top w:val="nil"/>
              <w:left w:val="nil"/>
              <w:bottom w:val="single" w:sz="4" w:space="0" w:color="auto"/>
              <w:right w:val="nil"/>
            </w:tcBorders>
            <w:noWrap/>
            <w:vAlign w:val="bottom"/>
            <w:hideMark/>
          </w:tcPr>
          <w:p w14:paraId="0859D6B7"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78/78 (100%)</w:t>
            </w:r>
          </w:p>
        </w:tc>
        <w:tc>
          <w:tcPr>
            <w:tcW w:w="1121" w:type="pct"/>
            <w:tcBorders>
              <w:top w:val="nil"/>
              <w:left w:val="nil"/>
              <w:bottom w:val="single" w:sz="4" w:space="0" w:color="auto"/>
              <w:right w:val="nil"/>
            </w:tcBorders>
            <w:noWrap/>
            <w:vAlign w:val="bottom"/>
            <w:hideMark/>
          </w:tcPr>
          <w:p w14:paraId="798ED39D"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jc w:val="both"/>
              <w:rPr>
                <w:rFonts w:eastAsia="Times New Roman" w:cs="Times New Roman"/>
                <w:szCs w:val="20"/>
              </w:rPr>
            </w:pPr>
            <w:r w:rsidRPr="0059437D">
              <w:rPr>
                <w:rFonts w:eastAsia="Times New Roman" w:cs="Times New Roman"/>
                <w:szCs w:val="20"/>
              </w:rPr>
              <w:t>-1.8</w:t>
            </w:r>
          </w:p>
        </w:tc>
      </w:tr>
    </w:tbl>
    <w:p w14:paraId="0717D5C4" w14:textId="77777777" w:rsidR="0059437D" w:rsidRDefault="0059437D" w:rsidP="0059437D">
      <w:pPr>
        <w:widowControl w:val="0"/>
        <w:tabs>
          <w:tab w:val="left" w:pos="0"/>
        </w:tabs>
        <w:autoSpaceDE w:val="0"/>
        <w:autoSpaceDN w:val="0"/>
        <w:adjustRightInd w:val="0"/>
        <w:spacing w:before="120" w:after="0" w:line="320" w:lineRule="atLeast"/>
        <w:jc w:val="both"/>
        <w:rPr>
          <w:rFonts w:eastAsia="Times New Roman" w:cs="Times New Roman"/>
          <w:szCs w:val="20"/>
        </w:rPr>
      </w:pPr>
    </w:p>
    <w:p w14:paraId="6533963F" w14:textId="416682D1" w:rsidR="0059437D" w:rsidRPr="0059437D" w:rsidRDefault="0059437D" w:rsidP="0059437D">
      <w:pPr>
        <w:widowControl w:val="0"/>
        <w:tabs>
          <w:tab w:val="left" w:pos="0"/>
        </w:tabs>
        <w:autoSpaceDE w:val="0"/>
        <w:autoSpaceDN w:val="0"/>
        <w:adjustRightInd w:val="0"/>
        <w:spacing w:before="120" w:after="0" w:line="320" w:lineRule="atLeast"/>
        <w:jc w:val="both"/>
        <w:rPr>
          <w:rFonts w:eastAsia="Times New Roman" w:cs="Times New Roman"/>
          <w:szCs w:val="20"/>
        </w:rPr>
      </w:pPr>
      <w:r w:rsidRPr="0059437D">
        <w:rPr>
          <w:rFonts w:eastAsia="Times New Roman" w:cs="Times New Roman"/>
          <w:szCs w:val="20"/>
        </w:rPr>
        <w:t xml:space="preserve">The overall therapeutic response rate also was similar for the </w:t>
      </w:r>
      <w:proofErr w:type="spellStart"/>
      <w:r w:rsidRPr="0059437D">
        <w:rPr>
          <w:rFonts w:eastAsia="Times New Roman" w:cs="Times New Roman"/>
          <w:szCs w:val="20"/>
        </w:rPr>
        <w:t>daptomycin</w:t>
      </w:r>
      <w:proofErr w:type="spellEnd"/>
      <w:r w:rsidRPr="0059437D">
        <w:rPr>
          <w:rFonts w:eastAsia="Times New Roman" w:cs="Times New Roman"/>
          <w:szCs w:val="20"/>
        </w:rPr>
        <w:t xml:space="preserve"> and SOC treatment arms for infections caused by MRSA, MSSA and </w:t>
      </w:r>
      <w:r w:rsidRPr="0059437D">
        <w:rPr>
          <w:rFonts w:eastAsia="Times New Roman" w:cs="Times New Roman"/>
          <w:i/>
          <w:iCs/>
          <w:szCs w:val="20"/>
        </w:rPr>
        <w:t xml:space="preserve">Streptococcus </w:t>
      </w:r>
      <w:proofErr w:type="spellStart"/>
      <w:r w:rsidRPr="0059437D">
        <w:rPr>
          <w:rFonts w:eastAsia="Times New Roman" w:cs="Times New Roman"/>
          <w:i/>
          <w:iCs/>
          <w:szCs w:val="20"/>
        </w:rPr>
        <w:t>pyogenes</w:t>
      </w:r>
      <w:proofErr w:type="spellEnd"/>
      <w:r w:rsidRPr="0059437D">
        <w:rPr>
          <w:rFonts w:eastAsia="Times New Roman" w:cs="Times New Roman"/>
          <w:i/>
          <w:iCs/>
          <w:szCs w:val="20"/>
        </w:rPr>
        <w:t xml:space="preserve"> </w:t>
      </w:r>
      <w:r w:rsidRPr="0059437D">
        <w:rPr>
          <w:rFonts w:eastAsia="Times New Roman" w:cs="Times New Roman"/>
          <w:szCs w:val="20"/>
        </w:rPr>
        <w:t>(</w:t>
      </w:r>
      <w:r w:rsidRPr="0059437D">
        <w:rPr>
          <w:rFonts w:eastAsia="Times New Roman" w:cs="Times New Roman"/>
          <w:szCs w:val="20"/>
          <w:lang w:val="en-GB"/>
        </w:rPr>
        <w:t xml:space="preserve">Table </w:t>
      </w:r>
      <w:r w:rsidR="00EF3388">
        <w:rPr>
          <w:rFonts w:eastAsia="Times New Roman" w:cs="Times New Roman"/>
          <w:szCs w:val="20"/>
          <w:lang w:val="en-GB"/>
        </w:rPr>
        <w:t>8</w:t>
      </w:r>
      <w:r w:rsidRPr="0059437D">
        <w:rPr>
          <w:rFonts w:eastAsia="Times New Roman" w:cs="Times New Roman"/>
          <w:szCs w:val="20"/>
        </w:rPr>
        <w:t>; ME population); response rates were &gt; 94% for both treatment arms across these common pathogens.</w:t>
      </w:r>
    </w:p>
    <w:p w14:paraId="5020AA94" w14:textId="77777777" w:rsidR="0059437D" w:rsidRDefault="0059437D" w:rsidP="003C799A">
      <w:pPr>
        <w:rPr>
          <w:lang w:val="en-US"/>
        </w:rPr>
      </w:pPr>
    </w:p>
    <w:p w14:paraId="36575B9A" w14:textId="14B570B5" w:rsidR="0059437D" w:rsidRPr="0059437D" w:rsidRDefault="0059437D" w:rsidP="003C799A">
      <w:pPr>
        <w:rPr>
          <w:rFonts w:cs="Times New Roman"/>
          <w:b/>
          <w:szCs w:val="24"/>
          <w:lang w:val="en-US"/>
        </w:rPr>
      </w:pPr>
      <w:r w:rsidRPr="0059437D">
        <w:rPr>
          <w:rFonts w:cs="Times New Roman"/>
          <w:b/>
          <w:szCs w:val="24"/>
          <w:lang w:val="en-US"/>
        </w:rPr>
        <w:t xml:space="preserve">Table </w:t>
      </w:r>
      <w:r w:rsidR="00B84E20">
        <w:rPr>
          <w:rFonts w:cs="Times New Roman"/>
          <w:b/>
          <w:szCs w:val="24"/>
          <w:lang w:val="en-US"/>
        </w:rPr>
        <w:t>8</w:t>
      </w:r>
      <w:r w:rsidR="00335E4C">
        <w:rPr>
          <w:rFonts w:cs="Times New Roman"/>
          <w:b/>
          <w:szCs w:val="24"/>
          <w:lang w:val="en-US"/>
        </w:rPr>
        <w:t xml:space="preserve"> </w:t>
      </w:r>
      <w:r w:rsidRPr="0059437D">
        <w:rPr>
          <w:rFonts w:cs="Times New Roman"/>
          <w:b/>
          <w:szCs w:val="24"/>
          <w:lang w:val="en-US"/>
        </w:rPr>
        <w:t xml:space="preserve">Summary of overall therapeutic response by type of baseline pathogen (ME population) </w:t>
      </w:r>
      <w:r w:rsidR="00C776C2">
        <w:rPr>
          <w:rFonts w:cs="Times New Roman"/>
          <w:b/>
          <w:szCs w:val="24"/>
          <w:lang w:val="en-US"/>
        </w:rPr>
        <w:t xml:space="preserve">for </w:t>
      </w:r>
      <w:proofErr w:type="spellStart"/>
      <w:r w:rsidR="00C776C2">
        <w:rPr>
          <w:rFonts w:cs="Times New Roman"/>
          <w:b/>
          <w:szCs w:val="24"/>
          <w:lang w:val="en-US"/>
        </w:rPr>
        <w:t>paediatric</w:t>
      </w:r>
      <w:proofErr w:type="spellEnd"/>
      <w:r w:rsidR="00C776C2">
        <w:rPr>
          <w:rFonts w:cs="Times New Roman"/>
          <w:b/>
          <w:szCs w:val="24"/>
          <w:lang w:val="en-US"/>
        </w:rPr>
        <w:t xml:space="preserve"> patients (1 to 17 years of age) with </w:t>
      </w:r>
      <w:proofErr w:type="spellStart"/>
      <w:r w:rsidR="00C776C2">
        <w:rPr>
          <w:rFonts w:cs="Times New Roman"/>
          <w:b/>
          <w:szCs w:val="24"/>
          <w:lang w:val="en-US"/>
        </w:rPr>
        <w:t>cSSSI</w:t>
      </w:r>
      <w:proofErr w:type="spellEnd"/>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07"/>
        <w:gridCol w:w="1883"/>
        <w:gridCol w:w="2050"/>
      </w:tblGrid>
      <w:tr w:rsidR="0059437D" w:rsidRPr="0059437D" w14:paraId="5D2D8CD1" w14:textId="77777777" w:rsidTr="0059437D">
        <w:tc>
          <w:tcPr>
            <w:tcW w:w="4935" w:type="dxa"/>
            <w:vMerge w:val="restart"/>
            <w:tcBorders>
              <w:top w:val="single" w:sz="6" w:space="0" w:color="auto"/>
              <w:left w:val="single" w:sz="6" w:space="0" w:color="auto"/>
              <w:bottom w:val="single" w:sz="6" w:space="0" w:color="auto"/>
              <w:right w:val="single" w:sz="6" w:space="0" w:color="auto"/>
            </w:tcBorders>
            <w:vAlign w:val="center"/>
            <w:hideMark/>
          </w:tcPr>
          <w:p w14:paraId="4034763C"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b/>
                <w:snapToGrid w:val="0"/>
                <w:sz w:val="20"/>
                <w:szCs w:val="20"/>
              </w:rPr>
            </w:pPr>
            <w:r w:rsidRPr="0059437D">
              <w:rPr>
                <w:rFonts w:eastAsia="Times New Roman" w:cs="Times New Roman"/>
                <w:b/>
                <w:snapToGrid w:val="0"/>
                <w:sz w:val="20"/>
                <w:szCs w:val="20"/>
              </w:rPr>
              <w:t>Pathogen</w:t>
            </w:r>
          </w:p>
        </w:tc>
        <w:tc>
          <w:tcPr>
            <w:tcW w:w="4030" w:type="dxa"/>
            <w:gridSpan w:val="2"/>
            <w:tcBorders>
              <w:top w:val="single" w:sz="6" w:space="0" w:color="auto"/>
              <w:left w:val="single" w:sz="6" w:space="0" w:color="auto"/>
              <w:bottom w:val="single" w:sz="6" w:space="0" w:color="auto"/>
              <w:right w:val="single" w:sz="6" w:space="0" w:color="auto"/>
            </w:tcBorders>
            <w:hideMark/>
          </w:tcPr>
          <w:p w14:paraId="37A8AE25"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b/>
                <w:snapToGrid w:val="0"/>
                <w:sz w:val="20"/>
                <w:szCs w:val="20"/>
              </w:rPr>
            </w:pPr>
            <w:r w:rsidRPr="0059437D">
              <w:rPr>
                <w:rFonts w:eastAsia="Times New Roman" w:cs="Times New Roman"/>
                <w:b/>
                <w:snapToGrid w:val="0"/>
                <w:sz w:val="20"/>
                <w:szCs w:val="20"/>
              </w:rPr>
              <w:t>Success Rate</w:t>
            </w:r>
            <w:r w:rsidRPr="0059437D">
              <w:rPr>
                <w:rFonts w:eastAsia="Times New Roman" w:cs="Times New Roman"/>
                <w:b/>
                <w:snapToGrid w:val="0"/>
                <w:sz w:val="20"/>
                <w:szCs w:val="20"/>
              </w:rPr>
              <w:br/>
              <w:t>n/N (%)</w:t>
            </w:r>
          </w:p>
        </w:tc>
      </w:tr>
      <w:tr w:rsidR="0059437D" w:rsidRPr="0059437D" w14:paraId="59C7AE43" w14:textId="77777777" w:rsidTr="0059437D">
        <w:tc>
          <w:tcPr>
            <w:tcW w:w="4935" w:type="dxa"/>
            <w:vMerge/>
            <w:tcBorders>
              <w:top w:val="single" w:sz="6" w:space="0" w:color="auto"/>
              <w:left w:val="single" w:sz="6" w:space="0" w:color="auto"/>
              <w:bottom w:val="single" w:sz="6" w:space="0" w:color="auto"/>
              <w:right w:val="single" w:sz="6" w:space="0" w:color="auto"/>
            </w:tcBorders>
            <w:vAlign w:val="center"/>
            <w:hideMark/>
          </w:tcPr>
          <w:p w14:paraId="378023CA" w14:textId="77777777" w:rsidR="0059437D" w:rsidRPr="0059437D" w:rsidRDefault="0059437D" w:rsidP="0059437D">
            <w:pPr>
              <w:widowControl w:val="0"/>
              <w:tabs>
                <w:tab w:val="left" w:pos="0"/>
              </w:tabs>
              <w:autoSpaceDE w:val="0"/>
              <w:autoSpaceDN w:val="0"/>
              <w:adjustRightInd w:val="0"/>
              <w:spacing w:after="0" w:line="320" w:lineRule="atLeast"/>
              <w:rPr>
                <w:rFonts w:eastAsia="Times New Roman" w:cs="Times New Roman"/>
                <w:snapToGrid w:val="0"/>
                <w:sz w:val="20"/>
                <w:szCs w:val="20"/>
              </w:rPr>
            </w:pPr>
          </w:p>
        </w:tc>
        <w:tc>
          <w:tcPr>
            <w:tcW w:w="1929" w:type="dxa"/>
            <w:tcBorders>
              <w:top w:val="single" w:sz="6" w:space="0" w:color="auto"/>
              <w:left w:val="single" w:sz="6" w:space="0" w:color="auto"/>
              <w:bottom w:val="single" w:sz="6" w:space="0" w:color="auto"/>
              <w:right w:val="single" w:sz="6" w:space="0" w:color="auto"/>
            </w:tcBorders>
            <w:hideMark/>
          </w:tcPr>
          <w:p w14:paraId="49E9CB82" w14:textId="72D740D0" w:rsidR="0059437D" w:rsidRPr="0059437D" w:rsidRDefault="00F23D48" w:rsidP="002C013E">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b/>
                <w:snapToGrid w:val="0"/>
                <w:sz w:val="20"/>
                <w:szCs w:val="20"/>
              </w:rPr>
            </w:pPr>
            <w:r>
              <w:rPr>
                <w:rFonts w:eastAsia="Times New Roman" w:cs="Times New Roman"/>
                <w:b/>
                <w:snapToGrid w:val="0"/>
                <w:sz w:val="20"/>
                <w:szCs w:val="20"/>
              </w:rPr>
              <w:t>CUBICIN</w:t>
            </w:r>
          </w:p>
        </w:tc>
        <w:tc>
          <w:tcPr>
            <w:tcW w:w="2101" w:type="dxa"/>
            <w:tcBorders>
              <w:top w:val="single" w:sz="6" w:space="0" w:color="auto"/>
              <w:left w:val="single" w:sz="6" w:space="0" w:color="auto"/>
              <w:bottom w:val="single" w:sz="6" w:space="0" w:color="auto"/>
              <w:right w:val="single" w:sz="6" w:space="0" w:color="auto"/>
            </w:tcBorders>
            <w:hideMark/>
          </w:tcPr>
          <w:p w14:paraId="29310CE0"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b/>
                <w:snapToGrid w:val="0"/>
                <w:sz w:val="20"/>
                <w:szCs w:val="20"/>
              </w:rPr>
            </w:pPr>
            <w:r w:rsidRPr="0059437D">
              <w:rPr>
                <w:rFonts w:eastAsia="Times New Roman" w:cs="Times New Roman"/>
                <w:b/>
                <w:snapToGrid w:val="0"/>
                <w:sz w:val="20"/>
                <w:szCs w:val="20"/>
              </w:rPr>
              <w:t>Comparator</w:t>
            </w:r>
          </w:p>
        </w:tc>
      </w:tr>
      <w:tr w:rsidR="0059437D" w:rsidRPr="0059437D" w14:paraId="58BCEDB9" w14:textId="77777777" w:rsidTr="0059437D">
        <w:tc>
          <w:tcPr>
            <w:tcW w:w="4935" w:type="dxa"/>
            <w:tcBorders>
              <w:top w:val="single" w:sz="6" w:space="0" w:color="auto"/>
              <w:left w:val="single" w:sz="6" w:space="0" w:color="auto"/>
              <w:bottom w:val="single" w:sz="6" w:space="0" w:color="auto"/>
              <w:right w:val="single" w:sz="6" w:space="0" w:color="auto"/>
            </w:tcBorders>
            <w:hideMark/>
          </w:tcPr>
          <w:p w14:paraId="5C7525B7"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i/>
                <w:snapToGrid w:val="0"/>
                <w:sz w:val="20"/>
                <w:szCs w:val="20"/>
                <w:lang w:val="fr-FR"/>
              </w:rPr>
            </w:pPr>
            <w:proofErr w:type="spellStart"/>
            <w:r w:rsidRPr="0059437D">
              <w:rPr>
                <w:rFonts w:eastAsia="Times New Roman" w:cs="Times New Roman"/>
                <w:snapToGrid w:val="0"/>
                <w:sz w:val="20"/>
                <w:szCs w:val="20"/>
                <w:lang w:val="fr-FR"/>
              </w:rPr>
              <w:t>Methicillin</w:t>
            </w:r>
            <w:proofErr w:type="spellEnd"/>
            <w:r w:rsidRPr="0059437D">
              <w:rPr>
                <w:rFonts w:eastAsia="Times New Roman" w:cs="Times New Roman"/>
                <w:snapToGrid w:val="0"/>
                <w:sz w:val="20"/>
                <w:szCs w:val="20"/>
                <w:lang w:val="fr-FR"/>
              </w:rPr>
              <w:t xml:space="preserve">-susceptible </w:t>
            </w:r>
            <w:r w:rsidRPr="0059437D">
              <w:rPr>
                <w:rFonts w:eastAsia="Times New Roman" w:cs="Times New Roman"/>
                <w:i/>
                <w:snapToGrid w:val="0"/>
                <w:sz w:val="20"/>
                <w:szCs w:val="20"/>
                <w:lang w:val="fr-FR"/>
              </w:rPr>
              <w:t xml:space="preserve">Staphylococcus aureus </w:t>
            </w:r>
            <w:r w:rsidRPr="0059437D">
              <w:rPr>
                <w:rFonts w:eastAsia="Times New Roman" w:cs="Times New Roman"/>
                <w:snapToGrid w:val="0"/>
                <w:sz w:val="20"/>
                <w:szCs w:val="20"/>
                <w:lang w:val="fr-FR"/>
              </w:rPr>
              <w:t>(MSSA)</w:t>
            </w:r>
            <w:r w:rsidRPr="0059437D">
              <w:rPr>
                <w:rFonts w:eastAsia="Times New Roman" w:cs="Times New Roman"/>
                <w:snapToGrid w:val="0"/>
                <w:sz w:val="20"/>
                <w:szCs w:val="20"/>
                <w:vertAlign w:val="superscript"/>
                <w:lang w:val="fr-FR"/>
              </w:rPr>
              <w:t>a</w:t>
            </w:r>
          </w:p>
        </w:tc>
        <w:tc>
          <w:tcPr>
            <w:tcW w:w="1929" w:type="dxa"/>
            <w:tcBorders>
              <w:top w:val="single" w:sz="6" w:space="0" w:color="auto"/>
              <w:left w:val="single" w:sz="6" w:space="0" w:color="auto"/>
              <w:bottom w:val="single" w:sz="6" w:space="0" w:color="auto"/>
              <w:right w:val="single" w:sz="6" w:space="0" w:color="auto"/>
            </w:tcBorders>
            <w:vAlign w:val="center"/>
            <w:hideMark/>
          </w:tcPr>
          <w:p w14:paraId="1534D478"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snapToGrid w:val="0"/>
                <w:sz w:val="20"/>
                <w:szCs w:val="20"/>
              </w:rPr>
            </w:pPr>
            <w:r w:rsidRPr="0059437D">
              <w:rPr>
                <w:rFonts w:eastAsia="Times New Roman" w:cs="Times New Roman"/>
                <w:snapToGrid w:val="0"/>
                <w:sz w:val="20"/>
                <w:szCs w:val="20"/>
              </w:rPr>
              <w:t>68/69 (99%)</w:t>
            </w:r>
          </w:p>
        </w:tc>
        <w:tc>
          <w:tcPr>
            <w:tcW w:w="2101" w:type="dxa"/>
            <w:tcBorders>
              <w:top w:val="single" w:sz="6" w:space="0" w:color="auto"/>
              <w:left w:val="single" w:sz="6" w:space="0" w:color="auto"/>
              <w:bottom w:val="single" w:sz="6" w:space="0" w:color="auto"/>
              <w:right w:val="single" w:sz="6" w:space="0" w:color="auto"/>
            </w:tcBorders>
            <w:vAlign w:val="center"/>
            <w:hideMark/>
          </w:tcPr>
          <w:p w14:paraId="26C7C428"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snapToGrid w:val="0"/>
                <w:sz w:val="20"/>
                <w:szCs w:val="20"/>
              </w:rPr>
            </w:pPr>
            <w:r w:rsidRPr="0059437D">
              <w:rPr>
                <w:rFonts w:eastAsia="Times New Roman" w:cs="Times New Roman"/>
                <w:snapToGrid w:val="0"/>
                <w:sz w:val="20"/>
                <w:szCs w:val="20"/>
              </w:rPr>
              <w:t>28/29 (97%)</w:t>
            </w:r>
          </w:p>
        </w:tc>
      </w:tr>
      <w:tr w:rsidR="0059437D" w:rsidRPr="0059437D" w14:paraId="2F0D8B6A" w14:textId="77777777" w:rsidTr="0059437D">
        <w:tc>
          <w:tcPr>
            <w:tcW w:w="4935" w:type="dxa"/>
            <w:tcBorders>
              <w:top w:val="single" w:sz="6" w:space="0" w:color="auto"/>
              <w:left w:val="single" w:sz="6" w:space="0" w:color="auto"/>
              <w:bottom w:val="single" w:sz="6" w:space="0" w:color="auto"/>
              <w:right w:val="single" w:sz="6" w:space="0" w:color="auto"/>
            </w:tcBorders>
            <w:hideMark/>
          </w:tcPr>
          <w:p w14:paraId="62F8BF13"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snapToGrid w:val="0"/>
                <w:sz w:val="20"/>
                <w:szCs w:val="20"/>
              </w:rPr>
            </w:pPr>
            <w:r w:rsidRPr="0059437D">
              <w:rPr>
                <w:rFonts w:eastAsia="Times New Roman" w:cs="Times New Roman"/>
                <w:snapToGrid w:val="0"/>
                <w:sz w:val="20"/>
                <w:szCs w:val="20"/>
              </w:rPr>
              <w:t xml:space="preserve">Methicillin-resistant </w:t>
            </w:r>
            <w:r w:rsidRPr="0059437D">
              <w:rPr>
                <w:rFonts w:eastAsia="Times New Roman" w:cs="Times New Roman"/>
                <w:i/>
                <w:snapToGrid w:val="0"/>
                <w:sz w:val="20"/>
                <w:szCs w:val="20"/>
              </w:rPr>
              <w:t xml:space="preserve">Staphylococcus aureus </w:t>
            </w:r>
            <w:r w:rsidRPr="0059437D">
              <w:rPr>
                <w:rFonts w:eastAsia="Times New Roman" w:cs="Times New Roman"/>
                <w:snapToGrid w:val="0"/>
                <w:sz w:val="20"/>
                <w:szCs w:val="20"/>
              </w:rPr>
              <w:t>(MRSA)</w:t>
            </w:r>
            <w:r w:rsidRPr="0059437D">
              <w:rPr>
                <w:rFonts w:eastAsia="Times New Roman" w:cs="Times New Roman"/>
                <w:snapToGrid w:val="0"/>
                <w:sz w:val="20"/>
                <w:szCs w:val="20"/>
                <w:vertAlign w:val="superscript"/>
              </w:rPr>
              <w:t>a</w:t>
            </w:r>
          </w:p>
        </w:tc>
        <w:tc>
          <w:tcPr>
            <w:tcW w:w="1929" w:type="dxa"/>
            <w:tcBorders>
              <w:top w:val="single" w:sz="6" w:space="0" w:color="auto"/>
              <w:left w:val="single" w:sz="6" w:space="0" w:color="auto"/>
              <w:bottom w:val="single" w:sz="6" w:space="0" w:color="auto"/>
              <w:right w:val="single" w:sz="6" w:space="0" w:color="auto"/>
            </w:tcBorders>
            <w:vAlign w:val="center"/>
            <w:hideMark/>
          </w:tcPr>
          <w:p w14:paraId="7BC7392E"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snapToGrid w:val="0"/>
                <w:sz w:val="20"/>
                <w:szCs w:val="20"/>
              </w:rPr>
            </w:pPr>
            <w:r w:rsidRPr="0059437D">
              <w:rPr>
                <w:rFonts w:eastAsia="Times New Roman" w:cs="Times New Roman"/>
                <w:snapToGrid w:val="0"/>
                <w:sz w:val="20"/>
                <w:szCs w:val="20"/>
              </w:rPr>
              <w:t>63/66 (96%)</w:t>
            </w:r>
          </w:p>
        </w:tc>
        <w:tc>
          <w:tcPr>
            <w:tcW w:w="2101" w:type="dxa"/>
            <w:tcBorders>
              <w:top w:val="single" w:sz="6" w:space="0" w:color="auto"/>
              <w:left w:val="single" w:sz="6" w:space="0" w:color="auto"/>
              <w:bottom w:val="single" w:sz="6" w:space="0" w:color="auto"/>
              <w:right w:val="single" w:sz="6" w:space="0" w:color="auto"/>
            </w:tcBorders>
            <w:vAlign w:val="center"/>
            <w:hideMark/>
          </w:tcPr>
          <w:p w14:paraId="24E98E87"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snapToGrid w:val="0"/>
                <w:sz w:val="20"/>
                <w:szCs w:val="20"/>
              </w:rPr>
            </w:pPr>
            <w:r w:rsidRPr="0059437D">
              <w:rPr>
                <w:rFonts w:eastAsia="Times New Roman" w:cs="Times New Roman"/>
                <w:snapToGrid w:val="0"/>
                <w:sz w:val="20"/>
                <w:szCs w:val="20"/>
              </w:rPr>
              <w:t>34/34 (100%)</w:t>
            </w:r>
          </w:p>
        </w:tc>
      </w:tr>
      <w:tr w:rsidR="0059437D" w:rsidRPr="0059437D" w14:paraId="279C683B" w14:textId="77777777" w:rsidTr="0059437D">
        <w:tc>
          <w:tcPr>
            <w:tcW w:w="4935" w:type="dxa"/>
            <w:tcBorders>
              <w:top w:val="single" w:sz="6" w:space="0" w:color="auto"/>
              <w:left w:val="single" w:sz="6" w:space="0" w:color="auto"/>
              <w:bottom w:val="single" w:sz="6" w:space="0" w:color="auto"/>
              <w:right w:val="single" w:sz="6" w:space="0" w:color="auto"/>
            </w:tcBorders>
            <w:hideMark/>
          </w:tcPr>
          <w:p w14:paraId="35AA2817" w14:textId="77777777" w:rsidR="0059437D" w:rsidRPr="004B2CC6"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i/>
                <w:snapToGrid w:val="0"/>
                <w:sz w:val="20"/>
                <w:szCs w:val="20"/>
              </w:rPr>
            </w:pPr>
            <w:r w:rsidRPr="004B2CC6">
              <w:rPr>
                <w:rFonts w:eastAsia="Times New Roman" w:cs="Times New Roman"/>
                <w:i/>
                <w:snapToGrid w:val="0"/>
                <w:sz w:val="20"/>
                <w:szCs w:val="20"/>
              </w:rPr>
              <w:t xml:space="preserve">Streptococcus </w:t>
            </w:r>
            <w:proofErr w:type="spellStart"/>
            <w:r w:rsidRPr="004B2CC6">
              <w:rPr>
                <w:rFonts w:eastAsia="Times New Roman" w:cs="Times New Roman"/>
                <w:i/>
                <w:snapToGrid w:val="0"/>
                <w:sz w:val="20"/>
                <w:szCs w:val="20"/>
              </w:rPr>
              <w:t>pyogenes</w:t>
            </w:r>
            <w:proofErr w:type="spellEnd"/>
          </w:p>
        </w:tc>
        <w:tc>
          <w:tcPr>
            <w:tcW w:w="1929" w:type="dxa"/>
            <w:tcBorders>
              <w:top w:val="single" w:sz="6" w:space="0" w:color="auto"/>
              <w:left w:val="single" w:sz="6" w:space="0" w:color="auto"/>
              <w:bottom w:val="single" w:sz="6" w:space="0" w:color="auto"/>
              <w:right w:val="single" w:sz="6" w:space="0" w:color="auto"/>
            </w:tcBorders>
            <w:vAlign w:val="center"/>
            <w:hideMark/>
          </w:tcPr>
          <w:p w14:paraId="5BD0D83D"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snapToGrid w:val="0"/>
                <w:sz w:val="20"/>
                <w:szCs w:val="20"/>
              </w:rPr>
            </w:pPr>
            <w:r w:rsidRPr="0059437D">
              <w:rPr>
                <w:rFonts w:eastAsia="Times New Roman" w:cs="Times New Roman"/>
                <w:snapToGrid w:val="0"/>
                <w:sz w:val="20"/>
                <w:szCs w:val="20"/>
              </w:rPr>
              <w:t>17/18 (94%)</w:t>
            </w:r>
          </w:p>
        </w:tc>
        <w:tc>
          <w:tcPr>
            <w:tcW w:w="2101" w:type="dxa"/>
            <w:tcBorders>
              <w:top w:val="single" w:sz="6" w:space="0" w:color="auto"/>
              <w:left w:val="single" w:sz="6" w:space="0" w:color="auto"/>
              <w:bottom w:val="single" w:sz="6" w:space="0" w:color="auto"/>
              <w:right w:val="single" w:sz="6" w:space="0" w:color="auto"/>
            </w:tcBorders>
            <w:vAlign w:val="center"/>
            <w:hideMark/>
          </w:tcPr>
          <w:p w14:paraId="76048CD9" w14:textId="77777777" w:rsidR="0059437D" w:rsidRPr="0059437D" w:rsidRDefault="0059437D" w:rsidP="0059437D">
            <w:pPr>
              <w:keepLines/>
              <w:widowControl w:val="0"/>
              <w:tabs>
                <w:tab w:val="left" w:pos="0"/>
                <w:tab w:val="left" w:pos="284"/>
              </w:tabs>
              <w:autoSpaceDE w:val="0"/>
              <w:autoSpaceDN w:val="0"/>
              <w:adjustRightInd w:val="0"/>
              <w:spacing w:after="0" w:line="320" w:lineRule="atLeast"/>
              <w:ind w:left="1134" w:hanging="1134"/>
              <w:rPr>
                <w:rFonts w:eastAsia="Times New Roman" w:cs="Times New Roman"/>
                <w:snapToGrid w:val="0"/>
                <w:sz w:val="20"/>
                <w:szCs w:val="20"/>
              </w:rPr>
            </w:pPr>
            <w:r w:rsidRPr="0059437D">
              <w:rPr>
                <w:rFonts w:eastAsia="Times New Roman" w:cs="Times New Roman"/>
                <w:snapToGrid w:val="0"/>
                <w:sz w:val="20"/>
                <w:szCs w:val="20"/>
              </w:rPr>
              <w:t>5/5 (100%)</w:t>
            </w:r>
          </w:p>
        </w:tc>
      </w:tr>
    </w:tbl>
    <w:p w14:paraId="120B7A61" w14:textId="79AD837F" w:rsidR="0059437D" w:rsidRPr="0059437D" w:rsidRDefault="0059437D" w:rsidP="0059437D">
      <w:pPr>
        <w:widowControl w:val="0"/>
        <w:tabs>
          <w:tab w:val="left" w:pos="0"/>
        </w:tabs>
        <w:autoSpaceDE w:val="0"/>
        <w:autoSpaceDN w:val="0"/>
        <w:adjustRightInd w:val="0"/>
        <w:spacing w:after="0" w:line="320" w:lineRule="atLeast"/>
        <w:jc w:val="both"/>
        <w:rPr>
          <w:rFonts w:eastAsia="Times New Roman" w:cs="Times New Roman"/>
          <w:szCs w:val="20"/>
          <w:lang w:bidi="th-TH"/>
        </w:rPr>
      </w:pPr>
      <w:proofErr w:type="spellStart"/>
      <w:r w:rsidRPr="0059437D">
        <w:rPr>
          <w:rFonts w:eastAsia="Times New Roman" w:cs="Times New Roman"/>
          <w:szCs w:val="20"/>
          <w:vertAlign w:val="superscript"/>
          <w:lang w:bidi="th-TH"/>
        </w:rPr>
        <w:t>a</w:t>
      </w:r>
      <w:r w:rsidRPr="0059437D">
        <w:rPr>
          <w:rFonts w:eastAsia="Times New Roman" w:cs="Times New Roman"/>
          <w:sz w:val="20"/>
          <w:szCs w:val="20"/>
          <w:lang w:bidi="th-TH"/>
        </w:rPr>
        <w:t>Subjects</w:t>
      </w:r>
      <w:proofErr w:type="spellEnd"/>
      <w:r w:rsidRPr="0059437D">
        <w:rPr>
          <w:rFonts w:eastAsia="Times New Roman" w:cs="Times New Roman"/>
          <w:sz w:val="20"/>
          <w:szCs w:val="20"/>
          <w:lang w:bidi="th-TH"/>
        </w:rPr>
        <w:t xml:space="preserve"> with both clinical success and microbiological success are classified as overall therapeutic success</w:t>
      </w:r>
    </w:p>
    <w:p w14:paraId="13AABACD" w14:textId="77777777" w:rsidR="003C799A" w:rsidRDefault="003C799A" w:rsidP="003C799A">
      <w:pPr>
        <w:rPr>
          <w:lang w:val="en-US"/>
        </w:rPr>
      </w:pPr>
    </w:p>
    <w:p w14:paraId="4F2C85F4" w14:textId="77777777" w:rsidR="00E2430F" w:rsidRPr="005C21FD" w:rsidRDefault="00E2430F" w:rsidP="005C21FD">
      <w:pPr>
        <w:keepNext/>
        <w:keepLines/>
        <w:widowControl w:val="0"/>
        <w:tabs>
          <w:tab w:val="left" w:pos="0"/>
        </w:tabs>
        <w:autoSpaceDE w:val="0"/>
        <w:autoSpaceDN w:val="0"/>
        <w:adjustRightInd w:val="0"/>
        <w:spacing w:before="120" w:after="60" w:line="320" w:lineRule="atLeast"/>
        <w:jc w:val="both"/>
        <w:outlineLvl w:val="1"/>
        <w:rPr>
          <w:rFonts w:eastAsia="Times New Roman" w:cs="Times New Roman"/>
          <w:szCs w:val="24"/>
          <w:u w:val="single"/>
          <w:lang w:val="nb-NO"/>
        </w:rPr>
      </w:pPr>
      <w:r w:rsidRPr="005C21FD">
        <w:rPr>
          <w:rFonts w:eastAsia="Times New Roman" w:cs="Times New Roman"/>
          <w:i/>
          <w:szCs w:val="24"/>
          <w:u w:val="single"/>
          <w:lang w:val="nb-NO"/>
        </w:rPr>
        <w:t>S. aureus</w:t>
      </w:r>
      <w:r w:rsidRPr="005C21FD">
        <w:rPr>
          <w:rFonts w:eastAsia="Times New Roman" w:cs="Times New Roman"/>
          <w:szCs w:val="24"/>
          <w:u w:val="single"/>
          <w:lang w:val="nb-NO"/>
        </w:rPr>
        <w:t xml:space="preserve"> Bacteraemia/Endocarditis</w:t>
      </w:r>
    </w:p>
    <w:p w14:paraId="7DF525A3" w14:textId="2626E25B" w:rsidR="000C3750" w:rsidRPr="00B87B73" w:rsidRDefault="000C3750" w:rsidP="00E2430F">
      <w:pPr>
        <w:widowControl w:val="0"/>
        <w:tabs>
          <w:tab w:val="left" w:pos="0"/>
        </w:tabs>
        <w:autoSpaceDE w:val="0"/>
        <w:autoSpaceDN w:val="0"/>
        <w:adjustRightInd w:val="0"/>
        <w:spacing w:after="0" w:line="320" w:lineRule="atLeast"/>
        <w:jc w:val="both"/>
        <w:rPr>
          <w:rFonts w:eastAsia="Times New Roman" w:cs="Times New Roman"/>
          <w:i/>
          <w:szCs w:val="20"/>
          <w:u w:val="single"/>
        </w:rPr>
      </w:pPr>
      <w:r w:rsidRPr="00B87B73">
        <w:rPr>
          <w:rFonts w:eastAsia="Times New Roman" w:cs="Times New Roman"/>
          <w:i/>
          <w:szCs w:val="20"/>
          <w:u w:val="single"/>
        </w:rPr>
        <w:t>Adults with S. Aureus Bacteraemia/Endocarditis</w:t>
      </w:r>
    </w:p>
    <w:p w14:paraId="7A1BAE97"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4"/>
        </w:rPr>
      </w:pPr>
      <w:r w:rsidRPr="00E2430F">
        <w:rPr>
          <w:rFonts w:eastAsia="Times New Roman" w:cs="Times New Roman"/>
          <w:szCs w:val="20"/>
        </w:rPr>
        <w:t xml:space="preserve">The efficacy of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in the treatment of patients with </w:t>
      </w:r>
      <w:r w:rsidRPr="00E2430F">
        <w:rPr>
          <w:rFonts w:eastAsia="Times New Roman" w:cs="Times New Roman"/>
          <w:i/>
          <w:szCs w:val="20"/>
        </w:rPr>
        <w:t xml:space="preserve">S. aureus </w:t>
      </w:r>
      <w:r w:rsidRPr="00E2430F">
        <w:rPr>
          <w:rFonts w:eastAsia="Times New Roman" w:cs="Times New Roman"/>
          <w:szCs w:val="20"/>
        </w:rPr>
        <w:t xml:space="preserve">bacteraemia (SAB) was demonstrated in a randomised, controlled, multinational, multicentre open-label study.  In this study, adult patients with </w:t>
      </w:r>
      <w:r w:rsidRPr="00E2430F">
        <w:rPr>
          <w:rFonts w:eastAsia="Times New Roman" w:cs="Times New Roman"/>
          <w:szCs w:val="24"/>
        </w:rPr>
        <w:t xml:space="preserve">at least one positive blood culture for </w:t>
      </w:r>
      <w:r w:rsidRPr="00E2430F">
        <w:rPr>
          <w:rFonts w:eastAsia="Times New Roman" w:cs="Times New Roman"/>
          <w:i/>
          <w:szCs w:val="20"/>
        </w:rPr>
        <w:t>S. aureus</w:t>
      </w:r>
      <w:r w:rsidRPr="00E2430F">
        <w:rPr>
          <w:rFonts w:eastAsia="Times New Roman" w:cs="Times New Roman"/>
          <w:szCs w:val="20"/>
        </w:rPr>
        <w:t xml:space="preserve"> </w:t>
      </w:r>
      <w:r w:rsidRPr="00E2430F">
        <w:rPr>
          <w:rFonts w:eastAsia="Times New Roman" w:cs="Times New Roman"/>
          <w:szCs w:val="24"/>
        </w:rPr>
        <w:t>obtained within 2 calendar days prior to the first dose of study drug and irrespective of source</w:t>
      </w:r>
      <w:r w:rsidRPr="00E2430F">
        <w:rPr>
          <w:rFonts w:eastAsia="Times New Roman" w:cs="Times New Roman"/>
          <w:szCs w:val="20"/>
        </w:rPr>
        <w:t xml:space="preserve"> were enrolled and randomized to either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(6 mg/kg IV q24h) or standard of care [anti-staphylococcal semi-synthetic penicillin 2 g IV q4h (</w:t>
      </w:r>
      <w:proofErr w:type="spellStart"/>
      <w:r w:rsidRPr="00E2430F">
        <w:rPr>
          <w:rFonts w:eastAsia="Times New Roman" w:cs="Times New Roman"/>
          <w:szCs w:val="20"/>
        </w:rPr>
        <w:t>nafcillin</w:t>
      </w:r>
      <w:proofErr w:type="spellEnd"/>
      <w:r w:rsidRPr="00E2430F">
        <w:rPr>
          <w:rFonts w:eastAsia="Times New Roman" w:cs="Times New Roman"/>
          <w:szCs w:val="20"/>
        </w:rPr>
        <w:t xml:space="preserve">, </w:t>
      </w:r>
      <w:proofErr w:type="spellStart"/>
      <w:r w:rsidRPr="00E2430F">
        <w:rPr>
          <w:rFonts w:eastAsia="Times New Roman" w:cs="Times New Roman"/>
          <w:szCs w:val="20"/>
        </w:rPr>
        <w:t>oxacillin</w:t>
      </w:r>
      <w:proofErr w:type="spellEnd"/>
      <w:r w:rsidRPr="00E2430F">
        <w:rPr>
          <w:rFonts w:eastAsia="Times New Roman" w:cs="Times New Roman"/>
          <w:szCs w:val="20"/>
        </w:rPr>
        <w:t xml:space="preserve">, </w:t>
      </w:r>
      <w:proofErr w:type="spellStart"/>
      <w:r w:rsidRPr="00E2430F">
        <w:rPr>
          <w:rFonts w:eastAsia="Times New Roman" w:cs="Times New Roman"/>
          <w:szCs w:val="20"/>
        </w:rPr>
        <w:t>cloxacillin</w:t>
      </w:r>
      <w:proofErr w:type="spellEnd"/>
      <w:r w:rsidRPr="00E2430F">
        <w:rPr>
          <w:rFonts w:eastAsia="Times New Roman" w:cs="Times New Roman"/>
          <w:szCs w:val="20"/>
        </w:rPr>
        <w:t xml:space="preserve">, or </w:t>
      </w:r>
      <w:proofErr w:type="spellStart"/>
      <w:r w:rsidRPr="00E2430F">
        <w:rPr>
          <w:rFonts w:eastAsia="Times New Roman" w:cs="Times New Roman"/>
          <w:szCs w:val="20"/>
        </w:rPr>
        <w:t>flucloxacillin</w:t>
      </w:r>
      <w:proofErr w:type="spellEnd"/>
      <w:r w:rsidRPr="00E2430F">
        <w:rPr>
          <w:rFonts w:eastAsia="Times New Roman" w:cs="Times New Roman"/>
          <w:szCs w:val="20"/>
        </w:rPr>
        <w:t xml:space="preserve">) or vancomycin 1 g IV q12h, both with initial gentamicin 1 mg/kg IV every 8 hours for first 4 days].  </w:t>
      </w:r>
      <w:r w:rsidRPr="00E2430F">
        <w:rPr>
          <w:rFonts w:eastAsia="Times New Roman" w:cs="Times New Roman"/>
          <w:szCs w:val="24"/>
        </w:rPr>
        <w:t xml:space="preserve">Of the patients in the comparator group, 93 % received initial gentamicin for a median of 4 days compared with 1 patient (&lt; 1 %) in the </w:t>
      </w:r>
      <w:proofErr w:type="spellStart"/>
      <w:r w:rsidRPr="00E2430F">
        <w:rPr>
          <w:rFonts w:eastAsia="Times New Roman" w:cs="Times New Roman"/>
          <w:szCs w:val="20"/>
        </w:rPr>
        <w:t>daptomycin</w:t>
      </w:r>
      <w:proofErr w:type="spellEnd"/>
      <w:r w:rsidRPr="00E2430F">
        <w:rPr>
          <w:rFonts w:eastAsia="Times New Roman" w:cs="Times New Roman"/>
          <w:szCs w:val="24"/>
        </w:rPr>
        <w:t xml:space="preserve"> group.  Patients with prosthetic </w:t>
      </w:r>
      <w:r w:rsidRPr="00E2430F">
        <w:rPr>
          <w:rFonts w:eastAsia="Times New Roman" w:cs="Times New Roman"/>
          <w:szCs w:val="24"/>
        </w:rPr>
        <w:lastRenderedPageBreak/>
        <w:t xml:space="preserve">heart valves, intravascular foreign material that was not planned for removal within 4 days after the first dose of study medication, severe neutropenia, known osteomyelitis, </w:t>
      </w:r>
      <w:proofErr w:type="spellStart"/>
      <w:r w:rsidRPr="00E2430F">
        <w:rPr>
          <w:rFonts w:eastAsia="Times New Roman" w:cs="Times New Roman"/>
          <w:szCs w:val="24"/>
        </w:rPr>
        <w:t>polymicrobial</w:t>
      </w:r>
      <w:proofErr w:type="spellEnd"/>
      <w:r w:rsidRPr="00E2430F">
        <w:rPr>
          <w:rFonts w:eastAsia="Times New Roman" w:cs="Times New Roman"/>
          <w:szCs w:val="24"/>
        </w:rPr>
        <w:t xml:space="preserve"> bloodstream infections, creatinine clearance &lt; 30 mL/min, shock unresponsive to treatment for 4 hours and pneumonia were excluded.</w:t>
      </w:r>
    </w:p>
    <w:p w14:paraId="1305C59A"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5F7A6A41"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4"/>
        </w:rPr>
      </w:pPr>
      <w:r w:rsidRPr="00E2430F">
        <w:rPr>
          <w:rFonts w:eastAsia="Times New Roman" w:cs="Times New Roman"/>
          <w:szCs w:val="20"/>
        </w:rPr>
        <w:t xml:space="preserve">Upon entry, patients were classified for likelihood of endocarditis using the modified Duke criteria (Possible, Definite, or Not Endocarditis).  Echocardiography, including a </w:t>
      </w:r>
      <w:proofErr w:type="spellStart"/>
      <w:r w:rsidRPr="00E2430F">
        <w:rPr>
          <w:rFonts w:eastAsia="Times New Roman" w:cs="Times New Roman"/>
          <w:szCs w:val="20"/>
        </w:rPr>
        <w:t>transoesophageal</w:t>
      </w:r>
      <w:proofErr w:type="spellEnd"/>
      <w:r w:rsidRPr="00E2430F">
        <w:rPr>
          <w:rFonts w:eastAsia="Times New Roman" w:cs="Times New Roman"/>
          <w:szCs w:val="20"/>
        </w:rPr>
        <w:t xml:space="preserve"> echocardiogram (TEE), was performed within 5 days following study enrolment.  The choice of comparator agent was based on the </w:t>
      </w:r>
      <w:proofErr w:type="spellStart"/>
      <w:r w:rsidRPr="00E2430F">
        <w:rPr>
          <w:rFonts w:eastAsia="Times New Roman" w:cs="Times New Roman"/>
          <w:szCs w:val="20"/>
        </w:rPr>
        <w:t>oxacillin</w:t>
      </w:r>
      <w:proofErr w:type="spellEnd"/>
      <w:r w:rsidRPr="00E2430F">
        <w:rPr>
          <w:rFonts w:eastAsia="Times New Roman" w:cs="Times New Roman"/>
          <w:szCs w:val="20"/>
        </w:rPr>
        <w:t xml:space="preserve"> susceptibility of the </w:t>
      </w:r>
      <w:r w:rsidRPr="00E2430F">
        <w:rPr>
          <w:rFonts w:eastAsia="Times New Roman" w:cs="Times New Roman"/>
          <w:i/>
          <w:szCs w:val="20"/>
        </w:rPr>
        <w:t>S. aureus</w:t>
      </w:r>
      <w:r w:rsidRPr="00E2430F">
        <w:rPr>
          <w:rFonts w:eastAsia="Times New Roman" w:cs="Times New Roman"/>
          <w:szCs w:val="20"/>
        </w:rPr>
        <w:t xml:space="preserve"> isolate.  The duration of study treatment was based on the investigator’s clinical diagnosis.  </w:t>
      </w:r>
      <w:r w:rsidRPr="00E2430F">
        <w:rPr>
          <w:rFonts w:eastAsia="Times New Roman" w:cs="Times New Roman"/>
          <w:szCs w:val="24"/>
        </w:rPr>
        <w:t>Final diagnoses and outcome assessments at Test of Cure (6 weeks after the last treatment dose)</w:t>
      </w:r>
      <w:r w:rsidRPr="00E2430F" w:rsidDel="00F6320B">
        <w:rPr>
          <w:rFonts w:eastAsia="Times New Roman" w:cs="Times New Roman"/>
          <w:szCs w:val="24"/>
        </w:rPr>
        <w:t xml:space="preserve"> </w:t>
      </w:r>
      <w:r w:rsidRPr="00E2430F">
        <w:rPr>
          <w:rFonts w:eastAsia="Times New Roman" w:cs="Times New Roman"/>
          <w:szCs w:val="24"/>
        </w:rPr>
        <w:t>were made by a treatment-blinded Adjudication Committee, using protocol-specified clinical definitions and a composite primary efficacy endpoint (clinical and microbiological success) at the Test of Cure visit.</w:t>
      </w:r>
    </w:p>
    <w:p w14:paraId="764B1A20"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3A3627A6" w14:textId="0FB18EFF"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4"/>
        </w:rPr>
      </w:pPr>
      <w:r w:rsidRPr="00E2430F">
        <w:rPr>
          <w:rFonts w:eastAsia="Times New Roman" w:cs="Times New Roman"/>
          <w:szCs w:val="20"/>
        </w:rPr>
        <w:t xml:space="preserve">A total of 246 patients ≥ 18 years of age (124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122 comparator) with </w:t>
      </w:r>
      <w:r w:rsidRPr="00E2430F">
        <w:rPr>
          <w:rFonts w:eastAsia="Times New Roman" w:cs="Times New Roman"/>
          <w:i/>
          <w:szCs w:val="20"/>
        </w:rPr>
        <w:t>S. aureus</w:t>
      </w:r>
      <w:r w:rsidRPr="00E2430F">
        <w:rPr>
          <w:rFonts w:eastAsia="Times New Roman" w:cs="Times New Roman"/>
          <w:szCs w:val="20"/>
        </w:rPr>
        <w:t xml:space="preserve"> bacteraemia were randomi</w:t>
      </w:r>
      <w:r w:rsidR="000C3750">
        <w:rPr>
          <w:rFonts w:eastAsia="Times New Roman" w:cs="Times New Roman"/>
          <w:szCs w:val="20"/>
        </w:rPr>
        <w:t>s</w:t>
      </w:r>
      <w:r w:rsidRPr="00E2430F">
        <w:rPr>
          <w:rFonts w:eastAsia="Times New Roman" w:cs="Times New Roman"/>
          <w:szCs w:val="20"/>
        </w:rPr>
        <w:t xml:space="preserve">ed from 48 centres in the US and Europe. In the ITT population, 120 patients received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and 115 received comparator (62 anti-staphylococcal semi-synthetic penicillin and 53 vancomycin). Thirty-five patients treated with anti-staphylococcal semi-synthetic penicillins received vancomycin initially for 1 to 3 days, pending final susceptibility results for the </w:t>
      </w:r>
      <w:r w:rsidRPr="00E2430F">
        <w:rPr>
          <w:rFonts w:eastAsia="Times New Roman" w:cs="Times New Roman"/>
          <w:i/>
          <w:szCs w:val="20"/>
        </w:rPr>
        <w:t>S</w:t>
      </w:r>
      <w:r w:rsidR="004B2CC6">
        <w:rPr>
          <w:rFonts w:eastAsia="Times New Roman" w:cs="Times New Roman"/>
          <w:i/>
          <w:szCs w:val="20"/>
        </w:rPr>
        <w:t>.</w:t>
      </w:r>
      <w:r w:rsidRPr="00E2430F">
        <w:rPr>
          <w:rFonts w:eastAsia="Times New Roman" w:cs="Times New Roman"/>
          <w:i/>
          <w:szCs w:val="20"/>
        </w:rPr>
        <w:t> aureus</w:t>
      </w:r>
      <w:r w:rsidRPr="00E2430F">
        <w:rPr>
          <w:rFonts w:eastAsia="Times New Roman" w:cs="Times New Roman"/>
          <w:szCs w:val="20"/>
        </w:rPr>
        <w:t xml:space="preserve"> isolates.  The median age among the 235 patients in the ITT population was 53 years (range:  21 to 91 years); 30/120 (25 %) in the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group and 37/115 (32 %) in the comparator group were ≥65 years of age. Of the 235 ITT patients, there were 141 (60 %) males and 156 (66 %) Caucasians across the two treatment groups.  In addition, 176 (75 %) of the ITT population had systemic inflammatory response syndrome (SIRS) and 85 (36 %) had surgical procedures within 30 days of onset of the </w:t>
      </w:r>
      <w:r w:rsidRPr="00E2430F">
        <w:rPr>
          <w:rFonts w:eastAsia="Times New Roman" w:cs="Times New Roman"/>
          <w:i/>
          <w:szCs w:val="20"/>
        </w:rPr>
        <w:t>S. aureus</w:t>
      </w:r>
      <w:r w:rsidRPr="00E2430F">
        <w:rPr>
          <w:rFonts w:eastAsia="Times New Roman" w:cs="Times New Roman"/>
          <w:szCs w:val="20"/>
        </w:rPr>
        <w:t xml:space="preserve"> bacteraemia.  Eighty-nine patients (38 %) had bacteraemia caused by MRSA. Entry diagnosis was based on the modified Duke criteria and included 37 (16 %) Definite, 144 (61 %) Possible, and 54 (23 %) Not Endocarditis.  Of the 37 patients with an entry diagnosis of Definite Endocarditis, all (100 %) had a final diagnosis of infective endocarditis, and of the 144 patients with an entry diagnosis of Possible Endocarditis, 15 (10 %) had a final diagnosis of infective endocarditis as assessed by the Adjudication </w:t>
      </w:r>
      <w:r w:rsidRPr="00E2430F">
        <w:rPr>
          <w:rFonts w:eastAsia="Times New Roman" w:cs="Times New Roman"/>
          <w:szCs w:val="24"/>
        </w:rPr>
        <w:t xml:space="preserve">Committee.  Of the 54 patients with an entry diagnosis of Not Endocarditis, 1 (2 %) had a final diagnosis of infective endocarditis </w:t>
      </w:r>
      <w:r w:rsidRPr="00E2430F">
        <w:rPr>
          <w:rFonts w:eastAsia="Times New Roman" w:cs="Times New Roman"/>
          <w:szCs w:val="20"/>
        </w:rPr>
        <w:t xml:space="preserve">as assessed by the Adjudication </w:t>
      </w:r>
      <w:r w:rsidRPr="00E2430F">
        <w:rPr>
          <w:rFonts w:eastAsia="Times New Roman" w:cs="Times New Roman"/>
          <w:szCs w:val="24"/>
        </w:rPr>
        <w:t>Committee.</w:t>
      </w:r>
    </w:p>
    <w:p w14:paraId="4A9BE60B"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59D50C8F"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There were 182 patients with bacteraemia and 53 patients with infective endocarditis as assessed by the Adjudication Committee in the ITT population, including 35 with right-sided and 18 with left-sided endocarditis.  The 182 patients with bacteraemia included 121 with complicated and 61 with uncomplicated </w:t>
      </w:r>
      <w:r w:rsidRPr="00E2430F">
        <w:rPr>
          <w:rFonts w:eastAsia="Times New Roman" w:cs="Times New Roman"/>
          <w:i/>
          <w:szCs w:val="20"/>
        </w:rPr>
        <w:t>S. aureus</w:t>
      </w:r>
      <w:r w:rsidRPr="00E2430F">
        <w:rPr>
          <w:rFonts w:eastAsia="Times New Roman" w:cs="Times New Roman"/>
          <w:szCs w:val="20"/>
        </w:rPr>
        <w:t xml:space="preserve"> bacteraemia.</w:t>
      </w:r>
    </w:p>
    <w:p w14:paraId="5D4FBE9C"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57505FC1"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Complicated bacteraemia was defined as </w:t>
      </w:r>
      <w:r w:rsidRPr="00E2430F">
        <w:rPr>
          <w:rFonts w:eastAsia="Times New Roman" w:cs="Times New Roman"/>
          <w:i/>
          <w:iCs/>
          <w:szCs w:val="20"/>
        </w:rPr>
        <w:t>S. aureus</w:t>
      </w:r>
      <w:r w:rsidRPr="00E2430F">
        <w:rPr>
          <w:rFonts w:eastAsia="Times New Roman" w:cs="Times New Roman"/>
          <w:szCs w:val="20"/>
        </w:rPr>
        <w:t xml:space="preserve"> isolated from blood cultures obtained on at least 2 different calendar days, and/or metastatic foci of infection (deep tissue involvement), </w:t>
      </w:r>
      <w:r w:rsidRPr="00E2430F">
        <w:rPr>
          <w:rFonts w:eastAsia="Times New Roman" w:cs="Times New Roman"/>
          <w:szCs w:val="20"/>
        </w:rPr>
        <w:lastRenderedPageBreak/>
        <w:t xml:space="preserve">and classification of the patient as not having endocarditis according to the modified Duke criteria.  Uncomplicated bacteraemia was defined as </w:t>
      </w:r>
      <w:r w:rsidRPr="00E2430F">
        <w:rPr>
          <w:rFonts w:eastAsia="Times New Roman" w:cs="Times New Roman"/>
          <w:i/>
          <w:iCs/>
          <w:szCs w:val="20"/>
        </w:rPr>
        <w:t>S. aureus</w:t>
      </w:r>
      <w:r w:rsidRPr="00E2430F">
        <w:rPr>
          <w:rFonts w:eastAsia="Times New Roman" w:cs="Times New Roman"/>
          <w:iCs/>
          <w:szCs w:val="20"/>
        </w:rPr>
        <w:t xml:space="preserve"> </w:t>
      </w:r>
      <w:r w:rsidRPr="00E2430F">
        <w:rPr>
          <w:rFonts w:eastAsia="Times New Roman" w:cs="Times New Roman"/>
          <w:szCs w:val="20"/>
        </w:rPr>
        <w:t>isolated from blood culture(s) obtained on a single calendar day, no metastatic foci of infection, no infection of prosthetic material, and classification of the patient as not having endocarditis according to the modified Duke criteria. The definition of right-sided endocarditis (RIE) used in the clinical trial was Definite or Possible Endocarditis according to the modified Duke criteria and no echocardiographic evidence of predisposing pathology or active involvement of either the mitral or aortic valve.  Complicated RIE included patients who were not intravenous drug users, had a positive blood culture for MRSA, serum creatinine ≥ 2.5 mg/</w:t>
      </w:r>
      <w:proofErr w:type="spellStart"/>
      <w:r w:rsidRPr="00E2430F">
        <w:rPr>
          <w:rFonts w:eastAsia="Times New Roman" w:cs="Times New Roman"/>
          <w:szCs w:val="20"/>
        </w:rPr>
        <w:t>dL</w:t>
      </w:r>
      <w:proofErr w:type="spellEnd"/>
      <w:r w:rsidRPr="00E2430F">
        <w:rPr>
          <w:rFonts w:eastAsia="Times New Roman" w:cs="Times New Roman"/>
          <w:szCs w:val="20"/>
        </w:rPr>
        <w:t xml:space="preserve">, or evidence of </w:t>
      </w:r>
      <w:proofErr w:type="spellStart"/>
      <w:r w:rsidRPr="00E2430F">
        <w:rPr>
          <w:rFonts w:eastAsia="Times New Roman" w:cs="Times New Roman"/>
          <w:szCs w:val="20"/>
        </w:rPr>
        <w:t>extrapulmonary</w:t>
      </w:r>
      <w:proofErr w:type="spellEnd"/>
      <w:r w:rsidRPr="00E2430F">
        <w:rPr>
          <w:rFonts w:eastAsia="Times New Roman" w:cs="Times New Roman"/>
          <w:szCs w:val="20"/>
        </w:rPr>
        <w:t xml:space="preserve"> sites of infection.  Patients who were intravenous drug users, had a positive blood culture for MSSA, serum creatinine &lt; 2.5 mg/</w:t>
      </w:r>
      <w:proofErr w:type="spellStart"/>
      <w:r w:rsidRPr="00E2430F">
        <w:rPr>
          <w:rFonts w:eastAsia="Times New Roman" w:cs="Times New Roman"/>
          <w:szCs w:val="20"/>
        </w:rPr>
        <w:t>dL</w:t>
      </w:r>
      <w:proofErr w:type="spellEnd"/>
      <w:r w:rsidRPr="00E2430F">
        <w:rPr>
          <w:rFonts w:eastAsia="Times New Roman" w:cs="Times New Roman"/>
          <w:szCs w:val="20"/>
        </w:rPr>
        <w:t xml:space="preserve">, and were without evidence of </w:t>
      </w:r>
      <w:proofErr w:type="spellStart"/>
      <w:r w:rsidRPr="00E2430F">
        <w:rPr>
          <w:rFonts w:eastAsia="Times New Roman" w:cs="Times New Roman"/>
          <w:szCs w:val="20"/>
        </w:rPr>
        <w:t>extrapulmonary</w:t>
      </w:r>
      <w:proofErr w:type="spellEnd"/>
      <w:r w:rsidRPr="00E2430F">
        <w:rPr>
          <w:rFonts w:eastAsia="Times New Roman" w:cs="Times New Roman"/>
          <w:szCs w:val="20"/>
        </w:rPr>
        <w:t xml:space="preserve"> sites of infection were considered to have uncomplicated RIE.</w:t>
      </w:r>
    </w:p>
    <w:p w14:paraId="5D629468" w14:textId="77777777" w:rsidR="0059437D" w:rsidRDefault="0059437D" w:rsidP="003C799A">
      <w:pPr>
        <w:rPr>
          <w:lang w:val="en-US"/>
        </w:rPr>
      </w:pPr>
    </w:p>
    <w:p w14:paraId="6AB11830"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The co-primary efficacy endpoints in the study were the Adjudication Committee success rates at the Test of Cure visit (6 weeks after the last treatment dose) in the ITT and Per Protocol (PP) populations.  The overall Adjudication Committee success rates in the ITT population were 44.2 % (53/120) in patients treated with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and 41.7 % (48/115) in patients treated with comparator (difference = 2.4 % [95 % CI − 10.2, 15.1]).  The success rates in the PP population were 54.4 % (43/79) in patients treated with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and 53.3 % (32/60) in patients treated with comparator (difference = 1.1 % [95 % CI − 15.6, 17.8]).</w:t>
      </w:r>
    </w:p>
    <w:p w14:paraId="26F9D1AA"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58ED3F19" w14:textId="29C78BCE" w:rsid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Adjudication Committee success rates are shown in Table </w:t>
      </w:r>
      <w:r w:rsidR="00B84E20">
        <w:rPr>
          <w:rFonts w:eastAsia="Times New Roman" w:cs="Times New Roman"/>
          <w:szCs w:val="20"/>
        </w:rPr>
        <w:t>9</w:t>
      </w:r>
      <w:r w:rsidRPr="00E2430F">
        <w:rPr>
          <w:rFonts w:eastAsia="Times New Roman" w:cs="Times New Roman"/>
          <w:szCs w:val="20"/>
        </w:rPr>
        <w:t>.</w:t>
      </w:r>
    </w:p>
    <w:p w14:paraId="345BD650" w14:textId="4A40480B" w:rsidR="00B0049C" w:rsidRDefault="00B0049C">
      <w:pPr>
        <w:rPr>
          <w:rFonts w:eastAsia="Times New Roman" w:cs="Times New Roman"/>
          <w:szCs w:val="20"/>
        </w:rPr>
      </w:pPr>
      <w:r>
        <w:rPr>
          <w:rFonts w:eastAsia="Times New Roman" w:cs="Times New Roman"/>
          <w:szCs w:val="20"/>
        </w:rPr>
        <w:br w:type="page"/>
      </w:r>
    </w:p>
    <w:p w14:paraId="1F18ACEF" w14:textId="77777777" w:rsidR="00A95BE6" w:rsidRDefault="00A95BE6"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4B193BBD" w14:textId="70ABCBA5" w:rsidR="00A95BE6" w:rsidRPr="00E2430F" w:rsidRDefault="00A95BE6" w:rsidP="00A95BE6">
      <w:pPr>
        <w:rPr>
          <w:rFonts w:cs="Times New Roman"/>
          <w:b/>
          <w:szCs w:val="24"/>
          <w:lang w:val="en-US"/>
        </w:rPr>
      </w:pPr>
      <w:r w:rsidRPr="00E2430F">
        <w:rPr>
          <w:rFonts w:cs="Times New Roman"/>
          <w:b/>
          <w:szCs w:val="24"/>
          <w:lang w:val="en-US"/>
        </w:rPr>
        <w:t xml:space="preserve">Table </w:t>
      </w:r>
      <w:r w:rsidR="00B84E20">
        <w:rPr>
          <w:rFonts w:cs="Times New Roman"/>
          <w:b/>
          <w:szCs w:val="24"/>
          <w:lang w:val="en-US"/>
        </w:rPr>
        <w:t>9</w:t>
      </w:r>
      <w:r w:rsidRPr="00E2430F">
        <w:rPr>
          <w:rFonts w:cs="Times New Roman"/>
          <w:b/>
          <w:szCs w:val="24"/>
          <w:lang w:val="en-US"/>
        </w:rPr>
        <w:t xml:space="preserve"> Adjudication Committee Success Rates at Test of Cure </w:t>
      </w:r>
      <w:r>
        <w:rPr>
          <w:rFonts w:cs="Times New Roman"/>
          <w:b/>
          <w:szCs w:val="24"/>
          <w:lang w:val="en-US"/>
        </w:rPr>
        <w:t xml:space="preserve">in the </w:t>
      </w:r>
      <w:r w:rsidRPr="002C013E">
        <w:rPr>
          <w:rFonts w:cs="Times New Roman"/>
          <w:b/>
          <w:i/>
          <w:szCs w:val="24"/>
          <w:lang w:val="en-US"/>
        </w:rPr>
        <w:t>S.</w:t>
      </w:r>
      <w:r w:rsidR="004050F5">
        <w:rPr>
          <w:rFonts w:cs="Times New Roman"/>
          <w:b/>
          <w:i/>
          <w:szCs w:val="24"/>
          <w:lang w:val="en-US"/>
        </w:rPr>
        <w:t xml:space="preserve"> </w:t>
      </w:r>
      <w:r w:rsidRPr="002C013E">
        <w:rPr>
          <w:rFonts w:cs="Times New Roman"/>
          <w:b/>
          <w:i/>
          <w:szCs w:val="24"/>
          <w:lang w:val="en-US"/>
        </w:rPr>
        <w:t>aureus</w:t>
      </w:r>
      <w:r>
        <w:rPr>
          <w:rFonts w:cs="Times New Roman"/>
          <w:b/>
          <w:szCs w:val="24"/>
          <w:lang w:val="en-US"/>
        </w:rPr>
        <w:t xml:space="preserve"> </w:t>
      </w:r>
      <w:proofErr w:type="spellStart"/>
      <w:r>
        <w:rPr>
          <w:rFonts w:cs="Times New Roman"/>
          <w:b/>
          <w:szCs w:val="24"/>
          <w:lang w:val="en-US"/>
        </w:rPr>
        <w:t>Bact</w:t>
      </w:r>
      <w:r w:rsidR="00641270">
        <w:rPr>
          <w:rFonts w:cs="Times New Roman"/>
          <w:b/>
          <w:szCs w:val="24"/>
          <w:lang w:val="en-US"/>
        </w:rPr>
        <w:t>e</w:t>
      </w:r>
      <w:r>
        <w:rPr>
          <w:rFonts w:cs="Times New Roman"/>
          <w:b/>
          <w:szCs w:val="24"/>
          <w:lang w:val="en-US"/>
        </w:rPr>
        <w:t>raemia</w:t>
      </w:r>
      <w:proofErr w:type="spellEnd"/>
      <w:r>
        <w:rPr>
          <w:rFonts w:cs="Times New Roman"/>
          <w:b/>
          <w:szCs w:val="24"/>
          <w:lang w:val="en-US"/>
        </w:rPr>
        <w:t xml:space="preserve">/Endocarditis Trial in Adult Patients </w:t>
      </w:r>
      <w:r w:rsidRPr="00E2430F">
        <w:rPr>
          <w:rFonts w:cs="Times New Roman"/>
          <w:b/>
          <w:szCs w:val="24"/>
          <w:lang w:val="en-US"/>
        </w:rPr>
        <w:t>(</w:t>
      </w:r>
      <w:r>
        <w:rPr>
          <w:rFonts w:cs="Times New Roman"/>
          <w:b/>
          <w:szCs w:val="24"/>
          <w:lang w:val="en-US"/>
        </w:rPr>
        <w:t>Population:</w:t>
      </w:r>
      <w:r w:rsidR="00606E9D">
        <w:rPr>
          <w:rFonts w:cs="Times New Roman"/>
          <w:b/>
          <w:szCs w:val="24"/>
          <w:lang w:val="en-US"/>
        </w:rPr>
        <w:t xml:space="preserve"> </w:t>
      </w:r>
      <w:r w:rsidRPr="00E2430F">
        <w:rPr>
          <w:rFonts w:cs="Times New Roman"/>
          <w:b/>
          <w:szCs w:val="24"/>
          <w:lang w:val="en-US"/>
        </w:rPr>
        <w:t>ITT)</w:t>
      </w:r>
    </w:p>
    <w:tbl>
      <w:tblPr>
        <w:tblW w:w="965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740"/>
        <w:gridCol w:w="2127"/>
        <w:gridCol w:w="2082"/>
        <w:gridCol w:w="2710"/>
      </w:tblGrid>
      <w:tr w:rsidR="00A95BE6" w:rsidRPr="00E2430F" w14:paraId="6EDDB290" w14:textId="77777777" w:rsidTr="000B3530">
        <w:trPr>
          <w:trHeight w:val="931"/>
          <w:tblHeader/>
        </w:trPr>
        <w:tc>
          <w:tcPr>
            <w:tcW w:w="2740" w:type="dxa"/>
            <w:vAlign w:val="center"/>
          </w:tcPr>
          <w:p w14:paraId="2215A5EB"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b/>
                <w:bCs/>
                <w:snapToGrid w:val="0"/>
                <w:sz w:val="20"/>
                <w:szCs w:val="20"/>
              </w:rPr>
            </w:pPr>
            <w:r w:rsidRPr="00E2430F">
              <w:rPr>
                <w:rFonts w:eastAsia="Times" w:cs="Times New Roman"/>
                <w:b/>
                <w:snapToGrid w:val="0"/>
                <w:sz w:val="20"/>
                <w:szCs w:val="20"/>
              </w:rPr>
              <w:t>Population</w:t>
            </w:r>
          </w:p>
        </w:tc>
        <w:tc>
          <w:tcPr>
            <w:tcW w:w="2127" w:type="dxa"/>
            <w:vAlign w:val="bottom"/>
          </w:tcPr>
          <w:p w14:paraId="338ADD32"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E2430F">
              <w:rPr>
                <w:rFonts w:eastAsia="Times" w:cs="Times New Roman"/>
                <w:b/>
                <w:snapToGrid w:val="0"/>
                <w:sz w:val="20"/>
                <w:szCs w:val="20"/>
                <w:lang w:val="pt-BR"/>
              </w:rPr>
              <w:t>Daptomycin 6 mg/kg</w:t>
            </w:r>
            <w:r w:rsidRPr="00E2430F">
              <w:rPr>
                <w:rFonts w:eastAsia="Times" w:cs="Times New Roman"/>
                <w:b/>
                <w:snapToGrid w:val="0"/>
                <w:sz w:val="20"/>
                <w:szCs w:val="20"/>
                <w:lang w:val="pt-BR"/>
              </w:rPr>
              <w:br/>
              <w:t>n/N (%)</w:t>
            </w:r>
          </w:p>
        </w:tc>
        <w:tc>
          <w:tcPr>
            <w:tcW w:w="2082" w:type="dxa"/>
            <w:vAlign w:val="bottom"/>
          </w:tcPr>
          <w:p w14:paraId="7154A32C"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roofErr w:type="spellStart"/>
            <w:r w:rsidRPr="00E2430F">
              <w:rPr>
                <w:rFonts w:eastAsia="Times" w:cs="Times New Roman"/>
                <w:b/>
                <w:snapToGrid w:val="0"/>
                <w:sz w:val="20"/>
                <w:szCs w:val="20"/>
              </w:rPr>
              <w:t>Comparator</w:t>
            </w:r>
            <w:r w:rsidRPr="00E2430F">
              <w:rPr>
                <w:rFonts w:eastAsia="Times" w:cs="Times New Roman"/>
                <w:b/>
                <w:snapToGrid w:val="0"/>
                <w:sz w:val="20"/>
                <w:szCs w:val="20"/>
                <w:vertAlign w:val="superscript"/>
              </w:rPr>
              <w:t>a</w:t>
            </w:r>
            <w:proofErr w:type="spellEnd"/>
            <w:r w:rsidRPr="00E2430F">
              <w:rPr>
                <w:rFonts w:eastAsia="Times" w:cs="Times New Roman"/>
                <w:b/>
                <w:snapToGrid w:val="0"/>
                <w:sz w:val="20"/>
                <w:szCs w:val="20"/>
              </w:rPr>
              <w:br/>
              <w:t>n/N (%)</w:t>
            </w:r>
          </w:p>
        </w:tc>
        <w:tc>
          <w:tcPr>
            <w:tcW w:w="2710" w:type="dxa"/>
          </w:tcPr>
          <w:p w14:paraId="5704D149"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Difference:</w:t>
            </w:r>
            <w:r w:rsidRPr="00E2430F">
              <w:rPr>
                <w:rFonts w:eastAsia="Times" w:cs="Times New Roman"/>
                <w:b/>
                <w:snapToGrid w:val="0"/>
                <w:sz w:val="20"/>
                <w:szCs w:val="20"/>
              </w:rPr>
              <w:br/>
            </w:r>
            <w:proofErr w:type="spellStart"/>
            <w:r w:rsidRPr="00E2430F">
              <w:rPr>
                <w:rFonts w:eastAsia="Times" w:cs="Times New Roman"/>
                <w:b/>
                <w:snapToGrid w:val="0"/>
                <w:sz w:val="20"/>
                <w:szCs w:val="20"/>
              </w:rPr>
              <w:t>Daptomycin</w:t>
            </w:r>
            <w:proofErr w:type="spellEnd"/>
            <w:r w:rsidRPr="00E2430F">
              <w:rPr>
                <w:rFonts w:eastAsia="Times" w:cs="Times New Roman"/>
                <w:b/>
                <w:snapToGrid w:val="0"/>
                <w:sz w:val="20"/>
                <w:szCs w:val="20"/>
              </w:rPr>
              <w:t xml:space="preserve"> − Comparator</w:t>
            </w:r>
            <w:r w:rsidRPr="00E2430F">
              <w:rPr>
                <w:rFonts w:eastAsia="Times" w:cs="Times New Roman"/>
                <w:b/>
                <w:snapToGrid w:val="0"/>
                <w:sz w:val="20"/>
                <w:szCs w:val="20"/>
              </w:rPr>
              <w:br/>
              <w:t>(Confidence Interval)</w:t>
            </w:r>
          </w:p>
        </w:tc>
      </w:tr>
      <w:tr w:rsidR="00A95BE6" w:rsidRPr="00E2430F" w14:paraId="363D8B2A" w14:textId="77777777" w:rsidTr="000B3530">
        <w:tc>
          <w:tcPr>
            <w:tcW w:w="2740" w:type="dxa"/>
          </w:tcPr>
          <w:p w14:paraId="4A181E5F"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Overall</w:t>
            </w:r>
          </w:p>
        </w:tc>
        <w:tc>
          <w:tcPr>
            <w:tcW w:w="2127" w:type="dxa"/>
          </w:tcPr>
          <w:p w14:paraId="1A51F71C"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53/120 (44.2 %)</w:t>
            </w:r>
          </w:p>
        </w:tc>
        <w:tc>
          <w:tcPr>
            <w:tcW w:w="2082" w:type="dxa"/>
          </w:tcPr>
          <w:p w14:paraId="5581A36B" w14:textId="0D8A3C19"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48/115 (41.7 %)</w:t>
            </w:r>
          </w:p>
        </w:tc>
        <w:tc>
          <w:tcPr>
            <w:tcW w:w="2710" w:type="dxa"/>
          </w:tcPr>
          <w:p w14:paraId="69672D30"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2.4 % (−10.2, 15.1)</w:t>
            </w:r>
            <w:r w:rsidRPr="00E2430F">
              <w:rPr>
                <w:rFonts w:eastAsia="Times" w:cs="Times New Roman"/>
                <w:snapToGrid w:val="0"/>
                <w:sz w:val="20"/>
                <w:szCs w:val="20"/>
                <w:vertAlign w:val="superscript"/>
              </w:rPr>
              <w:t>c</w:t>
            </w:r>
          </w:p>
        </w:tc>
      </w:tr>
      <w:tr w:rsidR="00A95BE6" w:rsidRPr="00E2430F" w14:paraId="03CA60E1" w14:textId="77777777" w:rsidTr="000B3530">
        <w:tc>
          <w:tcPr>
            <w:tcW w:w="9659" w:type="dxa"/>
            <w:gridSpan w:val="4"/>
          </w:tcPr>
          <w:p w14:paraId="7210A658"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Baseline Pathogen</w:t>
            </w:r>
          </w:p>
        </w:tc>
      </w:tr>
      <w:tr w:rsidR="00A95BE6" w:rsidRPr="00E2430F" w14:paraId="6E32E351" w14:textId="77777777" w:rsidTr="000B3530">
        <w:tc>
          <w:tcPr>
            <w:tcW w:w="2740" w:type="dxa"/>
          </w:tcPr>
          <w:p w14:paraId="05F3423A"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MSSA</w:t>
            </w:r>
          </w:p>
        </w:tc>
        <w:tc>
          <w:tcPr>
            <w:tcW w:w="2127" w:type="dxa"/>
          </w:tcPr>
          <w:p w14:paraId="60405E2B"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33/74 (44.6 %)</w:t>
            </w:r>
          </w:p>
        </w:tc>
        <w:tc>
          <w:tcPr>
            <w:tcW w:w="2082" w:type="dxa"/>
          </w:tcPr>
          <w:p w14:paraId="2069932E"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34/70 (48.6 %)</w:t>
            </w:r>
          </w:p>
        </w:tc>
        <w:tc>
          <w:tcPr>
            <w:tcW w:w="2710" w:type="dxa"/>
          </w:tcPr>
          <w:p w14:paraId="0D401359"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−4.0 % (−22.6, 14.6)</w:t>
            </w:r>
            <w:r w:rsidRPr="00E2430F">
              <w:rPr>
                <w:rFonts w:eastAsia="Times" w:cs="Times New Roman"/>
                <w:snapToGrid w:val="0"/>
                <w:sz w:val="20"/>
                <w:szCs w:val="20"/>
                <w:vertAlign w:val="superscript"/>
              </w:rPr>
              <w:t>d</w:t>
            </w:r>
          </w:p>
        </w:tc>
      </w:tr>
      <w:tr w:rsidR="00A95BE6" w:rsidRPr="00E2430F" w14:paraId="1F27DD7C" w14:textId="77777777" w:rsidTr="000B3530">
        <w:tc>
          <w:tcPr>
            <w:tcW w:w="2740" w:type="dxa"/>
          </w:tcPr>
          <w:p w14:paraId="31479E27"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MRSA</w:t>
            </w:r>
          </w:p>
        </w:tc>
        <w:tc>
          <w:tcPr>
            <w:tcW w:w="2127" w:type="dxa"/>
          </w:tcPr>
          <w:p w14:paraId="238AFE15"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20/45 (44.4 %)</w:t>
            </w:r>
          </w:p>
        </w:tc>
        <w:tc>
          <w:tcPr>
            <w:tcW w:w="2082" w:type="dxa"/>
          </w:tcPr>
          <w:p w14:paraId="26424326"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14/44 (31.8 %)</w:t>
            </w:r>
          </w:p>
        </w:tc>
        <w:tc>
          <w:tcPr>
            <w:tcW w:w="2710" w:type="dxa"/>
          </w:tcPr>
          <w:p w14:paraId="5716C246"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12.6 % (−10.2, 35.5)</w:t>
            </w:r>
            <w:r w:rsidRPr="00E2430F">
              <w:rPr>
                <w:rFonts w:eastAsia="Times" w:cs="Times New Roman"/>
                <w:snapToGrid w:val="0"/>
                <w:sz w:val="20"/>
                <w:szCs w:val="20"/>
                <w:vertAlign w:val="superscript"/>
              </w:rPr>
              <w:t>d</w:t>
            </w:r>
          </w:p>
        </w:tc>
      </w:tr>
      <w:tr w:rsidR="00A95BE6" w:rsidRPr="00E2430F" w14:paraId="63E8393A" w14:textId="77777777" w:rsidTr="000B3530">
        <w:tc>
          <w:tcPr>
            <w:tcW w:w="9659" w:type="dxa"/>
            <w:gridSpan w:val="4"/>
          </w:tcPr>
          <w:p w14:paraId="5768A0A8"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Entry </w:t>
            </w:r>
            <w:proofErr w:type="spellStart"/>
            <w:r w:rsidRPr="00E2430F">
              <w:rPr>
                <w:rFonts w:eastAsia="Times" w:cs="Times New Roman"/>
                <w:snapToGrid w:val="0"/>
                <w:sz w:val="20"/>
                <w:szCs w:val="20"/>
              </w:rPr>
              <w:t>Diagnosis</w:t>
            </w:r>
            <w:r w:rsidRPr="00E2430F">
              <w:rPr>
                <w:rFonts w:eastAsia="Times" w:cs="Times New Roman"/>
                <w:snapToGrid w:val="0"/>
                <w:sz w:val="20"/>
                <w:szCs w:val="20"/>
                <w:vertAlign w:val="superscript"/>
              </w:rPr>
              <w:t>b</w:t>
            </w:r>
            <w:proofErr w:type="spellEnd"/>
          </w:p>
        </w:tc>
      </w:tr>
      <w:tr w:rsidR="00A95BE6" w:rsidRPr="00E2430F" w14:paraId="2C7AACDC" w14:textId="77777777" w:rsidTr="000B3530">
        <w:tc>
          <w:tcPr>
            <w:tcW w:w="2740" w:type="dxa"/>
          </w:tcPr>
          <w:p w14:paraId="5EE84AFF"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Definite or  </w:t>
            </w:r>
          </w:p>
          <w:p w14:paraId="10920C2E"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Possible infective </w:t>
            </w:r>
          </w:p>
          <w:p w14:paraId="4DE9F7A2"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endocarditis</w:t>
            </w:r>
          </w:p>
        </w:tc>
        <w:tc>
          <w:tcPr>
            <w:tcW w:w="2127" w:type="dxa"/>
          </w:tcPr>
          <w:p w14:paraId="23CDE12A"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41/90 (45.6 %)</w:t>
            </w:r>
          </w:p>
        </w:tc>
        <w:tc>
          <w:tcPr>
            <w:tcW w:w="2082" w:type="dxa"/>
          </w:tcPr>
          <w:p w14:paraId="2C43BD89"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37/91 (40.7 %)</w:t>
            </w:r>
          </w:p>
        </w:tc>
        <w:tc>
          <w:tcPr>
            <w:tcW w:w="2710" w:type="dxa"/>
          </w:tcPr>
          <w:p w14:paraId="3DCAE9DE"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4.9 % (−11.6, 21.4)</w:t>
            </w:r>
            <w:r w:rsidRPr="00E2430F">
              <w:rPr>
                <w:rFonts w:eastAsia="Times" w:cs="Times New Roman"/>
                <w:snapToGrid w:val="0"/>
                <w:sz w:val="20"/>
                <w:szCs w:val="20"/>
                <w:vertAlign w:val="superscript"/>
              </w:rPr>
              <w:t>d</w:t>
            </w:r>
          </w:p>
        </w:tc>
      </w:tr>
      <w:tr w:rsidR="00A95BE6" w:rsidRPr="00E2430F" w14:paraId="3F685102" w14:textId="77777777" w:rsidTr="000B3530">
        <w:tc>
          <w:tcPr>
            <w:tcW w:w="2740" w:type="dxa"/>
          </w:tcPr>
          <w:p w14:paraId="79464B23"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Not Infective  </w:t>
            </w:r>
          </w:p>
          <w:p w14:paraId="18BD680A"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endocarditis</w:t>
            </w:r>
          </w:p>
        </w:tc>
        <w:tc>
          <w:tcPr>
            <w:tcW w:w="2127" w:type="dxa"/>
          </w:tcPr>
          <w:p w14:paraId="354D17E2"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12/30 (40.0 %)</w:t>
            </w:r>
          </w:p>
        </w:tc>
        <w:tc>
          <w:tcPr>
            <w:tcW w:w="2082" w:type="dxa"/>
          </w:tcPr>
          <w:p w14:paraId="699A012E"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11/24 (45.8 %)</w:t>
            </w:r>
          </w:p>
        </w:tc>
        <w:tc>
          <w:tcPr>
            <w:tcW w:w="2710" w:type="dxa"/>
          </w:tcPr>
          <w:p w14:paraId="542C37DF"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−5.8 % (−36.2, 24.5)</w:t>
            </w:r>
            <w:r w:rsidRPr="00E2430F">
              <w:rPr>
                <w:rFonts w:eastAsia="Times" w:cs="Times New Roman"/>
                <w:snapToGrid w:val="0"/>
                <w:sz w:val="20"/>
                <w:szCs w:val="20"/>
                <w:vertAlign w:val="superscript"/>
              </w:rPr>
              <w:t>d</w:t>
            </w:r>
          </w:p>
        </w:tc>
      </w:tr>
      <w:tr w:rsidR="00A95BE6" w:rsidRPr="00E2430F" w14:paraId="20755A01" w14:textId="77777777" w:rsidTr="000B3530">
        <w:tc>
          <w:tcPr>
            <w:tcW w:w="9659" w:type="dxa"/>
            <w:gridSpan w:val="4"/>
          </w:tcPr>
          <w:p w14:paraId="1FF8A241"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Final Diagnosis</w:t>
            </w:r>
          </w:p>
        </w:tc>
      </w:tr>
      <w:tr w:rsidR="00A95BE6" w:rsidRPr="00E2430F" w14:paraId="285E6C3B" w14:textId="77777777" w:rsidTr="000B3530">
        <w:tc>
          <w:tcPr>
            <w:tcW w:w="2740" w:type="dxa"/>
          </w:tcPr>
          <w:p w14:paraId="510A894A"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Uncomplicated </w:t>
            </w:r>
          </w:p>
          <w:p w14:paraId="1C41CD2D"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bacteraemia</w:t>
            </w:r>
          </w:p>
        </w:tc>
        <w:tc>
          <w:tcPr>
            <w:tcW w:w="2127" w:type="dxa"/>
          </w:tcPr>
          <w:p w14:paraId="23690367"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18/32 (56.3 %)</w:t>
            </w:r>
          </w:p>
        </w:tc>
        <w:tc>
          <w:tcPr>
            <w:tcW w:w="2082" w:type="dxa"/>
          </w:tcPr>
          <w:p w14:paraId="0EB447E9"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16/29 (55.2 %)</w:t>
            </w:r>
          </w:p>
        </w:tc>
        <w:tc>
          <w:tcPr>
            <w:tcW w:w="2710" w:type="dxa"/>
          </w:tcPr>
          <w:p w14:paraId="35375FAE"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1.1 % (−31.7, 33.9)</w:t>
            </w:r>
            <w:r w:rsidRPr="00E2430F">
              <w:rPr>
                <w:rFonts w:eastAsia="Times" w:cs="Times New Roman"/>
                <w:snapToGrid w:val="0"/>
                <w:sz w:val="20"/>
                <w:szCs w:val="20"/>
                <w:vertAlign w:val="superscript"/>
              </w:rPr>
              <w:t>e</w:t>
            </w:r>
          </w:p>
        </w:tc>
      </w:tr>
      <w:tr w:rsidR="00A95BE6" w:rsidRPr="00E2430F" w14:paraId="65B541A3" w14:textId="77777777" w:rsidTr="000B3530">
        <w:tc>
          <w:tcPr>
            <w:tcW w:w="2740" w:type="dxa"/>
          </w:tcPr>
          <w:p w14:paraId="496ADAFD"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Complicated </w:t>
            </w:r>
          </w:p>
          <w:p w14:paraId="236007A9"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bacteraemia</w:t>
            </w:r>
          </w:p>
        </w:tc>
        <w:tc>
          <w:tcPr>
            <w:tcW w:w="2127" w:type="dxa"/>
          </w:tcPr>
          <w:p w14:paraId="36129984"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26/60 (43.3 %)</w:t>
            </w:r>
          </w:p>
        </w:tc>
        <w:tc>
          <w:tcPr>
            <w:tcW w:w="2082" w:type="dxa"/>
          </w:tcPr>
          <w:p w14:paraId="02981C7F"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23/61 (37.7 %)</w:t>
            </w:r>
          </w:p>
        </w:tc>
        <w:tc>
          <w:tcPr>
            <w:tcW w:w="2710" w:type="dxa"/>
          </w:tcPr>
          <w:p w14:paraId="2089E8D0"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5.6 % (−17.3, 28.6)</w:t>
            </w:r>
            <w:r w:rsidRPr="00E2430F">
              <w:rPr>
                <w:rFonts w:eastAsia="Times" w:cs="Times New Roman"/>
                <w:snapToGrid w:val="0"/>
                <w:sz w:val="20"/>
                <w:szCs w:val="20"/>
                <w:vertAlign w:val="superscript"/>
              </w:rPr>
              <w:t>e</w:t>
            </w:r>
          </w:p>
        </w:tc>
      </w:tr>
      <w:tr w:rsidR="00A95BE6" w:rsidRPr="00E2430F" w14:paraId="6F1889B6" w14:textId="77777777" w:rsidTr="000B3530">
        <w:tc>
          <w:tcPr>
            <w:tcW w:w="2740" w:type="dxa"/>
          </w:tcPr>
          <w:p w14:paraId="75A40565"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Right-sided </w:t>
            </w:r>
          </w:p>
          <w:p w14:paraId="306FE536"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infective </w:t>
            </w:r>
          </w:p>
          <w:p w14:paraId="4FB90349"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endocarditis</w:t>
            </w:r>
          </w:p>
        </w:tc>
        <w:tc>
          <w:tcPr>
            <w:tcW w:w="2127" w:type="dxa"/>
          </w:tcPr>
          <w:p w14:paraId="07BFE9FB"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8/19 (42.1 %)</w:t>
            </w:r>
          </w:p>
        </w:tc>
        <w:tc>
          <w:tcPr>
            <w:tcW w:w="2082" w:type="dxa"/>
          </w:tcPr>
          <w:p w14:paraId="687FE938"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7/16 (43.8 %)</w:t>
            </w:r>
          </w:p>
        </w:tc>
        <w:tc>
          <w:tcPr>
            <w:tcW w:w="2710" w:type="dxa"/>
          </w:tcPr>
          <w:p w14:paraId="0E22FB8A"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−1.6 % (−44.9, 41.6)</w:t>
            </w:r>
            <w:r w:rsidRPr="00E2430F">
              <w:rPr>
                <w:rFonts w:eastAsia="Times" w:cs="Times New Roman"/>
                <w:snapToGrid w:val="0"/>
                <w:sz w:val="20"/>
                <w:szCs w:val="20"/>
                <w:vertAlign w:val="superscript"/>
              </w:rPr>
              <w:t>e</w:t>
            </w:r>
          </w:p>
        </w:tc>
      </w:tr>
      <w:tr w:rsidR="00A95BE6" w:rsidRPr="00E2430F" w14:paraId="137E151F" w14:textId="77777777" w:rsidTr="000B3530">
        <w:tc>
          <w:tcPr>
            <w:tcW w:w="2740" w:type="dxa"/>
          </w:tcPr>
          <w:p w14:paraId="1B680E3F"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Uncomplicated </w:t>
            </w:r>
          </w:p>
          <w:p w14:paraId="01F7356C"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right-sided infective </w:t>
            </w:r>
          </w:p>
          <w:p w14:paraId="03C91BFF"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endocarditis</w:t>
            </w:r>
          </w:p>
        </w:tc>
        <w:tc>
          <w:tcPr>
            <w:tcW w:w="2127" w:type="dxa"/>
          </w:tcPr>
          <w:p w14:paraId="5543BC1C"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3/6 (50.0 %)</w:t>
            </w:r>
          </w:p>
        </w:tc>
        <w:tc>
          <w:tcPr>
            <w:tcW w:w="2082" w:type="dxa"/>
          </w:tcPr>
          <w:p w14:paraId="22947109"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1/4 (25.0 %)</w:t>
            </w:r>
          </w:p>
        </w:tc>
        <w:tc>
          <w:tcPr>
            <w:tcW w:w="2710" w:type="dxa"/>
          </w:tcPr>
          <w:p w14:paraId="33C12390"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25.0 % (−51.6, 100.0)</w:t>
            </w:r>
            <w:r w:rsidRPr="00E2430F">
              <w:rPr>
                <w:rFonts w:eastAsia="Times" w:cs="Times New Roman"/>
                <w:snapToGrid w:val="0"/>
                <w:sz w:val="20"/>
                <w:szCs w:val="20"/>
                <w:vertAlign w:val="superscript"/>
              </w:rPr>
              <w:t>e</w:t>
            </w:r>
          </w:p>
        </w:tc>
      </w:tr>
      <w:tr w:rsidR="00A95BE6" w:rsidRPr="00E2430F" w14:paraId="626C1EF3" w14:textId="77777777" w:rsidTr="000B3530">
        <w:tc>
          <w:tcPr>
            <w:tcW w:w="2740" w:type="dxa"/>
          </w:tcPr>
          <w:p w14:paraId="66FCF683"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Complicated right-</w:t>
            </w:r>
          </w:p>
          <w:p w14:paraId="1189FEE5"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sided infective </w:t>
            </w:r>
          </w:p>
          <w:p w14:paraId="760461F8"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endocarditis</w:t>
            </w:r>
          </w:p>
        </w:tc>
        <w:tc>
          <w:tcPr>
            <w:tcW w:w="2127" w:type="dxa"/>
          </w:tcPr>
          <w:p w14:paraId="212F4B93"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5/13 (38.5 %)</w:t>
            </w:r>
          </w:p>
        </w:tc>
        <w:tc>
          <w:tcPr>
            <w:tcW w:w="2082" w:type="dxa"/>
          </w:tcPr>
          <w:p w14:paraId="2E731035"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6/12 (50.0 %)</w:t>
            </w:r>
          </w:p>
        </w:tc>
        <w:tc>
          <w:tcPr>
            <w:tcW w:w="2710" w:type="dxa"/>
          </w:tcPr>
          <w:p w14:paraId="0F4197E0"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−11.5 % (−62.4, 39.4)</w:t>
            </w:r>
            <w:r w:rsidRPr="00E2430F">
              <w:rPr>
                <w:rFonts w:eastAsia="Times" w:cs="Times New Roman"/>
                <w:snapToGrid w:val="0"/>
                <w:sz w:val="20"/>
                <w:szCs w:val="20"/>
                <w:vertAlign w:val="superscript"/>
              </w:rPr>
              <w:t>e</w:t>
            </w:r>
          </w:p>
        </w:tc>
      </w:tr>
      <w:tr w:rsidR="00A95BE6" w:rsidRPr="00E2430F" w14:paraId="218C42AF" w14:textId="77777777" w:rsidTr="000B3530">
        <w:tc>
          <w:tcPr>
            <w:tcW w:w="2740" w:type="dxa"/>
          </w:tcPr>
          <w:p w14:paraId="68EC416B"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Left-sided infective </w:t>
            </w:r>
          </w:p>
          <w:p w14:paraId="4A968A5A"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 xml:space="preserve">     endocarditis</w:t>
            </w:r>
          </w:p>
        </w:tc>
        <w:tc>
          <w:tcPr>
            <w:tcW w:w="2127" w:type="dxa"/>
          </w:tcPr>
          <w:p w14:paraId="0C46686E"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1/9 (11.1 %)</w:t>
            </w:r>
          </w:p>
        </w:tc>
        <w:tc>
          <w:tcPr>
            <w:tcW w:w="2082" w:type="dxa"/>
          </w:tcPr>
          <w:p w14:paraId="0420ED40"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2/9 (22.2 %)</w:t>
            </w:r>
          </w:p>
        </w:tc>
        <w:tc>
          <w:tcPr>
            <w:tcW w:w="2710" w:type="dxa"/>
          </w:tcPr>
          <w:p w14:paraId="7E3A66F2" w14:textId="77777777" w:rsidR="00A95BE6" w:rsidRPr="00E2430F" w:rsidRDefault="00A95BE6" w:rsidP="000B3530">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−11.1 % (−55.9, 33.6)</w:t>
            </w:r>
            <w:r w:rsidRPr="00E2430F">
              <w:rPr>
                <w:rFonts w:eastAsia="Times" w:cs="Times New Roman"/>
                <w:snapToGrid w:val="0"/>
                <w:sz w:val="20"/>
                <w:szCs w:val="20"/>
                <w:vertAlign w:val="superscript"/>
              </w:rPr>
              <w:t>e</w:t>
            </w:r>
          </w:p>
        </w:tc>
      </w:tr>
    </w:tbl>
    <w:p w14:paraId="1CE6F54A" w14:textId="77777777" w:rsidR="00A95BE6" w:rsidRPr="00E2430F" w:rsidRDefault="00A95BE6" w:rsidP="00A95BE6">
      <w:pPr>
        <w:widowControl w:val="0"/>
        <w:tabs>
          <w:tab w:val="left" w:pos="0"/>
        </w:tabs>
        <w:autoSpaceDE w:val="0"/>
        <w:autoSpaceDN w:val="0"/>
        <w:adjustRightInd w:val="0"/>
        <w:spacing w:after="120" w:line="320" w:lineRule="atLeast"/>
        <w:jc w:val="both"/>
        <w:rPr>
          <w:rFonts w:eastAsia="Times New Roman" w:cs="Times New Roman"/>
          <w:bCs/>
          <w:sz w:val="20"/>
          <w:szCs w:val="20"/>
        </w:rPr>
      </w:pPr>
      <w:r w:rsidRPr="00E2430F">
        <w:rPr>
          <w:rFonts w:eastAsia="Times New Roman" w:cs="Times New Roman"/>
          <w:color w:val="000000"/>
          <w:szCs w:val="20"/>
          <w:vertAlign w:val="superscript"/>
        </w:rPr>
        <w:t xml:space="preserve">a </w:t>
      </w:r>
      <w:r w:rsidRPr="00E2430F">
        <w:rPr>
          <w:rFonts w:eastAsia="Times New Roman" w:cs="Times New Roman"/>
          <w:bCs/>
          <w:sz w:val="20"/>
          <w:szCs w:val="20"/>
        </w:rPr>
        <w:t xml:space="preserve">Comparator: vancomycin (1 g IV q12h) or anti-staphylococcal semi-synthetic penicillin (i.e., </w:t>
      </w:r>
      <w:proofErr w:type="spellStart"/>
      <w:r w:rsidRPr="00E2430F">
        <w:rPr>
          <w:rFonts w:eastAsia="Times New Roman" w:cs="Times New Roman"/>
          <w:bCs/>
          <w:sz w:val="20"/>
          <w:szCs w:val="20"/>
        </w:rPr>
        <w:t>nafcillin</w:t>
      </w:r>
      <w:proofErr w:type="spellEnd"/>
      <w:r w:rsidRPr="00E2430F">
        <w:rPr>
          <w:rFonts w:eastAsia="Times New Roman" w:cs="Times New Roman"/>
          <w:bCs/>
          <w:sz w:val="20"/>
          <w:szCs w:val="20"/>
        </w:rPr>
        <w:t xml:space="preserve">, </w:t>
      </w:r>
      <w:proofErr w:type="spellStart"/>
      <w:r w:rsidRPr="00E2430F">
        <w:rPr>
          <w:rFonts w:eastAsia="Times New Roman" w:cs="Times New Roman"/>
          <w:bCs/>
          <w:sz w:val="20"/>
          <w:szCs w:val="20"/>
        </w:rPr>
        <w:t>oxacillin</w:t>
      </w:r>
      <w:proofErr w:type="spellEnd"/>
      <w:r w:rsidRPr="00E2430F">
        <w:rPr>
          <w:rFonts w:eastAsia="Times New Roman" w:cs="Times New Roman"/>
          <w:bCs/>
          <w:sz w:val="20"/>
          <w:szCs w:val="20"/>
        </w:rPr>
        <w:t xml:space="preserve">, </w:t>
      </w:r>
      <w:proofErr w:type="spellStart"/>
      <w:r w:rsidRPr="00E2430F">
        <w:rPr>
          <w:rFonts w:eastAsia="Times New Roman" w:cs="Times New Roman"/>
          <w:bCs/>
          <w:sz w:val="20"/>
          <w:szCs w:val="20"/>
        </w:rPr>
        <w:t>cloxacillin</w:t>
      </w:r>
      <w:proofErr w:type="spellEnd"/>
      <w:r w:rsidRPr="00E2430F">
        <w:rPr>
          <w:rFonts w:eastAsia="Times New Roman" w:cs="Times New Roman"/>
          <w:bCs/>
          <w:sz w:val="20"/>
          <w:szCs w:val="20"/>
        </w:rPr>
        <w:t xml:space="preserve">, </w:t>
      </w:r>
      <w:proofErr w:type="spellStart"/>
      <w:r w:rsidRPr="00E2430F">
        <w:rPr>
          <w:rFonts w:eastAsia="Times New Roman" w:cs="Times New Roman"/>
          <w:bCs/>
          <w:sz w:val="20"/>
          <w:szCs w:val="20"/>
        </w:rPr>
        <w:t>flucloxacillin</w:t>
      </w:r>
      <w:proofErr w:type="spellEnd"/>
      <w:r w:rsidRPr="00E2430F">
        <w:rPr>
          <w:rFonts w:eastAsia="Times New Roman" w:cs="Times New Roman"/>
          <w:bCs/>
          <w:sz w:val="20"/>
          <w:szCs w:val="20"/>
        </w:rPr>
        <w:t>; 2 g IV q4h), each with initial low-dose gentamicin</w:t>
      </w:r>
    </w:p>
    <w:p w14:paraId="635CD6D2" w14:textId="77777777" w:rsidR="00A95BE6" w:rsidRPr="00E2430F" w:rsidRDefault="00A95BE6" w:rsidP="00A95BE6">
      <w:pPr>
        <w:widowControl w:val="0"/>
        <w:tabs>
          <w:tab w:val="left" w:pos="0"/>
        </w:tabs>
        <w:autoSpaceDE w:val="0"/>
        <w:autoSpaceDN w:val="0"/>
        <w:adjustRightInd w:val="0"/>
        <w:spacing w:after="120" w:line="320" w:lineRule="atLeast"/>
        <w:jc w:val="both"/>
        <w:rPr>
          <w:rFonts w:eastAsia="Times New Roman" w:cs="Times New Roman"/>
          <w:bCs/>
          <w:color w:val="000000"/>
          <w:sz w:val="20"/>
          <w:szCs w:val="20"/>
        </w:rPr>
      </w:pPr>
      <w:r w:rsidRPr="00E2430F">
        <w:rPr>
          <w:rFonts w:eastAsia="Times New Roman" w:cs="Times New Roman"/>
          <w:szCs w:val="20"/>
          <w:vertAlign w:val="superscript"/>
        </w:rPr>
        <w:t xml:space="preserve">b </w:t>
      </w:r>
      <w:r w:rsidRPr="00E2430F">
        <w:rPr>
          <w:rFonts w:eastAsia="Times New Roman" w:cs="Times New Roman"/>
          <w:bCs/>
          <w:color w:val="000000"/>
          <w:sz w:val="20"/>
          <w:szCs w:val="20"/>
        </w:rPr>
        <w:t>According to the modified Duke criteria</w:t>
      </w:r>
    </w:p>
    <w:p w14:paraId="7BAA264E" w14:textId="77777777" w:rsidR="00A95BE6" w:rsidRPr="00E2430F" w:rsidRDefault="00A95BE6" w:rsidP="00A95BE6">
      <w:pPr>
        <w:widowControl w:val="0"/>
        <w:tabs>
          <w:tab w:val="left" w:pos="0"/>
        </w:tabs>
        <w:autoSpaceDE w:val="0"/>
        <w:autoSpaceDN w:val="0"/>
        <w:adjustRightInd w:val="0"/>
        <w:spacing w:after="120" w:line="320" w:lineRule="atLeast"/>
        <w:jc w:val="both"/>
        <w:rPr>
          <w:rFonts w:eastAsia="Times New Roman" w:cs="Times New Roman"/>
          <w:bCs/>
          <w:color w:val="000000"/>
          <w:sz w:val="20"/>
          <w:szCs w:val="20"/>
        </w:rPr>
      </w:pPr>
      <w:r w:rsidRPr="00E2430F">
        <w:rPr>
          <w:rFonts w:eastAsia="Times New Roman" w:cs="Times New Roman"/>
          <w:szCs w:val="20"/>
          <w:vertAlign w:val="superscript"/>
        </w:rPr>
        <w:t>c</w:t>
      </w:r>
      <w:r w:rsidRPr="00E2430F">
        <w:rPr>
          <w:rFonts w:eastAsia="Times New Roman" w:cs="Times New Roman"/>
          <w:bCs/>
          <w:color w:val="000000"/>
          <w:sz w:val="20"/>
          <w:szCs w:val="20"/>
        </w:rPr>
        <w:t xml:space="preserve">  95 % Confidence Interval</w:t>
      </w:r>
    </w:p>
    <w:p w14:paraId="498C6D61" w14:textId="77777777" w:rsidR="00A95BE6" w:rsidRPr="00E2430F" w:rsidRDefault="00A95BE6" w:rsidP="00A95BE6">
      <w:pPr>
        <w:widowControl w:val="0"/>
        <w:tabs>
          <w:tab w:val="left" w:pos="0"/>
        </w:tabs>
        <w:autoSpaceDE w:val="0"/>
        <w:autoSpaceDN w:val="0"/>
        <w:adjustRightInd w:val="0"/>
        <w:spacing w:after="120" w:line="320" w:lineRule="atLeast"/>
        <w:jc w:val="both"/>
        <w:rPr>
          <w:rFonts w:eastAsia="Times New Roman" w:cs="Times New Roman"/>
          <w:bCs/>
          <w:color w:val="000000"/>
          <w:sz w:val="20"/>
          <w:szCs w:val="20"/>
        </w:rPr>
      </w:pPr>
      <w:r w:rsidRPr="00E2430F">
        <w:rPr>
          <w:rFonts w:eastAsia="Times New Roman" w:cs="Times New Roman"/>
          <w:szCs w:val="20"/>
          <w:vertAlign w:val="superscript"/>
        </w:rPr>
        <w:t>d</w:t>
      </w:r>
      <w:r w:rsidRPr="00E2430F">
        <w:rPr>
          <w:rFonts w:eastAsia="Times New Roman" w:cs="Times New Roman"/>
          <w:bCs/>
          <w:color w:val="000000"/>
          <w:sz w:val="20"/>
          <w:szCs w:val="20"/>
        </w:rPr>
        <w:t xml:space="preserve">  97.5 % Confidence Interval (adjusted for multiplicity)</w:t>
      </w:r>
    </w:p>
    <w:p w14:paraId="2B4D036C" w14:textId="77777777" w:rsidR="00A95BE6" w:rsidRPr="00E2430F" w:rsidRDefault="00A95BE6" w:rsidP="00A95BE6">
      <w:pPr>
        <w:widowControl w:val="0"/>
        <w:tabs>
          <w:tab w:val="left" w:pos="0"/>
        </w:tabs>
        <w:autoSpaceDE w:val="0"/>
        <w:autoSpaceDN w:val="0"/>
        <w:adjustRightInd w:val="0"/>
        <w:spacing w:after="120" w:line="320" w:lineRule="atLeast"/>
        <w:jc w:val="both"/>
        <w:rPr>
          <w:rFonts w:eastAsia="Times New Roman" w:cs="Times New Roman"/>
          <w:bCs/>
          <w:color w:val="000000"/>
          <w:sz w:val="20"/>
          <w:szCs w:val="20"/>
        </w:rPr>
      </w:pPr>
      <w:r w:rsidRPr="00E2430F">
        <w:rPr>
          <w:rFonts w:eastAsia="Times New Roman" w:cs="Times New Roman"/>
          <w:szCs w:val="20"/>
          <w:vertAlign w:val="superscript"/>
        </w:rPr>
        <w:t>e</w:t>
      </w:r>
      <w:r w:rsidRPr="00E2430F">
        <w:rPr>
          <w:rFonts w:eastAsia="Times New Roman" w:cs="Times New Roman"/>
          <w:bCs/>
          <w:color w:val="000000"/>
          <w:sz w:val="20"/>
          <w:szCs w:val="20"/>
        </w:rPr>
        <w:t xml:space="preserve">  99 % Confidence Interval (adjusted for multiplicity)</w:t>
      </w:r>
    </w:p>
    <w:p w14:paraId="14DE4967" w14:textId="77777777" w:rsidR="00A95BE6" w:rsidRPr="00E2430F" w:rsidRDefault="00A95BE6"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6273F430" w14:textId="7FD315B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lastRenderedPageBreak/>
        <w:t xml:space="preserve">Eighteen (18/120) patients in the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arm and 19/116 patients in the comparator arm died during the study.  These include 3/28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-treated and 8/26 comparator-treated patients with endocarditis, as well as 15/92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-treated and 11/90 comparator-treated patients with bacteraemia.  Among patients with persisting or relapsing </w:t>
      </w:r>
      <w:r w:rsidRPr="00E2430F">
        <w:rPr>
          <w:rFonts w:eastAsia="Times New Roman" w:cs="Times New Roman"/>
          <w:i/>
          <w:szCs w:val="20"/>
        </w:rPr>
        <w:t>S. aureus</w:t>
      </w:r>
      <w:r w:rsidRPr="00E2430F">
        <w:rPr>
          <w:rFonts w:eastAsia="Times New Roman" w:cs="Times New Roman"/>
          <w:szCs w:val="20"/>
        </w:rPr>
        <w:t xml:space="preserve"> infections, 8/19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-treated and 7/11 comparator-treated patients died.</w:t>
      </w:r>
    </w:p>
    <w:p w14:paraId="156BC289"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6212C73A"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Overall, there was no difference in time to clearance of </w:t>
      </w:r>
      <w:r w:rsidRPr="00E2430F">
        <w:rPr>
          <w:rFonts w:eastAsia="Times New Roman" w:cs="Times New Roman"/>
          <w:i/>
          <w:szCs w:val="20"/>
        </w:rPr>
        <w:t>S. aureus</w:t>
      </w:r>
      <w:r w:rsidRPr="00E2430F">
        <w:rPr>
          <w:rFonts w:eastAsia="Times New Roman" w:cs="Times New Roman"/>
          <w:szCs w:val="20"/>
        </w:rPr>
        <w:t xml:space="preserve"> bacteraemia between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and comparator.  The median time to clearance in patients with MSSA was 4 days and in patients with MRSA was 8 days.</w:t>
      </w:r>
    </w:p>
    <w:p w14:paraId="0571E486"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7D58A418" w14:textId="2B8904BA"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Failure of treatment due to persisting or relapsing </w:t>
      </w:r>
      <w:r w:rsidRPr="00E2430F">
        <w:rPr>
          <w:rFonts w:eastAsia="Times New Roman" w:cs="Times New Roman"/>
          <w:i/>
          <w:szCs w:val="20"/>
        </w:rPr>
        <w:t>S. aureus</w:t>
      </w:r>
      <w:r w:rsidRPr="00E2430F">
        <w:rPr>
          <w:rFonts w:eastAsia="Times New Roman" w:cs="Times New Roman"/>
          <w:szCs w:val="20"/>
        </w:rPr>
        <w:t xml:space="preserve"> infections was assessed by the Adjudication Committee in 19/120 (15.8 %)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-treated patients (12 with MRSA and 7 with MSSA) and 11/115 (9.6 %) comparator-treated patients (9 with MRSA treated with vancomycin and 2 with MSSA treated with anti-staphylococcal semi-synthetic penicillin).  Among all failures, 6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-treated patients and 1 vancomycin-treated patient developed increasing MICs for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(reduced susceptibility) by central laboratory testing on or following therapy.  Most patients who failed due to persisting or relapsing </w:t>
      </w:r>
      <w:r w:rsidRPr="00E2430F">
        <w:rPr>
          <w:rFonts w:eastAsia="Times New Roman" w:cs="Times New Roman"/>
          <w:i/>
          <w:szCs w:val="20"/>
        </w:rPr>
        <w:t>S. aureus</w:t>
      </w:r>
      <w:r w:rsidRPr="00E2430F">
        <w:rPr>
          <w:rFonts w:eastAsia="Times New Roman" w:cs="Times New Roman"/>
          <w:szCs w:val="20"/>
        </w:rPr>
        <w:t xml:space="preserve"> infection had deep-seated infection and did not receive necessary surgical intervention (see </w:t>
      </w:r>
      <w:r w:rsidR="00335E4C">
        <w:rPr>
          <w:rFonts w:eastAsia="Times New Roman" w:cs="Times New Roman"/>
          <w:szCs w:val="20"/>
        </w:rPr>
        <w:t xml:space="preserve">section 4.4 SPECIAL WARNINGS AND </w:t>
      </w:r>
      <w:r w:rsidRPr="00E2430F">
        <w:rPr>
          <w:rFonts w:eastAsia="Times New Roman" w:cs="Times New Roman"/>
          <w:szCs w:val="20"/>
        </w:rPr>
        <w:t>PRECAUTIONS).</w:t>
      </w:r>
      <w:bookmarkStart w:id="0" w:name="_Ref140907527"/>
    </w:p>
    <w:bookmarkEnd w:id="0"/>
    <w:p w14:paraId="1A5C8108" w14:textId="74A9E04E" w:rsidR="00C1030F" w:rsidRDefault="00C1030F">
      <w:pPr>
        <w:rPr>
          <w:lang w:val="en-US"/>
        </w:rPr>
      </w:pPr>
    </w:p>
    <w:p w14:paraId="7C72F825" w14:textId="53DAEA20" w:rsidR="003C799A" w:rsidRPr="00B87B73" w:rsidRDefault="000C3750" w:rsidP="003C799A">
      <w:pPr>
        <w:rPr>
          <w:i/>
          <w:u w:val="single"/>
          <w:lang w:val="en-US"/>
        </w:rPr>
      </w:pPr>
      <w:proofErr w:type="spellStart"/>
      <w:r w:rsidRPr="00B87B73">
        <w:rPr>
          <w:i/>
          <w:u w:val="single"/>
          <w:lang w:val="en-US"/>
        </w:rPr>
        <w:t>Paediatric</w:t>
      </w:r>
      <w:proofErr w:type="spellEnd"/>
      <w:r w:rsidRPr="00B87B73">
        <w:rPr>
          <w:i/>
          <w:u w:val="single"/>
          <w:lang w:val="en-US"/>
        </w:rPr>
        <w:t xml:space="preserve"> Patients (1 to 17 years of Age) with </w:t>
      </w:r>
      <w:r w:rsidR="00606B5F" w:rsidRPr="00B87B73">
        <w:rPr>
          <w:i/>
          <w:u w:val="single"/>
          <w:lang w:val="en-US"/>
        </w:rPr>
        <w:t xml:space="preserve">S. aureus </w:t>
      </w:r>
      <w:proofErr w:type="spellStart"/>
      <w:r w:rsidR="00606B5F" w:rsidRPr="00B87B73">
        <w:rPr>
          <w:i/>
          <w:u w:val="single"/>
          <w:lang w:val="en-US"/>
        </w:rPr>
        <w:t>Bacteraemia</w:t>
      </w:r>
      <w:proofErr w:type="spellEnd"/>
    </w:p>
    <w:p w14:paraId="563FD275" w14:textId="09B07B18" w:rsidR="00FB7827" w:rsidRPr="007A5D09" w:rsidRDefault="00606B5F" w:rsidP="00C94FA2">
      <w:pPr>
        <w:jc w:val="both"/>
        <w:rPr>
          <w:rFonts w:eastAsia="Times New Roman" w:cs="Times New Roman"/>
          <w:szCs w:val="24"/>
        </w:rPr>
      </w:pPr>
      <w:r w:rsidRPr="00606B5F">
        <w:rPr>
          <w:rFonts w:eastAsia="Times New Roman" w:cs="Times New Roman"/>
          <w:szCs w:val="24"/>
        </w:rPr>
        <w:t xml:space="preserve">The paediatric </w:t>
      </w:r>
      <w:r w:rsidRPr="00606B5F">
        <w:rPr>
          <w:rFonts w:eastAsia="Times New Roman" w:cs="Times New Roman"/>
          <w:i/>
          <w:szCs w:val="24"/>
        </w:rPr>
        <w:t>S.</w:t>
      </w:r>
      <w:r w:rsidR="004050F5">
        <w:rPr>
          <w:rFonts w:eastAsia="Times New Roman" w:cs="Times New Roman"/>
          <w:i/>
          <w:szCs w:val="24"/>
        </w:rPr>
        <w:t xml:space="preserve"> </w:t>
      </w:r>
      <w:r w:rsidRPr="00606B5F">
        <w:rPr>
          <w:rFonts w:eastAsia="Times New Roman" w:cs="Times New Roman"/>
          <w:i/>
          <w:szCs w:val="24"/>
        </w:rPr>
        <w:t>aureus</w:t>
      </w:r>
      <w:r w:rsidRPr="00606B5F">
        <w:rPr>
          <w:rFonts w:eastAsia="Times New Roman" w:cs="Times New Roman"/>
          <w:szCs w:val="24"/>
        </w:rPr>
        <w:t xml:space="preserve"> bacteraemia study was designed as a prospective multi-centre, randomised, comparative trial to treat paediatric patients aged 1 to 17 years with bacteraemia.  Patients known to have </w:t>
      </w:r>
      <w:r w:rsidR="00FB7827" w:rsidRPr="007A5D09">
        <w:rPr>
          <w:rFonts w:eastAsia="Times New Roman" w:cs="Times New Roman"/>
          <w:szCs w:val="24"/>
        </w:rPr>
        <w:t xml:space="preserve">any of the following conditions </w:t>
      </w:r>
      <w:r w:rsidRPr="007A5D09">
        <w:rPr>
          <w:rFonts w:eastAsia="Times New Roman" w:cs="Times New Roman"/>
          <w:szCs w:val="24"/>
        </w:rPr>
        <w:t>at baseline were excluded</w:t>
      </w:r>
      <w:r w:rsidR="00FB7827" w:rsidRPr="007A5D09">
        <w:rPr>
          <w:rFonts w:eastAsia="Times New Roman" w:cs="Times New Roman"/>
          <w:szCs w:val="24"/>
        </w:rPr>
        <w:t>:</w:t>
      </w:r>
    </w:p>
    <w:p w14:paraId="7D342DDC" w14:textId="64EB49F1" w:rsidR="00FB7827" w:rsidRPr="007A5D09" w:rsidRDefault="00FB7827" w:rsidP="00C94FA2">
      <w:pPr>
        <w:pStyle w:val="ListParagraph"/>
        <w:numPr>
          <w:ilvl w:val="0"/>
          <w:numId w:val="21"/>
        </w:numPr>
        <w:jc w:val="both"/>
        <w:rPr>
          <w:rFonts w:eastAsia="Times New Roman" w:cs="Times New Roman"/>
          <w:szCs w:val="24"/>
        </w:rPr>
      </w:pPr>
      <w:r w:rsidRPr="007A5D09">
        <w:rPr>
          <w:rFonts w:eastAsia="Times New Roman" w:cs="Times New Roman"/>
          <w:szCs w:val="24"/>
        </w:rPr>
        <w:t>Presence of shock or hypotension unresponsive to fluids or vasopressors for ≥4 hours</w:t>
      </w:r>
    </w:p>
    <w:p w14:paraId="31807F17" w14:textId="07A862CC" w:rsidR="00FB7827" w:rsidRPr="007A5D09" w:rsidRDefault="00FB7827" w:rsidP="00C94FA2">
      <w:pPr>
        <w:pStyle w:val="ListParagraph"/>
        <w:numPr>
          <w:ilvl w:val="0"/>
          <w:numId w:val="21"/>
        </w:numPr>
        <w:jc w:val="both"/>
        <w:rPr>
          <w:rFonts w:eastAsia="Times New Roman" w:cs="Times New Roman"/>
          <w:szCs w:val="24"/>
        </w:rPr>
      </w:pPr>
      <w:r w:rsidRPr="007A5D09">
        <w:rPr>
          <w:rFonts w:eastAsia="Times New Roman" w:cs="Times New Roman"/>
          <w:szCs w:val="24"/>
        </w:rPr>
        <w:t>Renal insufficiency in terms of estimated creatinine clearance rate (</w:t>
      </w:r>
      <w:proofErr w:type="spellStart"/>
      <w:r w:rsidRPr="007A5D09">
        <w:rPr>
          <w:rFonts w:eastAsia="Times New Roman" w:cs="Times New Roman"/>
          <w:szCs w:val="24"/>
        </w:rPr>
        <w:t>CL</w:t>
      </w:r>
      <w:r w:rsidRPr="007A5D09">
        <w:rPr>
          <w:rFonts w:eastAsia="Times New Roman" w:cs="Times New Roman"/>
          <w:szCs w:val="24"/>
          <w:vertAlign w:val="subscript"/>
        </w:rPr>
        <w:t>cr</w:t>
      </w:r>
      <w:proofErr w:type="spellEnd"/>
      <w:r w:rsidRPr="007A5D09">
        <w:rPr>
          <w:rFonts w:eastAsia="Times New Roman" w:cs="Times New Roman"/>
          <w:szCs w:val="24"/>
        </w:rPr>
        <w:t>)</w:t>
      </w:r>
      <w:r w:rsidR="00CE591D" w:rsidRPr="007A5D09">
        <w:rPr>
          <w:rFonts w:eastAsia="Times New Roman" w:cs="Times New Roman"/>
          <w:szCs w:val="24"/>
        </w:rPr>
        <w:t xml:space="preserve"> </w:t>
      </w:r>
      <w:r w:rsidRPr="007A5D09">
        <w:rPr>
          <w:rFonts w:eastAsia="Times New Roman" w:cs="Times New Roman"/>
          <w:szCs w:val="24"/>
        </w:rPr>
        <w:sym w:font="Symbol" w:char="F03C"/>
      </w:r>
      <w:r w:rsidRPr="007A5D09">
        <w:rPr>
          <w:rFonts w:eastAsia="Times New Roman" w:cs="Times New Roman"/>
          <w:szCs w:val="24"/>
        </w:rPr>
        <w:t>50 ml/min/1.73m</w:t>
      </w:r>
      <w:r w:rsidRPr="007A5D09">
        <w:rPr>
          <w:rFonts w:eastAsia="Times New Roman" w:cs="Times New Roman"/>
          <w:szCs w:val="24"/>
          <w:vertAlign w:val="superscript"/>
        </w:rPr>
        <w:t>2</w:t>
      </w:r>
    </w:p>
    <w:p w14:paraId="41B8FFF1" w14:textId="1A873F6C" w:rsidR="00FB7827" w:rsidRPr="007A5D09" w:rsidRDefault="00FB7827" w:rsidP="00C94FA2">
      <w:pPr>
        <w:pStyle w:val="ListParagraph"/>
        <w:numPr>
          <w:ilvl w:val="0"/>
          <w:numId w:val="21"/>
        </w:numPr>
        <w:jc w:val="both"/>
        <w:rPr>
          <w:rFonts w:eastAsia="Times New Roman" w:cs="Times New Roman"/>
          <w:szCs w:val="24"/>
        </w:rPr>
      </w:pPr>
      <w:r w:rsidRPr="007A5D09">
        <w:rPr>
          <w:rFonts w:eastAsia="Times New Roman" w:cs="Times New Roman"/>
          <w:szCs w:val="24"/>
        </w:rPr>
        <w:t xml:space="preserve">History of clinically significant muscular disease, for example, </w:t>
      </w:r>
      <w:proofErr w:type="spellStart"/>
      <w:r w:rsidRPr="007A5D09">
        <w:rPr>
          <w:rFonts w:eastAsia="Times New Roman" w:cs="Times New Roman"/>
          <w:szCs w:val="24"/>
        </w:rPr>
        <w:t>creatine</w:t>
      </w:r>
      <w:proofErr w:type="spellEnd"/>
      <w:r w:rsidRPr="007A5D09">
        <w:rPr>
          <w:rFonts w:eastAsia="Times New Roman" w:cs="Times New Roman"/>
          <w:szCs w:val="24"/>
        </w:rPr>
        <w:t xml:space="preserve"> phosphokinase (</w:t>
      </w:r>
      <w:r w:rsidR="00CE591D" w:rsidRPr="007A5D09">
        <w:rPr>
          <w:rFonts w:eastAsia="Times New Roman" w:cs="Times New Roman"/>
          <w:szCs w:val="24"/>
        </w:rPr>
        <w:t>C</w:t>
      </w:r>
      <w:r w:rsidRPr="007A5D09">
        <w:rPr>
          <w:rFonts w:eastAsia="Times New Roman" w:cs="Times New Roman"/>
          <w:szCs w:val="24"/>
        </w:rPr>
        <w:t xml:space="preserve">PK) elevation </w:t>
      </w:r>
      <w:r w:rsidR="00CE591D" w:rsidRPr="007A5D09">
        <w:rPr>
          <w:rFonts w:eastAsia="Times New Roman" w:cs="Times New Roman"/>
          <w:szCs w:val="24"/>
        </w:rPr>
        <w:t xml:space="preserve">≥10 X ULN (upper limit of normal) without symptoms or  </w:t>
      </w:r>
      <w:r w:rsidRPr="007A5D09">
        <w:rPr>
          <w:rFonts w:eastAsia="Times New Roman" w:cs="Times New Roman"/>
          <w:szCs w:val="24"/>
        </w:rPr>
        <w:t>≥5 X ULN with symptoms such as myalgia, muscle stiffness, muscle weakness</w:t>
      </w:r>
    </w:p>
    <w:p w14:paraId="3F2ABE70" w14:textId="6F23165E" w:rsidR="00FB7827" w:rsidRPr="007A5D09" w:rsidRDefault="00FB7827" w:rsidP="00C94FA2">
      <w:pPr>
        <w:pStyle w:val="ListParagraph"/>
        <w:numPr>
          <w:ilvl w:val="0"/>
          <w:numId w:val="21"/>
        </w:numPr>
        <w:jc w:val="both"/>
        <w:rPr>
          <w:rFonts w:eastAsia="Times New Roman" w:cs="Times New Roman"/>
          <w:szCs w:val="24"/>
        </w:rPr>
      </w:pPr>
      <w:r w:rsidRPr="007A5D09">
        <w:rPr>
          <w:rFonts w:eastAsia="Times New Roman" w:cs="Times New Roman"/>
          <w:szCs w:val="24"/>
        </w:rPr>
        <w:t xml:space="preserve">Suspected or confirmed </w:t>
      </w:r>
      <w:proofErr w:type="spellStart"/>
      <w:r w:rsidRPr="007A5D09">
        <w:rPr>
          <w:rFonts w:eastAsia="Times New Roman" w:cs="Times New Roman"/>
          <w:i/>
          <w:szCs w:val="24"/>
        </w:rPr>
        <w:t>S.aureus</w:t>
      </w:r>
      <w:proofErr w:type="spellEnd"/>
      <w:r w:rsidRPr="007A5D09">
        <w:rPr>
          <w:rFonts w:eastAsia="Times New Roman" w:cs="Times New Roman"/>
          <w:szCs w:val="24"/>
        </w:rPr>
        <w:t xml:space="preserve"> empyema, meningitis, endocarditis or pneumonia</w:t>
      </w:r>
    </w:p>
    <w:p w14:paraId="6809185A" w14:textId="6979B57B" w:rsidR="00606B5F" w:rsidRPr="00606B5F" w:rsidRDefault="00606B5F" w:rsidP="00C94FA2">
      <w:pPr>
        <w:jc w:val="both"/>
        <w:rPr>
          <w:rFonts w:eastAsia="Times New Roman" w:cs="Times New Roman"/>
          <w:szCs w:val="24"/>
        </w:rPr>
      </w:pPr>
      <w:r w:rsidRPr="00606B5F">
        <w:rPr>
          <w:rFonts w:eastAsia="Times New Roman" w:cs="Times New Roman"/>
          <w:szCs w:val="24"/>
        </w:rPr>
        <w:t xml:space="preserve">  Patients were enrolled in a stepwise approach into three age groups and given age-dependent doses of </w:t>
      </w:r>
      <w:r w:rsidR="00F23D48">
        <w:rPr>
          <w:rFonts w:eastAsia="Times New Roman" w:cs="Times New Roman"/>
          <w:szCs w:val="24"/>
        </w:rPr>
        <w:t>CUBICIN</w:t>
      </w:r>
      <w:r w:rsidRPr="00606B5F">
        <w:rPr>
          <w:rFonts w:eastAsia="Times New Roman" w:cs="Times New Roman"/>
          <w:szCs w:val="24"/>
        </w:rPr>
        <w:t xml:space="preserve"> once daily for up to 42 days.  The different age groups and doses evaluated were as follows:</w:t>
      </w:r>
    </w:p>
    <w:p w14:paraId="3FF825D6" w14:textId="171B4303" w:rsidR="00606B5F" w:rsidRPr="00606B5F" w:rsidRDefault="00606B5F" w:rsidP="00C94FA2">
      <w:pPr>
        <w:widowControl w:val="0"/>
        <w:numPr>
          <w:ilvl w:val="0"/>
          <w:numId w:val="18"/>
        </w:numPr>
        <w:tabs>
          <w:tab w:val="left" w:pos="0"/>
        </w:tabs>
        <w:autoSpaceDE w:val="0"/>
        <w:autoSpaceDN w:val="0"/>
        <w:adjustRightInd w:val="0"/>
        <w:spacing w:after="0" w:line="320" w:lineRule="atLeast"/>
        <w:contextualSpacing/>
        <w:rPr>
          <w:rFonts w:eastAsia="Times New Roman" w:cs="Times New Roman"/>
          <w:szCs w:val="24"/>
        </w:rPr>
      </w:pPr>
      <w:r w:rsidRPr="00606B5F">
        <w:rPr>
          <w:rFonts w:eastAsia="Times New Roman" w:cs="Times New Roman"/>
          <w:szCs w:val="24"/>
        </w:rPr>
        <w:t xml:space="preserve">Age Group 1 (n=14): 12-17 years treated with </w:t>
      </w:r>
      <w:r w:rsidR="00F23D48">
        <w:rPr>
          <w:rFonts w:eastAsia="Times New Roman" w:cs="Times New Roman"/>
          <w:szCs w:val="24"/>
        </w:rPr>
        <w:t>CUBICIN</w:t>
      </w:r>
      <w:r w:rsidRPr="00606B5F">
        <w:rPr>
          <w:rFonts w:eastAsia="Times New Roman" w:cs="Times New Roman"/>
          <w:szCs w:val="24"/>
        </w:rPr>
        <w:t xml:space="preserve"> dosed at 7 mg/kg once daily; </w:t>
      </w:r>
    </w:p>
    <w:p w14:paraId="2DD06739" w14:textId="28BBC3B0" w:rsidR="00606B5F" w:rsidRPr="00606B5F" w:rsidRDefault="00606B5F" w:rsidP="00C94FA2">
      <w:pPr>
        <w:widowControl w:val="0"/>
        <w:numPr>
          <w:ilvl w:val="0"/>
          <w:numId w:val="18"/>
        </w:numPr>
        <w:tabs>
          <w:tab w:val="left" w:pos="0"/>
        </w:tabs>
        <w:autoSpaceDE w:val="0"/>
        <w:autoSpaceDN w:val="0"/>
        <w:adjustRightInd w:val="0"/>
        <w:spacing w:after="0" w:line="320" w:lineRule="atLeast"/>
        <w:contextualSpacing/>
        <w:rPr>
          <w:rFonts w:eastAsia="Times New Roman" w:cs="Times New Roman"/>
          <w:szCs w:val="24"/>
        </w:rPr>
      </w:pPr>
      <w:r w:rsidRPr="00606B5F">
        <w:rPr>
          <w:rFonts w:eastAsia="Times New Roman" w:cs="Times New Roman"/>
          <w:szCs w:val="24"/>
        </w:rPr>
        <w:t xml:space="preserve">Age Group 2 (n=19): 7-11 years treated with </w:t>
      </w:r>
      <w:r w:rsidR="00F23D48">
        <w:rPr>
          <w:rFonts w:eastAsia="Times New Roman" w:cs="Times New Roman"/>
          <w:szCs w:val="24"/>
        </w:rPr>
        <w:t>CUBICIN</w:t>
      </w:r>
      <w:r w:rsidRPr="00606B5F">
        <w:rPr>
          <w:rFonts w:eastAsia="Times New Roman" w:cs="Times New Roman"/>
          <w:szCs w:val="24"/>
        </w:rPr>
        <w:t xml:space="preserve"> dosed at 9 mg/kg once daily;</w:t>
      </w:r>
    </w:p>
    <w:p w14:paraId="2F14BF70" w14:textId="60C2454B" w:rsidR="00606B5F" w:rsidRPr="00606B5F" w:rsidRDefault="00606B5F" w:rsidP="00C94FA2">
      <w:pPr>
        <w:widowControl w:val="0"/>
        <w:numPr>
          <w:ilvl w:val="0"/>
          <w:numId w:val="18"/>
        </w:numPr>
        <w:tabs>
          <w:tab w:val="left" w:pos="0"/>
        </w:tabs>
        <w:autoSpaceDE w:val="0"/>
        <w:autoSpaceDN w:val="0"/>
        <w:adjustRightInd w:val="0"/>
        <w:spacing w:after="0" w:line="320" w:lineRule="atLeast"/>
        <w:contextualSpacing/>
        <w:rPr>
          <w:rFonts w:eastAsia="Times New Roman" w:cs="Times New Roman"/>
          <w:szCs w:val="24"/>
        </w:rPr>
      </w:pPr>
      <w:r w:rsidRPr="00606B5F">
        <w:rPr>
          <w:rFonts w:eastAsia="Times New Roman" w:cs="Times New Roman"/>
          <w:szCs w:val="24"/>
        </w:rPr>
        <w:lastRenderedPageBreak/>
        <w:t xml:space="preserve">Age Group 3 (n=22); 2-6 years treated with </w:t>
      </w:r>
      <w:r w:rsidR="00F23D48">
        <w:rPr>
          <w:rFonts w:eastAsia="Times New Roman" w:cs="Times New Roman"/>
          <w:szCs w:val="24"/>
        </w:rPr>
        <w:t>CUBICIN</w:t>
      </w:r>
      <w:r w:rsidRPr="00606B5F">
        <w:rPr>
          <w:rFonts w:eastAsia="Times New Roman" w:cs="Times New Roman"/>
          <w:szCs w:val="24"/>
        </w:rPr>
        <w:t xml:space="preserve"> dosed at 12 mg/kg once daily.</w:t>
      </w:r>
    </w:p>
    <w:p w14:paraId="4A00FB56" w14:textId="77777777" w:rsidR="00606B5F" w:rsidRPr="00606B5F" w:rsidRDefault="00606B5F" w:rsidP="00C94FA2">
      <w:pPr>
        <w:widowControl w:val="0"/>
        <w:tabs>
          <w:tab w:val="left" w:pos="0"/>
        </w:tabs>
        <w:autoSpaceDE w:val="0"/>
        <w:autoSpaceDN w:val="0"/>
        <w:adjustRightInd w:val="0"/>
        <w:spacing w:after="0" w:line="320" w:lineRule="atLeast"/>
        <w:rPr>
          <w:rFonts w:eastAsia="Times New Roman" w:cs="Times New Roman"/>
          <w:szCs w:val="24"/>
        </w:rPr>
      </w:pPr>
      <w:r w:rsidRPr="00606B5F">
        <w:rPr>
          <w:rFonts w:eastAsia="Times New Roman" w:cs="Times New Roman"/>
          <w:szCs w:val="24"/>
        </w:rPr>
        <w:t xml:space="preserve">No patients 1 to </w:t>
      </w:r>
      <w:r w:rsidRPr="00606B5F">
        <w:rPr>
          <w:rFonts w:eastAsia="Times New Roman" w:cs="Times New Roman"/>
          <w:szCs w:val="24"/>
        </w:rPr>
        <w:sym w:font="Symbol" w:char="F03C"/>
      </w:r>
      <w:r w:rsidRPr="00606B5F">
        <w:rPr>
          <w:rFonts w:eastAsia="Times New Roman" w:cs="Times New Roman"/>
          <w:szCs w:val="24"/>
        </w:rPr>
        <w:t>2 years of age were enrolled.</w:t>
      </w:r>
    </w:p>
    <w:p w14:paraId="22B6EF4E" w14:textId="77777777" w:rsidR="00606B5F" w:rsidRPr="00606B5F" w:rsidRDefault="00606B5F" w:rsidP="00606B5F">
      <w:pPr>
        <w:widowControl w:val="0"/>
        <w:tabs>
          <w:tab w:val="left" w:pos="0"/>
        </w:tabs>
        <w:autoSpaceDE w:val="0"/>
        <w:autoSpaceDN w:val="0"/>
        <w:adjustRightInd w:val="0"/>
        <w:spacing w:after="0" w:line="320" w:lineRule="atLeast"/>
        <w:jc w:val="both"/>
        <w:rPr>
          <w:rFonts w:eastAsia="Times New Roman" w:cs="Times New Roman"/>
          <w:szCs w:val="24"/>
        </w:rPr>
      </w:pPr>
    </w:p>
    <w:p w14:paraId="5F074DBD" w14:textId="68E70C50" w:rsidR="00606B5F" w:rsidRPr="00606B5F" w:rsidRDefault="00606B5F" w:rsidP="00606B5F">
      <w:pPr>
        <w:widowControl w:val="0"/>
        <w:tabs>
          <w:tab w:val="left" w:pos="0"/>
        </w:tabs>
        <w:autoSpaceDE w:val="0"/>
        <w:autoSpaceDN w:val="0"/>
        <w:adjustRightInd w:val="0"/>
        <w:spacing w:after="0" w:line="320" w:lineRule="atLeast"/>
        <w:jc w:val="both"/>
        <w:rPr>
          <w:rFonts w:eastAsia="Times New Roman" w:cs="Times New Roman"/>
          <w:szCs w:val="24"/>
        </w:rPr>
      </w:pPr>
      <w:r w:rsidRPr="00606B5F">
        <w:rPr>
          <w:rFonts w:eastAsia="Times New Roman" w:cs="Times New Roman"/>
          <w:szCs w:val="24"/>
        </w:rPr>
        <w:t xml:space="preserve">Patients were randomised 2:1 to receive </w:t>
      </w:r>
      <w:r w:rsidR="00F23D48">
        <w:rPr>
          <w:rFonts w:eastAsia="Times New Roman" w:cs="Times New Roman"/>
          <w:szCs w:val="24"/>
        </w:rPr>
        <w:t>CUBICIN</w:t>
      </w:r>
      <w:r w:rsidRPr="00606B5F">
        <w:rPr>
          <w:rFonts w:eastAsia="Times New Roman" w:cs="Times New Roman"/>
          <w:szCs w:val="24"/>
        </w:rPr>
        <w:t xml:space="preserve"> or a standard of care comparator, which included intravenous therapy with vancomycin, semi-synthetic penicillin, first generation cephalosporin or clindamycin.  Patients could switch to oral therapy after clinical improvement was demonstrated (no minimum IV dosing was required).</w:t>
      </w:r>
    </w:p>
    <w:p w14:paraId="382A8635" w14:textId="77777777" w:rsidR="004A504C" w:rsidRDefault="004A504C" w:rsidP="00606B5F">
      <w:pPr>
        <w:widowControl w:val="0"/>
        <w:tabs>
          <w:tab w:val="left" w:pos="0"/>
        </w:tabs>
        <w:autoSpaceDE w:val="0"/>
        <w:autoSpaceDN w:val="0"/>
        <w:adjustRightInd w:val="0"/>
        <w:spacing w:after="0" w:line="320" w:lineRule="atLeast"/>
        <w:jc w:val="both"/>
        <w:rPr>
          <w:rFonts w:eastAsia="Times New Roman" w:cs="Times New Roman"/>
          <w:szCs w:val="24"/>
        </w:rPr>
      </w:pPr>
    </w:p>
    <w:p w14:paraId="72B83246" w14:textId="40F050F5" w:rsidR="004A504C" w:rsidRPr="004A504C" w:rsidRDefault="004A504C" w:rsidP="00606B5F">
      <w:pPr>
        <w:widowControl w:val="0"/>
        <w:tabs>
          <w:tab w:val="left" w:pos="0"/>
        </w:tabs>
        <w:autoSpaceDE w:val="0"/>
        <w:autoSpaceDN w:val="0"/>
        <w:adjustRightInd w:val="0"/>
        <w:spacing w:after="0" w:line="320" w:lineRule="atLeast"/>
        <w:jc w:val="both"/>
        <w:rPr>
          <w:rFonts w:eastAsia="Times New Roman" w:cs="Times New Roman"/>
          <w:szCs w:val="24"/>
        </w:rPr>
      </w:pPr>
      <w:r w:rsidRPr="004A504C">
        <w:rPr>
          <w:rFonts w:eastAsia="Times New Roman" w:cs="Times New Roman"/>
          <w:szCs w:val="24"/>
        </w:rPr>
        <w:t>The</w:t>
      </w:r>
      <w:r>
        <w:rPr>
          <w:rFonts w:eastAsia="Times New Roman" w:cs="Times New Roman"/>
          <w:szCs w:val="24"/>
        </w:rPr>
        <w:t xml:space="preserve"> primary objective of Study DAP-PEDBAC-11-02 was to </w:t>
      </w:r>
      <w:r w:rsidR="000B3530">
        <w:rPr>
          <w:rFonts w:eastAsia="Times New Roman" w:cs="Times New Roman"/>
          <w:szCs w:val="24"/>
        </w:rPr>
        <w:t xml:space="preserve">assess the safety of intravenous </w:t>
      </w:r>
      <w:proofErr w:type="spellStart"/>
      <w:r w:rsidR="000B3530">
        <w:rPr>
          <w:rFonts w:eastAsia="Times New Roman" w:cs="Times New Roman"/>
          <w:szCs w:val="24"/>
        </w:rPr>
        <w:t>daptomycin</w:t>
      </w:r>
      <w:proofErr w:type="spellEnd"/>
      <w:r w:rsidR="000B3530">
        <w:rPr>
          <w:rFonts w:eastAsia="Times New Roman" w:cs="Times New Roman"/>
          <w:szCs w:val="24"/>
        </w:rPr>
        <w:t xml:space="preserve"> versus SOC antibiotics. </w:t>
      </w:r>
      <w:r w:rsidR="00B84E20">
        <w:rPr>
          <w:rFonts w:eastAsia="Times New Roman" w:cs="Times New Roman"/>
          <w:szCs w:val="24"/>
        </w:rPr>
        <w:t>Efficacy o</w:t>
      </w:r>
      <w:r w:rsidR="00B85479">
        <w:rPr>
          <w:rFonts w:eastAsia="Times New Roman" w:cs="Times New Roman"/>
          <w:szCs w:val="24"/>
        </w:rPr>
        <w:t xml:space="preserve">utcomes </w:t>
      </w:r>
      <w:r w:rsidR="000B3530">
        <w:rPr>
          <w:rFonts w:eastAsia="Times New Roman" w:cs="Times New Roman"/>
          <w:szCs w:val="24"/>
        </w:rPr>
        <w:t>included: Clinical outcome based on the blinded Evaluator’s assessment of clinical response (success [cure, improved], failure, or non-evaluable) at the TOC visit</w:t>
      </w:r>
      <w:r w:rsidR="00644E6B">
        <w:rPr>
          <w:rFonts w:eastAsia="Times New Roman" w:cs="Times New Roman"/>
          <w:szCs w:val="24"/>
        </w:rPr>
        <w:t xml:space="preserve"> (see Table 10)</w:t>
      </w:r>
      <w:r w:rsidR="000B3530">
        <w:rPr>
          <w:rFonts w:eastAsia="Times New Roman" w:cs="Times New Roman"/>
          <w:szCs w:val="24"/>
        </w:rPr>
        <w:t>; and Microbiological response (success, failure, or non-evaluable) based on evaluation of Baseline infecting pathogen at TOC</w:t>
      </w:r>
      <w:r w:rsidR="00644E6B">
        <w:rPr>
          <w:rFonts w:eastAsia="Times New Roman" w:cs="Times New Roman"/>
          <w:szCs w:val="24"/>
        </w:rPr>
        <w:t xml:space="preserve"> (see Table 11)</w:t>
      </w:r>
      <w:r w:rsidR="000B3530">
        <w:rPr>
          <w:rFonts w:eastAsia="Times New Roman" w:cs="Times New Roman"/>
          <w:szCs w:val="24"/>
        </w:rPr>
        <w:t>.</w:t>
      </w:r>
    </w:p>
    <w:p w14:paraId="32CBABB6" w14:textId="77777777" w:rsidR="00606B5F" w:rsidRPr="00606B5F" w:rsidRDefault="00606B5F" w:rsidP="00606B5F">
      <w:pPr>
        <w:widowControl w:val="0"/>
        <w:tabs>
          <w:tab w:val="left" w:pos="0"/>
        </w:tabs>
        <w:autoSpaceDE w:val="0"/>
        <w:autoSpaceDN w:val="0"/>
        <w:adjustRightInd w:val="0"/>
        <w:spacing w:after="0" w:line="320" w:lineRule="atLeast"/>
        <w:jc w:val="both"/>
        <w:rPr>
          <w:rFonts w:eastAsia="Times New Roman" w:cs="Times New Roman"/>
          <w:szCs w:val="24"/>
        </w:rPr>
      </w:pPr>
    </w:p>
    <w:p w14:paraId="4A872D6C" w14:textId="570D42B2" w:rsidR="00606B5F" w:rsidRPr="00606B5F" w:rsidRDefault="00606B5F" w:rsidP="00606B5F">
      <w:pPr>
        <w:widowControl w:val="0"/>
        <w:tabs>
          <w:tab w:val="left" w:pos="0"/>
        </w:tabs>
        <w:autoSpaceDE w:val="0"/>
        <w:autoSpaceDN w:val="0"/>
        <w:adjustRightInd w:val="0"/>
        <w:spacing w:after="0" w:line="320" w:lineRule="atLeast"/>
        <w:jc w:val="both"/>
        <w:rPr>
          <w:rFonts w:eastAsia="Times New Roman" w:cs="Times New Roman"/>
          <w:szCs w:val="24"/>
        </w:rPr>
      </w:pPr>
      <w:r w:rsidRPr="00606B5F">
        <w:rPr>
          <w:rFonts w:eastAsia="Times New Roman" w:cs="Times New Roman"/>
          <w:szCs w:val="24"/>
        </w:rPr>
        <w:t xml:space="preserve">Of the 82 subjects randomised in the study, 81 subjects were treated with </w:t>
      </w:r>
      <w:r w:rsidR="00F23D48">
        <w:rPr>
          <w:rFonts w:eastAsia="Times New Roman" w:cs="Times New Roman"/>
          <w:szCs w:val="24"/>
        </w:rPr>
        <w:t>CUBICIN</w:t>
      </w:r>
      <w:r w:rsidRPr="00606B5F">
        <w:rPr>
          <w:rFonts w:eastAsia="Times New Roman" w:cs="Times New Roman"/>
          <w:szCs w:val="24"/>
        </w:rPr>
        <w:t xml:space="preserve"> or comparator and included in the safety population, and 73 had a proven </w:t>
      </w:r>
      <w:r w:rsidRPr="00606B5F">
        <w:rPr>
          <w:rFonts w:eastAsia="Times New Roman" w:cs="Times New Roman"/>
          <w:i/>
          <w:szCs w:val="24"/>
        </w:rPr>
        <w:t>S. aureus</w:t>
      </w:r>
      <w:r w:rsidRPr="00606B5F">
        <w:rPr>
          <w:rFonts w:eastAsia="Times New Roman" w:cs="Times New Roman"/>
          <w:szCs w:val="24"/>
        </w:rPr>
        <w:t xml:space="preserve"> bacteraemia at Baseline.  Of these, 51 subjects were randomised to the </w:t>
      </w:r>
      <w:r w:rsidR="00F23D48">
        <w:rPr>
          <w:rFonts w:eastAsia="Times New Roman" w:cs="Times New Roman"/>
          <w:szCs w:val="24"/>
        </w:rPr>
        <w:t>CUBICIN</w:t>
      </w:r>
      <w:r w:rsidRPr="00606B5F">
        <w:rPr>
          <w:rFonts w:eastAsia="Times New Roman" w:cs="Times New Roman"/>
          <w:szCs w:val="24"/>
        </w:rPr>
        <w:t xml:space="preserve"> group and 22 subjects were randomised to the comparator group.  The mean duration of IV therapy was 12 days with a range of 1 to 44 days.  Forty-eight subjects switched to oral therapy, and the mean duration of oral therapy was 21 days.  The clinical success rates determined at 7 to 14 days</w:t>
      </w:r>
      <w:r w:rsidR="003B0EAF">
        <w:rPr>
          <w:rFonts w:eastAsia="Times New Roman" w:cs="Times New Roman"/>
          <w:szCs w:val="24"/>
        </w:rPr>
        <w:t xml:space="preserve"> </w:t>
      </w:r>
      <w:r w:rsidRPr="00606B5F">
        <w:rPr>
          <w:rFonts w:eastAsia="Times New Roman" w:cs="Times New Roman"/>
          <w:szCs w:val="24"/>
        </w:rPr>
        <w:t xml:space="preserve">after last dose of therapy (IV and oral) (TOC visit) were 88% (45/51) for </w:t>
      </w:r>
      <w:r w:rsidR="00F23D48">
        <w:rPr>
          <w:rFonts w:eastAsia="Times New Roman" w:cs="Times New Roman"/>
          <w:szCs w:val="24"/>
        </w:rPr>
        <w:t>CUBICIN</w:t>
      </w:r>
      <w:r w:rsidRPr="00606B5F">
        <w:rPr>
          <w:rFonts w:eastAsia="Times New Roman" w:cs="Times New Roman"/>
          <w:szCs w:val="24"/>
        </w:rPr>
        <w:t xml:space="preserve"> and 77% (17/22) for comparator</w:t>
      </w:r>
      <w:r w:rsidR="004C3EED">
        <w:rPr>
          <w:rFonts w:eastAsia="Times New Roman" w:cs="Times New Roman"/>
          <w:szCs w:val="24"/>
        </w:rPr>
        <w:t xml:space="preserve">. </w:t>
      </w:r>
    </w:p>
    <w:p w14:paraId="09CB6F0B" w14:textId="77777777" w:rsidR="000C3750" w:rsidRDefault="000C3750" w:rsidP="003C799A">
      <w:pPr>
        <w:rPr>
          <w:lang w:val="en-US"/>
        </w:rPr>
      </w:pPr>
    </w:p>
    <w:p w14:paraId="240605FC" w14:textId="732D7697" w:rsidR="00181696" w:rsidRPr="00181696" w:rsidRDefault="00644E6B" w:rsidP="003C799A">
      <w:pPr>
        <w:rPr>
          <w:b/>
          <w:lang w:val="en-US"/>
        </w:rPr>
      </w:pPr>
      <w:r>
        <w:rPr>
          <w:b/>
          <w:lang w:val="en-US"/>
        </w:rPr>
        <w:t>Table 10</w:t>
      </w:r>
      <w:r w:rsidR="004C3EED">
        <w:rPr>
          <w:b/>
          <w:lang w:val="en-US"/>
        </w:rPr>
        <w:t xml:space="preserve"> </w:t>
      </w:r>
      <w:r w:rsidR="00181696" w:rsidRPr="00181696">
        <w:rPr>
          <w:b/>
          <w:lang w:val="en-US"/>
        </w:rPr>
        <w:t>Summary of clinical outcome at</w:t>
      </w:r>
      <w:r w:rsidR="00F27D9F">
        <w:rPr>
          <w:b/>
          <w:lang w:val="en-US"/>
        </w:rPr>
        <w:t xml:space="preserve"> </w:t>
      </w:r>
      <w:r w:rsidR="00D81939">
        <w:rPr>
          <w:b/>
          <w:lang w:val="en-US"/>
        </w:rPr>
        <w:t>test of cure/safety visit by treatment group</w:t>
      </w:r>
    </w:p>
    <w:tbl>
      <w:tblPr>
        <w:tblStyle w:val="TableGrid"/>
        <w:tblW w:w="0" w:type="auto"/>
        <w:tblLook w:val="04A0" w:firstRow="1" w:lastRow="0" w:firstColumn="1" w:lastColumn="0" w:noHBand="0" w:noVBand="1"/>
      </w:tblPr>
      <w:tblGrid>
        <w:gridCol w:w="1949"/>
        <w:gridCol w:w="1503"/>
        <w:gridCol w:w="1650"/>
        <w:gridCol w:w="1624"/>
        <w:gridCol w:w="2290"/>
      </w:tblGrid>
      <w:tr w:rsidR="00181696" w14:paraId="63D50A68" w14:textId="77777777" w:rsidTr="0033162C">
        <w:tc>
          <w:tcPr>
            <w:tcW w:w="9242" w:type="dxa"/>
            <w:gridSpan w:val="5"/>
          </w:tcPr>
          <w:p w14:paraId="4C7D3A15" w14:textId="77777777" w:rsidR="00181696" w:rsidRDefault="00181696" w:rsidP="00181696">
            <w:pPr>
              <w:jc w:val="center"/>
              <w:rPr>
                <w:b/>
                <w:lang w:val="en-US"/>
              </w:rPr>
            </w:pPr>
            <w:r w:rsidRPr="00181696">
              <w:rPr>
                <w:b/>
                <w:lang w:val="en-US"/>
              </w:rPr>
              <w:t xml:space="preserve">Clinical Success in </w:t>
            </w:r>
            <w:proofErr w:type="spellStart"/>
            <w:r w:rsidRPr="00181696">
              <w:rPr>
                <w:b/>
                <w:lang w:val="en-US"/>
              </w:rPr>
              <w:t>Paediatric</w:t>
            </w:r>
            <w:proofErr w:type="spellEnd"/>
            <w:r w:rsidRPr="00181696">
              <w:rPr>
                <w:b/>
                <w:lang w:val="en-US"/>
              </w:rPr>
              <w:t xml:space="preserve"> SAB</w:t>
            </w:r>
          </w:p>
          <w:p w14:paraId="5300E16E" w14:textId="1A731870" w:rsidR="00181696" w:rsidRPr="00181696" w:rsidRDefault="00181696" w:rsidP="00181696">
            <w:pPr>
              <w:jc w:val="center"/>
              <w:rPr>
                <w:b/>
                <w:lang w:val="en-US"/>
              </w:rPr>
            </w:pPr>
          </w:p>
        </w:tc>
      </w:tr>
      <w:tr w:rsidR="00181696" w14:paraId="55A1AD3E" w14:textId="77777777" w:rsidTr="00181696">
        <w:tc>
          <w:tcPr>
            <w:tcW w:w="1949" w:type="dxa"/>
          </w:tcPr>
          <w:p w14:paraId="7EFD22A0" w14:textId="77777777" w:rsidR="00181696" w:rsidRDefault="00181696" w:rsidP="003C799A">
            <w:pPr>
              <w:rPr>
                <w:lang w:val="en-US"/>
              </w:rPr>
            </w:pPr>
          </w:p>
        </w:tc>
        <w:tc>
          <w:tcPr>
            <w:tcW w:w="1516" w:type="dxa"/>
          </w:tcPr>
          <w:p w14:paraId="086B4124" w14:textId="77777777" w:rsidR="00181696" w:rsidRDefault="00181696" w:rsidP="00181696">
            <w:pPr>
              <w:jc w:val="center"/>
              <w:rPr>
                <w:lang w:val="en-US"/>
              </w:rPr>
            </w:pPr>
            <w:proofErr w:type="spellStart"/>
            <w:r>
              <w:rPr>
                <w:lang w:val="en-US"/>
              </w:rPr>
              <w:t>Daptomycin</w:t>
            </w:r>
            <w:proofErr w:type="spellEnd"/>
          </w:p>
          <w:p w14:paraId="50265513" w14:textId="6A10ECF1" w:rsidR="00181696" w:rsidRDefault="00181696" w:rsidP="00181696">
            <w:pPr>
              <w:jc w:val="center"/>
              <w:rPr>
                <w:lang w:val="en-US"/>
              </w:rPr>
            </w:pPr>
            <w:r>
              <w:rPr>
                <w:lang w:val="en-US"/>
              </w:rPr>
              <w:t>n/N (%)</w:t>
            </w:r>
          </w:p>
        </w:tc>
        <w:tc>
          <w:tcPr>
            <w:tcW w:w="1685" w:type="dxa"/>
          </w:tcPr>
          <w:p w14:paraId="2B6A5546" w14:textId="77777777" w:rsidR="00181696" w:rsidRDefault="00181696" w:rsidP="00181696">
            <w:pPr>
              <w:jc w:val="center"/>
              <w:rPr>
                <w:lang w:val="en-US"/>
              </w:rPr>
            </w:pPr>
            <w:r>
              <w:rPr>
                <w:lang w:val="en-US"/>
              </w:rPr>
              <w:t>Comparator</w:t>
            </w:r>
          </w:p>
          <w:p w14:paraId="699AAAF8" w14:textId="0AB2CC4E" w:rsidR="00181696" w:rsidRDefault="00181696" w:rsidP="00181696">
            <w:pPr>
              <w:jc w:val="center"/>
              <w:rPr>
                <w:lang w:val="en-US"/>
              </w:rPr>
            </w:pPr>
            <w:r>
              <w:rPr>
                <w:lang w:val="en-US"/>
              </w:rPr>
              <w:t>n/N (%)</w:t>
            </w:r>
          </w:p>
        </w:tc>
        <w:tc>
          <w:tcPr>
            <w:tcW w:w="1677" w:type="dxa"/>
          </w:tcPr>
          <w:p w14:paraId="6D9DC99A" w14:textId="4BEFB1BD" w:rsidR="00181696" w:rsidRDefault="00181696" w:rsidP="00181696">
            <w:pPr>
              <w:jc w:val="center"/>
              <w:rPr>
                <w:lang w:val="en-US"/>
              </w:rPr>
            </w:pPr>
            <w:r>
              <w:rPr>
                <w:lang w:val="en-US"/>
              </w:rPr>
              <w:t>% difference</w:t>
            </w:r>
          </w:p>
        </w:tc>
        <w:tc>
          <w:tcPr>
            <w:tcW w:w="2415" w:type="dxa"/>
          </w:tcPr>
          <w:p w14:paraId="5F9A0028" w14:textId="77777777" w:rsidR="00181696" w:rsidRDefault="00181696" w:rsidP="00181696">
            <w:pPr>
              <w:jc w:val="center"/>
              <w:rPr>
                <w:lang w:val="en-US"/>
              </w:rPr>
            </w:pPr>
            <w:r>
              <w:rPr>
                <w:lang w:val="en-US"/>
              </w:rPr>
              <w:t>95% confidence interval of difference</w:t>
            </w:r>
          </w:p>
          <w:p w14:paraId="594C0D28" w14:textId="7A60694A" w:rsidR="00181696" w:rsidRDefault="00181696" w:rsidP="00181696">
            <w:pPr>
              <w:jc w:val="center"/>
              <w:rPr>
                <w:lang w:val="en-US"/>
              </w:rPr>
            </w:pPr>
          </w:p>
        </w:tc>
      </w:tr>
      <w:tr w:rsidR="00181696" w14:paraId="6339A3FB" w14:textId="77777777" w:rsidTr="00181696">
        <w:tc>
          <w:tcPr>
            <w:tcW w:w="1949" w:type="dxa"/>
          </w:tcPr>
          <w:p w14:paraId="3DA44B7A" w14:textId="77777777" w:rsidR="00181696" w:rsidRDefault="00181696" w:rsidP="003C799A">
            <w:pPr>
              <w:rPr>
                <w:lang w:val="en-US"/>
              </w:rPr>
            </w:pPr>
            <w:r>
              <w:rPr>
                <w:lang w:val="en-US"/>
              </w:rPr>
              <w:t>Modified intent-to-treat (MITT)</w:t>
            </w:r>
          </w:p>
          <w:p w14:paraId="36800B13" w14:textId="27DAEEAB" w:rsidR="00181696" w:rsidRDefault="00181696" w:rsidP="003C799A">
            <w:pPr>
              <w:rPr>
                <w:lang w:val="en-US"/>
              </w:rPr>
            </w:pPr>
          </w:p>
        </w:tc>
        <w:tc>
          <w:tcPr>
            <w:tcW w:w="1516" w:type="dxa"/>
          </w:tcPr>
          <w:p w14:paraId="482336A4" w14:textId="77777777" w:rsidR="00181696" w:rsidRDefault="00181696" w:rsidP="00181696">
            <w:pPr>
              <w:jc w:val="center"/>
              <w:rPr>
                <w:lang w:val="en-US"/>
              </w:rPr>
            </w:pPr>
            <w:r>
              <w:rPr>
                <w:lang w:val="en-US"/>
              </w:rPr>
              <w:t>46/52</w:t>
            </w:r>
          </w:p>
          <w:p w14:paraId="6935B2CA" w14:textId="02DB92A8" w:rsidR="00181696" w:rsidRDefault="00181696" w:rsidP="00181696">
            <w:pPr>
              <w:jc w:val="center"/>
              <w:rPr>
                <w:lang w:val="en-US"/>
              </w:rPr>
            </w:pPr>
            <w:r>
              <w:rPr>
                <w:lang w:val="en-US"/>
              </w:rPr>
              <w:t>(88.5%)</w:t>
            </w:r>
          </w:p>
        </w:tc>
        <w:tc>
          <w:tcPr>
            <w:tcW w:w="1685" w:type="dxa"/>
          </w:tcPr>
          <w:p w14:paraId="5B63F554" w14:textId="77777777" w:rsidR="00181696" w:rsidRDefault="00181696" w:rsidP="00181696">
            <w:pPr>
              <w:jc w:val="center"/>
              <w:rPr>
                <w:lang w:val="en-US"/>
              </w:rPr>
            </w:pPr>
            <w:r>
              <w:rPr>
                <w:lang w:val="en-US"/>
              </w:rPr>
              <w:t>19/24</w:t>
            </w:r>
          </w:p>
          <w:p w14:paraId="4C18D5E2" w14:textId="26B8FDD4" w:rsidR="00181696" w:rsidRDefault="00181696" w:rsidP="00181696">
            <w:pPr>
              <w:jc w:val="center"/>
              <w:rPr>
                <w:lang w:val="en-US"/>
              </w:rPr>
            </w:pPr>
            <w:r>
              <w:rPr>
                <w:lang w:val="en-US"/>
              </w:rPr>
              <w:t>(79.2%)</w:t>
            </w:r>
          </w:p>
        </w:tc>
        <w:tc>
          <w:tcPr>
            <w:tcW w:w="1677" w:type="dxa"/>
          </w:tcPr>
          <w:p w14:paraId="6FD22B85" w14:textId="514FCE3F" w:rsidR="00181696" w:rsidRDefault="00181696" w:rsidP="00181696">
            <w:pPr>
              <w:jc w:val="center"/>
              <w:rPr>
                <w:lang w:val="en-US"/>
              </w:rPr>
            </w:pPr>
            <w:r>
              <w:rPr>
                <w:lang w:val="en-US"/>
              </w:rPr>
              <w:t>9.3%</w:t>
            </w:r>
          </w:p>
        </w:tc>
        <w:tc>
          <w:tcPr>
            <w:tcW w:w="2415" w:type="dxa"/>
          </w:tcPr>
          <w:p w14:paraId="6CDC8726" w14:textId="546E1A11" w:rsidR="00181696" w:rsidRDefault="00181696" w:rsidP="00181696">
            <w:pPr>
              <w:jc w:val="center"/>
              <w:rPr>
                <w:lang w:val="en-US"/>
              </w:rPr>
            </w:pPr>
            <w:r>
              <w:rPr>
                <w:lang w:val="en-US"/>
              </w:rPr>
              <w:t>-9.1, 27.7</w:t>
            </w:r>
          </w:p>
        </w:tc>
      </w:tr>
      <w:tr w:rsidR="00181696" w14:paraId="4365ACC2" w14:textId="77777777" w:rsidTr="00181696">
        <w:tc>
          <w:tcPr>
            <w:tcW w:w="1949" w:type="dxa"/>
          </w:tcPr>
          <w:p w14:paraId="62F06102" w14:textId="09F41829" w:rsidR="00181696" w:rsidRDefault="00181696" w:rsidP="003C799A">
            <w:pPr>
              <w:rPr>
                <w:lang w:val="en-US"/>
              </w:rPr>
            </w:pPr>
            <w:r>
              <w:rPr>
                <w:lang w:val="en-US"/>
              </w:rPr>
              <w:t>Microbiologically modified intent-to-treat (</w:t>
            </w:r>
            <w:proofErr w:type="spellStart"/>
            <w:r>
              <w:rPr>
                <w:lang w:val="en-US"/>
              </w:rPr>
              <w:t>mMITT</w:t>
            </w:r>
            <w:proofErr w:type="spellEnd"/>
            <w:r>
              <w:rPr>
                <w:lang w:val="en-US"/>
              </w:rPr>
              <w:t>)</w:t>
            </w:r>
          </w:p>
          <w:p w14:paraId="3554B2AB" w14:textId="43D42BE2" w:rsidR="00181696" w:rsidRDefault="00181696" w:rsidP="003C799A">
            <w:pPr>
              <w:rPr>
                <w:lang w:val="en-US"/>
              </w:rPr>
            </w:pPr>
          </w:p>
        </w:tc>
        <w:tc>
          <w:tcPr>
            <w:tcW w:w="1516" w:type="dxa"/>
          </w:tcPr>
          <w:p w14:paraId="3C95F30D" w14:textId="32D27E9A" w:rsidR="00181696" w:rsidRDefault="00181696" w:rsidP="00181696">
            <w:pPr>
              <w:jc w:val="center"/>
              <w:rPr>
                <w:lang w:val="en-US"/>
              </w:rPr>
            </w:pPr>
            <w:r>
              <w:rPr>
                <w:lang w:val="en-US"/>
              </w:rPr>
              <w:t>45/51</w:t>
            </w:r>
          </w:p>
          <w:p w14:paraId="504F9630" w14:textId="3E2FA60B" w:rsidR="00181696" w:rsidRDefault="00181696" w:rsidP="00181696">
            <w:pPr>
              <w:jc w:val="center"/>
              <w:rPr>
                <w:lang w:val="en-US"/>
              </w:rPr>
            </w:pPr>
            <w:r>
              <w:rPr>
                <w:lang w:val="en-US"/>
              </w:rPr>
              <w:t>(88.2%)</w:t>
            </w:r>
          </w:p>
          <w:p w14:paraId="0D5725D6" w14:textId="77777777" w:rsidR="00181696" w:rsidRDefault="00181696" w:rsidP="00181696">
            <w:pPr>
              <w:jc w:val="center"/>
              <w:rPr>
                <w:lang w:val="en-US"/>
              </w:rPr>
            </w:pPr>
          </w:p>
        </w:tc>
        <w:tc>
          <w:tcPr>
            <w:tcW w:w="1685" w:type="dxa"/>
          </w:tcPr>
          <w:p w14:paraId="4BBF53A2" w14:textId="77777777" w:rsidR="00181696" w:rsidRDefault="00181696" w:rsidP="00181696">
            <w:pPr>
              <w:jc w:val="center"/>
              <w:rPr>
                <w:lang w:val="en-US"/>
              </w:rPr>
            </w:pPr>
            <w:r>
              <w:rPr>
                <w:lang w:val="en-US"/>
              </w:rPr>
              <w:t>17</w:t>
            </w:r>
            <w:r w:rsidR="004C0C7D">
              <w:rPr>
                <w:lang w:val="en-US"/>
              </w:rPr>
              <w:t>/22</w:t>
            </w:r>
          </w:p>
          <w:p w14:paraId="635342CE" w14:textId="25C1467C" w:rsidR="004C0C7D" w:rsidRDefault="004C0C7D" w:rsidP="00181696">
            <w:pPr>
              <w:jc w:val="center"/>
              <w:rPr>
                <w:lang w:val="en-US"/>
              </w:rPr>
            </w:pPr>
            <w:r>
              <w:rPr>
                <w:lang w:val="en-US"/>
              </w:rPr>
              <w:t>(77.3%)</w:t>
            </w:r>
          </w:p>
        </w:tc>
        <w:tc>
          <w:tcPr>
            <w:tcW w:w="1677" w:type="dxa"/>
          </w:tcPr>
          <w:p w14:paraId="0C36BE4B" w14:textId="2B3431FD" w:rsidR="00181696" w:rsidRDefault="004C0C7D" w:rsidP="00181696">
            <w:pPr>
              <w:jc w:val="center"/>
              <w:rPr>
                <w:lang w:val="en-US"/>
              </w:rPr>
            </w:pPr>
            <w:r>
              <w:rPr>
                <w:lang w:val="en-US"/>
              </w:rPr>
              <w:t>11.0%</w:t>
            </w:r>
          </w:p>
        </w:tc>
        <w:tc>
          <w:tcPr>
            <w:tcW w:w="2415" w:type="dxa"/>
          </w:tcPr>
          <w:p w14:paraId="2B2EF47A" w14:textId="41927035" w:rsidR="00181696" w:rsidRDefault="004C0C7D" w:rsidP="00181696">
            <w:pPr>
              <w:jc w:val="center"/>
              <w:rPr>
                <w:lang w:val="en-US"/>
              </w:rPr>
            </w:pPr>
            <w:r>
              <w:rPr>
                <w:lang w:val="en-US"/>
              </w:rPr>
              <w:t>-8.7, 30.6</w:t>
            </w:r>
          </w:p>
        </w:tc>
      </w:tr>
      <w:tr w:rsidR="00181696" w14:paraId="18095A34" w14:textId="77777777" w:rsidTr="00181696">
        <w:tc>
          <w:tcPr>
            <w:tcW w:w="1949" w:type="dxa"/>
          </w:tcPr>
          <w:p w14:paraId="2EA17069" w14:textId="3113B1C3" w:rsidR="00181696" w:rsidRDefault="00181696" w:rsidP="004C0C7D">
            <w:pPr>
              <w:rPr>
                <w:lang w:val="en-US"/>
              </w:rPr>
            </w:pPr>
            <w:r>
              <w:rPr>
                <w:lang w:val="en-US"/>
              </w:rPr>
              <w:t>Clinically evaluable (</w:t>
            </w:r>
            <w:r w:rsidR="004C0C7D">
              <w:rPr>
                <w:lang w:val="en-US"/>
              </w:rPr>
              <w:t>C</w:t>
            </w:r>
            <w:r>
              <w:rPr>
                <w:lang w:val="en-US"/>
              </w:rPr>
              <w:t>E)</w:t>
            </w:r>
          </w:p>
        </w:tc>
        <w:tc>
          <w:tcPr>
            <w:tcW w:w="1516" w:type="dxa"/>
          </w:tcPr>
          <w:p w14:paraId="2EE81810" w14:textId="77777777" w:rsidR="00181696" w:rsidRDefault="004C0C7D" w:rsidP="00181696">
            <w:pPr>
              <w:jc w:val="center"/>
              <w:rPr>
                <w:lang w:val="en-US"/>
              </w:rPr>
            </w:pPr>
            <w:r>
              <w:rPr>
                <w:lang w:val="en-US"/>
              </w:rPr>
              <w:t>36/40</w:t>
            </w:r>
          </w:p>
          <w:p w14:paraId="02622F22" w14:textId="693C6496" w:rsidR="004C0C7D" w:rsidRDefault="004C0C7D" w:rsidP="00181696">
            <w:pPr>
              <w:jc w:val="center"/>
              <w:rPr>
                <w:lang w:val="en-US"/>
              </w:rPr>
            </w:pPr>
            <w:r>
              <w:rPr>
                <w:lang w:val="en-US"/>
              </w:rPr>
              <w:t>(90.0%)</w:t>
            </w:r>
          </w:p>
        </w:tc>
        <w:tc>
          <w:tcPr>
            <w:tcW w:w="1685" w:type="dxa"/>
          </w:tcPr>
          <w:p w14:paraId="5221638A" w14:textId="77777777" w:rsidR="00181696" w:rsidRDefault="004C0C7D" w:rsidP="00181696">
            <w:pPr>
              <w:jc w:val="center"/>
              <w:rPr>
                <w:lang w:val="en-US"/>
              </w:rPr>
            </w:pPr>
            <w:r>
              <w:rPr>
                <w:lang w:val="en-US"/>
              </w:rPr>
              <w:t>9/12</w:t>
            </w:r>
          </w:p>
          <w:p w14:paraId="0BB6EDAB" w14:textId="426FA4DC" w:rsidR="004C0C7D" w:rsidRDefault="004C0C7D" w:rsidP="00181696">
            <w:pPr>
              <w:jc w:val="center"/>
              <w:rPr>
                <w:lang w:val="en-US"/>
              </w:rPr>
            </w:pPr>
            <w:r>
              <w:rPr>
                <w:lang w:val="en-US"/>
              </w:rPr>
              <w:t>(75.0%)</w:t>
            </w:r>
          </w:p>
        </w:tc>
        <w:tc>
          <w:tcPr>
            <w:tcW w:w="1677" w:type="dxa"/>
          </w:tcPr>
          <w:p w14:paraId="03C86316" w14:textId="37ADD13D" w:rsidR="00181696" w:rsidRDefault="004C0C7D" w:rsidP="00181696">
            <w:pPr>
              <w:jc w:val="center"/>
              <w:rPr>
                <w:lang w:val="en-US"/>
              </w:rPr>
            </w:pPr>
            <w:r>
              <w:rPr>
                <w:lang w:val="en-US"/>
              </w:rPr>
              <w:t>15.0%</w:t>
            </w:r>
          </w:p>
        </w:tc>
        <w:tc>
          <w:tcPr>
            <w:tcW w:w="2415" w:type="dxa"/>
          </w:tcPr>
          <w:p w14:paraId="398E02AC" w14:textId="113A3853" w:rsidR="00181696" w:rsidRDefault="004C0C7D" w:rsidP="00181696">
            <w:pPr>
              <w:jc w:val="center"/>
              <w:rPr>
                <w:lang w:val="en-US"/>
              </w:rPr>
            </w:pPr>
            <w:r>
              <w:rPr>
                <w:lang w:val="en-US"/>
              </w:rPr>
              <w:t>-11.2, 41.2</w:t>
            </w:r>
          </w:p>
        </w:tc>
      </w:tr>
    </w:tbl>
    <w:p w14:paraId="36B93C8E" w14:textId="77777777" w:rsidR="00181696" w:rsidRDefault="00181696" w:rsidP="003C799A">
      <w:pPr>
        <w:rPr>
          <w:lang w:val="en-US"/>
        </w:rPr>
      </w:pPr>
    </w:p>
    <w:p w14:paraId="136E3545" w14:textId="49EF5CFC" w:rsidR="00A037B0" w:rsidRDefault="00A037B0" w:rsidP="003C799A">
      <w:pPr>
        <w:rPr>
          <w:lang w:val="en-US"/>
        </w:rPr>
      </w:pPr>
      <w:r>
        <w:rPr>
          <w:lang w:val="en-US"/>
        </w:rPr>
        <w:t xml:space="preserve">The microbiological outcome at TOC for the </w:t>
      </w:r>
      <w:proofErr w:type="spellStart"/>
      <w:r>
        <w:rPr>
          <w:lang w:val="en-US"/>
        </w:rPr>
        <w:t>daptomycin</w:t>
      </w:r>
      <w:proofErr w:type="spellEnd"/>
      <w:r>
        <w:rPr>
          <w:lang w:val="en-US"/>
        </w:rPr>
        <w:t xml:space="preserve"> and </w:t>
      </w:r>
      <w:r w:rsidR="004C0C7D">
        <w:rPr>
          <w:lang w:val="en-US"/>
        </w:rPr>
        <w:t>S</w:t>
      </w:r>
      <w:r>
        <w:rPr>
          <w:lang w:val="en-US"/>
        </w:rPr>
        <w:t xml:space="preserve">OC treatment arms for infections caused by MRSA and MSSA are presented in </w:t>
      </w:r>
      <w:r w:rsidR="00644E6B">
        <w:rPr>
          <w:lang w:val="en-US"/>
        </w:rPr>
        <w:t>Table 11</w:t>
      </w:r>
      <w:r w:rsidR="00D81939">
        <w:rPr>
          <w:lang w:val="en-US"/>
        </w:rPr>
        <w:t>.</w:t>
      </w:r>
    </w:p>
    <w:p w14:paraId="7ECEFF44" w14:textId="6623DE18" w:rsidR="00606E9D" w:rsidRDefault="00606E9D">
      <w:pPr>
        <w:rPr>
          <w:lang w:val="en-US"/>
        </w:rPr>
      </w:pPr>
      <w:r>
        <w:rPr>
          <w:lang w:val="en-US"/>
        </w:rPr>
        <w:lastRenderedPageBreak/>
        <w:br w:type="page"/>
      </w:r>
    </w:p>
    <w:p w14:paraId="090C2B72" w14:textId="77777777" w:rsidR="00606E9D" w:rsidRDefault="00606E9D" w:rsidP="003C799A">
      <w:pPr>
        <w:rPr>
          <w:lang w:val="en-US"/>
        </w:rPr>
      </w:pPr>
    </w:p>
    <w:p w14:paraId="08A12A3F" w14:textId="2D38D9B0" w:rsidR="00644E6B" w:rsidRPr="00D81939" w:rsidRDefault="00644E6B" w:rsidP="003C799A">
      <w:pPr>
        <w:rPr>
          <w:b/>
          <w:lang w:val="en-US"/>
        </w:rPr>
      </w:pPr>
      <w:r w:rsidRPr="00D81939">
        <w:rPr>
          <w:b/>
          <w:lang w:val="en-US"/>
        </w:rPr>
        <w:t>Table 11</w:t>
      </w:r>
      <w:r w:rsidR="00D81939" w:rsidRPr="00D81939">
        <w:rPr>
          <w:b/>
          <w:lang w:val="en-US"/>
        </w:rPr>
        <w:t xml:space="preserve"> Summary of pathogen-level microbiological outcome at the test of cure/safety visit by treatment group (</w:t>
      </w:r>
      <w:proofErr w:type="spellStart"/>
      <w:r w:rsidR="00D81939" w:rsidRPr="00D81939">
        <w:rPr>
          <w:b/>
          <w:lang w:val="en-US"/>
        </w:rPr>
        <w:t>mMITT</w:t>
      </w:r>
      <w:proofErr w:type="spellEnd"/>
      <w:r w:rsidR="00D81939" w:rsidRPr="00D81939">
        <w:rPr>
          <w:b/>
          <w:lang w:val="en-US"/>
        </w:rPr>
        <w:t xml:space="preserve"> population)</w:t>
      </w:r>
      <w:r w:rsidRPr="00D81939">
        <w:rPr>
          <w:b/>
          <w:lang w:val="en-US"/>
        </w:rPr>
        <w:t xml:space="preserve"> </w:t>
      </w:r>
    </w:p>
    <w:tbl>
      <w:tblPr>
        <w:tblStyle w:val="TableGrid2"/>
        <w:tblW w:w="0" w:type="auto"/>
        <w:tblLook w:val="04A0" w:firstRow="1" w:lastRow="0" w:firstColumn="1" w:lastColumn="0" w:noHBand="0" w:noVBand="1"/>
      </w:tblPr>
      <w:tblGrid>
        <w:gridCol w:w="4482"/>
        <w:gridCol w:w="2268"/>
        <w:gridCol w:w="2266"/>
      </w:tblGrid>
      <w:tr w:rsidR="00A037B0" w:rsidRPr="00A037B0" w14:paraId="3935D1FB" w14:textId="77777777" w:rsidTr="0033162C">
        <w:tc>
          <w:tcPr>
            <w:tcW w:w="4620" w:type="dxa"/>
            <w:vMerge w:val="restart"/>
          </w:tcPr>
          <w:p w14:paraId="243B1E30"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Pathogen</w:t>
            </w:r>
          </w:p>
        </w:tc>
        <w:tc>
          <w:tcPr>
            <w:tcW w:w="4622" w:type="dxa"/>
            <w:gridSpan w:val="2"/>
          </w:tcPr>
          <w:p w14:paraId="0B01E1F5"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Microbiological Success rate in Paediatric SAB</w:t>
            </w:r>
          </w:p>
          <w:p w14:paraId="62462CE9"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n/N (%)</w:t>
            </w:r>
          </w:p>
        </w:tc>
      </w:tr>
      <w:tr w:rsidR="00A037B0" w:rsidRPr="00A037B0" w14:paraId="3082F0B2" w14:textId="77777777" w:rsidTr="0033162C">
        <w:tc>
          <w:tcPr>
            <w:tcW w:w="4620" w:type="dxa"/>
            <w:vMerge/>
          </w:tcPr>
          <w:p w14:paraId="60C5588F"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p>
        </w:tc>
        <w:tc>
          <w:tcPr>
            <w:tcW w:w="2311" w:type="dxa"/>
          </w:tcPr>
          <w:p w14:paraId="0DE33FA4"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proofErr w:type="spellStart"/>
            <w:r w:rsidRPr="00606E9D">
              <w:rPr>
                <w:rFonts w:cs="Times New Roman"/>
                <w:szCs w:val="24"/>
              </w:rPr>
              <w:t>Daptomycin</w:t>
            </w:r>
            <w:proofErr w:type="spellEnd"/>
          </w:p>
        </w:tc>
        <w:tc>
          <w:tcPr>
            <w:tcW w:w="2311" w:type="dxa"/>
          </w:tcPr>
          <w:p w14:paraId="620D3A50"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Comparator</w:t>
            </w:r>
          </w:p>
        </w:tc>
      </w:tr>
      <w:tr w:rsidR="00A037B0" w:rsidRPr="00A037B0" w14:paraId="50A0E2AA" w14:textId="77777777" w:rsidTr="0033162C">
        <w:tc>
          <w:tcPr>
            <w:tcW w:w="4620" w:type="dxa"/>
          </w:tcPr>
          <w:p w14:paraId="2A58AA24"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 xml:space="preserve">Methicillin-susceptible </w:t>
            </w:r>
            <w:r w:rsidRPr="00606E9D">
              <w:rPr>
                <w:rFonts w:cs="Times New Roman"/>
                <w:i/>
                <w:szCs w:val="24"/>
              </w:rPr>
              <w:t>Staphylococcus aureus</w:t>
            </w:r>
            <w:r w:rsidRPr="00606E9D">
              <w:rPr>
                <w:rFonts w:cs="Times New Roman"/>
                <w:szCs w:val="24"/>
              </w:rPr>
              <w:t xml:space="preserve"> (MSSA)</w:t>
            </w:r>
          </w:p>
        </w:tc>
        <w:tc>
          <w:tcPr>
            <w:tcW w:w="2311" w:type="dxa"/>
          </w:tcPr>
          <w:p w14:paraId="2683F9E0"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43/44 (97.7%)</w:t>
            </w:r>
          </w:p>
        </w:tc>
        <w:tc>
          <w:tcPr>
            <w:tcW w:w="2311" w:type="dxa"/>
          </w:tcPr>
          <w:p w14:paraId="3015D533"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19/19 (100.0%)</w:t>
            </w:r>
          </w:p>
        </w:tc>
      </w:tr>
      <w:tr w:rsidR="00A037B0" w:rsidRPr="00A037B0" w14:paraId="47CB46E9" w14:textId="77777777" w:rsidTr="0033162C">
        <w:tc>
          <w:tcPr>
            <w:tcW w:w="4620" w:type="dxa"/>
          </w:tcPr>
          <w:p w14:paraId="47246521"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 xml:space="preserve">Methicillin-resistant </w:t>
            </w:r>
            <w:r w:rsidRPr="00606E9D">
              <w:rPr>
                <w:rFonts w:cs="Times New Roman"/>
                <w:i/>
                <w:szCs w:val="24"/>
              </w:rPr>
              <w:t>Staphylococcus aureus</w:t>
            </w:r>
            <w:r w:rsidRPr="00606E9D">
              <w:rPr>
                <w:rFonts w:cs="Times New Roman"/>
                <w:szCs w:val="24"/>
              </w:rPr>
              <w:t xml:space="preserve"> (MRSA)</w:t>
            </w:r>
          </w:p>
        </w:tc>
        <w:tc>
          <w:tcPr>
            <w:tcW w:w="2311" w:type="dxa"/>
          </w:tcPr>
          <w:p w14:paraId="5A4886DE"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6/7 (85.7%)</w:t>
            </w:r>
          </w:p>
        </w:tc>
        <w:tc>
          <w:tcPr>
            <w:tcW w:w="2311" w:type="dxa"/>
          </w:tcPr>
          <w:p w14:paraId="2B6AD15C"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r w:rsidRPr="00606E9D">
              <w:rPr>
                <w:rFonts w:cs="Times New Roman"/>
                <w:szCs w:val="24"/>
              </w:rPr>
              <w:t>3/3 (100.0%)</w:t>
            </w:r>
          </w:p>
          <w:p w14:paraId="3BEE80AD" w14:textId="77777777" w:rsidR="00A037B0" w:rsidRPr="00606E9D" w:rsidRDefault="00A037B0" w:rsidP="00A037B0">
            <w:pPr>
              <w:widowControl w:val="0"/>
              <w:tabs>
                <w:tab w:val="left" w:pos="0"/>
              </w:tabs>
              <w:autoSpaceDE w:val="0"/>
              <w:autoSpaceDN w:val="0"/>
              <w:adjustRightInd w:val="0"/>
              <w:spacing w:line="320" w:lineRule="atLeast"/>
              <w:rPr>
                <w:rFonts w:cs="Times New Roman"/>
                <w:szCs w:val="24"/>
              </w:rPr>
            </w:pPr>
          </w:p>
        </w:tc>
      </w:tr>
    </w:tbl>
    <w:p w14:paraId="0CAF1357" w14:textId="77777777" w:rsidR="00A037B0" w:rsidRPr="003C799A" w:rsidRDefault="00A037B0" w:rsidP="003C799A">
      <w:pPr>
        <w:rPr>
          <w:lang w:val="en-US"/>
        </w:rPr>
      </w:pPr>
    </w:p>
    <w:p w14:paraId="6551E6DB" w14:textId="77777777" w:rsidR="001A3992" w:rsidRDefault="001A3992" w:rsidP="001A3992">
      <w:pPr>
        <w:pStyle w:val="Heading2"/>
        <w:keepNext/>
        <w:spacing w:before="0" w:after="120"/>
        <w:rPr>
          <w:lang w:val="en-US"/>
        </w:rPr>
      </w:pPr>
      <w:r w:rsidRPr="00EC3C40">
        <w:rPr>
          <w:lang w:val="en-US"/>
        </w:rPr>
        <w:t xml:space="preserve">Pharmacokinetic properties </w:t>
      </w:r>
    </w:p>
    <w:p w14:paraId="688A815A" w14:textId="55B905DA" w:rsidR="00E2430F" w:rsidRPr="00E2430F" w:rsidRDefault="00E2430F" w:rsidP="00C94FA2">
      <w:pPr>
        <w:jc w:val="both"/>
        <w:rPr>
          <w:rFonts w:cs="Times New Roman"/>
          <w:szCs w:val="24"/>
        </w:rPr>
      </w:pPr>
      <w:r w:rsidRPr="00E2430F">
        <w:rPr>
          <w:rFonts w:cs="Times New Roman"/>
          <w:szCs w:val="24"/>
        </w:rPr>
        <w:t xml:space="preserve">The mean (SD) pharmacokinetic parameters of </w:t>
      </w:r>
      <w:proofErr w:type="spellStart"/>
      <w:r w:rsidRPr="00E2430F">
        <w:rPr>
          <w:rFonts w:cs="Times New Roman"/>
          <w:szCs w:val="24"/>
        </w:rPr>
        <w:t>daptomycin</w:t>
      </w:r>
      <w:proofErr w:type="spellEnd"/>
      <w:r w:rsidRPr="00E2430F">
        <w:rPr>
          <w:rFonts w:cs="Times New Roman"/>
          <w:szCs w:val="24"/>
        </w:rPr>
        <w:t xml:space="preserve"> at steady-state following IV administration of 4 to 12 mg/kg q24h to healthy young adults are summarised in Table </w:t>
      </w:r>
      <w:r w:rsidR="00B84E20">
        <w:rPr>
          <w:rFonts w:cs="Times New Roman"/>
          <w:szCs w:val="24"/>
        </w:rPr>
        <w:t>1</w:t>
      </w:r>
      <w:r w:rsidR="00644E6B">
        <w:rPr>
          <w:rFonts w:cs="Times New Roman"/>
          <w:szCs w:val="24"/>
        </w:rPr>
        <w:t>2</w:t>
      </w:r>
      <w:r w:rsidRPr="00E2430F">
        <w:rPr>
          <w:rFonts w:cs="Times New Roman"/>
          <w:szCs w:val="24"/>
        </w:rPr>
        <w:t>.</w:t>
      </w:r>
    </w:p>
    <w:p w14:paraId="75B44F6D" w14:textId="33262008" w:rsidR="00E2430F" w:rsidRPr="00E2430F" w:rsidRDefault="00E2430F" w:rsidP="00C94FA2">
      <w:pPr>
        <w:jc w:val="both"/>
        <w:rPr>
          <w:rFonts w:cs="Times New Roman"/>
          <w:szCs w:val="24"/>
        </w:rPr>
      </w:pPr>
      <w:proofErr w:type="spellStart"/>
      <w:r w:rsidRPr="00E2430F">
        <w:rPr>
          <w:rFonts w:cs="Times New Roman"/>
          <w:szCs w:val="24"/>
        </w:rPr>
        <w:t>Daptomycin</w:t>
      </w:r>
      <w:proofErr w:type="spellEnd"/>
      <w:r w:rsidRPr="00E2430F">
        <w:rPr>
          <w:rFonts w:cs="Times New Roman"/>
          <w:szCs w:val="24"/>
        </w:rPr>
        <w:t xml:space="preserve"> pharmacokinetics were generally linear (dose-proportional) and time-independent at </w:t>
      </w:r>
      <w:r w:rsidR="00F23D48">
        <w:rPr>
          <w:rFonts w:cs="Times New Roman"/>
          <w:szCs w:val="24"/>
        </w:rPr>
        <w:t>CUBICIN</w:t>
      </w:r>
      <w:r w:rsidRPr="00E2430F">
        <w:rPr>
          <w:rFonts w:cs="Times New Roman"/>
          <w:szCs w:val="24"/>
        </w:rPr>
        <w:t xml:space="preserve"> doses of 4 to 12 mg/kg q24h.  Steady-state trough concentrations were achieved by the third daily dose. The mean (SD) steady-state trough concentrations attained following administration of 4, 6, 8, 10, and 12 mg/kg q24h </w:t>
      </w:r>
      <w:r w:rsidR="00937E44">
        <w:rPr>
          <w:rFonts w:cs="Times New Roman"/>
          <w:szCs w:val="24"/>
        </w:rPr>
        <w:t xml:space="preserve">in healthy adults </w:t>
      </w:r>
      <w:r w:rsidRPr="00E2430F">
        <w:rPr>
          <w:rFonts w:cs="Times New Roman"/>
          <w:szCs w:val="24"/>
        </w:rPr>
        <w:t>were 5.9 (1.6), 6.7 (1.6), 10.3 (5.5), 12.9 (2.9), and 13.7 (5.2) µg/mL, respectively.</w:t>
      </w:r>
    </w:p>
    <w:p w14:paraId="2FA4439C" w14:textId="36227102" w:rsidR="00E2430F" w:rsidRPr="00E2430F" w:rsidRDefault="00E2430F" w:rsidP="00E2430F">
      <w:pPr>
        <w:rPr>
          <w:rFonts w:cs="Times New Roman"/>
          <w:b/>
          <w:szCs w:val="24"/>
        </w:rPr>
      </w:pPr>
      <w:r w:rsidRPr="00E2430F">
        <w:rPr>
          <w:rFonts w:cs="Times New Roman"/>
          <w:b/>
          <w:szCs w:val="24"/>
        </w:rPr>
        <w:t xml:space="preserve">Table </w:t>
      </w:r>
      <w:r w:rsidR="00B84E20">
        <w:rPr>
          <w:rFonts w:cs="Times New Roman"/>
          <w:b/>
          <w:szCs w:val="24"/>
        </w:rPr>
        <w:t>1</w:t>
      </w:r>
      <w:r w:rsidR="00644E6B">
        <w:rPr>
          <w:rFonts w:cs="Times New Roman"/>
          <w:b/>
          <w:szCs w:val="24"/>
        </w:rPr>
        <w:t>2</w:t>
      </w:r>
      <w:r w:rsidRPr="00E2430F">
        <w:rPr>
          <w:rFonts w:cs="Times New Roman"/>
          <w:b/>
          <w:szCs w:val="24"/>
        </w:rPr>
        <w:t xml:space="preserve"> Mean (SD) </w:t>
      </w:r>
      <w:proofErr w:type="spellStart"/>
      <w:r w:rsidRPr="00E2430F">
        <w:rPr>
          <w:rFonts w:cs="Times New Roman"/>
          <w:b/>
          <w:szCs w:val="24"/>
        </w:rPr>
        <w:t>Daptomycin</w:t>
      </w:r>
      <w:proofErr w:type="spellEnd"/>
      <w:r w:rsidRPr="00E2430F">
        <w:rPr>
          <w:rFonts w:cs="Times New Roman"/>
          <w:b/>
          <w:szCs w:val="24"/>
        </w:rPr>
        <w:t xml:space="preserve"> Pharmacokinetic Parameters in Healthy </w:t>
      </w:r>
      <w:r>
        <w:rPr>
          <w:rFonts w:cs="Times New Roman"/>
          <w:b/>
          <w:szCs w:val="24"/>
        </w:rPr>
        <w:t>A</w:t>
      </w:r>
      <w:r w:rsidRPr="00E2430F">
        <w:rPr>
          <w:rFonts w:cs="Times New Roman"/>
          <w:b/>
          <w:szCs w:val="24"/>
        </w:rPr>
        <w:t xml:space="preserve">dult Volunteers at Steady-State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466"/>
        <w:gridCol w:w="1466"/>
        <w:gridCol w:w="1458"/>
        <w:gridCol w:w="1458"/>
        <w:gridCol w:w="1467"/>
      </w:tblGrid>
      <w:tr w:rsidR="00E2430F" w:rsidRPr="00E2430F" w14:paraId="5DE4B7AC" w14:textId="77777777" w:rsidTr="00E2430F">
        <w:trPr>
          <w:cantSplit/>
        </w:trPr>
        <w:tc>
          <w:tcPr>
            <w:tcW w:w="1536" w:type="dxa"/>
            <w:vMerge w:val="restart"/>
            <w:tcBorders>
              <w:top w:val="single" w:sz="4" w:space="0" w:color="auto"/>
              <w:left w:val="single" w:sz="4" w:space="0" w:color="auto"/>
            </w:tcBorders>
            <w:vAlign w:val="bottom"/>
          </w:tcPr>
          <w:p w14:paraId="374FD616"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roofErr w:type="spellStart"/>
            <w:r w:rsidRPr="00E2430F">
              <w:rPr>
                <w:rFonts w:eastAsia="Times" w:cs="Times New Roman"/>
                <w:b/>
                <w:snapToGrid w:val="0"/>
                <w:sz w:val="20"/>
                <w:szCs w:val="20"/>
              </w:rPr>
              <w:t>Dose</w:t>
            </w:r>
            <w:r w:rsidRPr="00E2430F">
              <w:rPr>
                <w:rFonts w:eastAsia="Times" w:cs="Times New Roman"/>
                <w:b/>
                <w:snapToGrid w:val="0"/>
                <w:sz w:val="20"/>
                <w:szCs w:val="20"/>
                <w:vertAlign w:val="superscript"/>
              </w:rPr>
              <w:t>b</w:t>
            </w:r>
            <w:proofErr w:type="spellEnd"/>
            <w:r w:rsidRPr="00E2430F">
              <w:rPr>
                <w:rFonts w:eastAsia="Times" w:cs="Times New Roman"/>
                <w:b/>
                <w:snapToGrid w:val="0"/>
                <w:sz w:val="20"/>
                <w:szCs w:val="20"/>
              </w:rPr>
              <w:br/>
              <w:t>(mg/kg)</w:t>
            </w:r>
          </w:p>
        </w:tc>
        <w:tc>
          <w:tcPr>
            <w:tcW w:w="7499" w:type="dxa"/>
            <w:gridSpan w:val="5"/>
            <w:tcBorders>
              <w:bottom w:val="single" w:sz="4" w:space="0" w:color="auto"/>
            </w:tcBorders>
          </w:tcPr>
          <w:p w14:paraId="0CD4E1BD"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 xml:space="preserve">Pharmacokinetic </w:t>
            </w:r>
            <w:proofErr w:type="spellStart"/>
            <w:r w:rsidRPr="00E2430F">
              <w:rPr>
                <w:rFonts w:eastAsia="Times" w:cs="Times New Roman"/>
                <w:b/>
                <w:snapToGrid w:val="0"/>
                <w:sz w:val="20"/>
                <w:szCs w:val="20"/>
              </w:rPr>
              <w:t>Parameters</w:t>
            </w:r>
            <w:r w:rsidRPr="00E2430F">
              <w:rPr>
                <w:rFonts w:eastAsia="Times" w:cs="Times New Roman"/>
                <w:b/>
                <w:snapToGrid w:val="0"/>
                <w:sz w:val="20"/>
                <w:szCs w:val="20"/>
                <w:vertAlign w:val="superscript"/>
              </w:rPr>
              <w:t>a</w:t>
            </w:r>
            <w:proofErr w:type="spellEnd"/>
          </w:p>
        </w:tc>
      </w:tr>
      <w:tr w:rsidR="00E2430F" w:rsidRPr="00E2430F" w14:paraId="760DA30A" w14:textId="77777777" w:rsidTr="00E2430F">
        <w:trPr>
          <w:cantSplit/>
        </w:trPr>
        <w:tc>
          <w:tcPr>
            <w:tcW w:w="1536" w:type="dxa"/>
            <w:vMerge/>
            <w:tcBorders>
              <w:bottom w:val="single" w:sz="4" w:space="0" w:color="auto"/>
            </w:tcBorders>
          </w:tcPr>
          <w:p w14:paraId="2A671B2D"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
        </w:tc>
        <w:tc>
          <w:tcPr>
            <w:tcW w:w="1502" w:type="dxa"/>
            <w:tcBorders>
              <w:bottom w:val="single" w:sz="4" w:space="0" w:color="auto"/>
            </w:tcBorders>
          </w:tcPr>
          <w:p w14:paraId="508A5115"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AUC</w:t>
            </w:r>
            <w:r w:rsidRPr="00E2430F">
              <w:rPr>
                <w:rFonts w:eastAsia="Times" w:cs="Times New Roman"/>
                <w:b/>
                <w:snapToGrid w:val="0"/>
                <w:sz w:val="20"/>
                <w:szCs w:val="20"/>
                <w:vertAlign w:val="subscript"/>
              </w:rPr>
              <w:t>0-24</w:t>
            </w:r>
            <w:r w:rsidRPr="00E2430F">
              <w:rPr>
                <w:rFonts w:eastAsia="Times" w:cs="Times New Roman"/>
                <w:b/>
                <w:snapToGrid w:val="0"/>
                <w:sz w:val="20"/>
                <w:szCs w:val="20"/>
              </w:rPr>
              <w:br/>
              <w:t>(µg*h/mL)</w:t>
            </w:r>
          </w:p>
        </w:tc>
        <w:tc>
          <w:tcPr>
            <w:tcW w:w="1503" w:type="dxa"/>
            <w:tcBorders>
              <w:bottom w:val="single" w:sz="4" w:space="0" w:color="auto"/>
            </w:tcBorders>
          </w:tcPr>
          <w:p w14:paraId="65557442"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t</w:t>
            </w:r>
            <w:r w:rsidRPr="00E2430F">
              <w:rPr>
                <w:rFonts w:eastAsia="Times" w:cs="Times New Roman"/>
                <w:b/>
                <w:snapToGrid w:val="0"/>
                <w:sz w:val="20"/>
                <w:szCs w:val="20"/>
                <w:vertAlign w:val="subscript"/>
              </w:rPr>
              <w:t>1/2</w:t>
            </w:r>
            <w:r w:rsidRPr="00E2430F">
              <w:rPr>
                <w:rFonts w:eastAsia="Times" w:cs="Times New Roman"/>
                <w:b/>
                <w:snapToGrid w:val="0"/>
                <w:sz w:val="20"/>
                <w:szCs w:val="20"/>
              </w:rPr>
              <w:br/>
              <w:t>(h)</w:t>
            </w:r>
          </w:p>
        </w:tc>
        <w:tc>
          <w:tcPr>
            <w:tcW w:w="1495" w:type="dxa"/>
            <w:tcBorders>
              <w:bottom w:val="single" w:sz="4" w:space="0" w:color="auto"/>
            </w:tcBorders>
          </w:tcPr>
          <w:p w14:paraId="1A59FBD1"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roofErr w:type="spellStart"/>
            <w:r w:rsidRPr="00E2430F">
              <w:rPr>
                <w:rFonts w:eastAsia="Times" w:cs="Times New Roman"/>
                <w:b/>
                <w:snapToGrid w:val="0"/>
                <w:sz w:val="20"/>
                <w:szCs w:val="20"/>
              </w:rPr>
              <w:t>V</w:t>
            </w:r>
            <w:r w:rsidRPr="00E2430F">
              <w:rPr>
                <w:rFonts w:eastAsia="Times" w:cs="Times New Roman"/>
                <w:b/>
                <w:snapToGrid w:val="0"/>
                <w:sz w:val="20"/>
                <w:szCs w:val="20"/>
                <w:vertAlign w:val="subscript"/>
              </w:rPr>
              <w:t>ss</w:t>
            </w:r>
            <w:proofErr w:type="spellEnd"/>
            <w:r w:rsidRPr="00E2430F">
              <w:rPr>
                <w:rFonts w:eastAsia="Times" w:cs="Times New Roman"/>
                <w:b/>
                <w:snapToGrid w:val="0"/>
                <w:sz w:val="20"/>
                <w:szCs w:val="20"/>
              </w:rPr>
              <w:br/>
              <w:t>(L/kg)</w:t>
            </w:r>
          </w:p>
        </w:tc>
        <w:tc>
          <w:tcPr>
            <w:tcW w:w="1495" w:type="dxa"/>
            <w:tcBorders>
              <w:bottom w:val="single" w:sz="4" w:space="0" w:color="auto"/>
            </w:tcBorders>
          </w:tcPr>
          <w:p w14:paraId="091E53BA"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CL</w:t>
            </w:r>
            <w:r w:rsidRPr="00E2430F">
              <w:rPr>
                <w:rFonts w:eastAsia="Times" w:cs="Times New Roman"/>
                <w:b/>
                <w:snapToGrid w:val="0"/>
                <w:sz w:val="20"/>
                <w:szCs w:val="20"/>
                <w:vertAlign w:val="subscript"/>
              </w:rPr>
              <w:t>T</w:t>
            </w:r>
            <w:r w:rsidRPr="00E2430F">
              <w:rPr>
                <w:rFonts w:eastAsia="Times" w:cs="Times New Roman"/>
                <w:b/>
                <w:snapToGrid w:val="0"/>
                <w:sz w:val="20"/>
                <w:szCs w:val="20"/>
              </w:rPr>
              <w:br/>
              <w:t>(mL/h/kg)</w:t>
            </w:r>
          </w:p>
        </w:tc>
        <w:tc>
          <w:tcPr>
            <w:tcW w:w="1504" w:type="dxa"/>
            <w:tcBorders>
              <w:bottom w:val="single" w:sz="4" w:space="0" w:color="auto"/>
            </w:tcBorders>
          </w:tcPr>
          <w:p w14:paraId="6B7EAF07"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proofErr w:type="spellStart"/>
            <w:r w:rsidRPr="00E2430F">
              <w:rPr>
                <w:rFonts w:eastAsia="Times" w:cs="Times New Roman"/>
                <w:b/>
                <w:snapToGrid w:val="0"/>
                <w:sz w:val="20"/>
                <w:szCs w:val="20"/>
              </w:rPr>
              <w:t>C</w:t>
            </w:r>
            <w:r w:rsidRPr="00E2430F">
              <w:rPr>
                <w:rFonts w:eastAsia="Times" w:cs="Times New Roman"/>
                <w:b/>
                <w:snapToGrid w:val="0"/>
                <w:sz w:val="20"/>
                <w:szCs w:val="20"/>
                <w:vertAlign w:val="subscript"/>
              </w:rPr>
              <w:t>max</w:t>
            </w:r>
            <w:proofErr w:type="spellEnd"/>
            <w:r w:rsidRPr="00E2430F">
              <w:rPr>
                <w:rFonts w:eastAsia="Times" w:cs="Times New Roman"/>
                <w:b/>
                <w:snapToGrid w:val="0"/>
                <w:sz w:val="20"/>
                <w:szCs w:val="20"/>
              </w:rPr>
              <w:br/>
              <w:t>(µg/mL)</w:t>
            </w:r>
          </w:p>
        </w:tc>
      </w:tr>
      <w:tr w:rsidR="00E2430F" w:rsidRPr="00E2430F" w14:paraId="5E06F4C0" w14:textId="77777777" w:rsidTr="00E2430F">
        <w:trPr>
          <w:cantSplit/>
        </w:trPr>
        <w:tc>
          <w:tcPr>
            <w:tcW w:w="1536" w:type="dxa"/>
            <w:shd w:val="clear" w:color="auto" w:fill="auto"/>
          </w:tcPr>
          <w:p w14:paraId="0434AE72"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4</w:t>
            </w:r>
            <w:r w:rsidRPr="00E2430F">
              <w:rPr>
                <w:rFonts w:eastAsia="Times" w:cs="Times New Roman"/>
                <w:b/>
                <w:snapToGrid w:val="0"/>
                <w:sz w:val="20"/>
                <w:szCs w:val="20"/>
              </w:rPr>
              <w:tab/>
              <w:t>(N=6)</w:t>
            </w:r>
          </w:p>
        </w:tc>
        <w:tc>
          <w:tcPr>
            <w:tcW w:w="1502" w:type="dxa"/>
          </w:tcPr>
          <w:p w14:paraId="74150FF8"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494 (75)</w:t>
            </w:r>
          </w:p>
        </w:tc>
        <w:tc>
          <w:tcPr>
            <w:tcW w:w="1503" w:type="dxa"/>
          </w:tcPr>
          <w:p w14:paraId="6712A503"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8.1 (1.0)</w:t>
            </w:r>
          </w:p>
        </w:tc>
        <w:tc>
          <w:tcPr>
            <w:tcW w:w="1495" w:type="dxa"/>
          </w:tcPr>
          <w:p w14:paraId="515150F6"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0.096 (0.009)</w:t>
            </w:r>
          </w:p>
        </w:tc>
        <w:tc>
          <w:tcPr>
            <w:tcW w:w="1495" w:type="dxa"/>
          </w:tcPr>
          <w:p w14:paraId="379BC449"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8.3 (1.3)</w:t>
            </w:r>
          </w:p>
        </w:tc>
        <w:tc>
          <w:tcPr>
            <w:tcW w:w="1504" w:type="dxa"/>
          </w:tcPr>
          <w:p w14:paraId="6DC5F2F8"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57.8 (3.0)</w:t>
            </w:r>
          </w:p>
        </w:tc>
      </w:tr>
      <w:tr w:rsidR="00E2430F" w:rsidRPr="00E2430F" w14:paraId="2100EB04" w14:textId="77777777" w:rsidTr="00E2430F">
        <w:trPr>
          <w:cantSplit/>
        </w:trPr>
        <w:tc>
          <w:tcPr>
            <w:tcW w:w="1536" w:type="dxa"/>
            <w:shd w:val="clear" w:color="auto" w:fill="auto"/>
          </w:tcPr>
          <w:p w14:paraId="4BE84FBA"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6</w:t>
            </w:r>
            <w:r w:rsidRPr="00E2430F">
              <w:rPr>
                <w:rFonts w:eastAsia="Times" w:cs="Times New Roman"/>
                <w:b/>
                <w:snapToGrid w:val="0"/>
                <w:sz w:val="20"/>
                <w:szCs w:val="20"/>
              </w:rPr>
              <w:tab/>
              <w:t>(N=6)</w:t>
            </w:r>
          </w:p>
        </w:tc>
        <w:tc>
          <w:tcPr>
            <w:tcW w:w="1502" w:type="dxa"/>
          </w:tcPr>
          <w:p w14:paraId="2A477494"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632 (78)</w:t>
            </w:r>
          </w:p>
        </w:tc>
        <w:tc>
          <w:tcPr>
            <w:tcW w:w="1503" w:type="dxa"/>
          </w:tcPr>
          <w:p w14:paraId="12501BB9"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7.9 (1.0)</w:t>
            </w:r>
          </w:p>
        </w:tc>
        <w:tc>
          <w:tcPr>
            <w:tcW w:w="1495" w:type="dxa"/>
          </w:tcPr>
          <w:p w14:paraId="26444666"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0.101 (0.007)</w:t>
            </w:r>
          </w:p>
        </w:tc>
        <w:tc>
          <w:tcPr>
            <w:tcW w:w="1495" w:type="dxa"/>
          </w:tcPr>
          <w:p w14:paraId="244D87C1"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9.1 (1.5)</w:t>
            </w:r>
          </w:p>
        </w:tc>
        <w:tc>
          <w:tcPr>
            <w:tcW w:w="1504" w:type="dxa"/>
          </w:tcPr>
          <w:p w14:paraId="4D5DC2A4"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93.9 (6.0)</w:t>
            </w:r>
          </w:p>
        </w:tc>
      </w:tr>
      <w:tr w:rsidR="00E2430F" w:rsidRPr="00E2430F" w14:paraId="41DD9A7E" w14:textId="77777777" w:rsidTr="00E2430F">
        <w:trPr>
          <w:cantSplit/>
        </w:trPr>
        <w:tc>
          <w:tcPr>
            <w:tcW w:w="1536" w:type="dxa"/>
            <w:shd w:val="clear" w:color="auto" w:fill="auto"/>
          </w:tcPr>
          <w:p w14:paraId="3B44BF56"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8</w:t>
            </w:r>
            <w:r w:rsidRPr="00E2430F">
              <w:rPr>
                <w:rFonts w:eastAsia="Times" w:cs="Times New Roman"/>
                <w:b/>
                <w:snapToGrid w:val="0"/>
                <w:sz w:val="20"/>
                <w:szCs w:val="20"/>
              </w:rPr>
              <w:tab/>
              <w:t>(N=6)</w:t>
            </w:r>
          </w:p>
        </w:tc>
        <w:tc>
          <w:tcPr>
            <w:tcW w:w="1502" w:type="dxa"/>
          </w:tcPr>
          <w:p w14:paraId="576D19A3"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858 (213)</w:t>
            </w:r>
          </w:p>
        </w:tc>
        <w:tc>
          <w:tcPr>
            <w:tcW w:w="1503" w:type="dxa"/>
          </w:tcPr>
          <w:p w14:paraId="0F7D626D"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8.3 (2.2)</w:t>
            </w:r>
          </w:p>
        </w:tc>
        <w:tc>
          <w:tcPr>
            <w:tcW w:w="1495" w:type="dxa"/>
          </w:tcPr>
          <w:p w14:paraId="5835ABC4"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0.101 (0.013)</w:t>
            </w:r>
          </w:p>
        </w:tc>
        <w:tc>
          <w:tcPr>
            <w:tcW w:w="1495" w:type="dxa"/>
          </w:tcPr>
          <w:p w14:paraId="1E0B5293"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9.0 (3.0)</w:t>
            </w:r>
          </w:p>
        </w:tc>
        <w:tc>
          <w:tcPr>
            <w:tcW w:w="1504" w:type="dxa"/>
          </w:tcPr>
          <w:p w14:paraId="336B991C"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123.3 (16.0)</w:t>
            </w:r>
          </w:p>
        </w:tc>
      </w:tr>
      <w:tr w:rsidR="00E2430F" w:rsidRPr="00E2430F" w14:paraId="1FFA8B58" w14:textId="77777777" w:rsidTr="00E2430F">
        <w:trPr>
          <w:cantSplit/>
        </w:trPr>
        <w:tc>
          <w:tcPr>
            <w:tcW w:w="1536" w:type="dxa"/>
            <w:shd w:val="clear" w:color="auto" w:fill="auto"/>
          </w:tcPr>
          <w:p w14:paraId="6D7CAD03"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10</w:t>
            </w:r>
            <w:r w:rsidRPr="00E2430F">
              <w:rPr>
                <w:rFonts w:eastAsia="Times" w:cs="Times New Roman"/>
                <w:b/>
                <w:snapToGrid w:val="0"/>
                <w:sz w:val="20"/>
                <w:szCs w:val="20"/>
              </w:rPr>
              <w:tab/>
              <w:t>(N=9)</w:t>
            </w:r>
          </w:p>
        </w:tc>
        <w:tc>
          <w:tcPr>
            <w:tcW w:w="1502" w:type="dxa"/>
          </w:tcPr>
          <w:p w14:paraId="630632BD"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1039 (178)</w:t>
            </w:r>
          </w:p>
        </w:tc>
        <w:tc>
          <w:tcPr>
            <w:tcW w:w="1503" w:type="dxa"/>
          </w:tcPr>
          <w:p w14:paraId="7FD57704"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7.9 (0.6)</w:t>
            </w:r>
          </w:p>
        </w:tc>
        <w:tc>
          <w:tcPr>
            <w:tcW w:w="1495" w:type="dxa"/>
          </w:tcPr>
          <w:p w14:paraId="3B43C60C"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0.098 (0.017)</w:t>
            </w:r>
          </w:p>
        </w:tc>
        <w:tc>
          <w:tcPr>
            <w:tcW w:w="1495" w:type="dxa"/>
          </w:tcPr>
          <w:p w14:paraId="32117BEC"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8.8 (2.2)</w:t>
            </w:r>
          </w:p>
        </w:tc>
        <w:tc>
          <w:tcPr>
            <w:tcW w:w="1504" w:type="dxa"/>
          </w:tcPr>
          <w:p w14:paraId="63CBE419"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141.1 (24.0)</w:t>
            </w:r>
          </w:p>
        </w:tc>
      </w:tr>
      <w:tr w:rsidR="00E2430F" w:rsidRPr="00E2430F" w14:paraId="0DF42F8C" w14:textId="77777777" w:rsidTr="00E2430F">
        <w:trPr>
          <w:cantSplit/>
        </w:trPr>
        <w:tc>
          <w:tcPr>
            <w:tcW w:w="1536" w:type="dxa"/>
            <w:shd w:val="clear" w:color="auto" w:fill="auto"/>
          </w:tcPr>
          <w:p w14:paraId="69C076E6"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E2430F">
              <w:rPr>
                <w:rFonts w:eastAsia="Times" w:cs="Times New Roman"/>
                <w:b/>
                <w:snapToGrid w:val="0"/>
                <w:sz w:val="20"/>
                <w:szCs w:val="20"/>
              </w:rPr>
              <w:t>12</w:t>
            </w:r>
            <w:r w:rsidRPr="00E2430F">
              <w:rPr>
                <w:rFonts w:eastAsia="Times" w:cs="Times New Roman"/>
                <w:b/>
                <w:snapToGrid w:val="0"/>
                <w:sz w:val="20"/>
                <w:szCs w:val="20"/>
              </w:rPr>
              <w:tab/>
              <w:t>(N=9)</w:t>
            </w:r>
          </w:p>
        </w:tc>
        <w:tc>
          <w:tcPr>
            <w:tcW w:w="1502" w:type="dxa"/>
          </w:tcPr>
          <w:p w14:paraId="179E3DC8"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1277 (253)</w:t>
            </w:r>
          </w:p>
        </w:tc>
        <w:tc>
          <w:tcPr>
            <w:tcW w:w="1503" w:type="dxa"/>
          </w:tcPr>
          <w:p w14:paraId="2CB4EE89"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7.7 (1.1)</w:t>
            </w:r>
          </w:p>
        </w:tc>
        <w:tc>
          <w:tcPr>
            <w:tcW w:w="1495" w:type="dxa"/>
          </w:tcPr>
          <w:p w14:paraId="342FBF2F"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0.097 (0.018)</w:t>
            </w:r>
          </w:p>
        </w:tc>
        <w:tc>
          <w:tcPr>
            <w:tcW w:w="1495" w:type="dxa"/>
          </w:tcPr>
          <w:p w14:paraId="26C63781"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9.0 (2.8)</w:t>
            </w:r>
          </w:p>
        </w:tc>
        <w:tc>
          <w:tcPr>
            <w:tcW w:w="1504" w:type="dxa"/>
          </w:tcPr>
          <w:p w14:paraId="1D4C2A01" w14:textId="77777777" w:rsidR="00E2430F" w:rsidRPr="00E2430F" w:rsidRDefault="00E2430F" w:rsidP="00E2430F">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E2430F">
              <w:rPr>
                <w:rFonts w:eastAsia="Times" w:cs="Times New Roman"/>
                <w:snapToGrid w:val="0"/>
                <w:sz w:val="20"/>
                <w:szCs w:val="20"/>
              </w:rPr>
              <w:t>183.7 (25.0)</w:t>
            </w:r>
          </w:p>
        </w:tc>
      </w:tr>
    </w:tbl>
    <w:p w14:paraId="64D4678A" w14:textId="77777777" w:rsidR="00E2430F" w:rsidRPr="00E2430F" w:rsidRDefault="00E2430F" w:rsidP="00E2430F">
      <w:pPr>
        <w:widowControl w:val="0"/>
        <w:tabs>
          <w:tab w:val="left" w:pos="0"/>
          <w:tab w:val="center" w:pos="6760"/>
          <w:tab w:val="right" w:pos="13540"/>
        </w:tabs>
        <w:autoSpaceDE w:val="0"/>
        <w:autoSpaceDN w:val="0"/>
        <w:adjustRightInd w:val="0"/>
        <w:spacing w:after="0" w:line="320" w:lineRule="atLeast"/>
        <w:jc w:val="both"/>
        <w:rPr>
          <w:rFonts w:eastAsia="Times New Roman" w:cs="Times New Roman"/>
          <w:sz w:val="20"/>
          <w:szCs w:val="20"/>
        </w:rPr>
      </w:pPr>
      <w:r w:rsidRPr="00E2430F">
        <w:rPr>
          <w:rFonts w:eastAsia="Times New Roman" w:cs="Times New Roman"/>
          <w:sz w:val="20"/>
          <w:szCs w:val="20"/>
          <w:vertAlign w:val="superscript"/>
        </w:rPr>
        <w:t xml:space="preserve">a.  </w:t>
      </w:r>
      <w:r w:rsidRPr="00E2430F">
        <w:rPr>
          <w:rFonts w:eastAsia="Times New Roman" w:cs="Times New Roman"/>
          <w:sz w:val="20"/>
          <w:szCs w:val="20"/>
        </w:rPr>
        <w:t>AUC</w:t>
      </w:r>
      <w:r w:rsidRPr="00E2430F">
        <w:rPr>
          <w:rFonts w:eastAsia="Times New Roman" w:cs="Times New Roman"/>
          <w:sz w:val="20"/>
          <w:szCs w:val="20"/>
          <w:vertAlign w:val="subscript"/>
        </w:rPr>
        <w:t>0-24</w:t>
      </w:r>
      <w:r w:rsidRPr="00E2430F">
        <w:rPr>
          <w:rFonts w:eastAsia="Times New Roman" w:cs="Times New Roman"/>
          <w:sz w:val="20"/>
          <w:szCs w:val="20"/>
        </w:rPr>
        <w:t>, area under the concentration-time curve from 0 to 24 hours; t</w:t>
      </w:r>
      <w:r w:rsidRPr="00E2430F">
        <w:rPr>
          <w:rFonts w:eastAsia="Times New Roman" w:cs="Times New Roman"/>
          <w:sz w:val="20"/>
          <w:szCs w:val="20"/>
          <w:vertAlign w:val="subscript"/>
        </w:rPr>
        <w:t>½</w:t>
      </w:r>
      <w:r w:rsidRPr="00E2430F">
        <w:rPr>
          <w:rFonts w:eastAsia="Times New Roman" w:cs="Times New Roman"/>
          <w:sz w:val="20"/>
          <w:szCs w:val="20"/>
        </w:rPr>
        <w:t xml:space="preserve">, terminal elimination half-life; </w:t>
      </w:r>
      <w:proofErr w:type="spellStart"/>
      <w:r w:rsidRPr="00E2430F">
        <w:rPr>
          <w:rFonts w:eastAsia="Times New Roman" w:cs="Times New Roman"/>
          <w:sz w:val="20"/>
          <w:szCs w:val="20"/>
        </w:rPr>
        <w:t>V</w:t>
      </w:r>
      <w:r w:rsidRPr="00E2430F">
        <w:rPr>
          <w:rFonts w:eastAsia="Times New Roman" w:cs="Times New Roman"/>
          <w:sz w:val="20"/>
          <w:szCs w:val="20"/>
          <w:vertAlign w:val="subscript"/>
        </w:rPr>
        <w:t>ss</w:t>
      </w:r>
      <w:proofErr w:type="spellEnd"/>
      <w:r w:rsidRPr="00E2430F">
        <w:rPr>
          <w:rFonts w:eastAsia="Times New Roman" w:cs="Times New Roman"/>
          <w:sz w:val="20"/>
          <w:szCs w:val="20"/>
        </w:rPr>
        <w:t>, volume of distribution at steady-state; CL</w:t>
      </w:r>
      <w:r w:rsidRPr="00E2430F">
        <w:rPr>
          <w:rFonts w:eastAsia="Times New Roman" w:cs="Times New Roman"/>
          <w:sz w:val="20"/>
          <w:szCs w:val="20"/>
          <w:vertAlign w:val="subscript"/>
        </w:rPr>
        <w:t>T</w:t>
      </w:r>
      <w:r w:rsidRPr="00E2430F">
        <w:rPr>
          <w:rFonts w:eastAsia="Times New Roman" w:cs="Times New Roman"/>
          <w:sz w:val="20"/>
          <w:szCs w:val="20"/>
        </w:rPr>
        <w:t xml:space="preserve">, plasma clearance; </w:t>
      </w:r>
      <w:proofErr w:type="spellStart"/>
      <w:r w:rsidRPr="00E2430F">
        <w:rPr>
          <w:rFonts w:eastAsia="Times New Roman" w:cs="Times New Roman"/>
          <w:sz w:val="20"/>
          <w:szCs w:val="20"/>
        </w:rPr>
        <w:t>C</w:t>
      </w:r>
      <w:r w:rsidRPr="00E2430F">
        <w:rPr>
          <w:rFonts w:eastAsia="Times New Roman" w:cs="Times New Roman"/>
          <w:sz w:val="20"/>
          <w:szCs w:val="20"/>
          <w:vertAlign w:val="subscript"/>
        </w:rPr>
        <w:t>max</w:t>
      </w:r>
      <w:proofErr w:type="spellEnd"/>
      <w:r w:rsidRPr="00E2430F">
        <w:rPr>
          <w:rFonts w:eastAsia="Times New Roman" w:cs="Times New Roman"/>
          <w:sz w:val="20"/>
          <w:szCs w:val="20"/>
        </w:rPr>
        <w:t>, maximum plasma concentration.</w:t>
      </w:r>
    </w:p>
    <w:p w14:paraId="4394F5BF" w14:textId="77777777" w:rsidR="00E2430F" w:rsidRPr="00E2430F" w:rsidRDefault="00E2430F" w:rsidP="00E2430F">
      <w:pPr>
        <w:widowControl w:val="0"/>
        <w:tabs>
          <w:tab w:val="left" w:pos="0"/>
          <w:tab w:val="center" w:pos="6760"/>
          <w:tab w:val="right" w:pos="13540"/>
        </w:tabs>
        <w:autoSpaceDE w:val="0"/>
        <w:autoSpaceDN w:val="0"/>
        <w:adjustRightInd w:val="0"/>
        <w:spacing w:after="0" w:line="320" w:lineRule="atLeast"/>
        <w:jc w:val="both"/>
        <w:rPr>
          <w:rFonts w:ascii="Arial" w:eastAsia="Times New Roman" w:hAnsi="Arial" w:cs="Times New Roman"/>
          <w:sz w:val="20"/>
          <w:szCs w:val="20"/>
        </w:rPr>
      </w:pPr>
      <w:r w:rsidRPr="00E2430F">
        <w:rPr>
          <w:rFonts w:eastAsia="Times New Roman" w:cs="Times New Roman"/>
          <w:sz w:val="20"/>
          <w:szCs w:val="20"/>
          <w:vertAlign w:val="superscript"/>
        </w:rPr>
        <w:t xml:space="preserve">b.  </w:t>
      </w:r>
      <w:r w:rsidRPr="00E2430F">
        <w:rPr>
          <w:rFonts w:eastAsia="Times New Roman" w:cs="Times New Roman"/>
          <w:sz w:val="20"/>
          <w:szCs w:val="20"/>
        </w:rPr>
        <w:t xml:space="preserve">Doses of </w:t>
      </w:r>
      <w:proofErr w:type="spellStart"/>
      <w:r w:rsidRPr="00E2430F">
        <w:rPr>
          <w:rFonts w:eastAsia="Times New Roman" w:cs="Times New Roman"/>
          <w:sz w:val="20"/>
          <w:szCs w:val="20"/>
        </w:rPr>
        <w:t>Daptomycin</w:t>
      </w:r>
      <w:proofErr w:type="spellEnd"/>
      <w:r w:rsidRPr="00E2430F">
        <w:rPr>
          <w:rFonts w:eastAsia="Times New Roman" w:cs="Times New Roman"/>
          <w:sz w:val="20"/>
          <w:szCs w:val="20"/>
        </w:rPr>
        <w:t xml:space="preserve"> in excess of 6 mg/kg have not been approved</w:t>
      </w:r>
      <w:r w:rsidRPr="00E2430F">
        <w:rPr>
          <w:rFonts w:ascii="Arial" w:eastAsia="Times New Roman" w:hAnsi="Arial" w:cs="Times New Roman"/>
          <w:sz w:val="20"/>
          <w:szCs w:val="20"/>
        </w:rPr>
        <w:t>.</w:t>
      </w:r>
    </w:p>
    <w:p w14:paraId="745B5E9B" w14:textId="77777777" w:rsidR="00E2430F" w:rsidRPr="00E2430F" w:rsidRDefault="00E2430F" w:rsidP="00E2430F"/>
    <w:p w14:paraId="6394E8AB" w14:textId="77777777" w:rsidR="001A3992" w:rsidRDefault="001A3992" w:rsidP="001A3992">
      <w:pPr>
        <w:pStyle w:val="Heading3"/>
        <w:spacing w:before="0" w:after="120"/>
      </w:pPr>
      <w:r w:rsidRPr="00B878CC">
        <w:t>Distribution</w:t>
      </w:r>
    </w:p>
    <w:p w14:paraId="189699F7" w14:textId="77777777" w:rsidR="00E2430F" w:rsidRPr="00E2430F" w:rsidRDefault="00E2430F" w:rsidP="00E2430F">
      <w:pPr>
        <w:rPr>
          <w:rFonts w:eastAsia="Times New Roman" w:cs="Times New Roman"/>
          <w:szCs w:val="20"/>
        </w:rPr>
      </w:pP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is reversibly bound to human plasma proteins, primarily to serum albumin, in a concentration-independent manner.  The overall mean binding ranged from 90 to 93 %.</w:t>
      </w:r>
    </w:p>
    <w:p w14:paraId="0519358C" w14:textId="3BF11C71"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lastRenderedPageBreak/>
        <w:t xml:space="preserve">In clinical studies, mean serum protein binding in </w:t>
      </w:r>
      <w:r w:rsidR="00606B5F">
        <w:rPr>
          <w:rFonts w:eastAsia="Times New Roman" w:cs="Times New Roman"/>
          <w:szCs w:val="20"/>
        </w:rPr>
        <w:t xml:space="preserve">adult </w:t>
      </w:r>
      <w:r w:rsidRPr="00E2430F">
        <w:rPr>
          <w:rFonts w:eastAsia="Times New Roman" w:cs="Times New Roman"/>
          <w:szCs w:val="20"/>
        </w:rPr>
        <w:t>subjects with CL</w:t>
      </w:r>
      <w:r w:rsidRPr="00E2430F">
        <w:rPr>
          <w:rFonts w:eastAsia="Times New Roman" w:cs="Times New Roman"/>
          <w:szCs w:val="20"/>
          <w:vertAlign w:val="subscript"/>
        </w:rPr>
        <w:t>CR</w:t>
      </w:r>
      <w:r w:rsidRPr="00E2430F">
        <w:rPr>
          <w:rFonts w:eastAsia="Times New Roman" w:cs="Times New Roman"/>
          <w:szCs w:val="20"/>
        </w:rPr>
        <w:t xml:space="preserve"> ≥30 mL/min was comparable to that observed in healthy </w:t>
      </w:r>
      <w:r w:rsidR="00606B5F">
        <w:rPr>
          <w:rFonts w:eastAsia="Times New Roman" w:cs="Times New Roman"/>
          <w:szCs w:val="20"/>
        </w:rPr>
        <w:t xml:space="preserve">adult </w:t>
      </w:r>
      <w:r w:rsidRPr="00E2430F">
        <w:rPr>
          <w:rFonts w:eastAsia="Times New Roman" w:cs="Times New Roman"/>
          <w:szCs w:val="20"/>
        </w:rPr>
        <w:t xml:space="preserve">subjects with normal renal function.  However, there was a trend toward decreasing serum protein binding among </w:t>
      </w:r>
      <w:r w:rsidR="00606B5F">
        <w:rPr>
          <w:rFonts w:eastAsia="Times New Roman" w:cs="Times New Roman"/>
          <w:szCs w:val="20"/>
        </w:rPr>
        <w:t xml:space="preserve">adult </w:t>
      </w:r>
      <w:r w:rsidRPr="00E2430F">
        <w:rPr>
          <w:rFonts w:eastAsia="Times New Roman" w:cs="Times New Roman"/>
          <w:szCs w:val="20"/>
        </w:rPr>
        <w:t>subjects with CL</w:t>
      </w:r>
      <w:r w:rsidRPr="00E2430F">
        <w:rPr>
          <w:rFonts w:eastAsia="Times New Roman" w:cs="Times New Roman"/>
          <w:szCs w:val="20"/>
          <w:vertAlign w:val="subscript"/>
        </w:rPr>
        <w:t>CR</w:t>
      </w:r>
      <w:r w:rsidRPr="00E2430F">
        <w:rPr>
          <w:rFonts w:eastAsia="Times New Roman" w:cs="Times New Roman"/>
          <w:szCs w:val="20"/>
        </w:rPr>
        <w:t xml:space="preserve"> &lt;30 mL/min (87.6 %), including those receiving haemodialysis (85.9 %) and continuous ambulatory peritoneal dialysis (CAPD) (83.5 %).  The protein binding of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in </w:t>
      </w:r>
      <w:r w:rsidR="00606B5F">
        <w:rPr>
          <w:rFonts w:eastAsia="Times New Roman" w:cs="Times New Roman"/>
          <w:szCs w:val="20"/>
        </w:rPr>
        <w:t xml:space="preserve">adult </w:t>
      </w:r>
      <w:r w:rsidRPr="00E2430F">
        <w:rPr>
          <w:rFonts w:eastAsia="Times New Roman" w:cs="Times New Roman"/>
          <w:szCs w:val="20"/>
        </w:rPr>
        <w:t>subjects with hepatic impairment (Child-Pugh B) was similar to that in healthy adult subjects.</w:t>
      </w:r>
    </w:p>
    <w:p w14:paraId="3327E080"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1BDC6186" w14:textId="62563A62"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The volume of distribution at steady-state (</w:t>
      </w:r>
      <w:proofErr w:type="spellStart"/>
      <w:r w:rsidRPr="00E2430F">
        <w:rPr>
          <w:rFonts w:eastAsia="Times New Roman" w:cs="Times New Roman"/>
          <w:szCs w:val="20"/>
        </w:rPr>
        <w:t>V</w:t>
      </w:r>
      <w:r w:rsidRPr="00E2430F">
        <w:rPr>
          <w:rFonts w:eastAsia="Times New Roman" w:cs="Times New Roman"/>
          <w:szCs w:val="20"/>
          <w:vertAlign w:val="subscript"/>
        </w:rPr>
        <w:t>ss</w:t>
      </w:r>
      <w:proofErr w:type="spellEnd"/>
      <w:r w:rsidRPr="00E2430F">
        <w:rPr>
          <w:rFonts w:eastAsia="Times New Roman" w:cs="Times New Roman"/>
          <w:szCs w:val="20"/>
        </w:rPr>
        <w:t xml:space="preserve">) of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in healthy adult subjects was approximately 0.1 L/kg and was independent of dose.</w:t>
      </w:r>
    </w:p>
    <w:p w14:paraId="44A47E59" w14:textId="77777777" w:rsidR="00E2430F" w:rsidRPr="00E2430F" w:rsidRDefault="00E2430F" w:rsidP="00E2430F"/>
    <w:p w14:paraId="62AED6F0" w14:textId="77777777" w:rsidR="001A3992" w:rsidRDefault="001A3992" w:rsidP="001A3992">
      <w:pPr>
        <w:pStyle w:val="Heading3"/>
        <w:spacing w:before="0" w:after="120"/>
      </w:pPr>
      <w:r w:rsidRPr="00B878CC">
        <w:t>Metabolism</w:t>
      </w:r>
    </w:p>
    <w:p w14:paraId="6F47F802" w14:textId="210AA795" w:rsidR="00E2430F" w:rsidRPr="00E2430F" w:rsidRDefault="00E2430F" w:rsidP="00C94FA2">
      <w:pPr>
        <w:jc w:val="both"/>
        <w:rPr>
          <w:rFonts w:eastAsia="Times New Roman" w:cs="Times New Roman"/>
          <w:szCs w:val="20"/>
        </w:rPr>
      </w:pPr>
      <w:r w:rsidRPr="00E2430F">
        <w:rPr>
          <w:rFonts w:eastAsia="Times New Roman" w:cs="Times New Roman"/>
          <w:szCs w:val="20"/>
        </w:rPr>
        <w:t xml:space="preserve">In </w:t>
      </w:r>
      <w:r w:rsidRPr="00E2430F">
        <w:rPr>
          <w:rFonts w:eastAsia="Times New Roman" w:cs="Times New Roman"/>
          <w:i/>
          <w:iCs/>
          <w:szCs w:val="20"/>
        </w:rPr>
        <w:t>in</w:t>
      </w:r>
      <w:r w:rsidRPr="00E2430F">
        <w:rPr>
          <w:rFonts w:eastAsia="Times New Roman" w:cs="Times New Roman"/>
          <w:szCs w:val="20"/>
        </w:rPr>
        <w:t xml:space="preserve"> </w:t>
      </w:r>
      <w:r w:rsidRPr="00E2430F">
        <w:rPr>
          <w:rFonts w:eastAsia="Times New Roman" w:cs="Times New Roman"/>
          <w:i/>
          <w:iCs/>
          <w:szCs w:val="20"/>
        </w:rPr>
        <w:t>vitro studies</w:t>
      </w:r>
      <w:r w:rsidRPr="00E2430F">
        <w:rPr>
          <w:rFonts w:eastAsia="Times New Roman" w:cs="Times New Roman"/>
          <w:szCs w:val="20"/>
        </w:rPr>
        <w:t xml:space="preserve">,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was not metabolised by human liver </w:t>
      </w:r>
      <w:proofErr w:type="spellStart"/>
      <w:r w:rsidRPr="00E2430F">
        <w:rPr>
          <w:rFonts w:eastAsia="Times New Roman" w:cs="Times New Roman"/>
          <w:szCs w:val="20"/>
        </w:rPr>
        <w:t>microsomes</w:t>
      </w:r>
      <w:proofErr w:type="spellEnd"/>
      <w:r w:rsidRPr="00E2430F">
        <w:rPr>
          <w:rFonts w:eastAsia="Times New Roman" w:cs="Times New Roman"/>
          <w:szCs w:val="20"/>
        </w:rPr>
        <w:t xml:space="preserve">.  </w:t>
      </w:r>
      <w:r w:rsidRPr="00E2430F">
        <w:rPr>
          <w:rFonts w:eastAsia="Times New Roman" w:cs="Times New Roman"/>
          <w:i/>
          <w:iCs/>
          <w:szCs w:val="20"/>
        </w:rPr>
        <w:t>In</w:t>
      </w:r>
      <w:r w:rsidRPr="00E2430F">
        <w:rPr>
          <w:rFonts w:eastAsia="Times New Roman" w:cs="Times New Roman"/>
          <w:szCs w:val="20"/>
        </w:rPr>
        <w:t xml:space="preserve"> </w:t>
      </w:r>
      <w:r w:rsidRPr="00E2430F">
        <w:rPr>
          <w:rFonts w:eastAsia="Times New Roman" w:cs="Times New Roman"/>
          <w:i/>
          <w:iCs/>
          <w:szCs w:val="20"/>
        </w:rPr>
        <w:t>vitro</w:t>
      </w:r>
      <w:r w:rsidRPr="00E2430F">
        <w:rPr>
          <w:rFonts w:eastAsia="Times New Roman" w:cs="Times New Roman"/>
          <w:szCs w:val="20"/>
        </w:rPr>
        <w:t xml:space="preserve"> studies with human hepatocytes indicate that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does not inhibit or induce the activities of the following human cytochrome P450 isoforms: 1A2, 2A6, 2C9, 2C19, 2D6, 2E1, and 3A4.  It is unlikely that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will inhibit or induce the metabolism of drugs metaboli</w:t>
      </w:r>
      <w:r w:rsidR="00606B5F">
        <w:rPr>
          <w:rFonts w:eastAsia="Times New Roman" w:cs="Times New Roman"/>
          <w:szCs w:val="20"/>
        </w:rPr>
        <w:t>s</w:t>
      </w:r>
      <w:r w:rsidRPr="00E2430F">
        <w:rPr>
          <w:rFonts w:eastAsia="Times New Roman" w:cs="Times New Roman"/>
          <w:szCs w:val="20"/>
        </w:rPr>
        <w:t>ed by the P450 system.</w:t>
      </w:r>
    </w:p>
    <w:p w14:paraId="37026155"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715CD66A"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In 5 healthy young adults after infusion of radiolabelled </w:t>
      </w:r>
      <w:r w:rsidRPr="0088070D">
        <w:rPr>
          <w:rFonts w:eastAsia="Times New Roman" w:cs="Times New Roman"/>
          <w:szCs w:val="20"/>
          <w:vertAlign w:val="superscript"/>
        </w:rPr>
        <w:t>14</w:t>
      </w:r>
      <w:r w:rsidRPr="00E2430F">
        <w:rPr>
          <w:rFonts w:eastAsia="Times New Roman" w:cs="Times New Roman"/>
          <w:szCs w:val="20"/>
        </w:rPr>
        <w:t xml:space="preserve">C-daptomycin, the plasma total radioactivity was similar to the concentration determined by microbiological assay.  In a separate study, no metabolites were observed in plasma on Day 1 following administration of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at 6 mg/kg to subjects.  Inactive metabolites have been detected in urine, as determined by the difference in total radioactive concentrations and microbiologically active concentrations.  Minor amounts of three oxidative metabolites and one unidentified compound were detected in urine.  The site of metabolism has not been identified.</w:t>
      </w:r>
    </w:p>
    <w:p w14:paraId="0BF7B6A3" w14:textId="77777777" w:rsidR="00E2430F" w:rsidRDefault="00E2430F" w:rsidP="001A3992">
      <w:pPr>
        <w:pStyle w:val="Heading3"/>
        <w:spacing w:before="0" w:after="120"/>
      </w:pPr>
    </w:p>
    <w:p w14:paraId="6878A7D3" w14:textId="77777777" w:rsidR="001A3992" w:rsidRPr="00AA1CCC" w:rsidRDefault="001A3992" w:rsidP="001A3992">
      <w:pPr>
        <w:pStyle w:val="Heading3"/>
        <w:spacing w:before="0" w:after="120"/>
      </w:pPr>
      <w:r w:rsidRPr="00AA1CCC">
        <w:t>Excretion</w:t>
      </w:r>
    </w:p>
    <w:p w14:paraId="2401EF30" w14:textId="77777777" w:rsidR="00E2430F" w:rsidRPr="00E2430F" w:rsidRDefault="00E2430F" w:rsidP="00E2430F">
      <w:pPr>
        <w:rPr>
          <w:rFonts w:eastAsia="Times New Roman" w:cs="Times New Roman"/>
          <w:bCs/>
          <w:iCs/>
          <w:szCs w:val="20"/>
        </w:rPr>
      </w:pP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is excreted primarily by the kidney.  Concomitant administration of probenecid and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has no effect on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pharmacokinetics in humans suggesting </w:t>
      </w:r>
      <w:r w:rsidRPr="00E2430F">
        <w:rPr>
          <w:rFonts w:eastAsia="Times New Roman" w:cs="Times New Roman"/>
          <w:bCs/>
          <w:iCs/>
          <w:szCs w:val="20"/>
        </w:rPr>
        <w:t xml:space="preserve">minimal to no active tubular secretion of </w:t>
      </w:r>
      <w:proofErr w:type="spellStart"/>
      <w:r w:rsidRPr="00E2430F">
        <w:rPr>
          <w:rFonts w:eastAsia="Times New Roman" w:cs="Times New Roman"/>
          <w:bCs/>
          <w:iCs/>
          <w:szCs w:val="20"/>
        </w:rPr>
        <w:t>daptomycin</w:t>
      </w:r>
      <w:proofErr w:type="spellEnd"/>
      <w:r w:rsidRPr="00E2430F">
        <w:rPr>
          <w:rFonts w:eastAsia="Times New Roman" w:cs="Times New Roman"/>
          <w:bCs/>
          <w:iCs/>
          <w:szCs w:val="20"/>
        </w:rPr>
        <w:t xml:space="preserve">. </w:t>
      </w:r>
    </w:p>
    <w:p w14:paraId="7941B776"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69281E74"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Plasma clearance of </w:t>
      </w:r>
      <w:proofErr w:type="spellStart"/>
      <w:r w:rsidRPr="00E2430F">
        <w:rPr>
          <w:rFonts w:eastAsia="Times New Roman" w:cs="Times New Roman"/>
          <w:szCs w:val="20"/>
        </w:rPr>
        <w:t>daptomycin</w:t>
      </w:r>
      <w:proofErr w:type="spellEnd"/>
      <w:r w:rsidRPr="00E2430F">
        <w:rPr>
          <w:rFonts w:eastAsia="Times New Roman" w:cs="Times New Roman"/>
          <w:szCs w:val="20"/>
        </w:rPr>
        <w:t xml:space="preserve"> is approximately 7 to 9 mL/h/kg, and its renal clearance is 4 to 7 mL/h/kg.</w:t>
      </w:r>
    </w:p>
    <w:p w14:paraId="43253A42"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0638C1F5" w14:textId="7AC89A5C"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t xml:space="preserve">In a mass balance study of 5 healthy </w:t>
      </w:r>
      <w:r w:rsidR="0046095E">
        <w:rPr>
          <w:rFonts w:eastAsia="Times New Roman" w:cs="Times New Roman"/>
          <w:szCs w:val="20"/>
        </w:rPr>
        <w:t xml:space="preserve">adult </w:t>
      </w:r>
      <w:r w:rsidRPr="00E2430F">
        <w:rPr>
          <w:rFonts w:eastAsia="Times New Roman" w:cs="Times New Roman"/>
          <w:szCs w:val="20"/>
        </w:rPr>
        <w:t xml:space="preserve">subjects using radiolabelled </w:t>
      </w:r>
      <w:proofErr w:type="spellStart"/>
      <w:r w:rsidRPr="00E2430F">
        <w:rPr>
          <w:rFonts w:eastAsia="Times New Roman" w:cs="Times New Roman"/>
          <w:szCs w:val="20"/>
        </w:rPr>
        <w:t>daptomycin</w:t>
      </w:r>
      <w:proofErr w:type="spellEnd"/>
      <w:r w:rsidRPr="00E2430F">
        <w:rPr>
          <w:rFonts w:eastAsia="Times New Roman" w:cs="Times New Roman"/>
          <w:szCs w:val="20"/>
        </w:rPr>
        <w:t>, approximately 78 % of the administered dose was recovered from urine based on total radioactivity (approximately 52 % of the dose based on microbiologically active concentrations) and 5.7 % of the administered dose was recovered from faeces (collected for up to 9 days) based on total radioactivity.</w:t>
      </w:r>
    </w:p>
    <w:p w14:paraId="4A758E86" w14:textId="77777777"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p>
    <w:p w14:paraId="1AE97F34" w14:textId="76FC8011" w:rsidR="00E2430F" w:rsidRPr="00E2430F" w:rsidRDefault="00E2430F" w:rsidP="00E2430F">
      <w:pPr>
        <w:widowControl w:val="0"/>
        <w:tabs>
          <w:tab w:val="left" w:pos="0"/>
        </w:tabs>
        <w:autoSpaceDE w:val="0"/>
        <w:autoSpaceDN w:val="0"/>
        <w:adjustRightInd w:val="0"/>
        <w:spacing w:after="0" w:line="320" w:lineRule="atLeast"/>
        <w:jc w:val="both"/>
        <w:rPr>
          <w:rFonts w:eastAsia="Times New Roman" w:cs="Times New Roman"/>
          <w:szCs w:val="20"/>
        </w:rPr>
      </w:pPr>
      <w:r w:rsidRPr="00E2430F">
        <w:rPr>
          <w:rFonts w:eastAsia="Times New Roman" w:cs="Times New Roman"/>
          <w:szCs w:val="20"/>
        </w:rPr>
        <w:lastRenderedPageBreak/>
        <w:t>Because renal excretion is the primary route of elimination, dosage adjustment is necessary in patients with severe renal impairment (CL</w:t>
      </w:r>
      <w:r w:rsidRPr="00E2430F">
        <w:rPr>
          <w:rFonts w:eastAsia="Times New Roman" w:cs="Times New Roman"/>
          <w:szCs w:val="20"/>
          <w:vertAlign w:val="subscript"/>
        </w:rPr>
        <w:t>CR</w:t>
      </w:r>
      <w:r w:rsidRPr="00E2430F">
        <w:rPr>
          <w:rFonts w:eastAsia="Times New Roman" w:cs="Times New Roman"/>
          <w:szCs w:val="20"/>
        </w:rPr>
        <w:t xml:space="preserve"> &lt;30 mL/min) (see </w:t>
      </w:r>
      <w:r w:rsidR="00335E4C">
        <w:rPr>
          <w:rFonts w:eastAsia="Times New Roman" w:cs="Times New Roman"/>
          <w:szCs w:val="20"/>
        </w:rPr>
        <w:t xml:space="preserve">section 4.2 </w:t>
      </w:r>
      <w:r w:rsidRPr="00E2430F">
        <w:rPr>
          <w:rFonts w:eastAsia="Times New Roman" w:cs="Times New Roman"/>
          <w:caps/>
          <w:szCs w:val="20"/>
        </w:rPr>
        <w:t xml:space="preserve">dose and </w:t>
      </w:r>
      <w:r w:rsidR="00335E4C">
        <w:rPr>
          <w:rFonts w:eastAsia="Times New Roman" w:cs="Times New Roman"/>
          <w:caps/>
          <w:szCs w:val="20"/>
        </w:rPr>
        <w:t xml:space="preserve">METHOD OF </w:t>
      </w:r>
      <w:r w:rsidRPr="00E2430F">
        <w:rPr>
          <w:rFonts w:eastAsia="Times New Roman" w:cs="Times New Roman"/>
          <w:caps/>
          <w:szCs w:val="20"/>
        </w:rPr>
        <w:t>administration</w:t>
      </w:r>
      <w:r w:rsidRPr="00E2430F">
        <w:rPr>
          <w:rFonts w:eastAsia="Times New Roman" w:cs="Times New Roman"/>
          <w:szCs w:val="20"/>
        </w:rPr>
        <w:t>).</w:t>
      </w:r>
    </w:p>
    <w:p w14:paraId="76A95932" w14:textId="2380961E" w:rsidR="00E2430F" w:rsidRDefault="00E2430F" w:rsidP="00E2430F"/>
    <w:p w14:paraId="07E6C1C8" w14:textId="5602D575" w:rsidR="00E2430F" w:rsidRDefault="00E2430F" w:rsidP="00E2430F">
      <w:pPr>
        <w:pStyle w:val="Heading3"/>
        <w:spacing w:before="0" w:after="120"/>
      </w:pPr>
      <w:r>
        <w:t>Special p</w:t>
      </w:r>
      <w:r w:rsidR="006A2C95">
        <w:t>atient groups</w:t>
      </w:r>
    </w:p>
    <w:p w14:paraId="0188DFE3" w14:textId="3062092E" w:rsid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4"/>
        </w:rPr>
      </w:pPr>
      <w:r w:rsidRPr="006A2C95">
        <w:rPr>
          <w:rFonts w:eastAsia="Times New Roman" w:cs="Times New Roman"/>
          <w:i/>
          <w:iCs/>
          <w:szCs w:val="20"/>
          <w:u w:val="single"/>
        </w:rPr>
        <w:t>Elderly</w:t>
      </w:r>
      <w:r w:rsidRPr="006A2C95">
        <w:rPr>
          <w:rFonts w:eastAsia="Times New Roman" w:cs="Times New Roman"/>
          <w:szCs w:val="20"/>
          <w:u w:val="single"/>
        </w:rPr>
        <w:t>:</w:t>
      </w:r>
      <w:r w:rsidRPr="006A2C95">
        <w:rPr>
          <w:rFonts w:eastAsia="Times New Roman" w:cs="Times New Roman"/>
          <w:szCs w:val="20"/>
        </w:rPr>
        <w:t xml:space="preserve">  The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were evaluated in 12 healthy elderly subjects (≥75 years of age) and 11 healthy young </w:t>
      </w:r>
      <w:r w:rsidR="0046095E">
        <w:rPr>
          <w:rFonts w:eastAsia="Times New Roman" w:cs="Times New Roman"/>
          <w:szCs w:val="20"/>
        </w:rPr>
        <w:t xml:space="preserve">adult </w:t>
      </w:r>
      <w:r w:rsidRPr="006A2C95">
        <w:rPr>
          <w:rFonts w:eastAsia="Times New Roman" w:cs="Times New Roman"/>
          <w:szCs w:val="20"/>
        </w:rPr>
        <w:t xml:space="preserve">controls (18 to 30 years of age).  Following administration of a single 4 mg/kg IV dose, the mean total clearance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was approximately 35 % lower and the mean AUC</w:t>
      </w:r>
      <w:r w:rsidRPr="006A2C95">
        <w:rPr>
          <w:rFonts w:eastAsia="Times New Roman" w:cs="Times New Roman"/>
          <w:szCs w:val="20"/>
          <w:vertAlign w:val="subscript"/>
        </w:rPr>
        <w:t>0-</w:t>
      </w:r>
      <w:r w:rsidRPr="006A2C95">
        <w:rPr>
          <w:rFonts w:eastAsia="Times New Roman" w:cs="Times New Roman"/>
          <w:szCs w:val="20"/>
          <w:vertAlign w:val="subscript"/>
        </w:rPr>
        <w:sym w:font="Symbol" w:char="F0A5"/>
      </w:r>
      <w:r w:rsidRPr="006A2C95">
        <w:rPr>
          <w:rFonts w:eastAsia="Times New Roman" w:cs="Times New Roman"/>
          <w:szCs w:val="20"/>
        </w:rPr>
        <w:t xml:space="preserve"> was approximately 58 % higher in elderly subjects compared with </w:t>
      </w:r>
      <w:r w:rsidRPr="006A2C95">
        <w:rPr>
          <w:rFonts w:eastAsia="Times New Roman" w:cs="Times New Roman"/>
          <w:szCs w:val="24"/>
        </w:rPr>
        <w:t xml:space="preserve">young healthy </w:t>
      </w:r>
      <w:r w:rsidR="0046095E">
        <w:rPr>
          <w:rFonts w:eastAsia="Times New Roman" w:cs="Times New Roman"/>
          <w:szCs w:val="24"/>
        </w:rPr>
        <w:t xml:space="preserve">adult </w:t>
      </w:r>
      <w:r w:rsidRPr="006A2C95">
        <w:rPr>
          <w:rFonts w:eastAsia="Times New Roman" w:cs="Times New Roman"/>
          <w:szCs w:val="24"/>
        </w:rPr>
        <w:t xml:space="preserve">subjects. There were no differences in </w:t>
      </w:r>
      <w:proofErr w:type="spellStart"/>
      <w:r w:rsidRPr="006A2C95">
        <w:rPr>
          <w:rFonts w:eastAsia="Times New Roman" w:cs="Times New Roman"/>
          <w:szCs w:val="24"/>
        </w:rPr>
        <w:t>C</w:t>
      </w:r>
      <w:r w:rsidRPr="006A2C95">
        <w:rPr>
          <w:rFonts w:eastAsia="Times New Roman" w:cs="Times New Roman"/>
          <w:szCs w:val="24"/>
          <w:vertAlign w:val="subscript"/>
        </w:rPr>
        <w:t>max</w:t>
      </w:r>
      <w:proofErr w:type="spellEnd"/>
      <w:r w:rsidRPr="006A2C95">
        <w:rPr>
          <w:rFonts w:eastAsia="Times New Roman" w:cs="Times New Roman"/>
          <w:szCs w:val="24"/>
        </w:rPr>
        <w:t>.  No dosage adjustment is warranted for elderly patients with normal renal function.</w:t>
      </w:r>
    </w:p>
    <w:p w14:paraId="01BB9AEC" w14:textId="77777777" w:rsidR="0046095E" w:rsidRPr="006A2C95" w:rsidRDefault="0046095E" w:rsidP="006A2C95">
      <w:pPr>
        <w:widowControl w:val="0"/>
        <w:tabs>
          <w:tab w:val="left" w:pos="0"/>
        </w:tabs>
        <w:autoSpaceDE w:val="0"/>
        <w:autoSpaceDN w:val="0"/>
        <w:adjustRightInd w:val="0"/>
        <w:spacing w:after="0" w:line="320" w:lineRule="atLeast"/>
        <w:jc w:val="both"/>
        <w:rPr>
          <w:rFonts w:eastAsia="Times New Roman" w:cs="Times New Roman"/>
          <w:szCs w:val="20"/>
          <w:u w:val="single"/>
        </w:rPr>
      </w:pPr>
    </w:p>
    <w:p w14:paraId="50C1C728" w14:textId="30CBBAC6" w:rsidR="006A2C95" w:rsidRPr="006A2C95" w:rsidRDefault="00F23D48" w:rsidP="006A2C95">
      <w:pPr>
        <w:widowControl w:val="0"/>
        <w:tabs>
          <w:tab w:val="left" w:pos="0"/>
        </w:tabs>
        <w:autoSpaceDE w:val="0"/>
        <w:autoSpaceDN w:val="0"/>
        <w:adjustRightInd w:val="0"/>
        <w:spacing w:after="0" w:line="320" w:lineRule="atLeast"/>
        <w:jc w:val="both"/>
        <w:rPr>
          <w:rFonts w:eastAsia="Times New Roman" w:cs="Times New Roman"/>
          <w:szCs w:val="20"/>
        </w:rPr>
      </w:pPr>
      <w:r>
        <w:rPr>
          <w:rFonts w:eastAsia="Times New Roman" w:cs="Times New Roman"/>
          <w:i/>
          <w:iCs/>
          <w:szCs w:val="20"/>
          <w:u w:val="single"/>
        </w:rPr>
        <w:t>Paediatric</w:t>
      </w:r>
      <w:r w:rsidR="006A2C95" w:rsidRPr="006A2C95">
        <w:rPr>
          <w:rFonts w:eastAsia="Times New Roman" w:cs="Times New Roman"/>
          <w:szCs w:val="20"/>
          <w:u w:val="single"/>
        </w:rPr>
        <w:t>:</w:t>
      </w:r>
      <w:r w:rsidR="006A2C95" w:rsidRPr="006A2C95">
        <w:rPr>
          <w:rFonts w:eastAsia="Times New Roman" w:cs="Times New Roman"/>
          <w:szCs w:val="20"/>
        </w:rPr>
        <w:t xml:space="preserve">  The pharmacokinetics of </w:t>
      </w:r>
      <w:proofErr w:type="spellStart"/>
      <w:r w:rsidR="006A2C95" w:rsidRPr="006A2C95">
        <w:rPr>
          <w:rFonts w:eastAsia="Times New Roman" w:cs="Times New Roman"/>
          <w:szCs w:val="20"/>
        </w:rPr>
        <w:t>daptomycin</w:t>
      </w:r>
      <w:proofErr w:type="spellEnd"/>
      <w:r w:rsidR="006A2C95" w:rsidRPr="006A2C95">
        <w:rPr>
          <w:rFonts w:eastAsia="Times New Roman" w:cs="Times New Roman"/>
          <w:szCs w:val="20"/>
        </w:rPr>
        <w:t xml:space="preserve"> </w:t>
      </w:r>
      <w:r w:rsidR="006A2C95" w:rsidRPr="006A2C95">
        <w:rPr>
          <w:rFonts w:eastAsia="Times New Roman" w:cs="Times New Roman"/>
          <w:szCs w:val="20"/>
          <w:lang w:val="en-GB"/>
        </w:rPr>
        <w:t xml:space="preserve">after a single 4 mg/kg dose of </w:t>
      </w:r>
      <w:r>
        <w:rPr>
          <w:rFonts w:eastAsia="Times New Roman" w:cs="Times New Roman"/>
          <w:szCs w:val="20"/>
          <w:lang w:val="en-GB"/>
        </w:rPr>
        <w:t>CUBICIN</w:t>
      </w:r>
      <w:r w:rsidR="006A2C95" w:rsidRPr="006A2C95">
        <w:rPr>
          <w:rFonts w:eastAsia="Times New Roman" w:cs="Times New Roman"/>
          <w:szCs w:val="20"/>
          <w:lang w:val="en-GB"/>
        </w:rPr>
        <w:t xml:space="preserve"> were evaluated in three groups of paediatric patients with Gram-positive infections. The pharmacokinetic profile in </w:t>
      </w:r>
      <w:r w:rsidR="006A2C95" w:rsidRPr="006A2C95">
        <w:rPr>
          <w:rFonts w:eastAsia="Times New Roman" w:cs="Times New Roman"/>
          <w:szCs w:val="20"/>
        </w:rPr>
        <w:t xml:space="preserve">adolescents, 12-17 years of age, showed reduced exposure. In the two younger age groups (7 to 11 years and 2 to 6 years), total clearance was higher compared with that in adolescents, resulting in lower exposure (AUC and </w:t>
      </w:r>
      <w:proofErr w:type="spellStart"/>
      <w:r w:rsidR="006A2C95" w:rsidRPr="006A2C95">
        <w:rPr>
          <w:rFonts w:eastAsia="Times New Roman" w:cs="Times New Roman"/>
          <w:szCs w:val="20"/>
        </w:rPr>
        <w:t>C</w:t>
      </w:r>
      <w:r w:rsidR="006A2C95" w:rsidRPr="006A2C95">
        <w:rPr>
          <w:rFonts w:eastAsia="Times New Roman" w:cs="Times New Roman"/>
          <w:szCs w:val="20"/>
          <w:vertAlign w:val="subscript"/>
        </w:rPr>
        <w:t>max</w:t>
      </w:r>
      <w:proofErr w:type="spellEnd"/>
      <w:r w:rsidR="006A2C95" w:rsidRPr="006A2C95">
        <w:rPr>
          <w:rFonts w:eastAsia="Times New Roman" w:cs="Times New Roman"/>
          <w:szCs w:val="20"/>
        </w:rPr>
        <w:t>) and elimination half-life. As the adolescent exposure is less than adults it is possible that inadequate exposure may occur with the 4mg/kg dose that is not the recommended dose in these two groups.</w:t>
      </w:r>
    </w:p>
    <w:p w14:paraId="35023749" w14:textId="77777777"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p>
    <w:p w14:paraId="310FAAD6" w14:textId="71B8E591"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r w:rsidRPr="006A2C95">
        <w:rPr>
          <w:rFonts w:eastAsia="Times New Roman" w:cs="Times New Roman"/>
          <w:szCs w:val="20"/>
        </w:rPr>
        <w:t xml:space="preserve">A separate study was conducted to evaluate the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after a single 8 mg/kg or 10mg/kg dose of </w:t>
      </w:r>
      <w:r w:rsidR="00F23D48">
        <w:rPr>
          <w:rFonts w:eastAsia="Times New Roman" w:cs="Times New Roman"/>
          <w:szCs w:val="20"/>
        </w:rPr>
        <w:t>CUBICIN</w:t>
      </w:r>
      <w:r w:rsidRPr="006A2C95">
        <w:rPr>
          <w:rFonts w:eastAsia="Times New Roman" w:cs="Times New Roman"/>
          <w:szCs w:val="20"/>
        </w:rPr>
        <w:t xml:space="preserve"> as either a 1 or 2 hour infusion in paediatric subjects aged 2 to 6 years, inclusive, with proven or suspected Gram-positive infection who were receiving standard antibacterial therapy.</w:t>
      </w:r>
    </w:p>
    <w:p w14:paraId="411999E0" w14:textId="77777777"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p>
    <w:p w14:paraId="0E3100D1" w14:textId="77777777"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r w:rsidRPr="006A2C95">
        <w:rPr>
          <w:rFonts w:eastAsia="Times New Roman" w:cs="Times New Roman"/>
          <w:szCs w:val="20"/>
        </w:rPr>
        <w:t>The mean exposure (AUC</w:t>
      </w:r>
      <w:r w:rsidRPr="006A2C95">
        <w:rPr>
          <w:rFonts w:eastAsia="Times New Roman" w:cs="Times New Roman"/>
          <w:szCs w:val="20"/>
          <w:vertAlign w:val="subscript"/>
        </w:rPr>
        <w:t xml:space="preserve">0-∞) </w:t>
      </w:r>
      <w:r w:rsidRPr="006A2C95">
        <w:rPr>
          <w:rFonts w:eastAsia="Times New Roman" w:cs="Times New Roman"/>
          <w:szCs w:val="20"/>
        </w:rPr>
        <w:t xml:space="preserve">was approximately 429 and 550 µg*hr/ml after the administration of 8 and 10 mg/kg single doses, respectively, similar to the exposure seen in adults at the 4 mg/kg dose at steady state (495 µg*hr/ml). The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appears to be linear in the dose range studied. The half-life, clearance and volume of distribution were similar at both dose levels.</w:t>
      </w:r>
    </w:p>
    <w:p w14:paraId="57B97BCD" w14:textId="77777777" w:rsidR="00E2430F" w:rsidRDefault="00E2430F" w:rsidP="00E2430F"/>
    <w:p w14:paraId="6603924D" w14:textId="4EEFF6BA"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r w:rsidRPr="006A2C95">
        <w:rPr>
          <w:rFonts w:eastAsia="Times New Roman" w:cs="Times New Roman"/>
          <w:szCs w:val="20"/>
        </w:rPr>
        <w:t xml:space="preserve">A Phase 4 study was conducted to assess safety, efficacy, and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in paediatric patients (1 to 17 years old, inclusive) with </w:t>
      </w:r>
      <w:proofErr w:type="spellStart"/>
      <w:r w:rsidR="00BD4F5B">
        <w:rPr>
          <w:rFonts w:eastAsia="Times New Roman" w:cs="Times New Roman"/>
          <w:szCs w:val="20"/>
        </w:rPr>
        <w:t>cSSSI</w:t>
      </w:r>
      <w:proofErr w:type="spellEnd"/>
      <w:r w:rsidR="00BD4F5B">
        <w:rPr>
          <w:rFonts w:eastAsia="Times New Roman" w:cs="Times New Roman"/>
          <w:szCs w:val="20"/>
        </w:rPr>
        <w:t xml:space="preserve"> </w:t>
      </w:r>
      <w:r w:rsidRPr="006A2C95">
        <w:rPr>
          <w:rFonts w:eastAsia="Times New Roman" w:cs="Times New Roman"/>
          <w:szCs w:val="20"/>
        </w:rPr>
        <w:t xml:space="preserve">caused by Gram-positive pathogens. Patients were enrolled into 4 </w:t>
      </w:r>
      <w:r w:rsidR="0046095E">
        <w:rPr>
          <w:rFonts w:eastAsia="Times New Roman" w:cs="Times New Roman"/>
          <w:szCs w:val="20"/>
        </w:rPr>
        <w:t xml:space="preserve">age </w:t>
      </w:r>
      <w:r w:rsidRPr="006A2C95">
        <w:rPr>
          <w:rFonts w:eastAsia="Times New Roman" w:cs="Times New Roman"/>
          <w:szCs w:val="20"/>
        </w:rPr>
        <w:t>groups</w:t>
      </w:r>
      <w:r w:rsidR="00C63537">
        <w:rPr>
          <w:rFonts w:eastAsia="Times New Roman" w:cs="Times New Roman"/>
          <w:szCs w:val="20"/>
        </w:rPr>
        <w:t xml:space="preserve"> (</w:t>
      </w:r>
      <w:r w:rsidR="00C63537" w:rsidRPr="00A679F5">
        <w:rPr>
          <w:rFonts w:eastAsia="Times New Roman" w:cs="Times New Roman"/>
          <w:szCs w:val="20"/>
        </w:rPr>
        <w:t xml:space="preserve">see </w:t>
      </w:r>
      <w:r w:rsidR="00A679F5">
        <w:rPr>
          <w:rFonts w:eastAsia="Times New Roman" w:cs="Times New Roman"/>
          <w:szCs w:val="20"/>
        </w:rPr>
        <w:t>Section 5.1 PHARMACODYNAMIC PROPERTIES – Clinical trials</w:t>
      </w:r>
      <w:r w:rsidR="00C63537">
        <w:rPr>
          <w:rFonts w:eastAsia="Times New Roman" w:cs="Times New Roman"/>
          <w:szCs w:val="20"/>
        </w:rPr>
        <w:t>)</w:t>
      </w:r>
      <w:r w:rsidRPr="006A2C95">
        <w:rPr>
          <w:rFonts w:eastAsia="Times New Roman" w:cs="Times New Roman"/>
          <w:szCs w:val="20"/>
        </w:rPr>
        <w:t xml:space="preserve">. Intravenous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doses of 5 to 10 mg/kg were administered and 256 children received </w:t>
      </w:r>
      <w:proofErr w:type="spellStart"/>
      <w:r w:rsidRPr="006A2C95">
        <w:rPr>
          <w:rFonts w:eastAsia="Times New Roman" w:cs="Times New Roman"/>
          <w:szCs w:val="20"/>
        </w:rPr>
        <w:t>daptomycin</w:t>
      </w:r>
      <w:proofErr w:type="spellEnd"/>
      <w:r w:rsidRPr="006A2C95">
        <w:rPr>
          <w:rFonts w:eastAsia="Times New Roman" w:cs="Times New Roman"/>
          <w:szCs w:val="20"/>
        </w:rPr>
        <w:t>, from which pharmacokinetic sampling was performed on 45 children from across the age groups.</w:t>
      </w:r>
    </w:p>
    <w:p w14:paraId="32107D66" w14:textId="77777777"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p>
    <w:p w14:paraId="3DA77B56" w14:textId="66D92F76"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pharmacokinetic parameters following the administration of multiple doses, are provided in Table </w:t>
      </w:r>
      <w:r w:rsidR="00335E4C">
        <w:rPr>
          <w:rFonts w:eastAsia="Times New Roman" w:cs="Times New Roman"/>
          <w:szCs w:val="20"/>
        </w:rPr>
        <w:t>1</w:t>
      </w:r>
      <w:r w:rsidR="00644E6B">
        <w:rPr>
          <w:rFonts w:eastAsia="Times New Roman" w:cs="Times New Roman"/>
          <w:szCs w:val="20"/>
        </w:rPr>
        <w:t>3</w:t>
      </w:r>
      <w:r w:rsidRPr="006A2C95">
        <w:rPr>
          <w:rFonts w:eastAsia="Times New Roman" w:cs="Times New Roman"/>
          <w:szCs w:val="20"/>
        </w:rPr>
        <w:t xml:space="preserve">.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exposure </w:t>
      </w:r>
      <w:r w:rsidR="00C63537">
        <w:rPr>
          <w:rFonts w:eastAsia="Times New Roman" w:cs="Times New Roman"/>
          <w:szCs w:val="20"/>
        </w:rPr>
        <w:t>(</w:t>
      </w:r>
      <w:proofErr w:type="spellStart"/>
      <w:r w:rsidR="00C63537">
        <w:rPr>
          <w:rFonts w:eastAsia="Times New Roman" w:cs="Times New Roman"/>
          <w:szCs w:val="20"/>
        </w:rPr>
        <w:t>AUC</w:t>
      </w:r>
      <w:r w:rsidR="00C63537" w:rsidRPr="00C63537">
        <w:rPr>
          <w:rFonts w:eastAsia="Times New Roman" w:cs="Times New Roman"/>
          <w:szCs w:val="20"/>
          <w:vertAlign w:val="subscript"/>
        </w:rPr>
        <w:t>ss</w:t>
      </w:r>
      <w:proofErr w:type="spellEnd"/>
      <w:r w:rsidR="00C63537">
        <w:rPr>
          <w:rFonts w:eastAsia="Times New Roman" w:cs="Times New Roman"/>
          <w:szCs w:val="20"/>
        </w:rPr>
        <w:t xml:space="preserve"> and </w:t>
      </w:r>
      <w:proofErr w:type="spellStart"/>
      <w:r w:rsidR="00C63537">
        <w:rPr>
          <w:rFonts w:eastAsia="Times New Roman" w:cs="Times New Roman"/>
          <w:szCs w:val="20"/>
        </w:rPr>
        <w:t>C</w:t>
      </w:r>
      <w:r w:rsidR="00C63537" w:rsidRPr="00C63537">
        <w:rPr>
          <w:rFonts w:eastAsia="Times New Roman" w:cs="Times New Roman"/>
          <w:szCs w:val="20"/>
          <w:vertAlign w:val="subscript"/>
        </w:rPr>
        <w:t>max</w:t>
      </w:r>
      <w:proofErr w:type="spellEnd"/>
      <w:r w:rsidR="00C63537" w:rsidRPr="00C63537">
        <w:rPr>
          <w:rFonts w:eastAsia="Times New Roman" w:cs="Times New Roman"/>
          <w:szCs w:val="20"/>
          <w:vertAlign w:val="subscript"/>
        </w:rPr>
        <w:t xml:space="preserve">, </w:t>
      </w:r>
      <w:proofErr w:type="spellStart"/>
      <w:r w:rsidR="00C63537" w:rsidRPr="00C63537">
        <w:rPr>
          <w:rFonts w:eastAsia="Times New Roman" w:cs="Times New Roman"/>
          <w:szCs w:val="20"/>
          <w:vertAlign w:val="subscript"/>
        </w:rPr>
        <w:t>ss</w:t>
      </w:r>
      <w:proofErr w:type="spellEnd"/>
      <w:r w:rsidR="00C63537">
        <w:rPr>
          <w:rFonts w:eastAsia="Times New Roman" w:cs="Times New Roman"/>
          <w:szCs w:val="20"/>
        </w:rPr>
        <w:t xml:space="preserve">) </w:t>
      </w:r>
      <w:r w:rsidRPr="006A2C95">
        <w:rPr>
          <w:rFonts w:eastAsia="Times New Roman" w:cs="Times New Roman"/>
          <w:szCs w:val="20"/>
        </w:rPr>
        <w:t xml:space="preserve">was similar across the </w:t>
      </w:r>
      <w:r w:rsidRPr="006A2C95">
        <w:rPr>
          <w:rFonts w:eastAsia="Times New Roman" w:cs="Times New Roman"/>
          <w:szCs w:val="20"/>
        </w:rPr>
        <w:lastRenderedPageBreak/>
        <w:t xml:space="preserve">different age groups after dose adjustment based on body weight and age. </w:t>
      </w:r>
    </w:p>
    <w:p w14:paraId="74D6E9DC" w14:textId="77777777" w:rsidR="006A2C95" w:rsidRDefault="006A2C95" w:rsidP="00E2430F">
      <w:pPr>
        <w:rPr>
          <w:rFonts w:cs="Times New Roman"/>
          <w:b/>
          <w:szCs w:val="24"/>
        </w:rPr>
      </w:pPr>
    </w:p>
    <w:p w14:paraId="58B84128" w14:textId="4909BBF5" w:rsidR="0033162C" w:rsidRPr="006A2C95" w:rsidRDefault="0033162C" w:rsidP="0033162C">
      <w:pPr>
        <w:rPr>
          <w:rFonts w:cs="Times New Roman"/>
          <w:b/>
          <w:szCs w:val="24"/>
        </w:rPr>
      </w:pPr>
      <w:r w:rsidRPr="006A2C95">
        <w:rPr>
          <w:rFonts w:cs="Times New Roman"/>
          <w:b/>
          <w:szCs w:val="24"/>
        </w:rPr>
        <w:t xml:space="preserve">Table </w:t>
      </w:r>
      <w:r>
        <w:rPr>
          <w:rFonts w:cs="Times New Roman"/>
          <w:b/>
          <w:szCs w:val="24"/>
        </w:rPr>
        <w:t>1</w:t>
      </w:r>
      <w:r w:rsidR="00644E6B">
        <w:rPr>
          <w:rFonts w:cs="Times New Roman"/>
          <w:b/>
          <w:szCs w:val="24"/>
        </w:rPr>
        <w:t>3</w:t>
      </w:r>
      <w:r w:rsidRPr="006A2C95">
        <w:rPr>
          <w:rFonts w:cs="Times New Roman"/>
          <w:b/>
          <w:szCs w:val="24"/>
        </w:rPr>
        <w:t xml:space="preserve"> Mean (Standard Deviation) of </w:t>
      </w:r>
      <w:proofErr w:type="spellStart"/>
      <w:r w:rsidRPr="006A2C95">
        <w:rPr>
          <w:rFonts w:cs="Times New Roman"/>
          <w:b/>
          <w:szCs w:val="24"/>
        </w:rPr>
        <w:t>Daptomycin</w:t>
      </w:r>
      <w:proofErr w:type="spellEnd"/>
      <w:r w:rsidRPr="006A2C95">
        <w:rPr>
          <w:rFonts w:cs="Times New Roman"/>
          <w:b/>
          <w:szCs w:val="24"/>
        </w:rPr>
        <w:t xml:space="preserve"> Pharmacokinetics in Pa</w:t>
      </w:r>
      <w:r>
        <w:rPr>
          <w:rFonts w:cs="Times New Roman"/>
          <w:b/>
          <w:szCs w:val="24"/>
        </w:rPr>
        <w:t>e</w:t>
      </w:r>
      <w:r w:rsidRPr="006A2C95">
        <w:rPr>
          <w:rFonts w:cs="Times New Roman"/>
          <w:b/>
          <w:szCs w:val="24"/>
        </w:rPr>
        <w:t xml:space="preserve">diatric </w:t>
      </w:r>
      <w:proofErr w:type="spellStart"/>
      <w:r w:rsidRPr="006A2C95">
        <w:rPr>
          <w:rFonts w:cs="Times New Roman"/>
          <w:b/>
          <w:szCs w:val="24"/>
        </w:rPr>
        <w:t>cSSSI</w:t>
      </w:r>
      <w:proofErr w:type="spellEnd"/>
      <w:r w:rsidRPr="006A2C95">
        <w:rPr>
          <w:rFonts w:cs="Times New Roman"/>
          <w:b/>
          <w:szCs w:val="24"/>
        </w:rPr>
        <w:t xml:space="preserve"> Patients (1 to 17 Years of Age) in Study DAP-</w:t>
      </w:r>
      <w:r>
        <w:rPr>
          <w:rFonts w:cs="Times New Roman"/>
          <w:b/>
          <w:szCs w:val="24"/>
        </w:rPr>
        <w:t>P</w:t>
      </w:r>
      <w:r w:rsidRPr="006A2C95">
        <w:rPr>
          <w:rFonts w:cs="Times New Roman"/>
          <w:b/>
          <w:szCs w:val="24"/>
        </w:rPr>
        <w:t>EDS-07-03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799"/>
        <w:gridCol w:w="1799"/>
        <w:gridCol w:w="1800"/>
        <w:gridCol w:w="1802"/>
      </w:tblGrid>
      <w:tr w:rsidR="0033162C" w:rsidRPr="006A2C95" w14:paraId="3E72382F" w14:textId="77777777" w:rsidTr="0033162C">
        <w:tc>
          <w:tcPr>
            <w:tcW w:w="1851" w:type="dxa"/>
            <w:shd w:val="clear" w:color="auto" w:fill="auto"/>
            <w:vAlign w:val="center"/>
          </w:tcPr>
          <w:p w14:paraId="2FA8913F"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Age Range</w:t>
            </w:r>
          </w:p>
        </w:tc>
        <w:tc>
          <w:tcPr>
            <w:tcW w:w="1847" w:type="dxa"/>
            <w:shd w:val="clear" w:color="auto" w:fill="auto"/>
            <w:vAlign w:val="center"/>
          </w:tcPr>
          <w:p w14:paraId="70D8DF12"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12-17 years (N=6)</w:t>
            </w:r>
          </w:p>
        </w:tc>
        <w:tc>
          <w:tcPr>
            <w:tcW w:w="1847" w:type="dxa"/>
            <w:shd w:val="clear" w:color="auto" w:fill="auto"/>
            <w:vAlign w:val="center"/>
          </w:tcPr>
          <w:p w14:paraId="4AF2B6CA"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7-11 years (N=2)</w:t>
            </w:r>
            <w:r w:rsidRPr="006A2C95">
              <w:rPr>
                <w:rFonts w:eastAsia="Times New Roman" w:cs="Times New Roman"/>
                <w:sz w:val="20"/>
                <w:szCs w:val="20"/>
                <w:vertAlign w:val="superscript"/>
              </w:rPr>
              <w:t>a</w:t>
            </w:r>
          </w:p>
        </w:tc>
        <w:tc>
          <w:tcPr>
            <w:tcW w:w="1848" w:type="dxa"/>
            <w:shd w:val="clear" w:color="auto" w:fill="auto"/>
            <w:vAlign w:val="center"/>
          </w:tcPr>
          <w:p w14:paraId="5C5B49F5"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2-6 years</w:t>
            </w:r>
          </w:p>
          <w:p w14:paraId="35312F65"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 xml:space="preserve"> (N=7)</w:t>
            </w:r>
          </w:p>
        </w:tc>
        <w:tc>
          <w:tcPr>
            <w:tcW w:w="1849" w:type="dxa"/>
            <w:shd w:val="clear" w:color="auto" w:fill="auto"/>
            <w:vAlign w:val="center"/>
          </w:tcPr>
          <w:p w14:paraId="3AF4050B"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1 to &lt;2 years (N=30)</w:t>
            </w:r>
            <w:r w:rsidRPr="006A2C95">
              <w:rPr>
                <w:rFonts w:eastAsia="Times New Roman" w:cs="Times New Roman"/>
                <w:sz w:val="20"/>
                <w:szCs w:val="20"/>
                <w:vertAlign w:val="superscript"/>
              </w:rPr>
              <w:t>b</w:t>
            </w:r>
          </w:p>
        </w:tc>
      </w:tr>
      <w:tr w:rsidR="0033162C" w:rsidRPr="006A2C95" w14:paraId="002DDA55" w14:textId="77777777" w:rsidTr="0033162C">
        <w:tc>
          <w:tcPr>
            <w:tcW w:w="1851" w:type="dxa"/>
            <w:shd w:val="clear" w:color="auto" w:fill="auto"/>
            <w:vAlign w:val="center"/>
          </w:tcPr>
          <w:p w14:paraId="3EE23DF6"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Dose</w:t>
            </w:r>
            <w:r w:rsidRPr="006A2C95">
              <w:rPr>
                <w:rFonts w:eastAsia="Times New Roman" w:cs="Times New Roman"/>
                <w:sz w:val="20"/>
                <w:szCs w:val="20"/>
              </w:rPr>
              <w:br/>
              <w:t>Infusion Time</w:t>
            </w:r>
          </w:p>
        </w:tc>
        <w:tc>
          <w:tcPr>
            <w:tcW w:w="1847" w:type="dxa"/>
            <w:shd w:val="clear" w:color="auto" w:fill="auto"/>
          </w:tcPr>
          <w:p w14:paraId="086FECDF"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5 mg/kg</w:t>
            </w:r>
            <w:r w:rsidRPr="006A2C95">
              <w:rPr>
                <w:rFonts w:eastAsia="Times New Roman" w:cs="Times New Roman"/>
                <w:sz w:val="20"/>
                <w:szCs w:val="20"/>
              </w:rPr>
              <w:br/>
              <w:t>30 minutes</w:t>
            </w:r>
          </w:p>
        </w:tc>
        <w:tc>
          <w:tcPr>
            <w:tcW w:w="1847" w:type="dxa"/>
            <w:shd w:val="clear" w:color="auto" w:fill="auto"/>
          </w:tcPr>
          <w:p w14:paraId="48DEED12"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7 mg/kg</w:t>
            </w:r>
            <w:r w:rsidRPr="006A2C95">
              <w:rPr>
                <w:rFonts w:eastAsia="Times New Roman" w:cs="Times New Roman"/>
                <w:sz w:val="20"/>
                <w:szCs w:val="20"/>
              </w:rPr>
              <w:br/>
              <w:t>30 minutes</w:t>
            </w:r>
          </w:p>
        </w:tc>
        <w:tc>
          <w:tcPr>
            <w:tcW w:w="1848" w:type="dxa"/>
            <w:shd w:val="clear" w:color="auto" w:fill="auto"/>
          </w:tcPr>
          <w:p w14:paraId="2B399F03"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9 mg/kg</w:t>
            </w:r>
            <w:r w:rsidRPr="006A2C95">
              <w:rPr>
                <w:rFonts w:eastAsia="Times New Roman" w:cs="Times New Roman"/>
                <w:sz w:val="20"/>
                <w:szCs w:val="20"/>
              </w:rPr>
              <w:br/>
              <w:t>60 minutes</w:t>
            </w:r>
          </w:p>
        </w:tc>
        <w:tc>
          <w:tcPr>
            <w:tcW w:w="1849" w:type="dxa"/>
            <w:shd w:val="clear" w:color="auto" w:fill="auto"/>
          </w:tcPr>
          <w:p w14:paraId="5C95F6E7"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10 mg/kg</w:t>
            </w:r>
            <w:r w:rsidRPr="006A2C95">
              <w:rPr>
                <w:rFonts w:eastAsia="Times New Roman" w:cs="Times New Roman"/>
                <w:sz w:val="20"/>
                <w:szCs w:val="20"/>
              </w:rPr>
              <w:br/>
              <w:t>60 minutes</w:t>
            </w:r>
          </w:p>
        </w:tc>
      </w:tr>
      <w:tr w:rsidR="0033162C" w:rsidRPr="006A2C95" w14:paraId="60F2788B" w14:textId="77777777" w:rsidTr="0033162C">
        <w:tc>
          <w:tcPr>
            <w:tcW w:w="1851" w:type="dxa"/>
            <w:shd w:val="clear" w:color="auto" w:fill="auto"/>
            <w:vAlign w:val="center"/>
          </w:tcPr>
          <w:p w14:paraId="7A1D9D42"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AUC</w:t>
            </w:r>
            <w:r w:rsidRPr="006A2C95">
              <w:rPr>
                <w:rFonts w:eastAsia="Times New Roman" w:cs="Times New Roman"/>
                <w:sz w:val="20"/>
                <w:szCs w:val="20"/>
                <w:vertAlign w:val="subscript"/>
              </w:rPr>
              <w:t>0-24hr</w:t>
            </w:r>
            <w:r w:rsidRPr="006A2C95">
              <w:rPr>
                <w:rFonts w:eastAsia="Times New Roman" w:cs="Times New Roman"/>
                <w:sz w:val="20"/>
                <w:szCs w:val="20"/>
              </w:rPr>
              <w:t xml:space="preserve"> (</w:t>
            </w:r>
            <w:r w:rsidRPr="006A2C95">
              <w:rPr>
                <w:rFonts w:eastAsia="Times New Roman" w:cs="Times New Roman"/>
                <w:sz w:val="20"/>
                <w:szCs w:val="20"/>
              </w:rPr>
              <w:sym w:font="Symbol" w:char="F06D"/>
            </w:r>
            <w:proofErr w:type="spellStart"/>
            <w:r w:rsidRPr="006A2C95">
              <w:rPr>
                <w:rFonts w:eastAsia="Times New Roman" w:cs="Times New Roman"/>
                <w:sz w:val="20"/>
                <w:szCs w:val="20"/>
              </w:rPr>
              <w:t>g×hr</w:t>
            </w:r>
            <w:proofErr w:type="spellEnd"/>
            <w:r w:rsidRPr="006A2C95">
              <w:rPr>
                <w:rFonts w:eastAsia="Times New Roman" w:cs="Times New Roman"/>
                <w:sz w:val="20"/>
                <w:szCs w:val="20"/>
              </w:rPr>
              <w:t>/ml)</w:t>
            </w:r>
          </w:p>
        </w:tc>
        <w:tc>
          <w:tcPr>
            <w:tcW w:w="1847" w:type="dxa"/>
            <w:shd w:val="clear" w:color="auto" w:fill="auto"/>
            <w:vAlign w:val="center"/>
          </w:tcPr>
          <w:p w14:paraId="5D26D786"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387 (81)</w:t>
            </w:r>
          </w:p>
        </w:tc>
        <w:tc>
          <w:tcPr>
            <w:tcW w:w="1847" w:type="dxa"/>
            <w:shd w:val="clear" w:color="auto" w:fill="auto"/>
            <w:vAlign w:val="center"/>
          </w:tcPr>
          <w:p w14:paraId="36272325"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438</w:t>
            </w:r>
          </w:p>
        </w:tc>
        <w:tc>
          <w:tcPr>
            <w:tcW w:w="1848" w:type="dxa"/>
            <w:shd w:val="clear" w:color="auto" w:fill="auto"/>
            <w:vAlign w:val="center"/>
          </w:tcPr>
          <w:p w14:paraId="167C18C3"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439 (102)</w:t>
            </w:r>
          </w:p>
        </w:tc>
        <w:tc>
          <w:tcPr>
            <w:tcW w:w="1849" w:type="dxa"/>
            <w:shd w:val="clear" w:color="auto" w:fill="auto"/>
            <w:vAlign w:val="center"/>
          </w:tcPr>
          <w:p w14:paraId="31CEADE8"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466</w:t>
            </w:r>
          </w:p>
        </w:tc>
      </w:tr>
      <w:tr w:rsidR="0033162C" w:rsidRPr="006A2C95" w14:paraId="5DEF1D35" w14:textId="77777777" w:rsidTr="0033162C">
        <w:tc>
          <w:tcPr>
            <w:tcW w:w="1851" w:type="dxa"/>
            <w:shd w:val="clear" w:color="auto" w:fill="auto"/>
            <w:vAlign w:val="center"/>
          </w:tcPr>
          <w:p w14:paraId="51074F7A"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proofErr w:type="spellStart"/>
            <w:r w:rsidRPr="006A2C95">
              <w:rPr>
                <w:rFonts w:eastAsia="Times New Roman" w:cs="Times New Roman"/>
                <w:sz w:val="20"/>
                <w:szCs w:val="20"/>
              </w:rPr>
              <w:t>C</w:t>
            </w:r>
            <w:r w:rsidRPr="006A2C95">
              <w:rPr>
                <w:rFonts w:eastAsia="Times New Roman" w:cs="Times New Roman"/>
                <w:sz w:val="20"/>
                <w:szCs w:val="20"/>
                <w:vertAlign w:val="subscript"/>
              </w:rPr>
              <w:t>max</w:t>
            </w:r>
            <w:proofErr w:type="spellEnd"/>
            <w:r w:rsidRPr="006A2C95">
              <w:rPr>
                <w:rFonts w:eastAsia="Times New Roman" w:cs="Times New Roman"/>
                <w:sz w:val="20"/>
                <w:szCs w:val="20"/>
              </w:rPr>
              <w:t xml:space="preserve"> (</w:t>
            </w:r>
            <w:r w:rsidRPr="006A2C95">
              <w:rPr>
                <w:rFonts w:eastAsia="Times New Roman" w:cs="Times New Roman"/>
                <w:sz w:val="20"/>
                <w:szCs w:val="20"/>
              </w:rPr>
              <w:sym w:font="Symbol" w:char="F06D"/>
            </w:r>
            <w:r w:rsidRPr="006A2C95">
              <w:rPr>
                <w:rFonts w:eastAsia="Times New Roman" w:cs="Times New Roman"/>
                <w:sz w:val="20"/>
                <w:szCs w:val="20"/>
              </w:rPr>
              <w:t>g/ml)</w:t>
            </w:r>
          </w:p>
        </w:tc>
        <w:tc>
          <w:tcPr>
            <w:tcW w:w="1847" w:type="dxa"/>
            <w:shd w:val="clear" w:color="auto" w:fill="auto"/>
            <w:vAlign w:val="center"/>
          </w:tcPr>
          <w:p w14:paraId="2080D323"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62.4 (10.4)</w:t>
            </w:r>
          </w:p>
        </w:tc>
        <w:tc>
          <w:tcPr>
            <w:tcW w:w="1847" w:type="dxa"/>
            <w:shd w:val="clear" w:color="auto" w:fill="auto"/>
            <w:vAlign w:val="center"/>
          </w:tcPr>
          <w:p w14:paraId="0930BB10"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64.9, 74.4</w:t>
            </w:r>
          </w:p>
        </w:tc>
        <w:tc>
          <w:tcPr>
            <w:tcW w:w="1848" w:type="dxa"/>
            <w:shd w:val="clear" w:color="auto" w:fill="auto"/>
            <w:vAlign w:val="center"/>
          </w:tcPr>
          <w:p w14:paraId="2D850405"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81.9 (21.6)</w:t>
            </w:r>
          </w:p>
        </w:tc>
        <w:tc>
          <w:tcPr>
            <w:tcW w:w="1849" w:type="dxa"/>
            <w:shd w:val="clear" w:color="auto" w:fill="auto"/>
            <w:vAlign w:val="center"/>
          </w:tcPr>
          <w:p w14:paraId="62F7F7ED"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79.2</w:t>
            </w:r>
          </w:p>
        </w:tc>
      </w:tr>
      <w:tr w:rsidR="0033162C" w:rsidRPr="006A2C95" w14:paraId="2704B5E2" w14:textId="77777777" w:rsidTr="0033162C">
        <w:tc>
          <w:tcPr>
            <w:tcW w:w="1851" w:type="dxa"/>
            <w:shd w:val="clear" w:color="auto" w:fill="auto"/>
            <w:vAlign w:val="center"/>
          </w:tcPr>
          <w:p w14:paraId="3940597D"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Apparent t</w:t>
            </w:r>
            <w:r w:rsidRPr="006A2C95">
              <w:rPr>
                <w:rFonts w:eastAsia="Times New Roman" w:cs="Times New Roman"/>
                <w:sz w:val="20"/>
                <w:szCs w:val="20"/>
                <w:vertAlign w:val="subscript"/>
              </w:rPr>
              <w:t>1/2</w:t>
            </w:r>
            <w:r w:rsidRPr="006A2C95">
              <w:rPr>
                <w:rFonts w:eastAsia="Times New Roman" w:cs="Times New Roman"/>
                <w:sz w:val="20"/>
                <w:szCs w:val="20"/>
              </w:rPr>
              <w:t xml:space="preserve"> (hr)</w:t>
            </w:r>
          </w:p>
        </w:tc>
        <w:tc>
          <w:tcPr>
            <w:tcW w:w="1847" w:type="dxa"/>
            <w:shd w:val="clear" w:color="auto" w:fill="auto"/>
            <w:vAlign w:val="center"/>
          </w:tcPr>
          <w:p w14:paraId="74B5E514"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5.3 (1.6)</w:t>
            </w:r>
          </w:p>
        </w:tc>
        <w:tc>
          <w:tcPr>
            <w:tcW w:w="1847" w:type="dxa"/>
            <w:shd w:val="clear" w:color="auto" w:fill="auto"/>
            <w:vAlign w:val="center"/>
          </w:tcPr>
          <w:p w14:paraId="012213D9"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4.6</w:t>
            </w:r>
          </w:p>
        </w:tc>
        <w:tc>
          <w:tcPr>
            <w:tcW w:w="1848" w:type="dxa"/>
            <w:shd w:val="clear" w:color="auto" w:fill="auto"/>
            <w:vAlign w:val="center"/>
          </w:tcPr>
          <w:p w14:paraId="13602EBF"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3.8 (0.3)</w:t>
            </w:r>
          </w:p>
        </w:tc>
        <w:tc>
          <w:tcPr>
            <w:tcW w:w="1849" w:type="dxa"/>
            <w:shd w:val="clear" w:color="auto" w:fill="auto"/>
            <w:vAlign w:val="center"/>
          </w:tcPr>
          <w:p w14:paraId="6BEE10BB"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5.04</w:t>
            </w:r>
          </w:p>
        </w:tc>
      </w:tr>
      <w:tr w:rsidR="0033162C" w:rsidRPr="006A2C95" w14:paraId="6EDF2937" w14:textId="77777777" w:rsidTr="0033162C">
        <w:tc>
          <w:tcPr>
            <w:tcW w:w="1851" w:type="dxa"/>
            <w:shd w:val="clear" w:color="auto" w:fill="auto"/>
            <w:vAlign w:val="center"/>
          </w:tcPr>
          <w:p w14:paraId="7AC25605"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CL/</w:t>
            </w:r>
            <w:proofErr w:type="spellStart"/>
            <w:r w:rsidRPr="006A2C95">
              <w:rPr>
                <w:rFonts w:eastAsia="Times New Roman" w:cs="Times New Roman"/>
                <w:sz w:val="20"/>
                <w:szCs w:val="20"/>
              </w:rPr>
              <w:t>wt</w:t>
            </w:r>
            <w:proofErr w:type="spellEnd"/>
            <w:r w:rsidRPr="006A2C95">
              <w:rPr>
                <w:rFonts w:eastAsia="Times New Roman" w:cs="Times New Roman"/>
                <w:sz w:val="20"/>
                <w:szCs w:val="20"/>
              </w:rPr>
              <w:t xml:space="preserve"> (ml/hr/kg)</w:t>
            </w:r>
          </w:p>
        </w:tc>
        <w:tc>
          <w:tcPr>
            <w:tcW w:w="1847" w:type="dxa"/>
            <w:shd w:val="clear" w:color="auto" w:fill="auto"/>
            <w:vAlign w:val="center"/>
          </w:tcPr>
          <w:p w14:paraId="0C6B037E"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13.3 (2.9)</w:t>
            </w:r>
          </w:p>
        </w:tc>
        <w:tc>
          <w:tcPr>
            <w:tcW w:w="1847" w:type="dxa"/>
            <w:shd w:val="clear" w:color="auto" w:fill="auto"/>
            <w:vAlign w:val="center"/>
          </w:tcPr>
          <w:p w14:paraId="0071AE0D"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16.0</w:t>
            </w:r>
          </w:p>
        </w:tc>
        <w:tc>
          <w:tcPr>
            <w:tcW w:w="1848" w:type="dxa"/>
            <w:shd w:val="clear" w:color="auto" w:fill="auto"/>
            <w:vAlign w:val="center"/>
          </w:tcPr>
          <w:p w14:paraId="242EE1D2"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21.4 (5.0)</w:t>
            </w:r>
          </w:p>
        </w:tc>
        <w:tc>
          <w:tcPr>
            <w:tcW w:w="1849" w:type="dxa"/>
            <w:shd w:val="clear" w:color="auto" w:fill="auto"/>
            <w:vAlign w:val="center"/>
          </w:tcPr>
          <w:p w14:paraId="3599F880" w14:textId="77777777" w:rsidR="0033162C" w:rsidRPr="006A2C95" w:rsidRDefault="0033162C" w:rsidP="0033162C">
            <w:pPr>
              <w:widowControl w:val="0"/>
              <w:tabs>
                <w:tab w:val="left" w:pos="0"/>
              </w:tabs>
              <w:autoSpaceDE w:val="0"/>
              <w:autoSpaceDN w:val="0"/>
              <w:adjustRightInd w:val="0"/>
              <w:spacing w:after="0" w:line="320" w:lineRule="atLeast"/>
              <w:rPr>
                <w:rFonts w:eastAsia="Times New Roman" w:cs="Times New Roman"/>
                <w:sz w:val="20"/>
                <w:szCs w:val="20"/>
              </w:rPr>
            </w:pPr>
            <w:r w:rsidRPr="006A2C95">
              <w:rPr>
                <w:rFonts w:eastAsia="Times New Roman" w:cs="Times New Roman"/>
                <w:sz w:val="20"/>
                <w:szCs w:val="20"/>
              </w:rPr>
              <w:t>21.5</w:t>
            </w:r>
          </w:p>
        </w:tc>
      </w:tr>
    </w:tbl>
    <w:p w14:paraId="023D1BFE" w14:textId="77777777" w:rsidR="0033162C" w:rsidRPr="006A2C95" w:rsidRDefault="0033162C" w:rsidP="0033162C">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 xml:space="preserve">Pharmacokinetic parameter values estimated by </w:t>
      </w:r>
      <w:proofErr w:type="spellStart"/>
      <w:r w:rsidRPr="006A2C95">
        <w:rPr>
          <w:rFonts w:eastAsia="Times New Roman" w:cs="Times New Roman"/>
          <w:sz w:val="20"/>
          <w:szCs w:val="20"/>
        </w:rPr>
        <w:t>noncompartmental</w:t>
      </w:r>
      <w:proofErr w:type="spellEnd"/>
      <w:r w:rsidRPr="006A2C95">
        <w:rPr>
          <w:rFonts w:eastAsia="Times New Roman" w:cs="Times New Roman"/>
          <w:sz w:val="20"/>
          <w:szCs w:val="20"/>
        </w:rPr>
        <w:t xml:space="preserve"> analysis</w:t>
      </w:r>
    </w:p>
    <w:p w14:paraId="7D67A03C" w14:textId="77777777" w:rsidR="0033162C" w:rsidRPr="006A2C95" w:rsidRDefault="0033162C" w:rsidP="0033162C">
      <w:pPr>
        <w:widowControl w:val="0"/>
        <w:tabs>
          <w:tab w:val="left" w:pos="0"/>
        </w:tabs>
        <w:autoSpaceDE w:val="0"/>
        <w:autoSpaceDN w:val="0"/>
        <w:adjustRightInd w:val="0"/>
        <w:spacing w:after="0" w:line="320" w:lineRule="atLeast"/>
        <w:jc w:val="both"/>
        <w:rPr>
          <w:rFonts w:eastAsia="Times New Roman" w:cs="Times New Roman"/>
          <w:sz w:val="20"/>
          <w:szCs w:val="20"/>
        </w:rPr>
      </w:pPr>
      <w:proofErr w:type="spellStart"/>
      <w:r w:rsidRPr="006A2C95">
        <w:rPr>
          <w:rFonts w:eastAsia="Times New Roman" w:cs="Times New Roman"/>
          <w:sz w:val="20"/>
          <w:szCs w:val="20"/>
          <w:vertAlign w:val="superscript"/>
        </w:rPr>
        <w:t>a</w:t>
      </w:r>
      <w:r w:rsidRPr="006A2C95">
        <w:rPr>
          <w:rFonts w:eastAsia="Times New Roman" w:cs="Times New Roman"/>
          <w:sz w:val="20"/>
          <w:szCs w:val="20"/>
        </w:rPr>
        <w:t>Individual</w:t>
      </w:r>
      <w:proofErr w:type="spellEnd"/>
      <w:r w:rsidRPr="006A2C95">
        <w:rPr>
          <w:rFonts w:eastAsia="Times New Roman" w:cs="Times New Roman"/>
          <w:sz w:val="20"/>
          <w:szCs w:val="20"/>
        </w:rPr>
        <w:t xml:space="preserve"> values reported as only two patients in this age group provided pharmacokinetic samples to enable pharmacokinetic analysis; AUC, apparent t</w:t>
      </w:r>
      <w:r w:rsidRPr="006A2C95">
        <w:rPr>
          <w:rFonts w:eastAsia="Times New Roman" w:cs="Times New Roman"/>
          <w:sz w:val="20"/>
          <w:szCs w:val="20"/>
          <w:vertAlign w:val="subscript"/>
        </w:rPr>
        <w:t>1/2</w:t>
      </w:r>
      <w:r w:rsidRPr="006A2C95">
        <w:rPr>
          <w:rFonts w:eastAsia="Times New Roman" w:cs="Times New Roman"/>
          <w:sz w:val="20"/>
          <w:szCs w:val="20"/>
        </w:rPr>
        <w:t xml:space="preserve"> and CL/</w:t>
      </w:r>
      <w:proofErr w:type="spellStart"/>
      <w:r w:rsidRPr="006A2C95">
        <w:rPr>
          <w:rFonts w:eastAsia="Times New Roman" w:cs="Times New Roman"/>
          <w:sz w:val="20"/>
          <w:szCs w:val="20"/>
        </w:rPr>
        <w:t>wt</w:t>
      </w:r>
      <w:proofErr w:type="spellEnd"/>
      <w:r w:rsidRPr="006A2C95">
        <w:rPr>
          <w:rFonts w:eastAsia="Times New Roman" w:cs="Times New Roman"/>
          <w:sz w:val="20"/>
          <w:szCs w:val="20"/>
        </w:rPr>
        <w:t xml:space="preserve"> could be determined for only one of the two patients</w:t>
      </w:r>
    </w:p>
    <w:p w14:paraId="0B7B0A26" w14:textId="77777777" w:rsidR="0033162C" w:rsidRDefault="0033162C" w:rsidP="0033162C">
      <w:pPr>
        <w:widowControl w:val="0"/>
        <w:tabs>
          <w:tab w:val="left" w:pos="0"/>
        </w:tabs>
        <w:autoSpaceDE w:val="0"/>
        <w:autoSpaceDN w:val="0"/>
        <w:adjustRightInd w:val="0"/>
        <w:spacing w:after="0" w:line="320" w:lineRule="atLeast"/>
        <w:jc w:val="both"/>
        <w:rPr>
          <w:rFonts w:eastAsia="Times New Roman" w:cs="Times New Roman"/>
          <w:sz w:val="20"/>
          <w:szCs w:val="20"/>
        </w:rPr>
      </w:pPr>
      <w:proofErr w:type="spellStart"/>
      <w:r w:rsidRPr="006A2C95">
        <w:rPr>
          <w:rFonts w:eastAsia="Times New Roman" w:cs="Times New Roman"/>
          <w:sz w:val="20"/>
          <w:szCs w:val="20"/>
          <w:vertAlign w:val="superscript"/>
        </w:rPr>
        <w:t>b</w:t>
      </w:r>
      <w:r w:rsidRPr="006A2C95">
        <w:rPr>
          <w:rFonts w:eastAsia="Times New Roman" w:cs="Times New Roman"/>
          <w:sz w:val="20"/>
          <w:szCs w:val="20"/>
        </w:rPr>
        <w:t>Pharmacokinetic</w:t>
      </w:r>
      <w:proofErr w:type="spellEnd"/>
      <w:r w:rsidRPr="006A2C95">
        <w:rPr>
          <w:rFonts w:eastAsia="Times New Roman" w:cs="Times New Roman"/>
          <w:sz w:val="20"/>
          <w:szCs w:val="20"/>
        </w:rPr>
        <w:t xml:space="preserve"> analysis conducted on the pooled pharmacokinetic profile with mean concentrations across subjects at each time point</w:t>
      </w:r>
    </w:p>
    <w:p w14:paraId="6833BA57" w14:textId="77777777" w:rsidR="00E2430F" w:rsidRDefault="00E2430F" w:rsidP="00E2430F"/>
    <w:p w14:paraId="4B0226FC" w14:textId="2A1925C7" w:rsidR="009554FD" w:rsidRDefault="009554FD" w:rsidP="00C94FA2">
      <w:pPr>
        <w:jc w:val="both"/>
        <w:rPr>
          <w:rFonts w:eastAsia="Times New Roman" w:cs="Times New Roman"/>
          <w:szCs w:val="24"/>
        </w:rPr>
      </w:pPr>
      <w:r w:rsidRPr="009554FD">
        <w:rPr>
          <w:rFonts w:eastAsia="Times New Roman" w:cs="Times New Roman"/>
          <w:szCs w:val="24"/>
        </w:rPr>
        <w:t xml:space="preserve">A study was conducted to assess safety, efficacy, and pharmacokinetics of </w:t>
      </w:r>
      <w:proofErr w:type="spellStart"/>
      <w:r w:rsidRPr="009554FD">
        <w:rPr>
          <w:rFonts w:eastAsia="Times New Roman" w:cs="Times New Roman"/>
          <w:szCs w:val="24"/>
        </w:rPr>
        <w:t>daptomycin</w:t>
      </w:r>
      <w:proofErr w:type="spellEnd"/>
      <w:r w:rsidRPr="009554FD">
        <w:rPr>
          <w:rFonts w:eastAsia="Times New Roman" w:cs="Times New Roman"/>
          <w:szCs w:val="24"/>
        </w:rPr>
        <w:t xml:space="preserve"> in paediatric patients (1 to 17 years of age, inclusive) with </w:t>
      </w:r>
      <w:r w:rsidRPr="009554FD">
        <w:rPr>
          <w:rFonts w:eastAsia="Times New Roman" w:cs="Times New Roman"/>
          <w:i/>
          <w:szCs w:val="24"/>
        </w:rPr>
        <w:t>S. aureus</w:t>
      </w:r>
      <w:r w:rsidRPr="009554FD">
        <w:rPr>
          <w:rFonts w:eastAsia="Times New Roman" w:cs="Times New Roman"/>
          <w:szCs w:val="24"/>
        </w:rPr>
        <w:t xml:space="preserve"> bacteraemia.  Patients were enrolled into 3 age groups (see CLINICAL TRIALS), and intravenous doses of 7 to 12 mg/kg once daily were administered.  Following administration of multiple doses, </w:t>
      </w:r>
      <w:proofErr w:type="spellStart"/>
      <w:r w:rsidRPr="009554FD">
        <w:rPr>
          <w:rFonts w:eastAsia="Times New Roman" w:cs="Times New Roman"/>
          <w:szCs w:val="24"/>
        </w:rPr>
        <w:t>daptomycin</w:t>
      </w:r>
      <w:proofErr w:type="spellEnd"/>
      <w:r w:rsidRPr="009554FD">
        <w:rPr>
          <w:rFonts w:eastAsia="Times New Roman" w:cs="Times New Roman"/>
          <w:szCs w:val="24"/>
        </w:rPr>
        <w:t xml:space="preserve"> exposure (</w:t>
      </w:r>
      <w:proofErr w:type="spellStart"/>
      <w:r w:rsidRPr="009554FD">
        <w:rPr>
          <w:rFonts w:eastAsia="Times New Roman" w:cs="Times New Roman"/>
          <w:szCs w:val="24"/>
        </w:rPr>
        <w:t>AUC</w:t>
      </w:r>
      <w:r w:rsidRPr="009554FD">
        <w:rPr>
          <w:rFonts w:eastAsia="Times New Roman" w:cs="Times New Roman"/>
          <w:szCs w:val="24"/>
          <w:vertAlign w:val="subscript"/>
        </w:rPr>
        <w:t>ss</w:t>
      </w:r>
      <w:proofErr w:type="spellEnd"/>
      <w:r w:rsidRPr="009554FD">
        <w:rPr>
          <w:rFonts w:eastAsia="Times New Roman" w:cs="Times New Roman"/>
          <w:szCs w:val="24"/>
        </w:rPr>
        <w:t xml:space="preserve"> and </w:t>
      </w:r>
      <w:proofErr w:type="spellStart"/>
      <w:r w:rsidRPr="009554FD">
        <w:rPr>
          <w:rFonts w:eastAsia="Times New Roman" w:cs="Times New Roman"/>
          <w:szCs w:val="24"/>
        </w:rPr>
        <w:t>C</w:t>
      </w:r>
      <w:r w:rsidRPr="009554FD">
        <w:rPr>
          <w:rFonts w:eastAsia="Times New Roman" w:cs="Times New Roman"/>
          <w:szCs w:val="24"/>
          <w:vertAlign w:val="subscript"/>
        </w:rPr>
        <w:t>max,ss</w:t>
      </w:r>
      <w:proofErr w:type="spellEnd"/>
      <w:r w:rsidRPr="009554FD">
        <w:rPr>
          <w:rFonts w:eastAsia="Times New Roman" w:cs="Times New Roman"/>
          <w:szCs w:val="24"/>
        </w:rPr>
        <w:t>) was similar across different age groups after dose adjustment based on body weight and age (</w:t>
      </w:r>
      <w:r w:rsidR="004C3EED">
        <w:rPr>
          <w:rFonts w:eastAsia="Times New Roman" w:cs="Times New Roman"/>
          <w:szCs w:val="24"/>
        </w:rPr>
        <w:t>Table 1</w:t>
      </w:r>
      <w:r w:rsidR="00644E6B">
        <w:rPr>
          <w:rFonts w:eastAsia="Times New Roman" w:cs="Times New Roman"/>
          <w:szCs w:val="24"/>
        </w:rPr>
        <w:t>4</w:t>
      </w:r>
      <w:r w:rsidR="0088070D">
        <w:rPr>
          <w:rFonts w:eastAsia="Times New Roman" w:cs="Times New Roman"/>
          <w:szCs w:val="24"/>
        </w:rPr>
        <w:t>)</w:t>
      </w:r>
      <w:r w:rsidR="004C3EED">
        <w:rPr>
          <w:rFonts w:eastAsia="Times New Roman" w:cs="Times New Roman"/>
          <w:szCs w:val="24"/>
        </w:rPr>
        <w:t>.</w:t>
      </w:r>
    </w:p>
    <w:p w14:paraId="45151DC6" w14:textId="5C88E9B3" w:rsidR="009554FD" w:rsidRPr="009554FD" w:rsidRDefault="009554FD" w:rsidP="009554FD">
      <w:pPr>
        <w:keepNext/>
        <w:keepLines/>
        <w:widowControl w:val="0"/>
        <w:suppressLineNumbers/>
        <w:autoSpaceDE w:val="0"/>
        <w:autoSpaceDN w:val="0"/>
        <w:adjustRightInd w:val="0"/>
        <w:spacing w:before="360" w:after="120" w:line="240" w:lineRule="auto"/>
        <w:jc w:val="both"/>
        <w:rPr>
          <w:rFonts w:ascii="Times New Roman Bold" w:eastAsia="Times New Roman" w:hAnsi="Times New Roman Bold" w:cs="Times New Roman"/>
          <w:b/>
          <w:snapToGrid w:val="0"/>
          <w:szCs w:val="24"/>
        </w:rPr>
      </w:pPr>
      <w:r w:rsidRPr="009554FD">
        <w:rPr>
          <w:rFonts w:ascii="Times New Roman Bold" w:eastAsia="Times New Roman" w:hAnsi="Times New Roman Bold" w:cs="Times New Roman"/>
          <w:b/>
          <w:snapToGrid w:val="0"/>
          <w:szCs w:val="24"/>
        </w:rPr>
        <w:t xml:space="preserve">Table </w:t>
      </w:r>
      <w:r w:rsidR="004C3EED">
        <w:rPr>
          <w:rFonts w:ascii="Times New Roman Bold" w:eastAsia="Times New Roman" w:hAnsi="Times New Roman Bold" w:cs="Times New Roman"/>
          <w:b/>
          <w:snapToGrid w:val="0"/>
          <w:szCs w:val="24"/>
        </w:rPr>
        <w:t>1</w:t>
      </w:r>
      <w:r w:rsidR="00644E6B">
        <w:rPr>
          <w:rFonts w:ascii="Times New Roman Bold" w:eastAsia="Times New Roman" w:hAnsi="Times New Roman Bold" w:cs="Times New Roman"/>
          <w:b/>
          <w:snapToGrid w:val="0"/>
          <w:szCs w:val="24"/>
        </w:rPr>
        <w:t>4</w:t>
      </w:r>
      <w:r w:rsidRPr="009554FD">
        <w:rPr>
          <w:rFonts w:ascii="Times New Roman Bold" w:eastAsia="Times New Roman" w:hAnsi="Times New Roman Bold" w:cs="Times New Roman"/>
          <w:b/>
          <w:snapToGrid w:val="0"/>
          <w:szCs w:val="24"/>
        </w:rPr>
        <w:t xml:space="preserve"> Mean (SD) of </w:t>
      </w:r>
      <w:proofErr w:type="spellStart"/>
      <w:r w:rsidRPr="009554FD">
        <w:rPr>
          <w:rFonts w:ascii="Times New Roman Bold" w:eastAsia="Times New Roman" w:hAnsi="Times New Roman Bold" w:cs="Times New Roman"/>
          <w:b/>
          <w:snapToGrid w:val="0"/>
          <w:szCs w:val="24"/>
        </w:rPr>
        <w:t>Daptomycin</w:t>
      </w:r>
      <w:proofErr w:type="spellEnd"/>
      <w:r w:rsidRPr="009554FD">
        <w:rPr>
          <w:rFonts w:ascii="Times New Roman Bold" w:eastAsia="Times New Roman" w:hAnsi="Times New Roman Bold" w:cs="Times New Roman"/>
          <w:b/>
          <w:snapToGrid w:val="0"/>
          <w:szCs w:val="24"/>
        </w:rPr>
        <w:t xml:space="preserve"> Population Pharmacokinetic Parameters in Bacteraemia Paediatric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85"/>
        <w:gridCol w:w="1098"/>
        <w:gridCol w:w="1410"/>
        <w:gridCol w:w="842"/>
        <w:gridCol w:w="1043"/>
        <w:gridCol w:w="1252"/>
        <w:gridCol w:w="1244"/>
      </w:tblGrid>
      <w:tr w:rsidR="009554FD" w:rsidRPr="009554FD" w14:paraId="758E811D" w14:textId="77777777" w:rsidTr="009554FD">
        <w:tc>
          <w:tcPr>
            <w:tcW w:w="1175" w:type="dxa"/>
            <w:vMerge w:val="restart"/>
            <w:shd w:val="clear" w:color="auto" w:fill="auto"/>
          </w:tcPr>
          <w:p w14:paraId="5624209A" w14:textId="77777777" w:rsidR="009554FD" w:rsidRPr="009554FD" w:rsidRDefault="009554FD" w:rsidP="009554FD">
            <w:pPr>
              <w:spacing w:before="4" w:after="0" w:line="240" w:lineRule="auto"/>
              <w:ind w:firstLine="317"/>
              <w:rPr>
                <w:rFonts w:ascii="Helvetica" w:eastAsia="Times New Roman" w:hAnsi="Helvetica" w:cs="Times New Roman"/>
                <w:sz w:val="16"/>
                <w:szCs w:val="24"/>
                <w:lang w:val="en-US"/>
              </w:rPr>
            </w:pPr>
          </w:p>
          <w:p w14:paraId="43038E75" w14:textId="77777777" w:rsidR="009554FD" w:rsidRPr="009554FD" w:rsidRDefault="009554FD" w:rsidP="009554FD">
            <w:pPr>
              <w:spacing w:after="0" w:line="240" w:lineRule="auto"/>
              <w:jc w:val="both"/>
              <w:rPr>
                <w:rFonts w:eastAsia="Times New Roman" w:cs="Times New Roman"/>
                <w:szCs w:val="24"/>
                <w:lang w:val="en-US"/>
              </w:rPr>
            </w:pPr>
          </w:p>
          <w:p w14:paraId="7A7D0886" w14:textId="77777777" w:rsidR="009554FD" w:rsidRPr="009554FD" w:rsidRDefault="009554FD" w:rsidP="009554FD">
            <w:pPr>
              <w:spacing w:after="0" w:line="240" w:lineRule="auto"/>
              <w:jc w:val="both"/>
              <w:rPr>
                <w:rFonts w:eastAsia="Times New Roman" w:cs="Times New Roman"/>
                <w:szCs w:val="24"/>
                <w:lang w:val="en-US"/>
              </w:rPr>
            </w:pPr>
            <w:r w:rsidRPr="009554FD">
              <w:rPr>
                <w:rFonts w:eastAsia="Times New Roman" w:cs="Times New Roman"/>
                <w:szCs w:val="24"/>
                <w:lang w:val="en-US"/>
              </w:rPr>
              <w:t>Age</w:t>
            </w:r>
          </w:p>
        </w:tc>
        <w:tc>
          <w:tcPr>
            <w:tcW w:w="8657" w:type="dxa"/>
            <w:gridSpan w:val="7"/>
            <w:shd w:val="clear" w:color="auto" w:fill="auto"/>
          </w:tcPr>
          <w:p w14:paraId="29BCFDB5" w14:textId="77777777" w:rsidR="009554FD" w:rsidRPr="009554FD" w:rsidRDefault="009554FD" w:rsidP="009554FD">
            <w:pPr>
              <w:spacing w:after="0" w:line="240" w:lineRule="auto"/>
              <w:jc w:val="center"/>
              <w:rPr>
                <w:rFonts w:eastAsia="Times New Roman" w:cs="Times New Roman"/>
                <w:b/>
                <w:szCs w:val="24"/>
                <w:lang w:val="en-US"/>
              </w:rPr>
            </w:pPr>
            <w:r w:rsidRPr="009554FD">
              <w:rPr>
                <w:rFonts w:eastAsia="Times New Roman" w:cs="Times New Roman"/>
                <w:b/>
                <w:szCs w:val="24"/>
                <w:lang w:val="en-US"/>
              </w:rPr>
              <w:t>Pharmacokinetic Parameters</w:t>
            </w:r>
          </w:p>
          <w:p w14:paraId="525DDA5A" w14:textId="77777777" w:rsidR="009554FD" w:rsidRPr="009554FD" w:rsidRDefault="009554FD" w:rsidP="009554FD">
            <w:pPr>
              <w:spacing w:after="0" w:line="240" w:lineRule="auto"/>
              <w:jc w:val="center"/>
              <w:rPr>
                <w:rFonts w:eastAsia="Times New Roman" w:cs="Times New Roman"/>
                <w:b/>
                <w:szCs w:val="24"/>
                <w:lang w:val="en-US"/>
              </w:rPr>
            </w:pPr>
          </w:p>
        </w:tc>
      </w:tr>
      <w:tr w:rsidR="009554FD" w:rsidRPr="009554FD" w14:paraId="0753C93B" w14:textId="77777777" w:rsidTr="009554FD">
        <w:tc>
          <w:tcPr>
            <w:tcW w:w="1175" w:type="dxa"/>
            <w:vMerge/>
            <w:shd w:val="clear" w:color="auto" w:fill="auto"/>
          </w:tcPr>
          <w:p w14:paraId="76FC2E3E" w14:textId="77777777" w:rsidR="009554FD" w:rsidRPr="009554FD" w:rsidRDefault="009554FD" w:rsidP="009554FD">
            <w:pPr>
              <w:spacing w:after="0" w:line="240" w:lineRule="auto"/>
              <w:jc w:val="both"/>
              <w:rPr>
                <w:rFonts w:eastAsia="Times New Roman" w:cs="Times New Roman"/>
                <w:sz w:val="22"/>
                <w:lang w:val="en-US"/>
              </w:rPr>
            </w:pPr>
          </w:p>
        </w:tc>
        <w:tc>
          <w:tcPr>
            <w:tcW w:w="1193" w:type="dxa"/>
            <w:shd w:val="clear" w:color="auto" w:fill="auto"/>
          </w:tcPr>
          <w:p w14:paraId="4386F257"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Dose</w:t>
            </w:r>
          </w:p>
          <w:p w14:paraId="2B0BCA26"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(mg/kg)</w:t>
            </w:r>
          </w:p>
        </w:tc>
        <w:tc>
          <w:tcPr>
            <w:tcW w:w="1130" w:type="dxa"/>
          </w:tcPr>
          <w:p w14:paraId="7E56E5C6"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Infusion Duration (min)</w:t>
            </w:r>
          </w:p>
        </w:tc>
        <w:tc>
          <w:tcPr>
            <w:tcW w:w="1429" w:type="dxa"/>
            <w:shd w:val="clear" w:color="auto" w:fill="auto"/>
          </w:tcPr>
          <w:p w14:paraId="66B9D231" w14:textId="77777777" w:rsidR="009554FD" w:rsidRPr="009554FD" w:rsidRDefault="009554FD" w:rsidP="009554FD">
            <w:pPr>
              <w:spacing w:after="0" w:line="240" w:lineRule="auto"/>
              <w:jc w:val="both"/>
              <w:rPr>
                <w:rFonts w:eastAsia="Times New Roman" w:cs="Times New Roman"/>
                <w:snapToGrid w:val="0"/>
                <w:szCs w:val="24"/>
                <w:lang w:val="en-US"/>
              </w:rPr>
            </w:pPr>
            <w:proofErr w:type="spellStart"/>
            <w:r w:rsidRPr="009554FD">
              <w:rPr>
                <w:rFonts w:eastAsia="Times New Roman" w:cs="Times New Roman"/>
                <w:snapToGrid w:val="0"/>
                <w:szCs w:val="24"/>
                <w:lang w:val="en-US"/>
              </w:rPr>
              <w:t>AUC</w:t>
            </w:r>
            <w:r w:rsidRPr="009554FD">
              <w:rPr>
                <w:rFonts w:eastAsia="Times New Roman" w:cs="Times New Roman"/>
                <w:snapToGrid w:val="0"/>
                <w:szCs w:val="24"/>
                <w:vertAlign w:val="subscript"/>
                <w:lang w:val="en-US"/>
              </w:rPr>
              <w:t>ss</w:t>
            </w:r>
            <w:proofErr w:type="spellEnd"/>
            <w:r w:rsidRPr="009554FD">
              <w:rPr>
                <w:rFonts w:eastAsia="Times New Roman" w:cs="Times New Roman"/>
                <w:snapToGrid w:val="0"/>
                <w:szCs w:val="24"/>
                <w:lang w:val="en-US"/>
              </w:rPr>
              <w:br/>
              <w:t>(</w:t>
            </w:r>
            <w:proofErr w:type="spellStart"/>
            <w:r w:rsidRPr="009554FD">
              <w:rPr>
                <w:rFonts w:eastAsia="Times New Roman" w:cs="Times New Roman"/>
                <w:snapToGrid w:val="0"/>
                <w:szCs w:val="24"/>
                <w:lang w:val="en-US"/>
              </w:rPr>
              <w:t>mcg•h</w:t>
            </w:r>
            <w:proofErr w:type="spellEnd"/>
            <w:r w:rsidRPr="009554FD">
              <w:rPr>
                <w:rFonts w:eastAsia="Times New Roman" w:cs="Times New Roman"/>
                <w:snapToGrid w:val="0"/>
                <w:szCs w:val="24"/>
                <w:lang w:val="en-US"/>
              </w:rPr>
              <w:t>/mL)</w:t>
            </w:r>
          </w:p>
        </w:tc>
        <w:tc>
          <w:tcPr>
            <w:tcW w:w="1033" w:type="dxa"/>
            <w:shd w:val="clear" w:color="auto" w:fill="auto"/>
          </w:tcPr>
          <w:p w14:paraId="01C185FC"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t</w:t>
            </w:r>
            <w:r w:rsidRPr="009554FD">
              <w:rPr>
                <w:rFonts w:eastAsia="Times New Roman" w:cs="Times New Roman"/>
                <w:snapToGrid w:val="0"/>
                <w:szCs w:val="24"/>
                <w:vertAlign w:val="subscript"/>
                <w:lang w:val="en-US"/>
              </w:rPr>
              <w:t>1/2</w:t>
            </w:r>
            <w:r w:rsidRPr="009554FD">
              <w:rPr>
                <w:rFonts w:eastAsia="Times New Roman" w:cs="Times New Roman"/>
                <w:snapToGrid w:val="0"/>
                <w:szCs w:val="24"/>
                <w:lang w:val="en-US"/>
              </w:rPr>
              <w:br/>
              <w:t>(h)</w:t>
            </w:r>
          </w:p>
        </w:tc>
        <w:tc>
          <w:tcPr>
            <w:tcW w:w="1258" w:type="dxa"/>
          </w:tcPr>
          <w:p w14:paraId="783DC266" w14:textId="77777777" w:rsidR="009554FD" w:rsidRPr="009554FD" w:rsidRDefault="009554FD" w:rsidP="009554FD">
            <w:pPr>
              <w:spacing w:after="0" w:line="240" w:lineRule="auto"/>
              <w:jc w:val="both"/>
              <w:rPr>
                <w:rFonts w:eastAsia="Times New Roman" w:cs="Times New Roman"/>
                <w:snapToGrid w:val="0"/>
                <w:szCs w:val="24"/>
                <w:lang w:val="en-US"/>
              </w:rPr>
            </w:pPr>
            <w:proofErr w:type="spellStart"/>
            <w:r w:rsidRPr="009554FD">
              <w:rPr>
                <w:rFonts w:eastAsia="Times New Roman" w:cs="Times New Roman"/>
                <w:snapToGrid w:val="0"/>
                <w:szCs w:val="24"/>
                <w:lang w:val="en-US"/>
              </w:rPr>
              <w:t>V</w:t>
            </w:r>
            <w:r w:rsidRPr="009554FD">
              <w:rPr>
                <w:rFonts w:eastAsia="Times New Roman" w:cs="Times New Roman"/>
                <w:snapToGrid w:val="0"/>
                <w:szCs w:val="24"/>
                <w:vertAlign w:val="subscript"/>
                <w:lang w:val="en-US"/>
              </w:rPr>
              <w:t>ss</w:t>
            </w:r>
            <w:proofErr w:type="spellEnd"/>
            <w:r w:rsidRPr="009554FD">
              <w:rPr>
                <w:rFonts w:eastAsia="Times New Roman" w:cs="Times New Roman"/>
                <w:snapToGrid w:val="0"/>
                <w:szCs w:val="24"/>
                <w:lang w:val="en-US"/>
              </w:rPr>
              <w:br/>
              <w:t>(mL)</w:t>
            </w:r>
          </w:p>
        </w:tc>
        <w:tc>
          <w:tcPr>
            <w:tcW w:w="1308" w:type="dxa"/>
            <w:shd w:val="clear" w:color="auto" w:fill="auto"/>
          </w:tcPr>
          <w:p w14:paraId="7457C98D"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CL</w:t>
            </w:r>
            <w:r w:rsidRPr="009554FD">
              <w:rPr>
                <w:rFonts w:eastAsia="Times New Roman" w:cs="Times New Roman"/>
                <w:snapToGrid w:val="0"/>
                <w:szCs w:val="24"/>
                <w:vertAlign w:val="subscript"/>
                <w:lang w:val="en-US"/>
              </w:rPr>
              <w:t>T</w:t>
            </w:r>
            <w:r w:rsidRPr="009554FD">
              <w:rPr>
                <w:rFonts w:eastAsia="Times New Roman" w:cs="Times New Roman"/>
                <w:snapToGrid w:val="0"/>
                <w:szCs w:val="24"/>
                <w:lang w:val="en-US"/>
              </w:rPr>
              <w:br/>
              <w:t>(mL/h/kg)</w:t>
            </w:r>
          </w:p>
        </w:tc>
        <w:tc>
          <w:tcPr>
            <w:tcW w:w="1306" w:type="dxa"/>
          </w:tcPr>
          <w:p w14:paraId="66DC18C9" w14:textId="77777777" w:rsidR="009554FD" w:rsidRPr="009554FD" w:rsidRDefault="009554FD" w:rsidP="009554FD">
            <w:pPr>
              <w:spacing w:after="0" w:line="240" w:lineRule="auto"/>
              <w:jc w:val="both"/>
              <w:rPr>
                <w:rFonts w:eastAsia="Times New Roman" w:cs="Times New Roman"/>
                <w:snapToGrid w:val="0"/>
                <w:szCs w:val="24"/>
                <w:vertAlign w:val="subscript"/>
                <w:lang w:val="en-US"/>
              </w:rPr>
            </w:pPr>
            <w:proofErr w:type="spellStart"/>
            <w:r w:rsidRPr="009554FD">
              <w:rPr>
                <w:rFonts w:eastAsia="Times New Roman" w:cs="Times New Roman"/>
                <w:snapToGrid w:val="0"/>
                <w:szCs w:val="24"/>
                <w:lang w:val="en-US"/>
              </w:rPr>
              <w:t>C</w:t>
            </w:r>
            <w:r w:rsidRPr="009554FD">
              <w:rPr>
                <w:rFonts w:eastAsia="Times New Roman" w:cs="Times New Roman"/>
                <w:snapToGrid w:val="0"/>
                <w:szCs w:val="24"/>
                <w:vertAlign w:val="subscript"/>
                <w:lang w:val="en-US"/>
              </w:rPr>
              <w:t>max,ss</w:t>
            </w:r>
            <w:proofErr w:type="spellEnd"/>
          </w:p>
          <w:p w14:paraId="24AFCCE2"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(mcg/mL)</w:t>
            </w:r>
          </w:p>
        </w:tc>
      </w:tr>
      <w:tr w:rsidR="009554FD" w:rsidRPr="009554FD" w14:paraId="3CAA29BE" w14:textId="77777777" w:rsidTr="009554FD">
        <w:tc>
          <w:tcPr>
            <w:tcW w:w="1175" w:type="dxa"/>
            <w:shd w:val="clear" w:color="auto" w:fill="auto"/>
          </w:tcPr>
          <w:p w14:paraId="345B88B8"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12 to 17 years (N=13)</w:t>
            </w:r>
          </w:p>
        </w:tc>
        <w:tc>
          <w:tcPr>
            <w:tcW w:w="1193" w:type="dxa"/>
            <w:shd w:val="clear" w:color="auto" w:fill="auto"/>
          </w:tcPr>
          <w:p w14:paraId="3698BBBC"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7</w:t>
            </w:r>
          </w:p>
        </w:tc>
        <w:tc>
          <w:tcPr>
            <w:tcW w:w="1130" w:type="dxa"/>
          </w:tcPr>
          <w:p w14:paraId="1C66DA50"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30</w:t>
            </w:r>
          </w:p>
        </w:tc>
        <w:tc>
          <w:tcPr>
            <w:tcW w:w="1429" w:type="dxa"/>
            <w:shd w:val="clear" w:color="auto" w:fill="auto"/>
          </w:tcPr>
          <w:p w14:paraId="30D1FFB0"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656 (334)</w:t>
            </w:r>
          </w:p>
        </w:tc>
        <w:tc>
          <w:tcPr>
            <w:tcW w:w="1033" w:type="dxa"/>
            <w:shd w:val="clear" w:color="auto" w:fill="auto"/>
          </w:tcPr>
          <w:p w14:paraId="034AC780"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7.5 (2.3)</w:t>
            </w:r>
          </w:p>
        </w:tc>
        <w:tc>
          <w:tcPr>
            <w:tcW w:w="1258" w:type="dxa"/>
          </w:tcPr>
          <w:p w14:paraId="66D434B1"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6420 (1980)</w:t>
            </w:r>
          </w:p>
        </w:tc>
        <w:tc>
          <w:tcPr>
            <w:tcW w:w="1308" w:type="dxa"/>
            <w:shd w:val="clear" w:color="auto" w:fill="auto"/>
          </w:tcPr>
          <w:p w14:paraId="75F6572C"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12.4 (3.9)</w:t>
            </w:r>
          </w:p>
        </w:tc>
        <w:tc>
          <w:tcPr>
            <w:tcW w:w="1306" w:type="dxa"/>
          </w:tcPr>
          <w:p w14:paraId="067B20E8"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104 (35.5)</w:t>
            </w:r>
          </w:p>
        </w:tc>
      </w:tr>
      <w:tr w:rsidR="009554FD" w:rsidRPr="009554FD" w14:paraId="722CD080" w14:textId="77777777" w:rsidTr="009554FD">
        <w:tc>
          <w:tcPr>
            <w:tcW w:w="1175" w:type="dxa"/>
            <w:shd w:val="clear" w:color="auto" w:fill="auto"/>
          </w:tcPr>
          <w:p w14:paraId="6710201C"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7 to 11 years (N=19)</w:t>
            </w:r>
          </w:p>
        </w:tc>
        <w:tc>
          <w:tcPr>
            <w:tcW w:w="1193" w:type="dxa"/>
            <w:shd w:val="clear" w:color="auto" w:fill="auto"/>
          </w:tcPr>
          <w:p w14:paraId="70ACB3F3"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9</w:t>
            </w:r>
          </w:p>
        </w:tc>
        <w:tc>
          <w:tcPr>
            <w:tcW w:w="1130" w:type="dxa"/>
          </w:tcPr>
          <w:p w14:paraId="2C80730E"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30</w:t>
            </w:r>
          </w:p>
        </w:tc>
        <w:tc>
          <w:tcPr>
            <w:tcW w:w="1429" w:type="dxa"/>
            <w:shd w:val="clear" w:color="auto" w:fill="auto"/>
          </w:tcPr>
          <w:p w14:paraId="56CAAAA3"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579 (116)</w:t>
            </w:r>
          </w:p>
        </w:tc>
        <w:tc>
          <w:tcPr>
            <w:tcW w:w="1033" w:type="dxa"/>
            <w:shd w:val="clear" w:color="auto" w:fill="auto"/>
          </w:tcPr>
          <w:p w14:paraId="38012527"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6.0 (0.8)</w:t>
            </w:r>
          </w:p>
        </w:tc>
        <w:tc>
          <w:tcPr>
            <w:tcW w:w="1258" w:type="dxa"/>
          </w:tcPr>
          <w:p w14:paraId="1EFB1F43"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4510 (1470)</w:t>
            </w:r>
          </w:p>
        </w:tc>
        <w:tc>
          <w:tcPr>
            <w:tcW w:w="1308" w:type="dxa"/>
            <w:shd w:val="clear" w:color="auto" w:fill="auto"/>
          </w:tcPr>
          <w:p w14:paraId="22EB1BDE"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15.9 (2.8)</w:t>
            </w:r>
          </w:p>
        </w:tc>
        <w:tc>
          <w:tcPr>
            <w:tcW w:w="1306" w:type="dxa"/>
          </w:tcPr>
          <w:p w14:paraId="3098D4EA"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104 (14.5)</w:t>
            </w:r>
          </w:p>
        </w:tc>
      </w:tr>
      <w:tr w:rsidR="009554FD" w:rsidRPr="009554FD" w14:paraId="5B7B8E7A" w14:textId="77777777" w:rsidTr="009554FD">
        <w:tc>
          <w:tcPr>
            <w:tcW w:w="1175" w:type="dxa"/>
            <w:shd w:val="clear" w:color="auto" w:fill="auto"/>
          </w:tcPr>
          <w:p w14:paraId="3C47A0E2"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lastRenderedPageBreak/>
              <w:t>2 to 6 years (N=19)</w:t>
            </w:r>
          </w:p>
        </w:tc>
        <w:tc>
          <w:tcPr>
            <w:tcW w:w="1193" w:type="dxa"/>
            <w:shd w:val="clear" w:color="auto" w:fill="auto"/>
          </w:tcPr>
          <w:p w14:paraId="22F3C49C"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12</w:t>
            </w:r>
          </w:p>
        </w:tc>
        <w:tc>
          <w:tcPr>
            <w:tcW w:w="1130" w:type="dxa"/>
          </w:tcPr>
          <w:p w14:paraId="7CCA6B96"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60</w:t>
            </w:r>
          </w:p>
        </w:tc>
        <w:tc>
          <w:tcPr>
            <w:tcW w:w="1429" w:type="dxa"/>
            <w:shd w:val="clear" w:color="auto" w:fill="auto"/>
          </w:tcPr>
          <w:p w14:paraId="7C8E4E4D"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620 (109)</w:t>
            </w:r>
          </w:p>
        </w:tc>
        <w:tc>
          <w:tcPr>
            <w:tcW w:w="1033" w:type="dxa"/>
            <w:shd w:val="clear" w:color="auto" w:fill="auto"/>
          </w:tcPr>
          <w:p w14:paraId="7A5EE711"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5.1 (0.6)</w:t>
            </w:r>
          </w:p>
        </w:tc>
        <w:tc>
          <w:tcPr>
            <w:tcW w:w="1258" w:type="dxa"/>
          </w:tcPr>
          <w:p w14:paraId="25D36433"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2200 (570)</w:t>
            </w:r>
          </w:p>
        </w:tc>
        <w:tc>
          <w:tcPr>
            <w:tcW w:w="1308" w:type="dxa"/>
            <w:shd w:val="clear" w:color="auto" w:fill="auto"/>
          </w:tcPr>
          <w:p w14:paraId="39B7B718"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19.9 (3.4)</w:t>
            </w:r>
          </w:p>
        </w:tc>
        <w:tc>
          <w:tcPr>
            <w:tcW w:w="1306" w:type="dxa"/>
          </w:tcPr>
          <w:p w14:paraId="57F7E0E5" w14:textId="77777777" w:rsidR="009554FD" w:rsidRPr="009554FD" w:rsidRDefault="009554FD" w:rsidP="009554FD">
            <w:pPr>
              <w:spacing w:after="0" w:line="240" w:lineRule="auto"/>
              <w:jc w:val="both"/>
              <w:rPr>
                <w:rFonts w:eastAsia="Times New Roman" w:cs="Times New Roman"/>
                <w:snapToGrid w:val="0"/>
                <w:szCs w:val="24"/>
                <w:lang w:val="en-US"/>
              </w:rPr>
            </w:pPr>
            <w:r w:rsidRPr="009554FD">
              <w:rPr>
                <w:rFonts w:eastAsia="Times New Roman" w:cs="Times New Roman"/>
                <w:snapToGrid w:val="0"/>
                <w:szCs w:val="24"/>
                <w:lang w:val="en-US"/>
              </w:rPr>
              <w:t>106 (12.8)</w:t>
            </w:r>
          </w:p>
        </w:tc>
      </w:tr>
    </w:tbl>
    <w:p w14:paraId="2E15BDA1" w14:textId="77777777" w:rsidR="009554FD" w:rsidRPr="009554FD" w:rsidRDefault="009554FD" w:rsidP="009554FD">
      <w:pPr>
        <w:widowControl w:val="0"/>
        <w:tabs>
          <w:tab w:val="left" w:pos="0"/>
        </w:tabs>
        <w:autoSpaceDE w:val="0"/>
        <w:autoSpaceDN w:val="0"/>
        <w:adjustRightInd w:val="0"/>
        <w:spacing w:after="0" w:line="320" w:lineRule="atLeast"/>
        <w:jc w:val="both"/>
        <w:rPr>
          <w:rFonts w:eastAsia="Times New Roman" w:cs="Times New Roman"/>
          <w:sz w:val="20"/>
          <w:szCs w:val="20"/>
        </w:rPr>
      </w:pPr>
      <w:proofErr w:type="spellStart"/>
      <w:r w:rsidRPr="009554FD">
        <w:rPr>
          <w:rFonts w:eastAsia="Times New Roman" w:cs="Times New Roman"/>
          <w:sz w:val="20"/>
          <w:szCs w:val="20"/>
        </w:rPr>
        <w:t>AUC</w:t>
      </w:r>
      <w:r w:rsidRPr="009554FD">
        <w:rPr>
          <w:rFonts w:eastAsia="Times New Roman" w:cs="Times New Roman"/>
          <w:sz w:val="20"/>
          <w:szCs w:val="20"/>
          <w:vertAlign w:val="subscript"/>
        </w:rPr>
        <w:t>ss</w:t>
      </w:r>
      <w:proofErr w:type="spellEnd"/>
      <w:r w:rsidRPr="009554FD">
        <w:rPr>
          <w:rFonts w:eastAsia="Times New Roman" w:cs="Times New Roman"/>
          <w:sz w:val="20"/>
          <w:szCs w:val="20"/>
        </w:rPr>
        <w:t xml:space="preserve"> area under the concentration-time curve at steady state; CL</w:t>
      </w:r>
      <w:r w:rsidRPr="009554FD">
        <w:rPr>
          <w:rFonts w:eastAsia="Times New Roman" w:cs="Times New Roman"/>
          <w:sz w:val="20"/>
          <w:szCs w:val="20"/>
          <w:vertAlign w:val="subscript"/>
        </w:rPr>
        <w:t>T</w:t>
      </w:r>
      <w:r w:rsidRPr="009554FD">
        <w:rPr>
          <w:rFonts w:eastAsia="Times New Roman" w:cs="Times New Roman"/>
          <w:sz w:val="20"/>
          <w:szCs w:val="20"/>
        </w:rPr>
        <w:t xml:space="preserve"> clearance normalised to body weight.</w:t>
      </w:r>
    </w:p>
    <w:p w14:paraId="1318A521" w14:textId="77777777" w:rsidR="009554FD" w:rsidRPr="009554FD" w:rsidRDefault="009554FD" w:rsidP="009554FD">
      <w:pPr>
        <w:widowControl w:val="0"/>
        <w:tabs>
          <w:tab w:val="left" w:pos="0"/>
        </w:tabs>
        <w:autoSpaceDE w:val="0"/>
        <w:autoSpaceDN w:val="0"/>
        <w:adjustRightInd w:val="0"/>
        <w:spacing w:after="0" w:line="320" w:lineRule="atLeast"/>
        <w:jc w:val="both"/>
        <w:rPr>
          <w:rFonts w:eastAsia="Times New Roman" w:cs="Times New Roman"/>
          <w:sz w:val="20"/>
          <w:szCs w:val="20"/>
        </w:rPr>
      </w:pPr>
      <w:proofErr w:type="spellStart"/>
      <w:r w:rsidRPr="009554FD">
        <w:rPr>
          <w:rFonts w:eastAsia="Times New Roman" w:cs="Times New Roman"/>
          <w:sz w:val="20"/>
          <w:szCs w:val="20"/>
        </w:rPr>
        <w:t>V</w:t>
      </w:r>
      <w:r w:rsidRPr="009554FD">
        <w:rPr>
          <w:rFonts w:eastAsia="Times New Roman" w:cs="Times New Roman"/>
          <w:sz w:val="20"/>
          <w:szCs w:val="20"/>
          <w:vertAlign w:val="subscript"/>
        </w:rPr>
        <w:t>ss</w:t>
      </w:r>
      <w:proofErr w:type="spellEnd"/>
      <w:r w:rsidRPr="009554FD">
        <w:rPr>
          <w:rFonts w:eastAsia="Times New Roman" w:cs="Times New Roman"/>
          <w:sz w:val="20"/>
          <w:szCs w:val="20"/>
        </w:rPr>
        <w:t xml:space="preserve"> volume of distribution at steady state; t</w:t>
      </w:r>
      <w:r w:rsidRPr="009554FD">
        <w:rPr>
          <w:rFonts w:eastAsia="Times New Roman" w:cs="Times New Roman"/>
          <w:sz w:val="20"/>
          <w:szCs w:val="20"/>
          <w:vertAlign w:val="subscript"/>
        </w:rPr>
        <w:t>1/2</w:t>
      </w:r>
      <w:r w:rsidRPr="009554FD">
        <w:rPr>
          <w:rFonts w:eastAsia="Times New Roman" w:cs="Times New Roman"/>
          <w:sz w:val="20"/>
          <w:szCs w:val="20"/>
        </w:rPr>
        <w:t xml:space="preserve"> terminal half-life</w:t>
      </w:r>
    </w:p>
    <w:p w14:paraId="25670E8E" w14:textId="77777777" w:rsidR="009554FD" w:rsidRDefault="009554FD" w:rsidP="00E2430F"/>
    <w:p w14:paraId="5A351E1D" w14:textId="377ECC83" w:rsidR="0033162C" w:rsidRDefault="0033162C" w:rsidP="00C94FA2">
      <w:pPr>
        <w:jc w:val="both"/>
      </w:pPr>
      <w:r>
        <w:t xml:space="preserve">No patients 1 to </w:t>
      </w:r>
      <w:r>
        <w:sym w:font="Symbol" w:char="F03C"/>
      </w:r>
      <w:r>
        <w:t xml:space="preserve">2 years of age were enrolled in the study. Simulation using a population pharmacokinetic model demonstrated that the </w:t>
      </w:r>
      <w:proofErr w:type="spellStart"/>
      <w:r>
        <w:t>AUC</w:t>
      </w:r>
      <w:r w:rsidRPr="0033162C">
        <w:rPr>
          <w:vertAlign w:val="subscript"/>
        </w:rPr>
        <w:t>ss</w:t>
      </w:r>
      <w:proofErr w:type="spellEnd"/>
      <w:r>
        <w:t xml:space="preserve"> of </w:t>
      </w:r>
      <w:proofErr w:type="spellStart"/>
      <w:r>
        <w:t>daptomycin</w:t>
      </w:r>
      <w:proofErr w:type="spellEnd"/>
      <w:r>
        <w:t xml:space="preserve"> in paediatric patient</w:t>
      </w:r>
      <w:r w:rsidR="00A679F5">
        <w:t>s</w:t>
      </w:r>
      <w:r>
        <w:t xml:space="preserve"> 1 to </w:t>
      </w:r>
      <w:r>
        <w:sym w:font="Symbol" w:char="F03C"/>
      </w:r>
      <w:r>
        <w:t xml:space="preserve"> 2 year</w:t>
      </w:r>
      <w:r w:rsidR="00A679F5">
        <w:t>s</w:t>
      </w:r>
      <w:r>
        <w:t xml:space="preserve"> of age receiving 12 mg/kg once daily would be comparable to that in adult patients receiving 6 mg/kg once daily.</w:t>
      </w:r>
    </w:p>
    <w:p w14:paraId="33FD035C" w14:textId="77777777"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r w:rsidRPr="006A2C95">
        <w:rPr>
          <w:rFonts w:eastAsia="Times New Roman" w:cs="Times New Roman"/>
          <w:bCs/>
          <w:i/>
          <w:iCs/>
          <w:szCs w:val="20"/>
          <w:u w:val="single"/>
        </w:rPr>
        <w:t>Obesity</w:t>
      </w:r>
      <w:r w:rsidRPr="006A2C95">
        <w:rPr>
          <w:rFonts w:eastAsia="Times New Roman" w:cs="Times New Roman"/>
          <w:bCs/>
          <w:szCs w:val="20"/>
          <w:u w:val="single"/>
        </w:rPr>
        <w:t>:</w:t>
      </w:r>
      <w:r w:rsidRPr="006A2C95">
        <w:rPr>
          <w:rFonts w:eastAsia="Times New Roman" w:cs="Times New Roman"/>
          <w:bCs/>
          <w:szCs w:val="20"/>
        </w:rPr>
        <w:t xml:space="preserve">  </w:t>
      </w:r>
      <w:r w:rsidRPr="006A2C95">
        <w:rPr>
          <w:rFonts w:eastAsia="Times New Roman" w:cs="Times New Roman"/>
          <w:szCs w:val="20"/>
        </w:rPr>
        <w:t xml:space="preserve">The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were evaluated in 6 moderately obese (Body Mass Index [BMI] 25 to 39.9 kg/m</w:t>
      </w:r>
      <w:r w:rsidRPr="006A2C95">
        <w:rPr>
          <w:rFonts w:eastAsia="Times New Roman" w:cs="Times New Roman"/>
          <w:szCs w:val="20"/>
          <w:vertAlign w:val="superscript"/>
        </w:rPr>
        <w:t>2</w:t>
      </w:r>
      <w:r w:rsidRPr="006A2C95">
        <w:rPr>
          <w:rFonts w:eastAsia="Times New Roman" w:cs="Times New Roman"/>
          <w:szCs w:val="20"/>
        </w:rPr>
        <w:t>) and 6 extremely obese (BMI ≥ 40 kg/m</w:t>
      </w:r>
      <w:r w:rsidRPr="006A2C95">
        <w:rPr>
          <w:rFonts w:eastAsia="Times New Roman" w:cs="Times New Roman"/>
          <w:szCs w:val="20"/>
          <w:vertAlign w:val="superscript"/>
        </w:rPr>
        <w:t>2</w:t>
      </w:r>
      <w:r w:rsidRPr="006A2C95">
        <w:rPr>
          <w:rFonts w:eastAsia="Times New Roman" w:cs="Times New Roman"/>
          <w:szCs w:val="20"/>
        </w:rPr>
        <w:t xml:space="preserve">) subjects and controls matched for age, sex, and renal function.  Following administration of a single 4 mg/kg IV dose based on total body weight, the plasma clearance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normalised to total body weight was approximately 15 % lower in moderately obese subjects and 23 % lower in extremely obese subjects compared with non-obese controls.  The AUC</w:t>
      </w:r>
      <w:r w:rsidRPr="006A2C95">
        <w:rPr>
          <w:rFonts w:eastAsia="Times New Roman" w:cs="Times New Roman"/>
          <w:szCs w:val="20"/>
          <w:vertAlign w:val="subscript"/>
        </w:rPr>
        <w:t>0-</w:t>
      </w:r>
      <w:r w:rsidRPr="006A2C95">
        <w:rPr>
          <w:rFonts w:eastAsia="Times New Roman" w:cs="Times New Roman"/>
          <w:szCs w:val="20"/>
          <w:vertAlign w:val="subscript"/>
        </w:rPr>
        <w:sym w:font="Symbol" w:char="F0A5"/>
      </w:r>
      <w:r w:rsidRPr="006A2C95">
        <w:rPr>
          <w:rFonts w:eastAsia="Times New Roman" w:cs="Times New Roman"/>
          <w:szCs w:val="20"/>
        </w:rPr>
        <w:t xml:space="preserve">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was approximately 30 % higher in moderately obese and 31 % higher in extremely obese subjects compared with non-obese controls. The differences were most likely due to differences in the renal clearance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No dosage adjustment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is warranted in obese subjects.</w:t>
      </w:r>
    </w:p>
    <w:p w14:paraId="357F31B2" w14:textId="77777777" w:rsidR="006A2C95" w:rsidRDefault="006A2C95" w:rsidP="00E2430F"/>
    <w:p w14:paraId="3DBB3D37" w14:textId="77777777" w:rsid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r w:rsidRPr="006A2C95">
        <w:rPr>
          <w:rFonts w:eastAsia="Times New Roman" w:cs="Times New Roman"/>
          <w:i/>
          <w:iCs/>
          <w:szCs w:val="20"/>
          <w:u w:val="single"/>
        </w:rPr>
        <w:t>Gender</w:t>
      </w:r>
      <w:r w:rsidRPr="006A2C95">
        <w:rPr>
          <w:rFonts w:eastAsia="Times New Roman" w:cs="Times New Roman"/>
          <w:szCs w:val="20"/>
          <w:u w:val="single"/>
        </w:rPr>
        <w:t>:</w:t>
      </w:r>
      <w:r w:rsidRPr="006A2C95">
        <w:rPr>
          <w:rFonts w:eastAsia="Times New Roman" w:cs="Times New Roman"/>
          <w:szCs w:val="20"/>
        </w:rPr>
        <w:t xml:space="preserve">  No clinically significant gender-related differences in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pharmacokinetics have been observed.  No dosage adjustment is warranted based on gender when administering </w:t>
      </w:r>
      <w:proofErr w:type="spellStart"/>
      <w:r w:rsidRPr="006A2C95">
        <w:rPr>
          <w:rFonts w:eastAsia="Times New Roman" w:cs="Times New Roman"/>
          <w:szCs w:val="20"/>
        </w:rPr>
        <w:t>daptomycin</w:t>
      </w:r>
      <w:proofErr w:type="spellEnd"/>
      <w:r w:rsidRPr="006A2C95">
        <w:rPr>
          <w:rFonts w:eastAsia="Times New Roman" w:cs="Times New Roman"/>
          <w:szCs w:val="20"/>
        </w:rPr>
        <w:t>.</w:t>
      </w:r>
    </w:p>
    <w:p w14:paraId="34869A06" w14:textId="77777777" w:rsidR="00DC7758" w:rsidRPr="006A2C95" w:rsidRDefault="00DC7758" w:rsidP="006A2C95">
      <w:pPr>
        <w:widowControl w:val="0"/>
        <w:tabs>
          <w:tab w:val="left" w:pos="0"/>
        </w:tabs>
        <w:autoSpaceDE w:val="0"/>
        <w:autoSpaceDN w:val="0"/>
        <w:adjustRightInd w:val="0"/>
        <w:spacing w:after="0" w:line="320" w:lineRule="atLeast"/>
        <w:jc w:val="both"/>
        <w:rPr>
          <w:rFonts w:eastAsia="Times New Roman" w:cs="Times New Roman"/>
          <w:szCs w:val="20"/>
        </w:rPr>
      </w:pPr>
    </w:p>
    <w:p w14:paraId="7ACC342E" w14:textId="068B85A6" w:rsid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r w:rsidRPr="006A2C95">
        <w:rPr>
          <w:rFonts w:eastAsia="Times New Roman" w:cs="Times New Roman"/>
          <w:i/>
          <w:iCs/>
          <w:szCs w:val="20"/>
          <w:u w:val="single"/>
        </w:rPr>
        <w:t>Renal Impairment</w:t>
      </w:r>
      <w:r w:rsidRPr="006A2C95">
        <w:rPr>
          <w:rFonts w:eastAsia="Times New Roman" w:cs="Times New Roman"/>
          <w:szCs w:val="20"/>
          <w:u w:val="single"/>
        </w:rPr>
        <w:t>:</w:t>
      </w:r>
      <w:r w:rsidRPr="006A2C95">
        <w:rPr>
          <w:rFonts w:eastAsia="Times New Roman" w:cs="Times New Roman"/>
          <w:szCs w:val="20"/>
        </w:rPr>
        <w:t xml:space="preserve">  Population derived pharmacokinetic parameters were determined for infected </w:t>
      </w:r>
      <w:r w:rsidR="009554FD">
        <w:rPr>
          <w:rFonts w:eastAsia="Times New Roman" w:cs="Times New Roman"/>
          <w:szCs w:val="20"/>
        </w:rPr>
        <w:t xml:space="preserve">adult </w:t>
      </w:r>
      <w:r w:rsidRPr="006A2C95">
        <w:rPr>
          <w:rFonts w:eastAsia="Times New Roman" w:cs="Times New Roman"/>
          <w:szCs w:val="20"/>
        </w:rPr>
        <w:t xml:space="preserve">patients (complicated skin and skin structure infections and </w:t>
      </w:r>
      <w:r w:rsidRPr="006A2C95">
        <w:rPr>
          <w:rFonts w:eastAsia="Times New Roman" w:cs="Times New Roman"/>
          <w:i/>
          <w:szCs w:val="20"/>
        </w:rPr>
        <w:t>S. aureus</w:t>
      </w:r>
      <w:r w:rsidRPr="006A2C95">
        <w:rPr>
          <w:rFonts w:eastAsia="Times New Roman" w:cs="Times New Roman"/>
          <w:szCs w:val="20"/>
        </w:rPr>
        <w:t xml:space="preserve"> bacteraemia) and non-infected </w:t>
      </w:r>
      <w:r w:rsidR="009554FD">
        <w:rPr>
          <w:rFonts w:eastAsia="Times New Roman" w:cs="Times New Roman"/>
          <w:szCs w:val="20"/>
        </w:rPr>
        <w:t xml:space="preserve">adult </w:t>
      </w:r>
      <w:r w:rsidRPr="006A2C95">
        <w:rPr>
          <w:rFonts w:eastAsia="Times New Roman" w:cs="Times New Roman"/>
          <w:szCs w:val="20"/>
        </w:rPr>
        <w:t xml:space="preserve">subjects with varying degrees of renal function (Table </w:t>
      </w:r>
      <w:r w:rsidR="00EF3388">
        <w:rPr>
          <w:rFonts w:eastAsia="Times New Roman" w:cs="Times New Roman"/>
          <w:szCs w:val="20"/>
        </w:rPr>
        <w:t>1</w:t>
      </w:r>
      <w:r w:rsidR="00644E6B">
        <w:rPr>
          <w:rFonts w:eastAsia="Times New Roman" w:cs="Times New Roman"/>
          <w:szCs w:val="20"/>
        </w:rPr>
        <w:t>5</w:t>
      </w:r>
      <w:r w:rsidRPr="004C3EED">
        <w:rPr>
          <w:rFonts w:eastAsia="Times New Roman" w:cs="Times New Roman"/>
          <w:szCs w:val="20"/>
        </w:rPr>
        <w:t>)</w:t>
      </w:r>
      <w:r w:rsidRPr="006A2C95">
        <w:rPr>
          <w:rFonts w:eastAsia="Times New Roman" w:cs="Times New Roman"/>
          <w:szCs w:val="20"/>
        </w:rPr>
        <w:t>. Plasma clearance (CL</w:t>
      </w:r>
      <w:r w:rsidRPr="006A2C95">
        <w:rPr>
          <w:rFonts w:eastAsia="Times New Roman" w:cs="Times New Roman"/>
          <w:szCs w:val="20"/>
          <w:vertAlign w:val="subscript"/>
        </w:rPr>
        <w:t>T</w:t>
      </w:r>
      <w:r w:rsidRPr="006A2C95">
        <w:rPr>
          <w:rFonts w:eastAsia="Times New Roman" w:cs="Times New Roman"/>
          <w:szCs w:val="20"/>
        </w:rPr>
        <w:t>), elimination half-life (t</w:t>
      </w:r>
      <w:r w:rsidRPr="006A2C95">
        <w:rPr>
          <w:rFonts w:eastAsia="Times New Roman" w:cs="Times New Roman"/>
          <w:szCs w:val="20"/>
          <w:vertAlign w:val="subscript"/>
        </w:rPr>
        <w:t>1/2</w:t>
      </w:r>
      <w:r w:rsidRPr="006A2C95">
        <w:rPr>
          <w:rFonts w:eastAsia="Times New Roman" w:cs="Times New Roman"/>
          <w:szCs w:val="20"/>
        </w:rPr>
        <w:t xml:space="preserve">), and volume of distribution </w:t>
      </w:r>
      <w:r w:rsidR="009554FD">
        <w:rPr>
          <w:rFonts w:eastAsia="Times New Roman" w:cs="Times New Roman"/>
          <w:szCs w:val="20"/>
        </w:rPr>
        <w:t xml:space="preserve">at steady state </w:t>
      </w:r>
      <w:r w:rsidRPr="006A2C95">
        <w:rPr>
          <w:rFonts w:eastAsia="Times New Roman" w:cs="Times New Roman"/>
          <w:szCs w:val="20"/>
        </w:rPr>
        <w:t>(</w:t>
      </w:r>
      <w:proofErr w:type="spellStart"/>
      <w:r w:rsidRPr="006A2C95">
        <w:rPr>
          <w:rFonts w:eastAsia="Times New Roman" w:cs="Times New Roman"/>
          <w:szCs w:val="20"/>
        </w:rPr>
        <w:t>V</w:t>
      </w:r>
      <w:r w:rsidRPr="006A2C95">
        <w:rPr>
          <w:rFonts w:eastAsia="Times New Roman" w:cs="Times New Roman"/>
          <w:szCs w:val="20"/>
          <w:vertAlign w:val="subscript"/>
        </w:rPr>
        <w:t>ss</w:t>
      </w:r>
      <w:proofErr w:type="spellEnd"/>
      <w:r w:rsidRPr="006A2C95">
        <w:rPr>
          <w:rFonts w:eastAsia="Times New Roman" w:cs="Times New Roman"/>
          <w:szCs w:val="20"/>
        </w:rPr>
        <w:t xml:space="preserve">) were similar in patients with complicated skin and skin structure infections compared with those with </w:t>
      </w:r>
      <w:r w:rsidRPr="006A2C95">
        <w:rPr>
          <w:rFonts w:eastAsia="Times New Roman" w:cs="Times New Roman"/>
          <w:i/>
          <w:szCs w:val="20"/>
        </w:rPr>
        <w:t>S. aureus</w:t>
      </w:r>
      <w:r w:rsidRPr="006A2C95">
        <w:rPr>
          <w:rFonts w:eastAsia="Times New Roman" w:cs="Times New Roman"/>
          <w:szCs w:val="20"/>
        </w:rPr>
        <w:t xml:space="preserve"> bacteraemia.  Following the administration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4 mg/kg q24h, the mean CL</w:t>
      </w:r>
      <w:r w:rsidRPr="006A2C95">
        <w:rPr>
          <w:rFonts w:eastAsia="Times New Roman" w:cs="Times New Roman"/>
          <w:szCs w:val="20"/>
          <w:vertAlign w:val="subscript"/>
        </w:rPr>
        <w:t>T</w:t>
      </w:r>
      <w:r w:rsidRPr="006A2C95">
        <w:rPr>
          <w:rFonts w:eastAsia="Times New Roman" w:cs="Times New Roman"/>
          <w:szCs w:val="20"/>
        </w:rPr>
        <w:t xml:space="preserve"> was 9 %, 22 %, and 46 % lower among subjects and patients with mild (CL</w:t>
      </w:r>
      <w:r w:rsidRPr="006A2C95">
        <w:rPr>
          <w:rFonts w:eastAsia="Times New Roman" w:cs="Times New Roman"/>
          <w:szCs w:val="20"/>
          <w:vertAlign w:val="subscript"/>
        </w:rPr>
        <w:t>CR</w:t>
      </w:r>
      <w:r w:rsidRPr="006A2C95">
        <w:rPr>
          <w:rFonts w:eastAsia="Times New Roman" w:cs="Times New Roman"/>
          <w:szCs w:val="20"/>
        </w:rPr>
        <w:t xml:space="preserve"> 50</w:t>
      </w:r>
      <w:r w:rsidRPr="006A2C95">
        <w:rPr>
          <w:rFonts w:eastAsia="Times New Roman" w:cs="Times New Roman"/>
          <w:szCs w:val="20"/>
        </w:rPr>
        <w:noBreakHyphen/>
        <w:t>80 mL/min), moderate (CL</w:t>
      </w:r>
      <w:r w:rsidRPr="006A2C95">
        <w:rPr>
          <w:rFonts w:eastAsia="Times New Roman" w:cs="Times New Roman"/>
          <w:szCs w:val="20"/>
          <w:vertAlign w:val="subscript"/>
        </w:rPr>
        <w:t>CR</w:t>
      </w:r>
      <w:r w:rsidRPr="006A2C95">
        <w:rPr>
          <w:rFonts w:eastAsia="Times New Roman" w:cs="Times New Roman"/>
          <w:szCs w:val="20"/>
        </w:rPr>
        <w:t xml:space="preserve"> 30</w:t>
      </w:r>
      <w:r w:rsidRPr="006A2C95">
        <w:rPr>
          <w:rFonts w:eastAsia="Times New Roman" w:cs="Times New Roman"/>
          <w:szCs w:val="20"/>
        </w:rPr>
        <w:noBreakHyphen/>
        <w:t>50 mL/min), and severe (CL</w:t>
      </w:r>
      <w:r w:rsidRPr="006A2C95">
        <w:rPr>
          <w:rFonts w:eastAsia="Times New Roman" w:cs="Times New Roman"/>
          <w:szCs w:val="20"/>
          <w:vertAlign w:val="subscript"/>
        </w:rPr>
        <w:t>CR</w:t>
      </w:r>
      <w:r w:rsidRPr="006A2C95">
        <w:rPr>
          <w:rFonts w:eastAsia="Times New Roman" w:cs="Times New Roman"/>
          <w:szCs w:val="20"/>
        </w:rPr>
        <w:t xml:space="preserve"> &lt; 30 mL/min) renal impairment, respectively, than in those with normal renal function (CL</w:t>
      </w:r>
      <w:r w:rsidRPr="006A2C95">
        <w:rPr>
          <w:rFonts w:eastAsia="Times New Roman" w:cs="Times New Roman"/>
          <w:szCs w:val="20"/>
          <w:vertAlign w:val="subscript"/>
        </w:rPr>
        <w:t>CR</w:t>
      </w:r>
      <w:r w:rsidRPr="006A2C95">
        <w:rPr>
          <w:rFonts w:eastAsia="Times New Roman" w:cs="Times New Roman"/>
          <w:szCs w:val="20"/>
        </w:rPr>
        <w:t> &gt; 80 mL/min).  The mean steady-state systemic exposure (AUC), t</w:t>
      </w:r>
      <w:r w:rsidRPr="006A2C95">
        <w:rPr>
          <w:rFonts w:eastAsia="Times New Roman" w:cs="Times New Roman"/>
          <w:szCs w:val="20"/>
          <w:vertAlign w:val="subscript"/>
        </w:rPr>
        <w:t>1/2</w:t>
      </w:r>
      <w:r w:rsidRPr="006A2C95">
        <w:rPr>
          <w:rFonts w:eastAsia="Times New Roman" w:cs="Times New Roman"/>
          <w:szCs w:val="20"/>
        </w:rPr>
        <w:t xml:space="preserve">, and </w:t>
      </w:r>
      <w:proofErr w:type="spellStart"/>
      <w:r w:rsidRPr="006A2C95">
        <w:rPr>
          <w:rFonts w:eastAsia="Times New Roman" w:cs="Times New Roman"/>
          <w:szCs w:val="20"/>
        </w:rPr>
        <w:t>V</w:t>
      </w:r>
      <w:r w:rsidRPr="006A2C95">
        <w:rPr>
          <w:rFonts w:eastAsia="Times New Roman" w:cs="Times New Roman"/>
          <w:szCs w:val="20"/>
          <w:vertAlign w:val="subscript"/>
        </w:rPr>
        <w:t>ss</w:t>
      </w:r>
      <w:proofErr w:type="spellEnd"/>
      <w:r w:rsidRPr="006A2C95">
        <w:rPr>
          <w:rFonts w:eastAsia="Times New Roman" w:cs="Times New Roman"/>
          <w:szCs w:val="20"/>
          <w:vertAlign w:val="subscript"/>
        </w:rPr>
        <w:t xml:space="preserve"> </w:t>
      </w:r>
      <w:r w:rsidRPr="006A2C95">
        <w:rPr>
          <w:rFonts w:eastAsia="Times New Roman" w:cs="Times New Roman"/>
          <w:szCs w:val="20"/>
        </w:rPr>
        <w:t>increased with decreasing renal function, although the mean AUC was not markedly different for patients with CL</w:t>
      </w:r>
      <w:r w:rsidRPr="006A2C95">
        <w:rPr>
          <w:rFonts w:eastAsia="Times New Roman" w:cs="Times New Roman"/>
          <w:szCs w:val="20"/>
          <w:vertAlign w:val="subscript"/>
        </w:rPr>
        <w:t>CR</w:t>
      </w:r>
      <w:r w:rsidRPr="006A2C95">
        <w:rPr>
          <w:rFonts w:eastAsia="Times New Roman" w:cs="Times New Roman"/>
          <w:szCs w:val="20"/>
        </w:rPr>
        <w:t xml:space="preserve"> 30</w:t>
      </w:r>
      <w:r w:rsidRPr="006A2C95">
        <w:rPr>
          <w:rFonts w:eastAsia="Times New Roman" w:cs="Times New Roman"/>
          <w:szCs w:val="20"/>
        </w:rPr>
        <w:noBreakHyphen/>
        <w:t>80 mL/min compared with those with normal renal function.  The mean AUC for patients with CL</w:t>
      </w:r>
      <w:r w:rsidRPr="006A2C95">
        <w:rPr>
          <w:rFonts w:eastAsia="Times New Roman" w:cs="Times New Roman"/>
          <w:szCs w:val="20"/>
          <w:vertAlign w:val="subscript"/>
        </w:rPr>
        <w:t>CR</w:t>
      </w:r>
      <w:r w:rsidRPr="006A2C95">
        <w:rPr>
          <w:rFonts w:eastAsia="Times New Roman" w:cs="Times New Roman"/>
          <w:szCs w:val="20"/>
        </w:rPr>
        <w:t xml:space="preserve"> &lt;30 mL/min and for patients on haemodialysis (dosed post-dialysis) was approximately 2 and 3 times higher, respectively, than for patients with normal renal function.  Following the administration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4 mg/kg q24h, the mean </w:t>
      </w:r>
      <w:proofErr w:type="spellStart"/>
      <w:r w:rsidRPr="006A2C95">
        <w:rPr>
          <w:rFonts w:eastAsia="Times New Roman" w:cs="Times New Roman"/>
          <w:szCs w:val="20"/>
        </w:rPr>
        <w:t>C</w:t>
      </w:r>
      <w:r w:rsidRPr="006A2C95">
        <w:rPr>
          <w:rFonts w:eastAsia="Times New Roman" w:cs="Times New Roman"/>
          <w:szCs w:val="20"/>
          <w:vertAlign w:val="subscript"/>
        </w:rPr>
        <w:t>max</w:t>
      </w:r>
      <w:proofErr w:type="spellEnd"/>
      <w:r w:rsidRPr="006A2C95">
        <w:rPr>
          <w:rFonts w:eastAsia="Times New Roman" w:cs="Times New Roman"/>
          <w:szCs w:val="20"/>
        </w:rPr>
        <w:t xml:space="preserve"> ranged from 60 to 70 µg/mL in </w:t>
      </w:r>
      <w:r w:rsidRPr="006A2C95">
        <w:rPr>
          <w:rFonts w:eastAsia="Times New Roman" w:cs="Times New Roman"/>
          <w:szCs w:val="20"/>
        </w:rPr>
        <w:lastRenderedPageBreak/>
        <w:t>patients with CL</w:t>
      </w:r>
      <w:r w:rsidRPr="006A2C95">
        <w:rPr>
          <w:rFonts w:eastAsia="Times New Roman" w:cs="Times New Roman"/>
          <w:szCs w:val="20"/>
          <w:vertAlign w:val="subscript"/>
        </w:rPr>
        <w:t>CR</w:t>
      </w:r>
      <w:r w:rsidRPr="006A2C95">
        <w:rPr>
          <w:rFonts w:eastAsia="Times New Roman" w:cs="Times New Roman"/>
          <w:szCs w:val="20"/>
        </w:rPr>
        <w:t xml:space="preserve"> ≥ 30 mL/min, while the mean </w:t>
      </w:r>
      <w:proofErr w:type="spellStart"/>
      <w:r w:rsidRPr="006A2C95">
        <w:rPr>
          <w:rFonts w:eastAsia="Times New Roman" w:cs="Times New Roman"/>
          <w:szCs w:val="20"/>
        </w:rPr>
        <w:t>C</w:t>
      </w:r>
      <w:r w:rsidRPr="006A2C95">
        <w:rPr>
          <w:rFonts w:eastAsia="Times New Roman" w:cs="Times New Roman"/>
          <w:szCs w:val="20"/>
          <w:vertAlign w:val="subscript"/>
        </w:rPr>
        <w:t>max</w:t>
      </w:r>
      <w:proofErr w:type="spellEnd"/>
      <w:r w:rsidRPr="006A2C95">
        <w:rPr>
          <w:rFonts w:eastAsia="Times New Roman" w:cs="Times New Roman"/>
          <w:szCs w:val="20"/>
        </w:rPr>
        <w:t xml:space="preserve"> for patients with CL</w:t>
      </w:r>
      <w:r w:rsidRPr="006A2C95">
        <w:rPr>
          <w:rFonts w:eastAsia="Times New Roman" w:cs="Times New Roman"/>
          <w:szCs w:val="20"/>
          <w:vertAlign w:val="subscript"/>
        </w:rPr>
        <w:t>CR</w:t>
      </w:r>
      <w:r w:rsidRPr="006A2C95">
        <w:rPr>
          <w:rFonts w:eastAsia="Times New Roman" w:cs="Times New Roman"/>
          <w:szCs w:val="20"/>
        </w:rPr>
        <w:t> &lt; 30 mL/min ranged from 41 to 58 µg/</w:t>
      </w:r>
      <w:proofErr w:type="spellStart"/>
      <w:r w:rsidRPr="006A2C95">
        <w:rPr>
          <w:rFonts w:eastAsia="Times New Roman" w:cs="Times New Roman"/>
          <w:szCs w:val="20"/>
        </w:rPr>
        <w:t>mL.</w:t>
      </w:r>
      <w:proofErr w:type="spellEnd"/>
      <w:r w:rsidRPr="006A2C95">
        <w:rPr>
          <w:rFonts w:eastAsia="Times New Roman" w:cs="Times New Roman"/>
          <w:szCs w:val="20"/>
        </w:rPr>
        <w:t xml:space="preserve">  The mean </w:t>
      </w:r>
      <w:proofErr w:type="spellStart"/>
      <w:r w:rsidRPr="006A2C95">
        <w:rPr>
          <w:rFonts w:eastAsia="Times New Roman" w:cs="Times New Roman"/>
          <w:szCs w:val="20"/>
        </w:rPr>
        <w:t>C</w:t>
      </w:r>
      <w:r w:rsidRPr="006A2C95">
        <w:rPr>
          <w:rFonts w:eastAsia="Times New Roman" w:cs="Times New Roman"/>
          <w:szCs w:val="20"/>
          <w:vertAlign w:val="subscript"/>
        </w:rPr>
        <w:t>max</w:t>
      </w:r>
      <w:proofErr w:type="spellEnd"/>
      <w:r w:rsidRPr="006A2C95">
        <w:rPr>
          <w:rFonts w:eastAsia="Times New Roman" w:cs="Times New Roman"/>
          <w:szCs w:val="20"/>
        </w:rPr>
        <w:t xml:space="preserve"> ranged from 80 to 114 µg/mL in patients with mild-to-moderate renal impairment and was similar to that of patients with normal renal function after the administration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6 mg/kg q24h.  In patients with renal impairment, both renal function and </w:t>
      </w:r>
      <w:proofErr w:type="spellStart"/>
      <w:r w:rsidRPr="006A2C95">
        <w:rPr>
          <w:rFonts w:eastAsia="Times New Roman" w:cs="Times New Roman"/>
          <w:szCs w:val="20"/>
        </w:rPr>
        <w:t>creatine</w:t>
      </w:r>
      <w:proofErr w:type="spellEnd"/>
      <w:r w:rsidRPr="006A2C95">
        <w:rPr>
          <w:rFonts w:eastAsia="Times New Roman" w:cs="Times New Roman"/>
          <w:szCs w:val="20"/>
        </w:rPr>
        <w:t xml:space="preserve"> phosphokinase (CPK) should be monitored more frequently.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should be administered following the completion of haemodialysis on haemodialysis days (see </w:t>
      </w:r>
      <w:r w:rsidR="00335E4C">
        <w:rPr>
          <w:rFonts w:eastAsia="Times New Roman" w:cs="Times New Roman"/>
          <w:szCs w:val="20"/>
        </w:rPr>
        <w:t xml:space="preserve">section 4.2 </w:t>
      </w:r>
      <w:r w:rsidRPr="006A2C95">
        <w:rPr>
          <w:rFonts w:eastAsia="Times New Roman" w:cs="Times New Roman"/>
          <w:caps/>
          <w:szCs w:val="20"/>
        </w:rPr>
        <w:t xml:space="preserve">Dose and </w:t>
      </w:r>
      <w:r w:rsidR="00335E4C">
        <w:rPr>
          <w:rFonts w:eastAsia="Times New Roman" w:cs="Times New Roman"/>
          <w:caps/>
          <w:szCs w:val="20"/>
        </w:rPr>
        <w:t>METHOD OF ADMINISTRATION</w:t>
      </w:r>
      <w:r w:rsidRPr="006A2C95">
        <w:rPr>
          <w:rFonts w:eastAsia="Times New Roman" w:cs="Times New Roman"/>
          <w:szCs w:val="20"/>
        </w:rPr>
        <w:t xml:space="preserve"> for recommended dosage regimens).</w:t>
      </w:r>
    </w:p>
    <w:p w14:paraId="13D414B9" w14:textId="77777777" w:rsidR="009554FD" w:rsidRDefault="009554FD" w:rsidP="006A2C95">
      <w:pPr>
        <w:widowControl w:val="0"/>
        <w:tabs>
          <w:tab w:val="left" w:pos="0"/>
        </w:tabs>
        <w:autoSpaceDE w:val="0"/>
        <w:autoSpaceDN w:val="0"/>
        <w:adjustRightInd w:val="0"/>
        <w:spacing w:after="0" w:line="320" w:lineRule="atLeast"/>
        <w:jc w:val="both"/>
        <w:rPr>
          <w:rFonts w:eastAsia="Times New Roman" w:cs="Times New Roman"/>
          <w:szCs w:val="20"/>
        </w:rPr>
      </w:pPr>
    </w:p>
    <w:p w14:paraId="62BEA7C9" w14:textId="72B6F45F" w:rsidR="00AB0249" w:rsidRPr="006A2C95" w:rsidRDefault="00AB0249" w:rsidP="00AB0249">
      <w:pPr>
        <w:keepNext/>
        <w:keepLines/>
        <w:widowControl w:val="0"/>
        <w:suppressLineNumbers/>
        <w:autoSpaceDE w:val="0"/>
        <w:autoSpaceDN w:val="0"/>
        <w:adjustRightInd w:val="0"/>
        <w:spacing w:before="360" w:after="120" w:line="240" w:lineRule="auto"/>
        <w:jc w:val="both"/>
        <w:rPr>
          <w:rFonts w:ascii="Times New Roman Bold" w:eastAsia="Times New Roman" w:hAnsi="Times New Roman Bold" w:cs="Times New Roman"/>
          <w:b/>
          <w:snapToGrid w:val="0"/>
          <w:szCs w:val="20"/>
        </w:rPr>
      </w:pPr>
      <w:r w:rsidRPr="006A2C95">
        <w:rPr>
          <w:rFonts w:ascii="Times New Roman Bold" w:eastAsia="Times New Roman" w:hAnsi="Times New Roman Bold" w:cs="Times New Roman"/>
          <w:b/>
          <w:snapToGrid w:val="0"/>
          <w:szCs w:val="20"/>
        </w:rPr>
        <w:t>Table</w:t>
      </w:r>
      <w:r w:rsidR="00382C2A">
        <w:rPr>
          <w:rFonts w:ascii="Times New Roman Bold" w:eastAsia="Times New Roman" w:hAnsi="Times New Roman Bold" w:cs="Times New Roman"/>
          <w:b/>
          <w:snapToGrid w:val="0"/>
          <w:szCs w:val="20"/>
        </w:rPr>
        <w:t xml:space="preserve"> </w:t>
      </w:r>
      <w:r w:rsidR="004C3EED">
        <w:rPr>
          <w:rFonts w:ascii="Times New Roman Bold" w:eastAsia="Times New Roman" w:hAnsi="Times New Roman Bold" w:cs="Times New Roman"/>
          <w:b/>
          <w:snapToGrid w:val="0"/>
          <w:szCs w:val="20"/>
        </w:rPr>
        <w:t>1</w:t>
      </w:r>
      <w:r w:rsidR="00644E6B">
        <w:rPr>
          <w:rFonts w:ascii="Times New Roman Bold" w:eastAsia="Times New Roman" w:hAnsi="Times New Roman Bold" w:cs="Times New Roman"/>
          <w:b/>
          <w:snapToGrid w:val="0"/>
          <w:szCs w:val="20"/>
        </w:rPr>
        <w:t>5</w:t>
      </w:r>
      <w:r w:rsidR="007F3F31">
        <w:rPr>
          <w:rFonts w:ascii="Times New Roman Bold" w:eastAsia="Times New Roman" w:hAnsi="Times New Roman Bold" w:cs="Times New Roman"/>
          <w:b/>
          <w:snapToGrid w:val="0"/>
          <w:szCs w:val="20"/>
        </w:rPr>
        <w:t xml:space="preserve"> </w:t>
      </w:r>
      <w:r w:rsidRPr="006A2C95">
        <w:rPr>
          <w:rFonts w:ascii="Times New Roman Bold" w:eastAsia="Times New Roman" w:hAnsi="Times New Roman Bold" w:cs="Times New Roman"/>
          <w:b/>
          <w:snapToGrid w:val="0"/>
          <w:szCs w:val="20"/>
        </w:rPr>
        <w:t xml:space="preserve">Mean (SD) </w:t>
      </w:r>
      <w:proofErr w:type="spellStart"/>
      <w:r w:rsidRPr="006A2C95">
        <w:rPr>
          <w:rFonts w:ascii="Times New Roman Bold" w:eastAsia="Times New Roman" w:hAnsi="Times New Roman Bold" w:cs="Times New Roman"/>
          <w:b/>
          <w:snapToGrid w:val="0"/>
          <w:szCs w:val="20"/>
        </w:rPr>
        <w:t>Daptomycin</w:t>
      </w:r>
      <w:proofErr w:type="spellEnd"/>
      <w:r w:rsidRPr="006A2C95">
        <w:rPr>
          <w:rFonts w:ascii="Times New Roman Bold" w:eastAsia="Times New Roman" w:hAnsi="Times New Roman Bold" w:cs="Times New Roman"/>
          <w:b/>
          <w:snapToGrid w:val="0"/>
          <w:szCs w:val="20"/>
        </w:rPr>
        <w:t xml:space="preserve"> Population Pharmacokinetic Parameters Following Infusion of 4 mg/kg or 6 mg/kg to Infected </w:t>
      </w:r>
      <w:r w:rsidR="00A82DDF">
        <w:rPr>
          <w:rFonts w:ascii="Times New Roman Bold" w:eastAsia="Times New Roman" w:hAnsi="Times New Roman Bold" w:cs="Times New Roman"/>
          <w:b/>
          <w:snapToGrid w:val="0"/>
          <w:szCs w:val="20"/>
        </w:rPr>
        <w:t xml:space="preserve">Adult </w:t>
      </w:r>
      <w:r w:rsidRPr="006A2C95">
        <w:rPr>
          <w:rFonts w:ascii="Times New Roman Bold" w:eastAsia="Times New Roman" w:hAnsi="Times New Roman Bold" w:cs="Times New Roman"/>
          <w:b/>
          <w:snapToGrid w:val="0"/>
          <w:szCs w:val="20"/>
        </w:rPr>
        <w:t xml:space="preserve">Patients and Non-infected </w:t>
      </w:r>
      <w:r w:rsidR="00A82DDF">
        <w:rPr>
          <w:rFonts w:ascii="Times New Roman Bold" w:eastAsia="Times New Roman" w:hAnsi="Times New Roman Bold" w:cs="Times New Roman"/>
          <w:b/>
          <w:snapToGrid w:val="0"/>
          <w:szCs w:val="20"/>
        </w:rPr>
        <w:t xml:space="preserve">Adult </w:t>
      </w:r>
      <w:r w:rsidRPr="006A2C95">
        <w:rPr>
          <w:rFonts w:ascii="Times New Roman Bold" w:eastAsia="Times New Roman" w:hAnsi="Times New Roman Bold" w:cs="Times New Roman"/>
          <w:b/>
          <w:snapToGrid w:val="0"/>
          <w:szCs w:val="20"/>
        </w:rPr>
        <w:t>Subjects with Varying Degrees of Renal Function</w:t>
      </w:r>
    </w:p>
    <w:tbl>
      <w:tblPr>
        <w:tblW w:w="51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143"/>
        <w:gridCol w:w="1441"/>
        <w:gridCol w:w="1233"/>
        <w:gridCol w:w="1146"/>
        <w:gridCol w:w="1152"/>
        <w:gridCol w:w="1177"/>
        <w:gridCol w:w="1177"/>
      </w:tblGrid>
      <w:tr w:rsidR="00AB0249" w:rsidRPr="006A2C95" w14:paraId="68AB8C57" w14:textId="77777777" w:rsidTr="00F23D48">
        <w:trPr>
          <w:cantSplit/>
        </w:trPr>
        <w:tc>
          <w:tcPr>
            <w:tcW w:w="2029" w:type="dxa"/>
            <w:gridSpan w:val="2"/>
            <w:tcBorders>
              <w:bottom w:val="single" w:sz="4" w:space="0" w:color="auto"/>
            </w:tcBorders>
            <w:vAlign w:val="center"/>
          </w:tcPr>
          <w:p w14:paraId="4737BFA9"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6A2C95">
              <w:rPr>
                <w:rFonts w:eastAsia="Times" w:cs="Times New Roman"/>
                <w:b/>
                <w:snapToGrid w:val="0"/>
                <w:sz w:val="20"/>
                <w:szCs w:val="20"/>
              </w:rPr>
              <w:t>Renal Function</w:t>
            </w:r>
          </w:p>
        </w:tc>
        <w:tc>
          <w:tcPr>
            <w:tcW w:w="1478" w:type="dxa"/>
            <w:tcBorders>
              <w:bottom w:val="single" w:sz="4" w:space="0" w:color="auto"/>
            </w:tcBorders>
            <w:vAlign w:val="center"/>
          </w:tcPr>
          <w:p w14:paraId="40C0879E"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b/>
                <w:snapToGrid w:val="0"/>
                <w:sz w:val="20"/>
                <w:szCs w:val="20"/>
              </w:rPr>
            </w:pPr>
            <w:r w:rsidRPr="006A2C95">
              <w:rPr>
                <w:rFonts w:eastAsia="Times" w:cs="Times New Roman"/>
                <w:b/>
                <w:snapToGrid w:val="0"/>
                <w:sz w:val="20"/>
                <w:szCs w:val="20"/>
              </w:rPr>
              <w:t>t</w:t>
            </w:r>
            <w:r w:rsidRPr="006A2C95">
              <w:rPr>
                <w:rFonts w:eastAsia="Times" w:cs="Times New Roman"/>
                <w:b/>
                <w:snapToGrid w:val="0"/>
                <w:sz w:val="20"/>
                <w:szCs w:val="20"/>
                <w:vertAlign w:val="subscript"/>
              </w:rPr>
              <w:t>1/2</w:t>
            </w:r>
            <w:r w:rsidRPr="006A2C95">
              <w:rPr>
                <w:rFonts w:eastAsia="Times" w:cs="Times New Roman"/>
                <w:b/>
                <w:snapToGrid w:val="0"/>
                <w:sz w:val="20"/>
                <w:szCs w:val="20"/>
                <w:vertAlign w:val="superscript"/>
              </w:rPr>
              <w:t>a</w:t>
            </w:r>
            <w:r w:rsidRPr="006A2C95">
              <w:rPr>
                <w:rFonts w:eastAsia="Times" w:cs="Times New Roman"/>
                <w:b/>
                <w:snapToGrid w:val="0"/>
                <w:sz w:val="20"/>
                <w:szCs w:val="20"/>
              </w:rPr>
              <w:br/>
              <w:t>(h)</w:t>
            </w:r>
            <w:r w:rsidRPr="006A2C95">
              <w:rPr>
                <w:rFonts w:eastAsia="Times" w:cs="Times New Roman"/>
                <w:b/>
                <w:snapToGrid w:val="0"/>
                <w:sz w:val="20"/>
                <w:szCs w:val="20"/>
              </w:rPr>
              <w:br/>
              <w:t xml:space="preserve">4 mg/kg </w:t>
            </w:r>
          </w:p>
        </w:tc>
        <w:tc>
          <w:tcPr>
            <w:tcW w:w="1263" w:type="dxa"/>
            <w:tcBorders>
              <w:bottom w:val="single" w:sz="4" w:space="0" w:color="auto"/>
            </w:tcBorders>
            <w:vAlign w:val="center"/>
          </w:tcPr>
          <w:p w14:paraId="351F8E58"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sv-SE"/>
              </w:rPr>
            </w:pPr>
            <w:r w:rsidRPr="006A2C95">
              <w:rPr>
                <w:rFonts w:eastAsia="Times" w:cs="Times New Roman"/>
                <w:b/>
                <w:snapToGrid w:val="0"/>
                <w:sz w:val="20"/>
                <w:szCs w:val="20"/>
                <w:lang w:val="sv-SE"/>
              </w:rPr>
              <w:t>V</w:t>
            </w:r>
            <w:r w:rsidRPr="006A2C95">
              <w:rPr>
                <w:rFonts w:eastAsia="Times" w:cs="Times New Roman"/>
                <w:b/>
                <w:snapToGrid w:val="0"/>
                <w:sz w:val="20"/>
                <w:szCs w:val="20"/>
                <w:vertAlign w:val="subscript"/>
                <w:lang w:val="sv-SE"/>
              </w:rPr>
              <w:t>ss</w:t>
            </w:r>
            <w:r w:rsidRPr="006A2C95">
              <w:rPr>
                <w:rFonts w:eastAsia="Times" w:cs="Times New Roman"/>
                <w:b/>
                <w:snapToGrid w:val="0"/>
                <w:sz w:val="20"/>
                <w:szCs w:val="20"/>
                <w:vertAlign w:val="superscript"/>
                <w:lang w:val="sv-SE"/>
              </w:rPr>
              <w:t>a</w:t>
            </w:r>
            <w:r w:rsidRPr="006A2C95">
              <w:rPr>
                <w:rFonts w:eastAsia="Times" w:cs="Times New Roman"/>
                <w:b/>
                <w:snapToGrid w:val="0"/>
                <w:sz w:val="20"/>
                <w:szCs w:val="20"/>
                <w:lang w:val="sv-SE"/>
              </w:rPr>
              <w:br/>
              <w:t>(L/kg)</w:t>
            </w:r>
            <w:r w:rsidRPr="006A2C95">
              <w:rPr>
                <w:rFonts w:eastAsia="Times" w:cs="Times New Roman"/>
                <w:b/>
                <w:snapToGrid w:val="0"/>
                <w:sz w:val="20"/>
                <w:szCs w:val="20"/>
                <w:lang w:val="sv-SE"/>
              </w:rPr>
              <w:br/>
              <w:t xml:space="preserve">4 mg/kg </w:t>
            </w:r>
          </w:p>
        </w:tc>
        <w:tc>
          <w:tcPr>
            <w:tcW w:w="1174" w:type="dxa"/>
            <w:tcBorders>
              <w:bottom w:val="single" w:sz="4" w:space="0" w:color="auto"/>
            </w:tcBorders>
            <w:vAlign w:val="center"/>
          </w:tcPr>
          <w:p w14:paraId="16A4868F"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6A2C95">
              <w:rPr>
                <w:rFonts w:eastAsia="Times" w:cs="Times New Roman"/>
                <w:b/>
                <w:snapToGrid w:val="0"/>
                <w:sz w:val="20"/>
                <w:szCs w:val="20"/>
                <w:lang w:val="pt-BR"/>
              </w:rPr>
              <w:t>CL</w:t>
            </w:r>
            <w:r w:rsidRPr="006A2C95">
              <w:rPr>
                <w:rFonts w:eastAsia="Times" w:cs="Times New Roman"/>
                <w:b/>
                <w:snapToGrid w:val="0"/>
                <w:sz w:val="20"/>
                <w:szCs w:val="20"/>
                <w:vertAlign w:val="subscript"/>
                <w:lang w:val="pt-BR"/>
              </w:rPr>
              <w:t>T</w:t>
            </w:r>
            <w:r w:rsidRPr="006A2C95">
              <w:rPr>
                <w:rFonts w:eastAsia="Times" w:cs="Times New Roman"/>
                <w:b/>
                <w:snapToGrid w:val="0"/>
                <w:sz w:val="20"/>
                <w:szCs w:val="20"/>
                <w:vertAlign w:val="superscript"/>
                <w:lang w:val="pt-BR"/>
              </w:rPr>
              <w:t>a</w:t>
            </w:r>
            <w:r w:rsidRPr="006A2C95">
              <w:rPr>
                <w:rFonts w:eastAsia="Times" w:cs="Times New Roman"/>
                <w:b/>
                <w:snapToGrid w:val="0"/>
                <w:sz w:val="20"/>
                <w:szCs w:val="20"/>
                <w:lang w:val="pt-BR"/>
              </w:rPr>
              <w:br/>
              <w:t>(mL/h/kg)</w:t>
            </w:r>
            <w:r w:rsidRPr="006A2C95">
              <w:rPr>
                <w:rFonts w:eastAsia="Times" w:cs="Times New Roman"/>
                <w:b/>
                <w:snapToGrid w:val="0"/>
                <w:sz w:val="20"/>
                <w:szCs w:val="20"/>
                <w:lang w:val="pt-BR"/>
              </w:rPr>
              <w:br/>
              <w:t xml:space="preserve">4 mg/kg </w:t>
            </w:r>
          </w:p>
        </w:tc>
        <w:tc>
          <w:tcPr>
            <w:tcW w:w="1180" w:type="dxa"/>
            <w:tcBorders>
              <w:bottom w:val="single" w:sz="4" w:space="0" w:color="auto"/>
            </w:tcBorders>
            <w:vAlign w:val="center"/>
          </w:tcPr>
          <w:p w14:paraId="40CAE574"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pt-BR"/>
              </w:rPr>
            </w:pPr>
            <w:r w:rsidRPr="006A2C95">
              <w:rPr>
                <w:rFonts w:eastAsia="Times" w:cs="Times New Roman"/>
                <w:b/>
                <w:snapToGrid w:val="0"/>
                <w:sz w:val="20"/>
                <w:szCs w:val="20"/>
                <w:lang w:val="pt-BR"/>
              </w:rPr>
              <w:t>AUC</w:t>
            </w:r>
            <w:r w:rsidRPr="006A2C95">
              <w:rPr>
                <w:rFonts w:eastAsia="Times" w:cs="Times New Roman"/>
                <w:b/>
                <w:snapToGrid w:val="0"/>
                <w:sz w:val="20"/>
                <w:szCs w:val="20"/>
                <w:vertAlign w:val="subscript"/>
                <w:lang w:val="pt-BR"/>
              </w:rPr>
              <w:t>0-∞</w:t>
            </w:r>
            <w:r w:rsidRPr="006A2C95">
              <w:rPr>
                <w:rFonts w:eastAsia="Times" w:cs="Times New Roman"/>
                <w:b/>
                <w:snapToGrid w:val="0"/>
                <w:sz w:val="20"/>
                <w:szCs w:val="20"/>
                <w:vertAlign w:val="superscript"/>
                <w:lang w:val="pt-BR"/>
              </w:rPr>
              <w:t>a</w:t>
            </w:r>
            <w:r w:rsidRPr="006A2C95">
              <w:rPr>
                <w:rFonts w:eastAsia="Times" w:cs="Times New Roman"/>
                <w:b/>
                <w:snapToGrid w:val="0"/>
                <w:sz w:val="20"/>
                <w:szCs w:val="20"/>
                <w:lang w:val="pt-BR"/>
              </w:rPr>
              <w:br/>
              <w:t>(µg*h/mL)</w:t>
            </w:r>
            <w:r w:rsidRPr="006A2C95">
              <w:rPr>
                <w:rFonts w:eastAsia="Times" w:cs="Times New Roman"/>
                <w:b/>
                <w:snapToGrid w:val="0"/>
                <w:sz w:val="20"/>
                <w:szCs w:val="20"/>
                <w:lang w:val="pt-BR"/>
              </w:rPr>
              <w:br/>
              <w:t>4 mg/kg</w:t>
            </w:r>
          </w:p>
        </w:tc>
        <w:tc>
          <w:tcPr>
            <w:tcW w:w="1206" w:type="dxa"/>
            <w:tcBorders>
              <w:bottom w:val="single" w:sz="4" w:space="0" w:color="auto"/>
            </w:tcBorders>
            <w:vAlign w:val="center"/>
          </w:tcPr>
          <w:p w14:paraId="42D1743F"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de-DE"/>
              </w:rPr>
            </w:pPr>
            <w:r w:rsidRPr="006A2C95">
              <w:rPr>
                <w:rFonts w:eastAsia="Times" w:cs="Times New Roman"/>
                <w:b/>
                <w:snapToGrid w:val="0"/>
                <w:sz w:val="20"/>
                <w:szCs w:val="20"/>
                <w:lang w:val="de-DE"/>
              </w:rPr>
              <w:t>AUC</w:t>
            </w:r>
            <w:r w:rsidRPr="006A2C95">
              <w:rPr>
                <w:rFonts w:eastAsia="Times" w:cs="Times New Roman"/>
                <w:b/>
                <w:snapToGrid w:val="0"/>
                <w:sz w:val="20"/>
                <w:szCs w:val="20"/>
                <w:vertAlign w:val="subscript"/>
                <w:lang w:val="de-DE"/>
              </w:rPr>
              <w:t>ss</w:t>
            </w:r>
            <w:r w:rsidRPr="006A2C95">
              <w:rPr>
                <w:rFonts w:eastAsia="Times" w:cs="Times New Roman"/>
                <w:b/>
                <w:snapToGrid w:val="0"/>
                <w:sz w:val="20"/>
                <w:szCs w:val="20"/>
                <w:vertAlign w:val="superscript"/>
                <w:lang w:val="de-DE"/>
              </w:rPr>
              <w:t>b</w:t>
            </w:r>
            <w:r w:rsidRPr="006A2C95">
              <w:rPr>
                <w:rFonts w:eastAsia="Times" w:cs="Times New Roman"/>
                <w:b/>
                <w:snapToGrid w:val="0"/>
                <w:sz w:val="20"/>
                <w:szCs w:val="20"/>
                <w:lang w:val="de-DE"/>
              </w:rPr>
              <w:br/>
              <w:t>(µg*h/mL)</w:t>
            </w:r>
            <w:r w:rsidRPr="006A2C95">
              <w:rPr>
                <w:rFonts w:eastAsia="Times" w:cs="Times New Roman"/>
                <w:b/>
                <w:snapToGrid w:val="0"/>
                <w:sz w:val="20"/>
                <w:szCs w:val="20"/>
                <w:lang w:val="de-DE"/>
              </w:rPr>
              <w:br/>
              <w:t>6 mg/kg</w:t>
            </w:r>
          </w:p>
        </w:tc>
        <w:tc>
          <w:tcPr>
            <w:tcW w:w="1206" w:type="dxa"/>
            <w:tcBorders>
              <w:bottom w:val="single" w:sz="4" w:space="0" w:color="auto"/>
            </w:tcBorders>
            <w:vAlign w:val="center"/>
          </w:tcPr>
          <w:p w14:paraId="78657E4F"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b/>
                <w:snapToGrid w:val="0"/>
                <w:sz w:val="20"/>
                <w:szCs w:val="20"/>
                <w:lang w:val="sv-SE"/>
              </w:rPr>
            </w:pPr>
            <w:r w:rsidRPr="006A2C95">
              <w:rPr>
                <w:rFonts w:eastAsia="Times" w:cs="Times New Roman"/>
                <w:b/>
                <w:snapToGrid w:val="0"/>
                <w:sz w:val="20"/>
                <w:szCs w:val="20"/>
                <w:lang w:val="sv-SE"/>
              </w:rPr>
              <w:t>C</w:t>
            </w:r>
            <w:r w:rsidRPr="006A2C95">
              <w:rPr>
                <w:rFonts w:eastAsia="Times" w:cs="Times New Roman"/>
                <w:b/>
                <w:snapToGrid w:val="0"/>
                <w:sz w:val="20"/>
                <w:szCs w:val="20"/>
                <w:vertAlign w:val="subscript"/>
                <w:lang w:val="sv-SE"/>
              </w:rPr>
              <w:t>min,ss</w:t>
            </w:r>
            <w:r w:rsidRPr="006A2C95">
              <w:rPr>
                <w:rFonts w:eastAsia="Times" w:cs="Times New Roman"/>
                <w:b/>
                <w:snapToGrid w:val="0"/>
                <w:sz w:val="20"/>
                <w:szCs w:val="20"/>
                <w:vertAlign w:val="superscript"/>
                <w:lang w:val="sv-SE"/>
              </w:rPr>
              <w:t>b</w:t>
            </w:r>
            <w:r w:rsidRPr="006A2C95">
              <w:rPr>
                <w:rFonts w:eastAsia="Times" w:cs="Times New Roman"/>
                <w:b/>
                <w:snapToGrid w:val="0"/>
                <w:sz w:val="20"/>
                <w:szCs w:val="20"/>
                <w:lang w:val="sv-SE"/>
              </w:rPr>
              <w:br/>
              <w:t>(µg*h/mL)</w:t>
            </w:r>
            <w:r w:rsidRPr="006A2C95">
              <w:rPr>
                <w:rFonts w:eastAsia="Times" w:cs="Times New Roman"/>
                <w:b/>
                <w:snapToGrid w:val="0"/>
                <w:sz w:val="20"/>
                <w:szCs w:val="20"/>
                <w:lang w:val="sv-SE"/>
              </w:rPr>
              <w:br/>
              <w:t>6 mg/kg</w:t>
            </w:r>
          </w:p>
        </w:tc>
      </w:tr>
      <w:tr w:rsidR="00AB0249" w:rsidRPr="006A2C95" w14:paraId="054CECE7" w14:textId="77777777" w:rsidTr="00F23D48">
        <w:trPr>
          <w:cantSplit/>
        </w:trPr>
        <w:tc>
          <w:tcPr>
            <w:tcW w:w="2029" w:type="dxa"/>
            <w:gridSpan w:val="2"/>
            <w:tcBorders>
              <w:bottom w:val="single" w:sz="4" w:space="0" w:color="auto"/>
            </w:tcBorders>
          </w:tcPr>
          <w:p w14:paraId="1833D82C" w14:textId="77777777" w:rsidR="00AB0249" w:rsidRPr="006A2C95" w:rsidRDefault="00AB0249" w:rsidP="00071D09">
            <w:pPr>
              <w:keepNext/>
              <w:widowControl w:val="0"/>
              <w:suppressLineNumbers/>
              <w:autoSpaceDE w:val="0"/>
              <w:autoSpaceDN w:val="0"/>
              <w:adjustRightInd w:val="0"/>
              <w:spacing w:before="40" w:after="60" w:line="240" w:lineRule="auto"/>
              <w:rPr>
                <w:rFonts w:eastAsia="Times" w:cs="Times New Roman"/>
                <w:snapToGrid w:val="0"/>
                <w:sz w:val="20"/>
                <w:szCs w:val="20"/>
                <w:lang w:val="pt-BR"/>
              </w:rPr>
            </w:pPr>
            <w:r w:rsidRPr="006A2C95">
              <w:rPr>
                <w:rFonts w:eastAsia="Times" w:cs="Times New Roman"/>
                <w:snapToGrid w:val="0"/>
                <w:sz w:val="20"/>
                <w:szCs w:val="20"/>
                <w:lang w:val="pt-BR"/>
              </w:rPr>
              <w:t>Normal (CL</w:t>
            </w:r>
            <w:r w:rsidRPr="006A2C95">
              <w:rPr>
                <w:rFonts w:eastAsia="Times" w:cs="Times New Roman"/>
                <w:snapToGrid w:val="0"/>
                <w:sz w:val="20"/>
                <w:szCs w:val="20"/>
                <w:vertAlign w:val="subscript"/>
                <w:lang w:val="pt-BR"/>
              </w:rPr>
              <w:t>CR</w:t>
            </w:r>
            <w:r w:rsidRPr="006A2C95">
              <w:rPr>
                <w:rFonts w:eastAsia="Times" w:cs="Times New Roman"/>
                <w:snapToGrid w:val="0"/>
                <w:sz w:val="20"/>
                <w:szCs w:val="20"/>
                <w:lang w:val="pt-BR"/>
              </w:rPr>
              <w:t xml:space="preserve"> &gt;80 mL/min)</w:t>
            </w:r>
          </w:p>
        </w:tc>
        <w:tc>
          <w:tcPr>
            <w:tcW w:w="1478" w:type="dxa"/>
            <w:tcBorders>
              <w:bottom w:val="single" w:sz="4" w:space="0" w:color="auto"/>
            </w:tcBorders>
          </w:tcPr>
          <w:p w14:paraId="17F8DF69"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9.39 (4.74)</w:t>
            </w:r>
          </w:p>
          <w:p w14:paraId="419F874D"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lang w:val="pt-BR"/>
              </w:rPr>
              <w:t>N=165</w:t>
            </w:r>
          </w:p>
        </w:tc>
        <w:tc>
          <w:tcPr>
            <w:tcW w:w="1263" w:type="dxa"/>
            <w:tcBorders>
              <w:bottom w:val="single" w:sz="4" w:space="0" w:color="auto"/>
            </w:tcBorders>
          </w:tcPr>
          <w:p w14:paraId="20166BBE"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0.13 (0.05)</w:t>
            </w:r>
          </w:p>
          <w:p w14:paraId="1730188A"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lang w:val="pt-BR"/>
              </w:rPr>
              <w:t>N=165</w:t>
            </w:r>
          </w:p>
        </w:tc>
        <w:tc>
          <w:tcPr>
            <w:tcW w:w="1174" w:type="dxa"/>
            <w:tcBorders>
              <w:bottom w:val="single" w:sz="4" w:space="0" w:color="auto"/>
            </w:tcBorders>
          </w:tcPr>
          <w:p w14:paraId="2B2A28AC"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10.9 (4.0)</w:t>
            </w:r>
          </w:p>
          <w:p w14:paraId="0B670D5A"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lang w:val="pt-BR"/>
              </w:rPr>
              <w:t>N=165</w:t>
            </w:r>
          </w:p>
        </w:tc>
        <w:tc>
          <w:tcPr>
            <w:tcW w:w="1180" w:type="dxa"/>
            <w:tcBorders>
              <w:bottom w:val="single" w:sz="4" w:space="0" w:color="auto"/>
            </w:tcBorders>
          </w:tcPr>
          <w:p w14:paraId="0B77F863"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417 (155)</w:t>
            </w:r>
          </w:p>
          <w:p w14:paraId="14809468"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N=165</w:t>
            </w:r>
          </w:p>
        </w:tc>
        <w:tc>
          <w:tcPr>
            <w:tcW w:w="1206" w:type="dxa"/>
            <w:tcBorders>
              <w:bottom w:val="single" w:sz="4" w:space="0" w:color="auto"/>
            </w:tcBorders>
          </w:tcPr>
          <w:p w14:paraId="23CA143A"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545 (296)</w:t>
            </w:r>
          </w:p>
          <w:p w14:paraId="1A76C2A0"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N=62</w:t>
            </w:r>
          </w:p>
        </w:tc>
        <w:tc>
          <w:tcPr>
            <w:tcW w:w="1206" w:type="dxa"/>
            <w:tcBorders>
              <w:bottom w:val="single" w:sz="4" w:space="0" w:color="auto"/>
            </w:tcBorders>
          </w:tcPr>
          <w:p w14:paraId="59152786"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6.9 (3.5)</w:t>
            </w:r>
          </w:p>
          <w:p w14:paraId="1B9A30C0"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N= 61</w:t>
            </w:r>
          </w:p>
        </w:tc>
      </w:tr>
      <w:tr w:rsidR="00AB0249" w:rsidRPr="006A2C95" w14:paraId="2E1D4687" w14:textId="77777777" w:rsidTr="00F23D48">
        <w:trPr>
          <w:cantSplit/>
        </w:trPr>
        <w:tc>
          <w:tcPr>
            <w:tcW w:w="2029" w:type="dxa"/>
            <w:gridSpan w:val="2"/>
          </w:tcPr>
          <w:p w14:paraId="73290167" w14:textId="77777777" w:rsidR="00AB0249" w:rsidRPr="006A2C95" w:rsidRDefault="00AB0249" w:rsidP="00071D09">
            <w:pPr>
              <w:keepNext/>
              <w:widowControl w:val="0"/>
              <w:suppressLineNumbers/>
              <w:autoSpaceDE w:val="0"/>
              <w:autoSpaceDN w:val="0"/>
              <w:adjustRightInd w:val="0"/>
              <w:spacing w:before="40" w:after="60" w:line="240" w:lineRule="auto"/>
              <w:rPr>
                <w:rFonts w:eastAsia="Times" w:cs="Times New Roman"/>
                <w:snapToGrid w:val="0"/>
                <w:sz w:val="20"/>
                <w:szCs w:val="20"/>
                <w:lang w:val="pt-BR"/>
              </w:rPr>
            </w:pPr>
            <w:r w:rsidRPr="006A2C95">
              <w:rPr>
                <w:rFonts w:eastAsia="Times" w:cs="Times New Roman"/>
                <w:snapToGrid w:val="0"/>
                <w:sz w:val="20"/>
                <w:szCs w:val="20"/>
              </w:rPr>
              <w:t>Mild Renal Impairment (CL</w:t>
            </w:r>
            <w:r w:rsidRPr="006A2C95">
              <w:rPr>
                <w:rFonts w:eastAsia="Times" w:cs="Times New Roman"/>
                <w:snapToGrid w:val="0"/>
                <w:sz w:val="20"/>
                <w:szCs w:val="20"/>
                <w:vertAlign w:val="subscript"/>
              </w:rPr>
              <w:t>CR</w:t>
            </w:r>
            <w:r w:rsidRPr="006A2C95">
              <w:rPr>
                <w:rFonts w:eastAsia="Times" w:cs="Times New Roman"/>
                <w:snapToGrid w:val="0"/>
                <w:sz w:val="20"/>
                <w:szCs w:val="20"/>
              </w:rPr>
              <w:t xml:space="preserve"> 50–80 mL/min)</w:t>
            </w:r>
          </w:p>
        </w:tc>
        <w:tc>
          <w:tcPr>
            <w:tcW w:w="1478" w:type="dxa"/>
          </w:tcPr>
          <w:p w14:paraId="0727C20F"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lang w:val="pt-BR"/>
              </w:rPr>
            </w:pPr>
            <w:r w:rsidRPr="006A2C95">
              <w:rPr>
                <w:rFonts w:eastAsia="Times" w:cs="Times New Roman"/>
                <w:snapToGrid w:val="0"/>
                <w:sz w:val="20"/>
                <w:szCs w:val="20"/>
                <w:lang w:val="pt-BR"/>
              </w:rPr>
              <w:t>10.75 (8.36)</w:t>
            </w:r>
          </w:p>
          <w:p w14:paraId="1B4C73AC"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lang w:val="pt-BR"/>
              </w:rPr>
            </w:pPr>
            <w:r w:rsidRPr="006A2C95">
              <w:rPr>
                <w:rFonts w:eastAsia="Times" w:cs="Times New Roman"/>
                <w:snapToGrid w:val="0"/>
                <w:sz w:val="20"/>
                <w:szCs w:val="20"/>
                <w:lang w:val="pt-BR"/>
              </w:rPr>
              <w:t>N=64</w:t>
            </w:r>
          </w:p>
        </w:tc>
        <w:tc>
          <w:tcPr>
            <w:tcW w:w="1263" w:type="dxa"/>
          </w:tcPr>
          <w:p w14:paraId="5EFE4621"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lang w:val="pt-BR"/>
              </w:rPr>
            </w:pPr>
            <w:r w:rsidRPr="006A2C95">
              <w:rPr>
                <w:rFonts w:eastAsia="Times" w:cs="Times New Roman"/>
                <w:snapToGrid w:val="0"/>
                <w:sz w:val="20"/>
                <w:szCs w:val="20"/>
                <w:lang w:val="pt-BR"/>
              </w:rPr>
              <w:t>0.12 (0.05)</w:t>
            </w:r>
          </w:p>
          <w:p w14:paraId="5BD5461D"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lang w:val="pt-BR"/>
              </w:rPr>
            </w:pPr>
            <w:r w:rsidRPr="006A2C95">
              <w:rPr>
                <w:rFonts w:eastAsia="Times" w:cs="Times New Roman"/>
                <w:snapToGrid w:val="0"/>
                <w:sz w:val="20"/>
                <w:szCs w:val="20"/>
                <w:lang w:val="pt-BR"/>
              </w:rPr>
              <w:t>N=64</w:t>
            </w:r>
          </w:p>
        </w:tc>
        <w:tc>
          <w:tcPr>
            <w:tcW w:w="1174" w:type="dxa"/>
          </w:tcPr>
          <w:p w14:paraId="1FEFB67B"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lang w:val="pt-BR"/>
              </w:rPr>
            </w:pPr>
            <w:r w:rsidRPr="006A2C95">
              <w:rPr>
                <w:rFonts w:eastAsia="Times" w:cs="Times New Roman"/>
                <w:snapToGrid w:val="0"/>
                <w:sz w:val="20"/>
                <w:szCs w:val="20"/>
                <w:lang w:val="pt-BR"/>
              </w:rPr>
              <w:t>9.9 (4.0)</w:t>
            </w:r>
          </w:p>
          <w:p w14:paraId="4A384E65"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lang w:val="pt-BR"/>
              </w:rPr>
            </w:pPr>
            <w:r w:rsidRPr="006A2C95">
              <w:rPr>
                <w:rFonts w:eastAsia="Times" w:cs="Times New Roman"/>
                <w:snapToGrid w:val="0"/>
                <w:sz w:val="20"/>
                <w:szCs w:val="20"/>
                <w:lang w:val="pt-BR"/>
              </w:rPr>
              <w:t>N=64</w:t>
            </w:r>
          </w:p>
        </w:tc>
        <w:tc>
          <w:tcPr>
            <w:tcW w:w="1180" w:type="dxa"/>
          </w:tcPr>
          <w:p w14:paraId="6D245DFE"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466 (177)</w:t>
            </w:r>
          </w:p>
          <w:p w14:paraId="2736C94B"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N=64</w:t>
            </w:r>
          </w:p>
        </w:tc>
        <w:tc>
          <w:tcPr>
            <w:tcW w:w="1206" w:type="dxa"/>
          </w:tcPr>
          <w:p w14:paraId="7BD50B00"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637 (215)</w:t>
            </w:r>
          </w:p>
          <w:p w14:paraId="3713E727"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N=29</w:t>
            </w:r>
          </w:p>
        </w:tc>
        <w:tc>
          <w:tcPr>
            <w:tcW w:w="1206" w:type="dxa"/>
          </w:tcPr>
          <w:p w14:paraId="11978914"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12.4 (5.6)</w:t>
            </w:r>
          </w:p>
          <w:p w14:paraId="7D7289CC"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lang w:val="pt-BR"/>
              </w:rPr>
            </w:pPr>
            <w:r w:rsidRPr="006A2C95">
              <w:rPr>
                <w:rFonts w:eastAsia="Times New Roman" w:cs="Times New Roman"/>
                <w:sz w:val="20"/>
                <w:szCs w:val="20"/>
                <w:lang w:val="pt-BR"/>
              </w:rPr>
              <w:t>N=29</w:t>
            </w:r>
          </w:p>
        </w:tc>
      </w:tr>
      <w:tr w:rsidR="00AB0249" w:rsidRPr="006A2C95" w14:paraId="5DF7398F" w14:textId="77777777" w:rsidTr="00F23D48">
        <w:trPr>
          <w:cantSplit/>
        </w:trPr>
        <w:tc>
          <w:tcPr>
            <w:tcW w:w="2029" w:type="dxa"/>
            <w:gridSpan w:val="2"/>
          </w:tcPr>
          <w:p w14:paraId="342786C8" w14:textId="77777777" w:rsidR="00AB0249" w:rsidRPr="006A2C95" w:rsidRDefault="00AB0249" w:rsidP="00071D09">
            <w:pPr>
              <w:keepNext/>
              <w:widowControl w:val="0"/>
              <w:suppressLineNumbers/>
              <w:autoSpaceDE w:val="0"/>
              <w:autoSpaceDN w:val="0"/>
              <w:adjustRightInd w:val="0"/>
              <w:spacing w:before="40" w:after="60" w:line="240" w:lineRule="auto"/>
              <w:rPr>
                <w:rFonts w:eastAsia="Times" w:cs="Times New Roman"/>
                <w:snapToGrid w:val="0"/>
                <w:sz w:val="20"/>
                <w:szCs w:val="20"/>
              </w:rPr>
            </w:pPr>
            <w:r w:rsidRPr="006A2C95">
              <w:rPr>
                <w:rFonts w:eastAsia="Times" w:cs="Times New Roman"/>
                <w:snapToGrid w:val="0"/>
                <w:sz w:val="20"/>
                <w:szCs w:val="20"/>
                <w:lang w:val="pt-BR"/>
              </w:rPr>
              <w:t>Mode</w:t>
            </w:r>
            <w:r w:rsidRPr="006A2C95">
              <w:rPr>
                <w:rFonts w:eastAsia="Times" w:cs="Times New Roman"/>
                <w:snapToGrid w:val="0"/>
                <w:sz w:val="20"/>
                <w:szCs w:val="20"/>
              </w:rPr>
              <w:t>rate Renal Impairment (CL</w:t>
            </w:r>
            <w:r w:rsidRPr="006A2C95">
              <w:rPr>
                <w:rFonts w:eastAsia="Times" w:cs="Times New Roman"/>
                <w:snapToGrid w:val="0"/>
                <w:sz w:val="20"/>
                <w:szCs w:val="20"/>
                <w:vertAlign w:val="subscript"/>
              </w:rPr>
              <w:t>CR</w:t>
            </w:r>
            <w:r w:rsidRPr="006A2C95">
              <w:rPr>
                <w:rFonts w:eastAsia="Times" w:cs="Times New Roman"/>
                <w:snapToGrid w:val="0"/>
                <w:sz w:val="20"/>
                <w:szCs w:val="20"/>
              </w:rPr>
              <w:t xml:space="preserve"> 30–&lt;50 mL/min)</w:t>
            </w:r>
          </w:p>
        </w:tc>
        <w:tc>
          <w:tcPr>
            <w:tcW w:w="1478" w:type="dxa"/>
          </w:tcPr>
          <w:p w14:paraId="6B6A630C"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14.70 (10.50)</w:t>
            </w:r>
          </w:p>
          <w:p w14:paraId="6B66ACA2"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N=24</w:t>
            </w:r>
          </w:p>
        </w:tc>
        <w:tc>
          <w:tcPr>
            <w:tcW w:w="1263" w:type="dxa"/>
          </w:tcPr>
          <w:p w14:paraId="5CF9A4A2"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0.15 (0.06)</w:t>
            </w:r>
          </w:p>
          <w:p w14:paraId="702DB656"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N=24</w:t>
            </w:r>
          </w:p>
        </w:tc>
        <w:tc>
          <w:tcPr>
            <w:tcW w:w="1174" w:type="dxa"/>
          </w:tcPr>
          <w:p w14:paraId="24B8F921"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8.5 (3.4)</w:t>
            </w:r>
          </w:p>
          <w:p w14:paraId="673A3270"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N=24</w:t>
            </w:r>
          </w:p>
        </w:tc>
        <w:tc>
          <w:tcPr>
            <w:tcW w:w="1180" w:type="dxa"/>
          </w:tcPr>
          <w:p w14:paraId="3EADEF85"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560 (258)</w:t>
            </w:r>
          </w:p>
          <w:p w14:paraId="31CA8C52"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N=24</w:t>
            </w:r>
          </w:p>
        </w:tc>
        <w:tc>
          <w:tcPr>
            <w:tcW w:w="1206" w:type="dxa"/>
          </w:tcPr>
          <w:p w14:paraId="4275F8CF"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868 (349)</w:t>
            </w:r>
          </w:p>
          <w:p w14:paraId="42D700EE"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N=15</w:t>
            </w:r>
          </w:p>
        </w:tc>
        <w:tc>
          <w:tcPr>
            <w:tcW w:w="1206" w:type="dxa"/>
          </w:tcPr>
          <w:p w14:paraId="4D4B7B3C"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19.0 (9.0)</w:t>
            </w:r>
          </w:p>
          <w:p w14:paraId="63C37F4B"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N=14</w:t>
            </w:r>
          </w:p>
        </w:tc>
      </w:tr>
      <w:tr w:rsidR="00AB0249" w:rsidRPr="006A2C95" w14:paraId="7EEA16A7" w14:textId="77777777" w:rsidTr="00F23D48">
        <w:trPr>
          <w:cantSplit/>
        </w:trPr>
        <w:tc>
          <w:tcPr>
            <w:tcW w:w="2029" w:type="dxa"/>
            <w:gridSpan w:val="2"/>
          </w:tcPr>
          <w:p w14:paraId="70681091" w14:textId="77777777" w:rsidR="00AB0249" w:rsidRPr="006A2C95" w:rsidRDefault="00AB0249" w:rsidP="00071D09">
            <w:pPr>
              <w:keepNext/>
              <w:widowControl w:val="0"/>
              <w:suppressLineNumbers/>
              <w:autoSpaceDE w:val="0"/>
              <w:autoSpaceDN w:val="0"/>
              <w:adjustRightInd w:val="0"/>
              <w:spacing w:before="40" w:after="60" w:line="240" w:lineRule="auto"/>
              <w:rPr>
                <w:rFonts w:eastAsia="Times" w:cs="Times New Roman"/>
                <w:snapToGrid w:val="0"/>
                <w:sz w:val="20"/>
                <w:szCs w:val="20"/>
              </w:rPr>
            </w:pPr>
            <w:r w:rsidRPr="006A2C95">
              <w:rPr>
                <w:rFonts w:eastAsia="Times" w:cs="Times New Roman"/>
                <w:snapToGrid w:val="0"/>
                <w:sz w:val="20"/>
                <w:szCs w:val="20"/>
              </w:rPr>
              <w:t>Severe Renal Impairment (CL</w:t>
            </w:r>
            <w:r w:rsidRPr="006A2C95">
              <w:rPr>
                <w:rFonts w:eastAsia="Times" w:cs="Times New Roman"/>
                <w:snapToGrid w:val="0"/>
                <w:sz w:val="20"/>
                <w:szCs w:val="20"/>
                <w:vertAlign w:val="subscript"/>
              </w:rPr>
              <w:t>CR</w:t>
            </w:r>
            <w:r w:rsidRPr="006A2C95">
              <w:rPr>
                <w:rFonts w:eastAsia="Times" w:cs="Times New Roman"/>
                <w:snapToGrid w:val="0"/>
                <w:sz w:val="20"/>
                <w:szCs w:val="20"/>
              </w:rPr>
              <w:t xml:space="preserve"> &lt;30 mL/min)</w:t>
            </w:r>
          </w:p>
        </w:tc>
        <w:tc>
          <w:tcPr>
            <w:tcW w:w="1478" w:type="dxa"/>
          </w:tcPr>
          <w:p w14:paraId="635080E9"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27.83 (14.85)</w:t>
            </w:r>
          </w:p>
          <w:p w14:paraId="226E5C9D"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N=8</w:t>
            </w:r>
          </w:p>
        </w:tc>
        <w:tc>
          <w:tcPr>
            <w:tcW w:w="1263" w:type="dxa"/>
          </w:tcPr>
          <w:p w14:paraId="7EE3B113"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0.20 (0.15)</w:t>
            </w:r>
          </w:p>
          <w:p w14:paraId="000D0F08"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N=8</w:t>
            </w:r>
          </w:p>
        </w:tc>
        <w:tc>
          <w:tcPr>
            <w:tcW w:w="1174" w:type="dxa"/>
          </w:tcPr>
          <w:p w14:paraId="10065364"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5.9 (3.9)</w:t>
            </w:r>
          </w:p>
          <w:p w14:paraId="5DB9E09F"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N=8</w:t>
            </w:r>
          </w:p>
        </w:tc>
        <w:tc>
          <w:tcPr>
            <w:tcW w:w="1180" w:type="dxa"/>
          </w:tcPr>
          <w:p w14:paraId="3EEB0B39"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925 (467)</w:t>
            </w:r>
          </w:p>
          <w:p w14:paraId="5A1A5AB4"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N=8</w:t>
            </w:r>
          </w:p>
        </w:tc>
        <w:tc>
          <w:tcPr>
            <w:tcW w:w="1206" w:type="dxa"/>
          </w:tcPr>
          <w:p w14:paraId="401692CB"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1050 (892)</w:t>
            </w:r>
          </w:p>
          <w:p w14:paraId="3D0A42B3"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N=2</w:t>
            </w:r>
          </w:p>
        </w:tc>
        <w:tc>
          <w:tcPr>
            <w:tcW w:w="1206" w:type="dxa"/>
          </w:tcPr>
          <w:p w14:paraId="4DAD9568"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24.4 (21.4)</w:t>
            </w:r>
          </w:p>
          <w:p w14:paraId="1749A275" w14:textId="77777777" w:rsidR="00AB0249" w:rsidRPr="006A2C95" w:rsidRDefault="00AB0249" w:rsidP="00F23D48">
            <w:pPr>
              <w:widowControl w:val="0"/>
              <w:tabs>
                <w:tab w:val="left" w:pos="0"/>
              </w:tabs>
              <w:autoSpaceDE w:val="0"/>
              <w:autoSpaceDN w:val="0"/>
              <w:adjustRightInd w:val="0"/>
              <w:spacing w:after="0" w:line="320" w:lineRule="atLeast"/>
              <w:jc w:val="both"/>
              <w:rPr>
                <w:rFonts w:eastAsia="Times New Roman" w:cs="Times New Roman"/>
                <w:sz w:val="20"/>
                <w:szCs w:val="20"/>
              </w:rPr>
            </w:pPr>
            <w:r w:rsidRPr="006A2C95">
              <w:rPr>
                <w:rFonts w:eastAsia="Times New Roman" w:cs="Times New Roman"/>
                <w:sz w:val="20"/>
                <w:szCs w:val="20"/>
              </w:rPr>
              <w:t>N=2</w:t>
            </w:r>
          </w:p>
        </w:tc>
      </w:tr>
      <w:tr w:rsidR="00AB0249" w:rsidRPr="006A2C95" w14:paraId="649F4439" w14:textId="77777777" w:rsidTr="00F23D48">
        <w:trPr>
          <w:cantSplit/>
        </w:trPr>
        <w:tc>
          <w:tcPr>
            <w:tcW w:w="2029" w:type="dxa"/>
            <w:gridSpan w:val="2"/>
            <w:tcBorders>
              <w:bottom w:val="single" w:sz="4" w:space="0" w:color="auto"/>
            </w:tcBorders>
          </w:tcPr>
          <w:p w14:paraId="7573EEB0" w14:textId="280D9DFE" w:rsidR="00AB0249" w:rsidRPr="006A2C95" w:rsidRDefault="00071D09" w:rsidP="00071D09">
            <w:pPr>
              <w:keepNext/>
              <w:widowControl w:val="0"/>
              <w:suppressLineNumbers/>
              <w:autoSpaceDE w:val="0"/>
              <w:autoSpaceDN w:val="0"/>
              <w:adjustRightInd w:val="0"/>
              <w:spacing w:before="40" w:after="60" w:line="240" w:lineRule="auto"/>
              <w:rPr>
                <w:rFonts w:eastAsia="Times" w:cs="Times New Roman"/>
                <w:snapToGrid w:val="0"/>
                <w:sz w:val="20"/>
                <w:szCs w:val="20"/>
              </w:rPr>
            </w:pPr>
            <w:r>
              <w:rPr>
                <w:rFonts w:eastAsia="Times" w:cs="Times New Roman"/>
                <w:snapToGrid w:val="0"/>
                <w:sz w:val="20"/>
                <w:szCs w:val="20"/>
              </w:rPr>
              <w:t>Dialysis (</w:t>
            </w:r>
            <w:r w:rsidR="00AB0249" w:rsidRPr="006A2C95">
              <w:rPr>
                <w:rFonts w:eastAsia="Times" w:cs="Times New Roman"/>
                <w:snapToGrid w:val="0"/>
                <w:sz w:val="20"/>
                <w:szCs w:val="20"/>
              </w:rPr>
              <w:t>Haemodialysis</w:t>
            </w:r>
            <w:r>
              <w:rPr>
                <w:rFonts w:eastAsia="Times" w:cs="Times New Roman"/>
                <w:snapToGrid w:val="0"/>
                <w:sz w:val="20"/>
                <w:szCs w:val="20"/>
              </w:rPr>
              <w:t xml:space="preserve"> + CAPD)</w:t>
            </w:r>
          </w:p>
        </w:tc>
        <w:tc>
          <w:tcPr>
            <w:tcW w:w="1478" w:type="dxa"/>
            <w:tcBorders>
              <w:bottom w:val="single" w:sz="4" w:space="0" w:color="auto"/>
            </w:tcBorders>
          </w:tcPr>
          <w:p w14:paraId="3631DE11" w14:textId="77777777" w:rsidR="00071D0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29.81 (6.13)</w:t>
            </w:r>
          </w:p>
          <w:p w14:paraId="317E7346" w14:textId="3E3B51C4" w:rsidR="00AB024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N=21</w:t>
            </w:r>
          </w:p>
        </w:tc>
        <w:tc>
          <w:tcPr>
            <w:tcW w:w="1263" w:type="dxa"/>
            <w:tcBorders>
              <w:bottom w:val="single" w:sz="4" w:space="0" w:color="auto"/>
            </w:tcBorders>
          </w:tcPr>
          <w:p w14:paraId="1E6096F7" w14:textId="77777777" w:rsidR="00AB024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0.15 (0.04)</w:t>
            </w:r>
          </w:p>
          <w:p w14:paraId="6CFE967F" w14:textId="4CEDF34A" w:rsidR="00071D0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N=21</w:t>
            </w:r>
          </w:p>
        </w:tc>
        <w:tc>
          <w:tcPr>
            <w:tcW w:w="1174" w:type="dxa"/>
            <w:tcBorders>
              <w:bottom w:val="single" w:sz="4" w:space="0" w:color="auto"/>
            </w:tcBorders>
          </w:tcPr>
          <w:p w14:paraId="2FB31C9C" w14:textId="77777777" w:rsidR="00AB024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3.7 (1.9)</w:t>
            </w:r>
          </w:p>
          <w:p w14:paraId="264CEEDC" w14:textId="27770323" w:rsidR="00071D0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N=21</w:t>
            </w:r>
          </w:p>
        </w:tc>
        <w:tc>
          <w:tcPr>
            <w:tcW w:w="1180" w:type="dxa"/>
            <w:tcBorders>
              <w:bottom w:val="single" w:sz="4" w:space="0" w:color="auto"/>
            </w:tcBorders>
          </w:tcPr>
          <w:p w14:paraId="01CEA085" w14:textId="77777777" w:rsidR="00AB024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1244 (374)</w:t>
            </w:r>
          </w:p>
          <w:p w14:paraId="340F4242" w14:textId="30C71D9D" w:rsidR="00071D09" w:rsidRPr="0088070D" w:rsidRDefault="00071D0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N=21</w:t>
            </w:r>
          </w:p>
        </w:tc>
        <w:tc>
          <w:tcPr>
            <w:tcW w:w="1206" w:type="dxa"/>
            <w:tcBorders>
              <w:bottom w:val="single" w:sz="4" w:space="0" w:color="auto"/>
            </w:tcBorders>
          </w:tcPr>
          <w:p w14:paraId="486DBDCF"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NA</w:t>
            </w:r>
          </w:p>
        </w:tc>
        <w:tc>
          <w:tcPr>
            <w:tcW w:w="1206" w:type="dxa"/>
            <w:tcBorders>
              <w:bottom w:val="single" w:sz="4" w:space="0" w:color="auto"/>
            </w:tcBorders>
          </w:tcPr>
          <w:p w14:paraId="35179441"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NA</w:t>
            </w:r>
          </w:p>
        </w:tc>
      </w:tr>
      <w:tr w:rsidR="00AB0249" w:rsidRPr="006A2C95" w14:paraId="73BFC4D8" w14:textId="77777777" w:rsidTr="0088070D">
        <w:trPr>
          <w:cantSplit/>
        </w:trPr>
        <w:tc>
          <w:tcPr>
            <w:tcW w:w="9536" w:type="dxa"/>
            <w:gridSpan w:val="8"/>
            <w:tcBorders>
              <w:left w:val="nil"/>
              <w:bottom w:val="nil"/>
              <w:right w:val="nil"/>
            </w:tcBorders>
          </w:tcPr>
          <w:p w14:paraId="02AAAB63" w14:textId="77777777" w:rsidR="00551379" w:rsidRPr="0088070D"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88070D">
              <w:rPr>
                <w:rFonts w:eastAsia="Times" w:cs="Times New Roman"/>
                <w:snapToGrid w:val="0"/>
                <w:sz w:val="20"/>
                <w:szCs w:val="20"/>
              </w:rPr>
              <w:t xml:space="preserve">Source of data: Initial Cubist </w:t>
            </w:r>
            <w:proofErr w:type="spellStart"/>
            <w:r w:rsidRPr="0088070D">
              <w:rPr>
                <w:rFonts w:eastAsia="Times" w:cs="Times New Roman"/>
                <w:snapToGrid w:val="0"/>
                <w:sz w:val="20"/>
                <w:szCs w:val="20"/>
              </w:rPr>
              <w:t>cSSSI</w:t>
            </w:r>
            <w:proofErr w:type="spellEnd"/>
            <w:r w:rsidRPr="0088070D">
              <w:rPr>
                <w:rFonts w:eastAsia="Times" w:cs="Times New Roman"/>
                <w:snapToGrid w:val="0"/>
                <w:sz w:val="20"/>
                <w:szCs w:val="20"/>
              </w:rPr>
              <w:t xml:space="preserve"> programme (for 4mg/kg) and Study DAP</w:t>
            </w:r>
            <w:r w:rsidRPr="0088070D">
              <w:rPr>
                <w:rFonts w:eastAsia="Times" w:cs="Times New Roman"/>
                <w:snapToGrid w:val="0"/>
                <w:sz w:val="20"/>
                <w:szCs w:val="20"/>
              </w:rPr>
              <w:noBreakHyphen/>
              <w:t>IE</w:t>
            </w:r>
            <w:r w:rsidRPr="0088070D">
              <w:rPr>
                <w:rFonts w:eastAsia="Times" w:cs="Times New Roman"/>
                <w:snapToGrid w:val="0"/>
                <w:sz w:val="20"/>
                <w:szCs w:val="20"/>
              </w:rPr>
              <w:noBreakHyphen/>
              <w:t>01</w:t>
            </w:r>
            <w:r w:rsidRPr="0088070D">
              <w:rPr>
                <w:rFonts w:eastAsia="Times" w:cs="Times New Roman"/>
                <w:snapToGrid w:val="0"/>
                <w:sz w:val="20"/>
                <w:szCs w:val="20"/>
              </w:rPr>
              <w:noBreakHyphen/>
              <w:t>02 (for 6 mg/kg)</w:t>
            </w:r>
            <w:r w:rsidR="00551379" w:rsidRPr="0088070D">
              <w:rPr>
                <w:rFonts w:eastAsia="Times" w:cs="Times New Roman"/>
                <w:snapToGrid w:val="0"/>
                <w:sz w:val="20"/>
                <w:szCs w:val="20"/>
              </w:rPr>
              <w:t>.</w:t>
            </w:r>
          </w:p>
          <w:p w14:paraId="4D092AE7" w14:textId="16BB0BC1" w:rsidR="00AB0249" w:rsidRPr="0088070D" w:rsidRDefault="00551379" w:rsidP="00F23D48">
            <w:pPr>
              <w:keepNext/>
              <w:widowControl w:val="0"/>
              <w:suppressLineNumbers/>
              <w:autoSpaceDE w:val="0"/>
              <w:autoSpaceDN w:val="0"/>
              <w:adjustRightInd w:val="0"/>
              <w:spacing w:before="40" w:after="60" w:line="240" w:lineRule="auto"/>
              <w:jc w:val="both"/>
              <w:rPr>
                <w:rFonts w:eastAsia="Times" w:cs="Times New Roman"/>
                <w:snapToGrid w:val="0"/>
                <w:sz w:val="21"/>
                <w:szCs w:val="21"/>
              </w:rPr>
            </w:pPr>
            <w:r w:rsidRPr="0088070D">
              <w:rPr>
                <w:rFonts w:eastAsia="Times" w:cs="Times New Roman"/>
                <w:snapToGrid w:val="0"/>
                <w:sz w:val="20"/>
                <w:szCs w:val="20"/>
              </w:rPr>
              <w:t>CUBICIN was administered over a 30-minute period.</w:t>
            </w:r>
          </w:p>
        </w:tc>
      </w:tr>
      <w:tr w:rsidR="00AB0249" w:rsidRPr="006A2C95" w14:paraId="7D0FCA65" w14:textId="77777777" w:rsidTr="0088070D">
        <w:trPr>
          <w:cantSplit/>
        </w:trPr>
        <w:tc>
          <w:tcPr>
            <w:tcW w:w="851" w:type="dxa"/>
            <w:tcBorders>
              <w:top w:val="nil"/>
              <w:left w:val="nil"/>
              <w:bottom w:val="nil"/>
              <w:right w:val="nil"/>
            </w:tcBorders>
          </w:tcPr>
          <w:p w14:paraId="1EEF8603"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Notes:</w:t>
            </w:r>
          </w:p>
        </w:tc>
        <w:tc>
          <w:tcPr>
            <w:tcW w:w="8685" w:type="dxa"/>
            <w:gridSpan w:val="7"/>
            <w:tcBorders>
              <w:top w:val="nil"/>
              <w:left w:val="nil"/>
              <w:bottom w:val="nil"/>
              <w:right w:val="nil"/>
            </w:tcBorders>
          </w:tcPr>
          <w:p w14:paraId="65F4D803"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p>
        </w:tc>
      </w:tr>
      <w:tr w:rsidR="00AB0249" w:rsidRPr="006A2C95" w14:paraId="314013D6" w14:textId="77777777" w:rsidTr="0088070D">
        <w:trPr>
          <w:cantSplit/>
        </w:trPr>
        <w:tc>
          <w:tcPr>
            <w:tcW w:w="9536" w:type="dxa"/>
            <w:gridSpan w:val="8"/>
            <w:tcBorders>
              <w:top w:val="nil"/>
              <w:left w:val="nil"/>
              <w:bottom w:val="nil"/>
              <w:right w:val="nil"/>
            </w:tcBorders>
          </w:tcPr>
          <w:p w14:paraId="61D486B1"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1"/>
                <w:szCs w:val="21"/>
              </w:rPr>
            </w:pPr>
            <w:r w:rsidRPr="006A2C95">
              <w:rPr>
                <w:rFonts w:eastAsia="Times" w:cs="Times New Roman"/>
                <w:snapToGrid w:val="0"/>
                <w:sz w:val="20"/>
                <w:szCs w:val="20"/>
              </w:rPr>
              <w:t>CL</w:t>
            </w:r>
            <w:r w:rsidRPr="006A2C95">
              <w:rPr>
                <w:rFonts w:eastAsia="Times" w:cs="Times New Roman"/>
                <w:snapToGrid w:val="0"/>
                <w:sz w:val="20"/>
                <w:szCs w:val="20"/>
                <w:vertAlign w:val="subscript"/>
              </w:rPr>
              <w:t>CR</w:t>
            </w:r>
            <w:r w:rsidRPr="006A2C95">
              <w:rPr>
                <w:rFonts w:eastAsia="Times" w:cs="Times New Roman"/>
                <w:snapToGrid w:val="0"/>
                <w:sz w:val="20"/>
                <w:szCs w:val="20"/>
              </w:rPr>
              <w:t>:    Creatinine clearance estimated using the Cockcroft-Gault equation with actual body weight</w:t>
            </w:r>
          </w:p>
        </w:tc>
      </w:tr>
      <w:tr w:rsidR="00AB0249" w:rsidRPr="006A2C95" w14:paraId="4953AAD4" w14:textId="77777777" w:rsidTr="0088070D">
        <w:trPr>
          <w:cantSplit/>
        </w:trPr>
        <w:tc>
          <w:tcPr>
            <w:tcW w:w="9536" w:type="dxa"/>
            <w:gridSpan w:val="8"/>
            <w:tcBorders>
              <w:top w:val="nil"/>
              <w:left w:val="nil"/>
              <w:bottom w:val="nil"/>
              <w:right w:val="nil"/>
            </w:tcBorders>
          </w:tcPr>
          <w:p w14:paraId="0245C2ED" w14:textId="157C7116"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AUC</w:t>
            </w:r>
            <w:r w:rsidRPr="006A2C95">
              <w:rPr>
                <w:rFonts w:eastAsia="Times" w:cs="Times New Roman"/>
                <w:snapToGrid w:val="0"/>
                <w:sz w:val="20"/>
                <w:szCs w:val="20"/>
                <w:vertAlign w:val="subscript"/>
              </w:rPr>
              <w:t>0</w:t>
            </w:r>
            <w:r w:rsidRPr="006A2C95">
              <w:rPr>
                <w:rFonts w:eastAsia="Times" w:cs="Times New Roman"/>
                <w:snapToGrid w:val="0"/>
                <w:sz w:val="20"/>
                <w:szCs w:val="20"/>
                <w:vertAlign w:val="subscript"/>
              </w:rPr>
              <w:noBreakHyphen/>
              <w:t>∞</w:t>
            </w:r>
            <w:r w:rsidRPr="006A2C95">
              <w:rPr>
                <w:rFonts w:eastAsia="Times" w:cs="Times New Roman"/>
                <w:snapToGrid w:val="0"/>
                <w:sz w:val="20"/>
                <w:szCs w:val="20"/>
              </w:rPr>
              <w:t>:</w:t>
            </w:r>
            <w:r w:rsidR="004168F8">
              <w:rPr>
                <w:rFonts w:eastAsia="Times" w:cs="Times New Roman"/>
                <w:snapToGrid w:val="0"/>
                <w:sz w:val="20"/>
                <w:szCs w:val="20"/>
              </w:rPr>
              <w:t xml:space="preserve"> </w:t>
            </w:r>
            <w:r w:rsidRPr="006A2C95">
              <w:rPr>
                <w:rFonts w:eastAsia="Times" w:cs="Times New Roman"/>
                <w:snapToGrid w:val="0"/>
                <w:sz w:val="20"/>
                <w:szCs w:val="20"/>
              </w:rPr>
              <w:t>Area under the concentration-time curve extrapolated to infinity</w:t>
            </w:r>
          </w:p>
        </w:tc>
      </w:tr>
      <w:tr w:rsidR="00AB0249" w:rsidRPr="006A2C95" w14:paraId="49905D23" w14:textId="77777777" w:rsidTr="0088070D">
        <w:trPr>
          <w:cantSplit/>
        </w:trPr>
        <w:tc>
          <w:tcPr>
            <w:tcW w:w="9536" w:type="dxa"/>
            <w:gridSpan w:val="8"/>
            <w:tcBorders>
              <w:top w:val="nil"/>
              <w:left w:val="nil"/>
              <w:bottom w:val="nil"/>
              <w:right w:val="nil"/>
            </w:tcBorders>
          </w:tcPr>
          <w:p w14:paraId="29CD71B8"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1"/>
                <w:szCs w:val="21"/>
              </w:rPr>
            </w:pPr>
            <w:proofErr w:type="spellStart"/>
            <w:r w:rsidRPr="006A2C95">
              <w:rPr>
                <w:rFonts w:eastAsia="Times" w:cs="Times New Roman"/>
                <w:snapToGrid w:val="0"/>
                <w:sz w:val="20"/>
                <w:szCs w:val="20"/>
              </w:rPr>
              <w:t>AUC</w:t>
            </w:r>
            <w:r w:rsidRPr="006A2C95">
              <w:rPr>
                <w:rFonts w:eastAsia="Times" w:cs="Times New Roman"/>
                <w:snapToGrid w:val="0"/>
                <w:sz w:val="20"/>
                <w:szCs w:val="20"/>
                <w:vertAlign w:val="subscript"/>
              </w:rPr>
              <w:t>ss</w:t>
            </w:r>
            <w:proofErr w:type="spellEnd"/>
            <w:r w:rsidRPr="006A2C95">
              <w:rPr>
                <w:rFonts w:eastAsia="Times" w:cs="Times New Roman"/>
                <w:snapToGrid w:val="0"/>
                <w:sz w:val="20"/>
                <w:szCs w:val="20"/>
              </w:rPr>
              <w:t xml:space="preserve">:  Area under the concentration-time curve calculated over the 24-hour dosing interval at steady-state </w:t>
            </w:r>
          </w:p>
        </w:tc>
      </w:tr>
      <w:tr w:rsidR="00AB0249" w:rsidRPr="006A2C95" w14:paraId="57DFB1EF" w14:textId="77777777" w:rsidTr="00F23D48">
        <w:trPr>
          <w:cantSplit/>
        </w:trPr>
        <w:tc>
          <w:tcPr>
            <w:tcW w:w="9536" w:type="dxa"/>
            <w:gridSpan w:val="8"/>
            <w:tcBorders>
              <w:top w:val="nil"/>
              <w:left w:val="nil"/>
              <w:bottom w:val="nil"/>
              <w:right w:val="nil"/>
            </w:tcBorders>
          </w:tcPr>
          <w:p w14:paraId="4251D185"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1"/>
                <w:szCs w:val="21"/>
              </w:rPr>
            </w:pPr>
            <w:proofErr w:type="spellStart"/>
            <w:r w:rsidRPr="006A2C95">
              <w:rPr>
                <w:rFonts w:eastAsia="Times" w:cs="Times New Roman"/>
                <w:snapToGrid w:val="0"/>
                <w:sz w:val="20"/>
                <w:szCs w:val="20"/>
              </w:rPr>
              <w:t>C</w:t>
            </w:r>
            <w:r w:rsidRPr="006A2C95">
              <w:rPr>
                <w:rFonts w:eastAsia="Times" w:cs="Times New Roman"/>
                <w:snapToGrid w:val="0"/>
                <w:sz w:val="20"/>
                <w:szCs w:val="20"/>
                <w:vertAlign w:val="subscript"/>
              </w:rPr>
              <w:t>min,ss</w:t>
            </w:r>
            <w:proofErr w:type="spellEnd"/>
            <w:r w:rsidRPr="006A2C95">
              <w:rPr>
                <w:rFonts w:eastAsia="Times" w:cs="Times New Roman"/>
                <w:snapToGrid w:val="0"/>
                <w:sz w:val="20"/>
                <w:szCs w:val="20"/>
              </w:rPr>
              <w:t>:   Trough concentration at steady-state</w:t>
            </w:r>
          </w:p>
        </w:tc>
      </w:tr>
      <w:tr w:rsidR="00AB0249" w:rsidRPr="006A2C95" w14:paraId="683C87FB" w14:textId="77777777" w:rsidTr="00F23D48">
        <w:trPr>
          <w:cantSplit/>
        </w:trPr>
        <w:tc>
          <w:tcPr>
            <w:tcW w:w="9536" w:type="dxa"/>
            <w:gridSpan w:val="8"/>
            <w:tcBorders>
              <w:top w:val="nil"/>
              <w:left w:val="nil"/>
              <w:bottom w:val="nil"/>
              <w:right w:val="nil"/>
            </w:tcBorders>
          </w:tcPr>
          <w:p w14:paraId="3BB9F6C4"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1"/>
                <w:szCs w:val="21"/>
              </w:rPr>
            </w:pPr>
            <w:r w:rsidRPr="006A2C95">
              <w:rPr>
                <w:rFonts w:eastAsia="Times" w:cs="Times New Roman"/>
                <w:snapToGrid w:val="0"/>
                <w:sz w:val="20"/>
                <w:szCs w:val="20"/>
              </w:rPr>
              <w:t>NA:      not applicable.</w:t>
            </w:r>
          </w:p>
        </w:tc>
      </w:tr>
      <w:tr w:rsidR="00AB0249" w:rsidRPr="006A2C95" w14:paraId="3BD61F7D" w14:textId="77777777" w:rsidTr="00F23D48">
        <w:trPr>
          <w:cantSplit/>
        </w:trPr>
        <w:tc>
          <w:tcPr>
            <w:tcW w:w="9536" w:type="dxa"/>
            <w:gridSpan w:val="8"/>
            <w:tcBorders>
              <w:top w:val="nil"/>
              <w:left w:val="nil"/>
              <w:bottom w:val="nil"/>
              <w:right w:val="nil"/>
            </w:tcBorders>
          </w:tcPr>
          <w:p w14:paraId="75398CA9"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0"/>
                <w:szCs w:val="20"/>
              </w:rPr>
            </w:pPr>
            <w:r w:rsidRPr="006A2C95">
              <w:rPr>
                <w:rFonts w:eastAsia="Times" w:cs="Times New Roman"/>
                <w:snapToGrid w:val="0"/>
                <w:sz w:val="20"/>
                <w:szCs w:val="20"/>
              </w:rPr>
              <w:t>a.</w:t>
            </w:r>
            <w:r w:rsidRPr="006A2C95">
              <w:rPr>
                <w:rFonts w:eastAsia="Times" w:cs="Times New Roman"/>
                <w:snapToGrid w:val="0"/>
                <w:sz w:val="20"/>
                <w:szCs w:val="20"/>
              </w:rPr>
              <w:tab/>
              <w:t>Parameters obtained following a single dose from patients with complicated skin and skin structure infections and healthy subjects</w:t>
            </w:r>
          </w:p>
        </w:tc>
      </w:tr>
      <w:tr w:rsidR="00AB0249" w:rsidRPr="006A2C95" w14:paraId="5527F282" w14:textId="77777777" w:rsidTr="00F23D48">
        <w:trPr>
          <w:cantSplit/>
        </w:trPr>
        <w:tc>
          <w:tcPr>
            <w:tcW w:w="9536" w:type="dxa"/>
            <w:gridSpan w:val="8"/>
            <w:tcBorders>
              <w:top w:val="nil"/>
              <w:left w:val="nil"/>
              <w:bottom w:val="nil"/>
              <w:right w:val="nil"/>
            </w:tcBorders>
          </w:tcPr>
          <w:p w14:paraId="2082CE10" w14:textId="77777777" w:rsidR="00AB0249" w:rsidRPr="006A2C95" w:rsidRDefault="00AB0249" w:rsidP="00F23D48">
            <w:pPr>
              <w:keepNext/>
              <w:widowControl w:val="0"/>
              <w:suppressLineNumbers/>
              <w:autoSpaceDE w:val="0"/>
              <w:autoSpaceDN w:val="0"/>
              <w:adjustRightInd w:val="0"/>
              <w:spacing w:before="40" w:after="60" w:line="240" w:lineRule="auto"/>
              <w:jc w:val="both"/>
              <w:rPr>
                <w:rFonts w:eastAsia="Times" w:cs="Times New Roman"/>
                <w:snapToGrid w:val="0"/>
                <w:sz w:val="21"/>
                <w:szCs w:val="21"/>
              </w:rPr>
            </w:pPr>
            <w:r w:rsidRPr="006A2C95">
              <w:rPr>
                <w:rFonts w:eastAsia="Times" w:cs="Times New Roman"/>
                <w:snapToGrid w:val="0"/>
                <w:sz w:val="20"/>
                <w:szCs w:val="20"/>
              </w:rPr>
              <w:t>b.</w:t>
            </w:r>
            <w:r w:rsidRPr="006A2C95">
              <w:rPr>
                <w:rFonts w:eastAsia="Times" w:cs="Times New Roman"/>
                <w:snapToGrid w:val="0"/>
                <w:sz w:val="20"/>
                <w:szCs w:val="20"/>
              </w:rPr>
              <w:tab/>
              <w:t xml:space="preserve">Parameters obtained at steady-state from patients with </w:t>
            </w:r>
            <w:r w:rsidRPr="006A2C95">
              <w:rPr>
                <w:rFonts w:eastAsia="Times" w:cs="Times New Roman"/>
                <w:i/>
                <w:snapToGrid w:val="0"/>
                <w:sz w:val="20"/>
                <w:szCs w:val="20"/>
              </w:rPr>
              <w:t>S.</w:t>
            </w:r>
            <w:r w:rsidRPr="006A2C95">
              <w:rPr>
                <w:rFonts w:eastAsia="Times" w:cs="Times New Roman"/>
                <w:snapToGrid w:val="0"/>
                <w:sz w:val="20"/>
                <w:szCs w:val="20"/>
              </w:rPr>
              <w:t xml:space="preserve"> </w:t>
            </w:r>
            <w:r w:rsidRPr="006A2C95">
              <w:rPr>
                <w:rFonts w:eastAsia="Times" w:cs="Times New Roman"/>
                <w:i/>
                <w:snapToGrid w:val="0"/>
                <w:sz w:val="20"/>
                <w:szCs w:val="20"/>
              </w:rPr>
              <w:t>aureus</w:t>
            </w:r>
            <w:r w:rsidRPr="006A2C95">
              <w:rPr>
                <w:rFonts w:eastAsia="Times" w:cs="Times New Roman"/>
                <w:snapToGrid w:val="0"/>
                <w:sz w:val="20"/>
                <w:szCs w:val="20"/>
              </w:rPr>
              <w:t xml:space="preserve"> bacteraemia</w:t>
            </w:r>
          </w:p>
        </w:tc>
      </w:tr>
    </w:tbl>
    <w:p w14:paraId="2026D1EE" w14:textId="77777777" w:rsidR="009554FD" w:rsidRPr="006A2C95" w:rsidRDefault="009554FD" w:rsidP="006A2C95">
      <w:pPr>
        <w:widowControl w:val="0"/>
        <w:tabs>
          <w:tab w:val="left" w:pos="0"/>
        </w:tabs>
        <w:autoSpaceDE w:val="0"/>
        <w:autoSpaceDN w:val="0"/>
        <w:adjustRightInd w:val="0"/>
        <w:spacing w:after="0" w:line="320" w:lineRule="atLeast"/>
        <w:jc w:val="both"/>
        <w:rPr>
          <w:rFonts w:eastAsia="Times New Roman" w:cs="Times New Roman"/>
          <w:szCs w:val="20"/>
        </w:rPr>
      </w:pPr>
    </w:p>
    <w:p w14:paraId="13B5CC5B" w14:textId="10A9437A" w:rsidR="006A2C95" w:rsidRPr="006A2C95" w:rsidRDefault="006A2C95" w:rsidP="006A2C95">
      <w:pPr>
        <w:widowControl w:val="0"/>
        <w:tabs>
          <w:tab w:val="left" w:pos="0"/>
        </w:tabs>
        <w:autoSpaceDE w:val="0"/>
        <w:autoSpaceDN w:val="0"/>
        <w:adjustRightInd w:val="0"/>
        <w:spacing w:after="0" w:line="320" w:lineRule="atLeast"/>
        <w:jc w:val="both"/>
        <w:rPr>
          <w:rFonts w:eastAsia="Times New Roman" w:cs="Times New Roman"/>
          <w:szCs w:val="20"/>
        </w:rPr>
      </w:pPr>
      <w:r w:rsidRPr="006A2C95">
        <w:rPr>
          <w:rFonts w:eastAsia="Times New Roman" w:cs="Times New Roman"/>
          <w:i/>
          <w:iCs/>
          <w:szCs w:val="20"/>
          <w:u w:val="single"/>
        </w:rPr>
        <w:t>Hepatic Impairment</w:t>
      </w:r>
      <w:r w:rsidRPr="006A2C95">
        <w:rPr>
          <w:rFonts w:eastAsia="Times New Roman" w:cs="Times New Roman"/>
          <w:szCs w:val="20"/>
          <w:u w:val="single"/>
        </w:rPr>
        <w:t>:</w:t>
      </w:r>
      <w:r w:rsidRPr="006A2C95">
        <w:rPr>
          <w:rFonts w:eastAsia="Times New Roman" w:cs="Times New Roman"/>
          <w:szCs w:val="20"/>
        </w:rPr>
        <w:t xml:space="preserve">  The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were evaluated in 10 subjects with moderate hepatic impairment (Child-Pugh Class B) and compared with healthy volunteers </w:t>
      </w:r>
      <w:r w:rsidRPr="006A2C95">
        <w:rPr>
          <w:rFonts w:eastAsia="Times New Roman" w:cs="Times New Roman"/>
          <w:szCs w:val="20"/>
        </w:rPr>
        <w:lastRenderedPageBreak/>
        <w:t xml:space="preserve">(N= 9) matched for gender, age, and weight.  The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was not altered in subjects with moderate hepatic impairment.  No dosage adjustment is warranted when administering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to patients with mild to moderate hepatic impairment.  The pharmacokinetics of </w:t>
      </w:r>
      <w:proofErr w:type="spellStart"/>
      <w:r w:rsidRPr="006A2C95">
        <w:rPr>
          <w:rFonts w:eastAsia="Times New Roman" w:cs="Times New Roman"/>
          <w:szCs w:val="20"/>
        </w:rPr>
        <w:t>daptomycin</w:t>
      </w:r>
      <w:proofErr w:type="spellEnd"/>
      <w:r w:rsidRPr="006A2C95">
        <w:rPr>
          <w:rFonts w:eastAsia="Times New Roman" w:cs="Times New Roman"/>
          <w:szCs w:val="20"/>
        </w:rPr>
        <w:t xml:space="preserve"> in patients with severe hepatic impairment</w:t>
      </w:r>
      <w:r w:rsidRPr="006A2C95" w:rsidDel="004132C6">
        <w:rPr>
          <w:rFonts w:eastAsia="Times New Roman" w:cs="Times New Roman"/>
          <w:szCs w:val="20"/>
        </w:rPr>
        <w:t xml:space="preserve"> </w:t>
      </w:r>
      <w:r w:rsidRPr="006A2C95">
        <w:rPr>
          <w:rFonts w:eastAsia="Times New Roman" w:cs="Times New Roman"/>
          <w:szCs w:val="20"/>
        </w:rPr>
        <w:t>(Child-Pugh Class C) has not been evaluated.</w:t>
      </w:r>
    </w:p>
    <w:p w14:paraId="7D80573A" w14:textId="77777777" w:rsidR="006A2C95" w:rsidRDefault="006A2C95" w:rsidP="00E2430F"/>
    <w:p w14:paraId="77CB4668" w14:textId="77777777" w:rsidR="001A3992" w:rsidRPr="00EC3C40" w:rsidRDefault="001A3992" w:rsidP="001A3992">
      <w:pPr>
        <w:pStyle w:val="Heading2"/>
        <w:spacing w:before="0" w:after="120"/>
        <w:rPr>
          <w:lang w:val="en-US"/>
        </w:rPr>
      </w:pPr>
      <w:r w:rsidRPr="00EC3C40">
        <w:rPr>
          <w:lang w:val="en-US"/>
        </w:rPr>
        <w:t>Preclinical safety data</w:t>
      </w:r>
    </w:p>
    <w:p w14:paraId="4C58EE2E" w14:textId="77777777" w:rsidR="001A3992" w:rsidRDefault="001A3992" w:rsidP="001A3992">
      <w:pPr>
        <w:pStyle w:val="Heading3"/>
        <w:spacing w:before="0" w:after="120"/>
      </w:pPr>
      <w:proofErr w:type="spellStart"/>
      <w:r w:rsidRPr="00B878CC">
        <w:t>Genotoxicity</w:t>
      </w:r>
      <w:proofErr w:type="spellEnd"/>
    </w:p>
    <w:p w14:paraId="6F0E0085" w14:textId="77777777" w:rsidR="00D842C2" w:rsidRPr="00D842C2" w:rsidRDefault="00D842C2" w:rsidP="00C94FA2">
      <w:pPr>
        <w:jc w:val="both"/>
        <w:rPr>
          <w:rFonts w:eastAsia="Times New Roman" w:cs="Times New Roman"/>
          <w:szCs w:val="20"/>
        </w:rPr>
      </w:pPr>
      <w:proofErr w:type="spellStart"/>
      <w:r w:rsidRPr="00D842C2">
        <w:rPr>
          <w:rFonts w:eastAsia="Times New Roman" w:cs="Times New Roman"/>
          <w:szCs w:val="20"/>
        </w:rPr>
        <w:t>Daptomycin</w:t>
      </w:r>
      <w:proofErr w:type="spellEnd"/>
      <w:r w:rsidRPr="00D842C2">
        <w:rPr>
          <w:rFonts w:eastAsia="Times New Roman" w:cs="Times New Roman"/>
          <w:szCs w:val="20"/>
        </w:rPr>
        <w:t xml:space="preserve"> was not mutagenic or </w:t>
      </w:r>
      <w:proofErr w:type="spellStart"/>
      <w:r w:rsidRPr="00D842C2">
        <w:rPr>
          <w:rFonts w:eastAsia="Times New Roman" w:cs="Times New Roman"/>
          <w:szCs w:val="20"/>
        </w:rPr>
        <w:t>clastogenic</w:t>
      </w:r>
      <w:proofErr w:type="spellEnd"/>
      <w:r w:rsidRPr="00D842C2">
        <w:rPr>
          <w:rFonts w:eastAsia="Times New Roman" w:cs="Times New Roman"/>
          <w:szCs w:val="20"/>
        </w:rPr>
        <w:t xml:space="preserve"> in a battery of </w:t>
      </w:r>
      <w:r w:rsidRPr="00D842C2">
        <w:rPr>
          <w:rFonts w:eastAsia="Times New Roman" w:cs="Times New Roman"/>
          <w:i/>
          <w:szCs w:val="20"/>
        </w:rPr>
        <w:t>in vivo</w:t>
      </w:r>
      <w:r w:rsidRPr="00D842C2">
        <w:rPr>
          <w:rFonts w:eastAsia="Times New Roman" w:cs="Times New Roman"/>
          <w:szCs w:val="20"/>
        </w:rPr>
        <w:t xml:space="preserve"> and </w:t>
      </w:r>
      <w:r w:rsidRPr="00D842C2">
        <w:rPr>
          <w:rFonts w:eastAsia="Times New Roman" w:cs="Times New Roman"/>
          <w:i/>
          <w:szCs w:val="20"/>
        </w:rPr>
        <w:t xml:space="preserve">in vitro </w:t>
      </w:r>
      <w:proofErr w:type="spellStart"/>
      <w:r w:rsidRPr="00D842C2">
        <w:rPr>
          <w:rFonts w:eastAsia="Times New Roman" w:cs="Times New Roman"/>
          <w:szCs w:val="20"/>
        </w:rPr>
        <w:t>genotoxicity</w:t>
      </w:r>
      <w:proofErr w:type="spellEnd"/>
      <w:r w:rsidRPr="00D842C2">
        <w:rPr>
          <w:rFonts w:eastAsia="Times New Roman" w:cs="Times New Roman"/>
          <w:szCs w:val="20"/>
        </w:rPr>
        <w:t xml:space="preserve"> tests comprising mutation in bacteria and mammalian cells, chromosomal aberrations and DNA damage in mammalian cells, a bone marrow micronucleus assay in mice and a sister chromatid exchange assay in Chinese hamsters.</w:t>
      </w:r>
    </w:p>
    <w:p w14:paraId="0AB631DB" w14:textId="77777777" w:rsidR="001A3992" w:rsidRDefault="001A3992" w:rsidP="001A3992">
      <w:pPr>
        <w:pStyle w:val="Heading3"/>
        <w:spacing w:before="0" w:after="120"/>
        <w:rPr>
          <w:lang w:val="en-US"/>
        </w:rPr>
      </w:pPr>
      <w:proofErr w:type="spellStart"/>
      <w:r w:rsidRPr="00B878CC">
        <w:t>Carcin</w:t>
      </w:r>
      <w:r w:rsidRPr="00B878CC">
        <w:rPr>
          <w:lang w:val="en-US"/>
        </w:rPr>
        <w:t>ogenicity</w:t>
      </w:r>
      <w:proofErr w:type="spellEnd"/>
    </w:p>
    <w:p w14:paraId="1C2DFBF2" w14:textId="77777777" w:rsidR="00D842C2" w:rsidRPr="00D842C2" w:rsidRDefault="00D842C2" w:rsidP="00C94FA2">
      <w:pPr>
        <w:jc w:val="both"/>
        <w:rPr>
          <w:rFonts w:eastAsia="Times New Roman" w:cs="Times New Roman"/>
          <w:szCs w:val="20"/>
        </w:rPr>
      </w:pPr>
      <w:r w:rsidRPr="00D842C2">
        <w:rPr>
          <w:rFonts w:eastAsia="Times New Roman" w:cs="Times New Roman"/>
          <w:szCs w:val="20"/>
        </w:rPr>
        <w:t xml:space="preserve">Long-term carcinogenicity studies in animals have not been conducted to evaluate the carcinogenic potential of </w:t>
      </w:r>
      <w:proofErr w:type="spellStart"/>
      <w:r w:rsidRPr="00D842C2">
        <w:rPr>
          <w:rFonts w:eastAsia="Times New Roman" w:cs="Times New Roman"/>
          <w:szCs w:val="20"/>
        </w:rPr>
        <w:t>daptomycin</w:t>
      </w:r>
      <w:proofErr w:type="spellEnd"/>
      <w:r w:rsidRPr="00D842C2">
        <w:rPr>
          <w:rFonts w:eastAsia="Times New Roman" w:cs="Times New Roman"/>
          <w:szCs w:val="20"/>
        </w:rPr>
        <w:t>.</w:t>
      </w:r>
    </w:p>
    <w:p w14:paraId="0AA35B8E" w14:textId="77777777" w:rsidR="001A3992" w:rsidRDefault="001A3992" w:rsidP="001A3992">
      <w:pPr>
        <w:pStyle w:val="Heading1"/>
        <w:spacing w:before="0" w:after="120"/>
        <w:rPr>
          <w:lang w:val="en-US"/>
        </w:rPr>
      </w:pPr>
      <w:r>
        <w:rPr>
          <w:lang w:val="en-US"/>
        </w:rPr>
        <w:t>Pharmaceutical particulars</w:t>
      </w:r>
    </w:p>
    <w:p w14:paraId="37FC0485" w14:textId="77777777" w:rsidR="001A3992" w:rsidRDefault="001A3992" w:rsidP="001A3992">
      <w:pPr>
        <w:pStyle w:val="Heading2"/>
        <w:spacing w:before="0" w:after="120"/>
        <w:rPr>
          <w:lang w:val="en-US"/>
        </w:rPr>
      </w:pPr>
      <w:r w:rsidRPr="00EC3C40">
        <w:rPr>
          <w:lang w:val="en-US"/>
        </w:rPr>
        <w:t xml:space="preserve">List of excipients </w:t>
      </w:r>
    </w:p>
    <w:p w14:paraId="46DF0AA8" w14:textId="1394E6D8" w:rsidR="00D842C2" w:rsidRPr="00273FAF" w:rsidRDefault="00DB11B6" w:rsidP="00C94FA2">
      <w:pPr>
        <w:jc w:val="both"/>
        <w:rPr>
          <w:rFonts w:cs="Times New Roman"/>
          <w:szCs w:val="24"/>
          <w:lang w:val="en-US"/>
        </w:rPr>
      </w:pPr>
      <w:r w:rsidRPr="00273FAF">
        <w:rPr>
          <w:rFonts w:cs="Times New Roman"/>
          <w:szCs w:val="24"/>
          <w:lang w:val="en-US"/>
        </w:rPr>
        <w:t xml:space="preserve">Refer to Section 2 - Qualitative and quantitative composition. </w:t>
      </w:r>
    </w:p>
    <w:p w14:paraId="5A46230E" w14:textId="77777777" w:rsidR="001A3992" w:rsidRDefault="001A3992" w:rsidP="001A3992">
      <w:pPr>
        <w:pStyle w:val="Heading2"/>
        <w:keepNext/>
        <w:keepLines/>
        <w:spacing w:before="0" w:after="120"/>
        <w:rPr>
          <w:lang w:val="en-US"/>
        </w:rPr>
      </w:pPr>
      <w:r w:rsidRPr="006611B7">
        <w:rPr>
          <w:lang w:val="en-US"/>
        </w:rPr>
        <w:t xml:space="preserve">Incompatibilities </w:t>
      </w:r>
    </w:p>
    <w:p w14:paraId="5D8F35FC" w14:textId="5A644586" w:rsidR="007120D7" w:rsidRPr="007120D7" w:rsidRDefault="00F23D48" w:rsidP="00C94FA2">
      <w:pPr>
        <w:jc w:val="both"/>
        <w:rPr>
          <w:rFonts w:cs="Times New Roman"/>
          <w:szCs w:val="24"/>
        </w:rPr>
      </w:pPr>
      <w:r>
        <w:rPr>
          <w:rFonts w:cs="Times New Roman"/>
          <w:szCs w:val="24"/>
        </w:rPr>
        <w:t>CUBICIN</w:t>
      </w:r>
      <w:r w:rsidR="007120D7" w:rsidRPr="007120D7">
        <w:rPr>
          <w:rFonts w:cs="Times New Roman"/>
          <w:szCs w:val="24"/>
        </w:rPr>
        <w:t xml:space="preserve"> is not compatible with glucose-containing diluents, including dextrose. Because only limited data are available on the compatibility of </w:t>
      </w:r>
      <w:r>
        <w:rPr>
          <w:rFonts w:cs="Times New Roman"/>
          <w:szCs w:val="24"/>
        </w:rPr>
        <w:t>CUBICIN</w:t>
      </w:r>
      <w:r w:rsidR="007120D7" w:rsidRPr="007120D7">
        <w:rPr>
          <w:rFonts w:cs="Times New Roman"/>
          <w:szCs w:val="24"/>
        </w:rPr>
        <w:t xml:space="preserve"> with other IV substances, additives and other medications should not be added to </w:t>
      </w:r>
      <w:r>
        <w:rPr>
          <w:rFonts w:cs="Times New Roman"/>
          <w:szCs w:val="24"/>
        </w:rPr>
        <w:t>CUBICIN</w:t>
      </w:r>
      <w:r w:rsidR="007120D7" w:rsidRPr="007120D7">
        <w:rPr>
          <w:rFonts w:cs="Times New Roman"/>
          <w:szCs w:val="24"/>
        </w:rPr>
        <w:t xml:space="preserve"> single-</w:t>
      </w:r>
      <w:r w:rsidR="00AB0249">
        <w:rPr>
          <w:rFonts w:cs="Times New Roman"/>
          <w:szCs w:val="24"/>
        </w:rPr>
        <w:t>dose</w:t>
      </w:r>
      <w:r w:rsidR="007120D7" w:rsidRPr="007120D7">
        <w:rPr>
          <w:rFonts w:cs="Times New Roman"/>
          <w:szCs w:val="24"/>
        </w:rPr>
        <w:t xml:space="preserve"> vials or infusion bags or infused simultaneously through the same IV line (see</w:t>
      </w:r>
      <w:r w:rsidR="00D71E3F">
        <w:rPr>
          <w:rFonts w:cs="Times New Roman"/>
          <w:szCs w:val="24"/>
        </w:rPr>
        <w:t xml:space="preserve"> section 4.5 INTERACTIONS WITH OTHER MEDICINES AND OTHER FORMS OF INTERACTIONS</w:t>
      </w:r>
      <w:r w:rsidR="007120D7" w:rsidRPr="007120D7">
        <w:rPr>
          <w:rFonts w:cs="Times New Roman"/>
          <w:szCs w:val="24"/>
        </w:rPr>
        <w:t xml:space="preserve">). If the same IV line is used for sequential infusion of different drugs, flush the line with a compatible intravenous solution before and after infusion with </w:t>
      </w:r>
      <w:r>
        <w:rPr>
          <w:rFonts w:cs="Times New Roman"/>
          <w:szCs w:val="24"/>
        </w:rPr>
        <w:t>CUBICIN</w:t>
      </w:r>
      <w:r w:rsidR="007120D7" w:rsidRPr="007120D7">
        <w:rPr>
          <w:rFonts w:cs="Times New Roman"/>
          <w:szCs w:val="24"/>
        </w:rPr>
        <w:t>.</w:t>
      </w:r>
    </w:p>
    <w:p w14:paraId="4FBBA787" w14:textId="77777777" w:rsidR="001A3992" w:rsidRDefault="001A3992" w:rsidP="001A3992">
      <w:pPr>
        <w:pStyle w:val="Heading2"/>
        <w:spacing w:before="0" w:after="120"/>
        <w:rPr>
          <w:lang w:val="en-US"/>
        </w:rPr>
      </w:pPr>
      <w:r w:rsidRPr="00EC3C40">
        <w:rPr>
          <w:lang w:val="en-US"/>
        </w:rPr>
        <w:t xml:space="preserve">Shelf life </w:t>
      </w:r>
    </w:p>
    <w:p w14:paraId="525BD137" w14:textId="137E045F" w:rsidR="00FF0D18" w:rsidRPr="00273FAF" w:rsidRDefault="00FF0D18" w:rsidP="00C94FA2">
      <w:pPr>
        <w:jc w:val="both"/>
        <w:rPr>
          <w:rFonts w:cs="Times New Roman"/>
          <w:szCs w:val="24"/>
          <w:lang w:val="en-US"/>
        </w:rPr>
      </w:pPr>
      <w:r w:rsidRPr="00273FAF">
        <w:rPr>
          <w:rFonts w:cs="Times New Roman"/>
          <w:szCs w:val="24"/>
          <w:lang w:val="en-US"/>
        </w:rPr>
        <w:t>In Australia, information on the shelf life can be found on the public summary of the Australian Register of Therapeutic Goods (ARTG).  The expiry date can be found on the packaging.</w:t>
      </w:r>
    </w:p>
    <w:p w14:paraId="07CC287D" w14:textId="1A7F9C50" w:rsidR="007120D7" w:rsidRDefault="007120D7" w:rsidP="007120D7">
      <w:pPr>
        <w:rPr>
          <w:rFonts w:cs="Times New Roman"/>
          <w:szCs w:val="24"/>
          <w:u w:val="single"/>
          <w:lang w:val="en-US"/>
        </w:rPr>
      </w:pPr>
      <w:r>
        <w:rPr>
          <w:rFonts w:cs="Times New Roman"/>
          <w:szCs w:val="24"/>
          <w:u w:val="single"/>
          <w:lang w:val="en-US"/>
        </w:rPr>
        <w:t>Stability after reconstitution and dilution</w:t>
      </w:r>
    </w:p>
    <w:p w14:paraId="080F22E6" w14:textId="3E39ECB2" w:rsidR="007120D7" w:rsidRPr="007120D7" w:rsidRDefault="007120D7" w:rsidP="007120D7">
      <w:pPr>
        <w:rPr>
          <w:rFonts w:eastAsia="Times New Roman" w:cs="Times New Roman"/>
          <w:szCs w:val="20"/>
        </w:rPr>
      </w:pPr>
      <w:r w:rsidRPr="007120D7">
        <w:rPr>
          <w:rFonts w:eastAsia="Times New Roman" w:cs="Times New Roman"/>
          <w:bCs/>
          <w:i/>
          <w:iCs/>
          <w:szCs w:val="24"/>
          <w:lang w:val="nb-NO"/>
        </w:rPr>
        <w:t>In the vial</w:t>
      </w:r>
      <w:r w:rsidRPr="007120D7">
        <w:rPr>
          <w:rFonts w:eastAsia="Times New Roman" w:cs="Times New Roman"/>
          <w:szCs w:val="20"/>
          <w:lang w:val="nb-NO"/>
        </w:rPr>
        <w:t xml:space="preserve">: Chemical and physical in-use </w:t>
      </w:r>
      <w:r w:rsidRPr="007120D7">
        <w:rPr>
          <w:rFonts w:eastAsia="Times New Roman" w:cs="Times New Roman"/>
          <w:szCs w:val="20"/>
        </w:rPr>
        <w:t>stability of the reconstituted solution in the vial has been demonstrated for 12 hours at room temperature or up to 48 hours if stored under refrigeration (2°C to 8</w:t>
      </w:r>
      <w:r w:rsidRPr="007120D7">
        <w:rPr>
          <w:rFonts w:eastAsia="Times New Roman" w:cs="Times New Roman"/>
          <w:szCs w:val="20"/>
        </w:rPr>
        <w:sym w:font="Symbol" w:char="F0B0"/>
      </w:r>
      <w:r w:rsidRPr="007120D7">
        <w:rPr>
          <w:rFonts w:eastAsia="Times New Roman" w:cs="Times New Roman"/>
          <w:szCs w:val="20"/>
        </w:rPr>
        <w:t xml:space="preserve">C).  </w:t>
      </w:r>
    </w:p>
    <w:p w14:paraId="47BA8328" w14:textId="77777777" w:rsidR="007120D7" w:rsidRPr="007120D7" w:rsidRDefault="007120D7" w:rsidP="007120D7">
      <w:pPr>
        <w:widowControl w:val="0"/>
        <w:tabs>
          <w:tab w:val="left" w:pos="0"/>
        </w:tabs>
        <w:autoSpaceDE w:val="0"/>
        <w:autoSpaceDN w:val="0"/>
        <w:adjustRightInd w:val="0"/>
        <w:spacing w:after="0" w:line="320" w:lineRule="atLeast"/>
        <w:jc w:val="both"/>
        <w:rPr>
          <w:rFonts w:eastAsia="Times New Roman" w:cs="Times New Roman"/>
          <w:szCs w:val="20"/>
        </w:rPr>
      </w:pPr>
    </w:p>
    <w:p w14:paraId="594678CF" w14:textId="77777777" w:rsidR="007120D7" w:rsidRPr="007120D7" w:rsidRDefault="007120D7" w:rsidP="007120D7">
      <w:pPr>
        <w:widowControl w:val="0"/>
        <w:tabs>
          <w:tab w:val="left" w:pos="0"/>
        </w:tabs>
        <w:autoSpaceDE w:val="0"/>
        <w:autoSpaceDN w:val="0"/>
        <w:adjustRightInd w:val="0"/>
        <w:spacing w:after="0" w:line="320" w:lineRule="atLeast"/>
        <w:jc w:val="both"/>
        <w:rPr>
          <w:rFonts w:eastAsia="Times New Roman" w:cs="Times New Roman"/>
          <w:szCs w:val="20"/>
        </w:rPr>
      </w:pPr>
      <w:r w:rsidRPr="007120D7">
        <w:rPr>
          <w:rFonts w:eastAsia="Times New Roman" w:cs="Times New Roman"/>
          <w:bCs/>
          <w:i/>
          <w:iCs/>
          <w:szCs w:val="24"/>
          <w:lang w:val="nb-NO"/>
        </w:rPr>
        <w:lastRenderedPageBreak/>
        <w:t>In the infusion bag</w:t>
      </w:r>
      <w:r w:rsidRPr="007120D7">
        <w:rPr>
          <w:rFonts w:eastAsia="Times New Roman" w:cs="Times New Roman"/>
          <w:szCs w:val="20"/>
        </w:rPr>
        <w:t xml:space="preserve">: Chemical and physical in-use stability of the diluted solution in the infusion bag has been established for 12 hours at room temperature or 48 hours if stored under refrigeration (2°C to 8°C).  </w:t>
      </w:r>
    </w:p>
    <w:p w14:paraId="7F9590E3" w14:textId="77777777" w:rsidR="007120D7" w:rsidRPr="007120D7" w:rsidRDefault="007120D7" w:rsidP="007120D7">
      <w:pPr>
        <w:widowControl w:val="0"/>
        <w:tabs>
          <w:tab w:val="left" w:pos="0"/>
        </w:tabs>
        <w:autoSpaceDE w:val="0"/>
        <w:autoSpaceDN w:val="0"/>
        <w:adjustRightInd w:val="0"/>
        <w:spacing w:after="0" w:line="320" w:lineRule="atLeast"/>
        <w:jc w:val="both"/>
        <w:rPr>
          <w:rFonts w:eastAsia="Times New Roman" w:cs="Times New Roman"/>
          <w:szCs w:val="20"/>
        </w:rPr>
      </w:pPr>
    </w:p>
    <w:p w14:paraId="27E43FB0" w14:textId="77777777" w:rsidR="007120D7" w:rsidRPr="007120D7" w:rsidRDefault="007120D7" w:rsidP="007120D7">
      <w:pPr>
        <w:widowControl w:val="0"/>
        <w:tabs>
          <w:tab w:val="left" w:pos="0"/>
        </w:tabs>
        <w:autoSpaceDE w:val="0"/>
        <w:autoSpaceDN w:val="0"/>
        <w:adjustRightInd w:val="0"/>
        <w:spacing w:after="0" w:line="320" w:lineRule="atLeast"/>
        <w:jc w:val="both"/>
        <w:rPr>
          <w:rFonts w:eastAsia="Times New Roman" w:cs="Times New Roman"/>
          <w:szCs w:val="20"/>
        </w:rPr>
      </w:pPr>
      <w:r w:rsidRPr="007120D7">
        <w:rPr>
          <w:rFonts w:eastAsia="Times New Roman" w:cs="Times New Roman"/>
          <w:szCs w:val="20"/>
        </w:rPr>
        <w:t>However, to reduce microbiological hazard, the reconstituted solution and the diluted solution should be used as soon as practicable after reconstitution and after dilution.  If storage of the reconstituted or further diluted solution is necessary, solutions should be stored under refrigeration at 2°C to 8°C for a combined time (vial and infusion bag) of no more than 24 hours.</w:t>
      </w:r>
    </w:p>
    <w:p w14:paraId="7A6C1A13" w14:textId="77777777" w:rsidR="007120D7" w:rsidRPr="007120D7" w:rsidRDefault="007120D7" w:rsidP="007120D7">
      <w:pPr>
        <w:widowControl w:val="0"/>
        <w:tabs>
          <w:tab w:val="left" w:pos="0"/>
        </w:tabs>
        <w:autoSpaceDE w:val="0"/>
        <w:autoSpaceDN w:val="0"/>
        <w:adjustRightInd w:val="0"/>
        <w:spacing w:after="0" w:line="320" w:lineRule="atLeast"/>
        <w:jc w:val="both"/>
        <w:rPr>
          <w:rFonts w:eastAsia="Times New Roman" w:cs="Times New Roman"/>
          <w:szCs w:val="20"/>
        </w:rPr>
      </w:pPr>
    </w:p>
    <w:p w14:paraId="2031549F" w14:textId="53362245" w:rsidR="007120D7" w:rsidRPr="007120D7" w:rsidRDefault="007120D7" w:rsidP="007120D7">
      <w:pPr>
        <w:widowControl w:val="0"/>
        <w:tabs>
          <w:tab w:val="left" w:pos="0"/>
        </w:tabs>
        <w:autoSpaceDE w:val="0"/>
        <w:autoSpaceDN w:val="0"/>
        <w:adjustRightInd w:val="0"/>
        <w:spacing w:after="0" w:line="320" w:lineRule="atLeast"/>
        <w:jc w:val="both"/>
        <w:rPr>
          <w:rFonts w:eastAsia="Times New Roman" w:cs="Times New Roman"/>
          <w:szCs w:val="20"/>
        </w:rPr>
      </w:pPr>
      <w:r w:rsidRPr="007120D7">
        <w:rPr>
          <w:rFonts w:eastAsia="Times New Roman" w:cs="Times New Roman"/>
          <w:szCs w:val="20"/>
        </w:rPr>
        <w:t xml:space="preserve">Because only limited data are available on the compatibility of </w:t>
      </w:r>
      <w:r w:rsidR="00F23D48">
        <w:rPr>
          <w:rFonts w:eastAsia="Times New Roman" w:cs="Times New Roman"/>
          <w:szCs w:val="20"/>
        </w:rPr>
        <w:t>CUBICIN</w:t>
      </w:r>
      <w:r w:rsidRPr="007120D7">
        <w:rPr>
          <w:rFonts w:eastAsia="Times New Roman" w:cs="Times New Roman"/>
          <w:szCs w:val="20"/>
        </w:rPr>
        <w:t xml:space="preserve"> with other IV substances, additives or other medications should not be added to </w:t>
      </w:r>
      <w:r w:rsidR="00F23D48">
        <w:rPr>
          <w:rFonts w:eastAsia="Times New Roman" w:cs="Times New Roman"/>
          <w:szCs w:val="20"/>
        </w:rPr>
        <w:t>CUBICIN</w:t>
      </w:r>
      <w:r w:rsidRPr="007120D7">
        <w:rPr>
          <w:rFonts w:eastAsia="Times New Roman" w:cs="Times New Roman"/>
          <w:szCs w:val="20"/>
        </w:rPr>
        <w:t xml:space="preserve"> single-use vials or infused simultaneously through the same IV line.  If the same IV line is used for sequential infusion of several different drugs, the line should be flushed with a compatible infusion solution before and after infusion with </w:t>
      </w:r>
      <w:r w:rsidR="00F23D48">
        <w:rPr>
          <w:rFonts w:eastAsia="Times New Roman" w:cs="Times New Roman"/>
          <w:szCs w:val="20"/>
        </w:rPr>
        <w:t>CUBICIN</w:t>
      </w:r>
      <w:r w:rsidRPr="007120D7">
        <w:rPr>
          <w:rFonts w:eastAsia="Times New Roman" w:cs="Times New Roman"/>
          <w:szCs w:val="20"/>
        </w:rPr>
        <w:t>.</w:t>
      </w:r>
    </w:p>
    <w:p w14:paraId="4F19510C" w14:textId="64F34B77" w:rsidR="007120D7" w:rsidRPr="007120D7" w:rsidRDefault="007120D7" w:rsidP="007120D7">
      <w:pPr>
        <w:rPr>
          <w:rFonts w:cs="Times New Roman"/>
          <w:szCs w:val="24"/>
          <w:lang w:val="en-US"/>
        </w:rPr>
      </w:pPr>
    </w:p>
    <w:p w14:paraId="6D16BEE8" w14:textId="77777777" w:rsidR="001A3992" w:rsidRDefault="001A3992" w:rsidP="001A3992">
      <w:pPr>
        <w:pStyle w:val="Heading2"/>
        <w:keepNext/>
        <w:keepLines/>
        <w:spacing w:before="0" w:after="120"/>
        <w:rPr>
          <w:lang w:val="en-US"/>
        </w:rPr>
      </w:pPr>
      <w:r w:rsidRPr="00EC3C40">
        <w:rPr>
          <w:lang w:val="en-US"/>
        </w:rPr>
        <w:t xml:space="preserve">Special precautions for storage </w:t>
      </w:r>
    </w:p>
    <w:p w14:paraId="1A77218A" w14:textId="77777777" w:rsidR="007120D7" w:rsidRPr="007120D7" w:rsidRDefault="007120D7" w:rsidP="00AC708A">
      <w:pPr>
        <w:jc w:val="both"/>
        <w:rPr>
          <w:rFonts w:cs="Times New Roman"/>
          <w:szCs w:val="24"/>
        </w:rPr>
      </w:pPr>
      <w:r w:rsidRPr="007120D7">
        <w:rPr>
          <w:rFonts w:cs="Times New Roman"/>
          <w:szCs w:val="24"/>
        </w:rPr>
        <w:t xml:space="preserve">Store in original packages at refrigerated temperatures of between 2°C to 8 </w:t>
      </w:r>
      <w:r w:rsidRPr="007120D7">
        <w:rPr>
          <w:rFonts w:cs="Times New Roman"/>
          <w:szCs w:val="24"/>
        </w:rPr>
        <w:sym w:font="Symbol" w:char="F0B0"/>
      </w:r>
      <w:r w:rsidRPr="007120D7">
        <w:rPr>
          <w:rFonts w:cs="Times New Roman"/>
          <w:szCs w:val="24"/>
        </w:rPr>
        <w:t>C; avoid excessive heat.</w:t>
      </w:r>
    </w:p>
    <w:p w14:paraId="53FF6353" w14:textId="77777777" w:rsidR="007120D7" w:rsidRDefault="001A3992" w:rsidP="001A3992">
      <w:pPr>
        <w:pStyle w:val="Heading2"/>
        <w:spacing w:before="0" w:after="120"/>
        <w:rPr>
          <w:lang w:val="en-US"/>
        </w:rPr>
      </w:pPr>
      <w:r w:rsidRPr="00EC3C40">
        <w:rPr>
          <w:lang w:val="en-US"/>
        </w:rPr>
        <w:t>Nature and contents of container</w:t>
      </w:r>
    </w:p>
    <w:p w14:paraId="3C0A2E35" w14:textId="54D9DA31" w:rsidR="007120D7" w:rsidRPr="007120D7" w:rsidRDefault="00F23D48" w:rsidP="00AC708A">
      <w:pPr>
        <w:jc w:val="both"/>
        <w:rPr>
          <w:rFonts w:cs="Times New Roman"/>
          <w:szCs w:val="24"/>
        </w:rPr>
      </w:pPr>
      <w:r>
        <w:rPr>
          <w:rFonts w:cs="Times New Roman"/>
          <w:szCs w:val="24"/>
        </w:rPr>
        <w:t>CUBICIN</w:t>
      </w:r>
      <w:r w:rsidR="007120D7" w:rsidRPr="007120D7">
        <w:rPr>
          <w:rFonts w:cs="Times New Roman"/>
          <w:szCs w:val="24"/>
        </w:rPr>
        <w:t xml:space="preserve"> is supplied in single-</w:t>
      </w:r>
      <w:r w:rsidR="00AB0249">
        <w:rPr>
          <w:rFonts w:cs="Times New Roman"/>
          <w:szCs w:val="24"/>
        </w:rPr>
        <w:t>dose</w:t>
      </w:r>
      <w:r w:rsidR="007120D7" w:rsidRPr="007120D7">
        <w:rPr>
          <w:rFonts w:cs="Times New Roman"/>
          <w:szCs w:val="24"/>
        </w:rPr>
        <w:t xml:space="preserve"> vials containing 350 mg or 500 mg </w:t>
      </w:r>
      <w:proofErr w:type="spellStart"/>
      <w:r w:rsidR="007120D7" w:rsidRPr="007120D7">
        <w:rPr>
          <w:rFonts w:cs="Times New Roman"/>
          <w:szCs w:val="24"/>
        </w:rPr>
        <w:t>daptomycin</w:t>
      </w:r>
      <w:proofErr w:type="spellEnd"/>
      <w:r w:rsidR="007120D7" w:rsidRPr="007120D7">
        <w:rPr>
          <w:rFonts w:cs="Times New Roman"/>
          <w:szCs w:val="24"/>
        </w:rPr>
        <w:t xml:space="preserve"> as a sterile, lyophilised powder. Single-</w:t>
      </w:r>
      <w:r w:rsidR="00AB0249">
        <w:rPr>
          <w:rFonts w:cs="Times New Roman"/>
          <w:szCs w:val="24"/>
        </w:rPr>
        <w:t>dose</w:t>
      </w:r>
      <w:r w:rsidR="007120D7" w:rsidRPr="007120D7">
        <w:rPr>
          <w:rFonts w:cs="Times New Roman"/>
          <w:szCs w:val="24"/>
        </w:rPr>
        <w:t xml:space="preserve"> 10 mL capacity vial: Package of 1.</w:t>
      </w:r>
    </w:p>
    <w:p w14:paraId="4265AED1" w14:textId="77777777" w:rsidR="001A3992" w:rsidRDefault="001A3992" w:rsidP="001A3992">
      <w:pPr>
        <w:pStyle w:val="Heading2"/>
        <w:spacing w:before="0" w:after="120"/>
        <w:rPr>
          <w:lang w:val="en-US"/>
        </w:rPr>
      </w:pPr>
      <w:r w:rsidRPr="00EC3C40">
        <w:rPr>
          <w:lang w:val="en-US"/>
        </w:rPr>
        <w:t xml:space="preserve">Special precautions for disposal </w:t>
      </w:r>
    </w:p>
    <w:p w14:paraId="68DB5E8B" w14:textId="68DE0794" w:rsidR="00BE18E5" w:rsidRPr="00EE273C" w:rsidRDefault="00233C9A" w:rsidP="00AC708A">
      <w:pPr>
        <w:widowControl w:val="0"/>
        <w:jc w:val="both"/>
        <w:rPr>
          <w:rFonts w:cs="Times New Roman"/>
          <w:szCs w:val="24"/>
        </w:rPr>
      </w:pPr>
      <w:r w:rsidRPr="00EE273C">
        <w:rPr>
          <w:rFonts w:cs="Times New Roman"/>
          <w:szCs w:val="24"/>
        </w:rPr>
        <w:t>In Australia, a</w:t>
      </w:r>
      <w:r w:rsidR="00951269" w:rsidRPr="00EE273C">
        <w:rPr>
          <w:rFonts w:cs="Times New Roman"/>
          <w:szCs w:val="24"/>
        </w:rPr>
        <w:t xml:space="preserve">ny </w:t>
      </w:r>
      <w:r w:rsidR="00BE18E5" w:rsidRPr="00EE273C">
        <w:rPr>
          <w:rFonts w:cs="Times New Roman"/>
          <w:szCs w:val="24"/>
        </w:rPr>
        <w:t>unused medicin</w:t>
      </w:r>
      <w:r w:rsidR="00951269" w:rsidRPr="00EE273C">
        <w:rPr>
          <w:rFonts w:cs="Times New Roman"/>
          <w:szCs w:val="24"/>
        </w:rPr>
        <w:t>e</w:t>
      </w:r>
      <w:r w:rsidR="00BE18E5" w:rsidRPr="00EE273C">
        <w:rPr>
          <w:rFonts w:cs="Times New Roman"/>
          <w:szCs w:val="24"/>
        </w:rPr>
        <w:t xml:space="preserve"> or waste material should be disposed of </w:t>
      </w:r>
      <w:r w:rsidR="001259AB" w:rsidRPr="00EE273C">
        <w:rPr>
          <w:rFonts w:cs="Times New Roman"/>
          <w:szCs w:val="24"/>
        </w:rPr>
        <w:t>by taking to your local pharmacy.</w:t>
      </w:r>
    </w:p>
    <w:p w14:paraId="51F05840" w14:textId="77777777" w:rsidR="001A3992" w:rsidRPr="00EC3C40" w:rsidRDefault="001A3992" w:rsidP="001A3992">
      <w:pPr>
        <w:pStyle w:val="Heading2"/>
        <w:spacing w:before="0" w:after="120"/>
        <w:rPr>
          <w:lang w:val="en-US"/>
        </w:rPr>
      </w:pPr>
      <w:r w:rsidRPr="00EC3C40">
        <w:rPr>
          <w:lang w:val="en-US"/>
        </w:rPr>
        <w:t>Physicochemical properties</w:t>
      </w:r>
    </w:p>
    <w:p w14:paraId="0C765E4E" w14:textId="77777777" w:rsidR="001A3992" w:rsidRDefault="001A3992" w:rsidP="00840114">
      <w:pPr>
        <w:pStyle w:val="Heading3"/>
        <w:pageBreakBefore/>
        <w:spacing w:before="0" w:after="120"/>
        <w:rPr>
          <w:lang w:val="en-US"/>
        </w:rPr>
      </w:pPr>
      <w:r>
        <w:rPr>
          <w:lang w:val="en-US"/>
        </w:rPr>
        <w:lastRenderedPageBreak/>
        <w:t>Chemical structure</w:t>
      </w:r>
    </w:p>
    <w:p w14:paraId="49AC94CE" w14:textId="25B7EF30" w:rsidR="00951269" w:rsidRPr="00951269" w:rsidRDefault="00951269" w:rsidP="00951269">
      <w:pPr>
        <w:rPr>
          <w:lang w:val="en-US"/>
        </w:rPr>
      </w:pPr>
      <w:r w:rsidRPr="007A30E6">
        <w:rPr>
          <w:noProof/>
          <w:lang w:eastAsia="en-AU"/>
        </w:rPr>
        <w:drawing>
          <wp:inline distT="0" distB="0" distL="0" distR="0" wp14:anchorId="1C5FC75A" wp14:editId="216F830A">
            <wp:extent cx="4333875" cy="22955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3875" cy="2295525"/>
                    </a:xfrm>
                    <a:prstGeom prst="rect">
                      <a:avLst/>
                    </a:prstGeom>
                    <a:noFill/>
                    <a:ln>
                      <a:noFill/>
                    </a:ln>
                  </pic:spPr>
                </pic:pic>
              </a:graphicData>
            </a:graphic>
          </wp:inline>
        </w:drawing>
      </w:r>
    </w:p>
    <w:p w14:paraId="340C7BA7" w14:textId="77777777" w:rsidR="001A3992" w:rsidRDefault="001A3992" w:rsidP="001A3992">
      <w:pPr>
        <w:pStyle w:val="Heading3"/>
        <w:spacing w:before="0" w:after="120"/>
        <w:rPr>
          <w:lang w:val="en-US"/>
        </w:rPr>
      </w:pPr>
      <w:r w:rsidRPr="00EC3C40">
        <w:rPr>
          <w:lang w:val="en-US"/>
        </w:rPr>
        <w:t>CAS number</w:t>
      </w:r>
    </w:p>
    <w:p w14:paraId="4E02EB14" w14:textId="0D289FC4" w:rsidR="00951269" w:rsidRPr="00951269" w:rsidRDefault="00951269" w:rsidP="00951269">
      <w:pPr>
        <w:rPr>
          <w:rFonts w:cs="Times New Roman"/>
          <w:szCs w:val="24"/>
          <w:lang w:val="en-US"/>
        </w:rPr>
      </w:pPr>
      <w:r w:rsidRPr="00951269">
        <w:rPr>
          <w:rFonts w:cs="Times New Roman"/>
          <w:szCs w:val="24"/>
        </w:rPr>
        <w:t>103060-53-3</w:t>
      </w:r>
    </w:p>
    <w:p w14:paraId="5DF07AAD" w14:textId="77777777"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1CE7CFDB" w14:textId="0FE58BAC" w:rsidR="00951269" w:rsidRPr="00DC7758" w:rsidRDefault="00225799" w:rsidP="00951269">
      <w:pPr>
        <w:rPr>
          <w:rFonts w:cs="Times New Roman"/>
          <w:szCs w:val="24"/>
          <w:lang w:val="en-US"/>
        </w:rPr>
      </w:pPr>
      <w:r w:rsidRPr="00DC7758">
        <w:rPr>
          <w:rFonts w:cs="Times New Roman"/>
          <w:szCs w:val="24"/>
          <w:lang w:val="en-US"/>
        </w:rPr>
        <w:t>Prescription Only Medicine (Schedule 4)</w:t>
      </w:r>
    </w:p>
    <w:p w14:paraId="6D9F23D9" w14:textId="77777777" w:rsidR="001A3992" w:rsidRDefault="001A3992" w:rsidP="001A3992">
      <w:pPr>
        <w:pStyle w:val="Heading1"/>
        <w:spacing w:before="0" w:after="120"/>
        <w:rPr>
          <w:lang w:val="en-US"/>
        </w:rPr>
      </w:pPr>
      <w:r w:rsidRPr="007D497E">
        <w:rPr>
          <w:lang w:val="en-US"/>
        </w:rPr>
        <w:t>Sponsor</w:t>
      </w:r>
    </w:p>
    <w:p w14:paraId="2079E573" w14:textId="77777777" w:rsidR="00225799" w:rsidRPr="00225799" w:rsidRDefault="00225799" w:rsidP="00AC708A">
      <w:pPr>
        <w:spacing w:after="0" w:line="320" w:lineRule="atLeast"/>
        <w:jc w:val="both"/>
        <w:rPr>
          <w:rFonts w:cs="Times New Roman"/>
          <w:szCs w:val="24"/>
        </w:rPr>
      </w:pPr>
      <w:r w:rsidRPr="00225799">
        <w:rPr>
          <w:rFonts w:cs="Times New Roman"/>
          <w:szCs w:val="24"/>
        </w:rPr>
        <w:t xml:space="preserve">Merck Sharp &amp; </w:t>
      </w:r>
      <w:proofErr w:type="spellStart"/>
      <w:r w:rsidRPr="00225799">
        <w:rPr>
          <w:rFonts w:cs="Times New Roman"/>
          <w:szCs w:val="24"/>
        </w:rPr>
        <w:t>Dohme</w:t>
      </w:r>
      <w:proofErr w:type="spellEnd"/>
      <w:r w:rsidRPr="00225799">
        <w:rPr>
          <w:rFonts w:cs="Times New Roman"/>
          <w:szCs w:val="24"/>
        </w:rPr>
        <w:t xml:space="preserve"> (Australia) Pty Limited </w:t>
      </w:r>
    </w:p>
    <w:p w14:paraId="7F64354E" w14:textId="77777777" w:rsidR="00225799" w:rsidRPr="00225799" w:rsidRDefault="00225799" w:rsidP="00AC708A">
      <w:pPr>
        <w:spacing w:after="0" w:line="320" w:lineRule="atLeast"/>
        <w:jc w:val="both"/>
        <w:rPr>
          <w:rFonts w:cs="Times New Roman"/>
          <w:szCs w:val="24"/>
        </w:rPr>
      </w:pPr>
      <w:r w:rsidRPr="00225799">
        <w:rPr>
          <w:rFonts w:cs="Times New Roman"/>
          <w:szCs w:val="24"/>
        </w:rPr>
        <w:t>Level 1, 26 Talavera Road</w:t>
      </w:r>
    </w:p>
    <w:p w14:paraId="425DEAF2" w14:textId="77777777" w:rsidR="00225799" w:rsidRPr="00225799" w:rsidRDefault="00225799" w:rsidP="00AC708A">
      <w:pPr>
        <w:spacing w:after="0" w:line="320" w:lineRule="atLeast"/>
        <w:jc w:val="both"/>
        <w:rPr>
          <w:rFonts w:cs="Times New Roman"/>
          <w:szCs w:val="24"/>
        </w:rPr>
      </w:pPr>
      <w:r w:rsidRPr="00225799">
        <w:rPr>
          <w:rFonts w:cs="Times New Roman"/>
          <w:szCs w:val="24"/>
        </w:rPr>
        <w:t>Macquarie Park, NSW 2013</w:t>
      </w:r>
    </w:p>
    <w:p w14:paraId="62237026" w14:textId="77777777" w:rsidR="00AC7529" w:rsidRDefault="00840114" w:rsidP="00AC708A">
      <w:pPr>
        <w:jc w:val="both"/>
      </w:pPr>
      <w:hyperlink r:id="rId15" w:history="1">
        <w:r w:rsidR="00AC7529">
          <w:rPr>
            <w:rStyle w:val="Hyperlink"/>
          </w:rPr>
          <w:t>www.msd-australia.com.au</w:t>
        </w:r>
      </w:hyperlink>
    </w:p>
    <w:p w14:paraId="0D2F3658" w14:textId="77777777" w:rsidR="001A3992" w:rsidRDefault="001A3992" w:rsidP="001A3992">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14:paraId="253B3A1B" w14:textId="4DD2C0A0" w:rsidR="00225799" w:rsidRPr="00225799" w:rsidRDefault="00225799" w:rsidP="00225799">
      <w:pPr>
        <w:rPr>
          <w:rFonts w:cs="Times New Roman"/>
          <w:szCs w:val="24"/>
          <w:lang w:val="en-US"/>
        </w:rPr>
      </w:pPr>
      <w:r w:rsidRPr="00225799">
        <w:rPr>
          <w:rFonts w:cs="Times New Roman"/>
          <w:szCs w:val="24"/>
          <w:lang w:val="en-US"/>
        </w:rPr>
        <w:t>8 December 2008</w:t>
      </w:r>
    </w:p>
    <w:p w14:paraId="674480D8" w14:textId="77777777" w:rsidR="001A3992" w:rsidRDefault="001A3992" w:rsidP="001A3992">
      <w:pPr>
        <w:pStyle w:val="Heading1"/>
        <w:spacing w:before="0" w:after="120"/>
        <w:rPr>
          <w:lang w:val="en-US"/>
        </w:rPr>
      </w:pPr>
      <w:r>
        <w:rPr>
          <w:lang w:val="en-US"/>
        </w:rPr>
        <w:t xml:space="preserve">Date of revision </w:t>
      </w:r>
    </w:p>
    <w:p w14:paraId="61451FB6" w14:textId="4A8860DA" w:rsidR="00283E49" w:rsidRDefault="007224C9" w:rsidP="001A3992">
      <w:pPr>
        <w:pStyle w:val="Heading2"/>
        <w:numPr>
          <w:ilvl w:val="0"/>
          <w:numId w:val="0"/>
        </w:numPr>
        <w:spacing w:before="0" w:after="120"/>
        <w:rPr>
          <w:lang w:val="en-US"/>
        </w:rPr>
      </w:pPr>
      <w:r>
        <w:rPr>
          <w:rFonts w:ascii="Times New Roman" w:hAnsi="Times New Roman" w:cs="Times New Roman"/>
          <w:b w:val="0"/>
          <w:smallCaps w:val="0"/>
          <w:szCs w:val="24"/>
          <w:lang w:val="en-US"/>
        </w:rPr>
        <w:t xml:space="preserve"> </w:t>
      </w:r>
      <w:r w:rsidR="00501037">
        <w:rPr>
          <w:rFonts w:ascii="Times New Roman" w:hAnsi="Times New Roman" w:cs="Times New Roman"/>
          <w:b w:val="0"/>
          <w:smallCaps w:val="0"/>
          <w:szCs w:val="24"/>
          <w:lang w:val="en-US"/>
        </w:rPr>
        <w:t>25 January 2019</w:t>
      </w:r>
    </w:p>
    <w:p w14:paraId="4A0FC51F" w14:textId="77777777" w:rsidR="001A3992" w:rsidRDefault="001A3992" w:rsidP="001A3992">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0"/>
        <w:gridCol w:w="7636"/>
      </w:tblGrid>
      <w:tr w:rsidR="00ED0937" w14:paraId="61901FD0" w14:textId="77777777" w:rsidTr="003C7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5A0A0A41" w14:textId="77777777" w:rsidR="00ED0937" w:rsidRPr="002E277D" w:rsidRDefault="00ED0937" w:rsidP="003C799A">
            <w:pPr>
              <w:rPr>
                <w:sz w:val="20"/>
                <w:lang w:val="en-US"/>
              </w:rPr>
            </w:pPr>
            <w:r w:rsidRPr="002E277D">
              <w:rPr>
                <w:sz w:val="20"/>
                <w:lang w:val="en-US"/>
              </w:rPr>
              <w:t>Section Changed</w:t>
            </w:r>
          </w:p>
        </w:tc>
        <w:tc>
          <w:tcPr>
            <w:tcW w:w="7858" w:type="dxa"/>
            <w:shd w:val="clear" w:color="auto" w:fill="F2F2F2" w:themeFill="background1" w:themeFillShade="F2"/>
            <w:vAlign w:val="center"/>
          </w:tcPr>
          <w:p w14:paraId="4E385134" w14:textId="77777777" w:rsidR="00ED0937" w:rsidRPr="002E277D" w:rsidRDefault="00ED0937" w:rsidP="003C799A">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6C3F7C" w14:paraId="4CC0D532" w14:textId="77777777" w:rsidTr="003C799A">
        <w:tc>
          <w:tcPr>
            <w:cnfStyle w:val="001000000000" w:firstRow="0" w:lastRow="0" w:firstColumn="1" w:lastColumn="0" w:oddVBand="0" w:evenVBand="0" w:oddHBand="0" w:evenHBand="0" w:firstRowFirstColumn="0" w:firstRowLastColumn="0" w:lastRowFirstColumn="0" w:lastRowLastColumn="0"/>
            <w:tcW w:w="1384" w:type="dxa"/>
            <w:vAlign w:val="center"/>
          </w:tcPr>
          <w:p w14:paraId="133BB82D" w14:textId="29EADC58" w:rsidR="006C3F7C" w:rsidRPr="00445E0A" w:rsidDel="00AB0249" w:rsidRDefault="009B68FF" w:rsidP="003C799A">
            <w:pPr>
              <w:rPr>
                <w:rFonts w:cs="Times New Roman"/>
                <w:b w:val="0"/>
                <w:lang w:val="en-US"/>
              </w:rPr>
            </w:pPr>
            <w:r>
              <w:rPr>
                <w:rFonts w:cs="Times New Roman"/>
                <w:lang w:val="en-US"/>
              </w:rPr>
              <w:t xml:space="preserve"> </w:t>
            </w:r>
            <w:r w:rsidR="00445E0A" w:rsidRPr="00445E0A">
              <w:rPr>
                <w:rFonts w:cs="Times New Roman"/>
                <w:b w:val="0"/>
                <w:lang w:val="en-US"/>
              </w:rPr>
              <w:t>4, 5.1 and 5.2</w:t>
            </w:r>
          </w:p>
        </w:tc>
        <w:tc>
          <w:tcPr>
            <w:tcW w:w="7858" w:type="dxa"/>
            <w:vAlign w:val="center"/>
          </w:tcPr>
          <w:p w14:paraId="751549E5" w14:textId="4CE049B9" w:rsidR="006C3F7C" w:rsidRPr="00EE273C" w:rsidDel="00AB0249" w:rsidRDefault="00445E0A" w:rsidP="00445E0A">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 xml:space="preserve">Sections updated to add information on the </w:t>
            </w:r>
            <w:proofErr w:type="spellStart"/>
            <w:r>
              <w:rPr>
                <w:rFonts w:cs="Times New Roman"/>
                <w:lang w:val="en-US"/>
              </w:rPr>
              <w:t>Paediatric</w:t>
            </w:r>
            <w:proofErr w:type="spellEnd"/>
            <w:r>
              <w:rPr>
                <w:rFonts w:cs="Times New Roman"/>
                <w:lang w:val="en-US"/>
              </w:rPr>
              <w:t xml:space="preserve"> </w:t>
            </w:r>
            <w:proofErr w:type="spellStart"/>
            <w:r>
              <w:rPr>
                <w:rFonts w:cs="Times New Roman"/>
                <w:lang w:val="en-US"/>
              </w:rPr>
              <w:t>Bacteraemia</w:t>
            </w:r>
            <w:proofErr w:type="spellEnd"/>
            <w:r>
              <w:rPr>
                <w:rFonts w:cs="Times New Roman"/>
                <w:lang w:val="en-US"/>
              </w:rPr>
              <w:t xml:space="preserve"> indication </w:t>
            </w:r>
          </w:p>
        </w:tc>
      </w:tr>
    </w:tbl>
    <w:p w14:paraId="744521FC" w14:textId="348C8E67" w:rsidR="00445E0A" w:rsidRPr="00445E0A" w:rsidRDefault="00445E0A" w:rsidP="001A3992">
      <w:pPr>
        <w:spacing w:after="120"/>
        <w:rPr>
          <w:sz w:val="18"/>
          <w:szCs w:val="18"/>
          <w:lang w:val="en-US"/>
        </w:rPr>
      </w:pPr>
      <w:bookmarkStart w:id="1" w:name="_GoBack"/>
      <w:bookmarkEnd w:id="1"/>
      <w:r w:rsidRPr="00445E0A">
        <w:rPr>
          <w:sz w:val="18"/>
          <w:szCs w:val="18"/>
          <w:lang w:val="en-US"/>
        </w:rPr>
        <w:t>S-CCDS-MK3009-I-022018</w:t>
      </w:r>
    </w:p>
    <w:sectPr w:rsidR="00445E0A" w:rsidRPr="00445E0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F92F3" w14:textId="77777777" w:rsidR="004F2DF1" w:rsidRDefault="004F2DF1" w:rsidP="001A3992">
      <w:pPr>
        <w:spacing w:after="0" w:line="240" w:lineRule="auto"/>
      </w:pPr>
      <w:r>
        <w:separator/>
      </w:r>
    </w:p>
  </w:endnote>
  <w:endnote w:type="continuationSeparator" w:id="0">
    <w:p w14:paraId="3B1DCAC8" w14:textId="77777777" w:rsidR="004F2DF1" w:rsidRDefault="004F2DF1"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EF524" w14:textId="77777777" w:rsidR="00840114" w:rsidRDefault="00840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73C17969" w14:textId="7077F7F0" w:rsidR="004F2DF1" w:rsidRPr="00B8074A" w:rsidRDefault="004F2DF1" w:rsidP="003C799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840114">
          <w:rPr>
            <w:noProof/>
            <w:sz w:val="20"/>
          </w:rPr>
          <w:t>37</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031FA" w14:textId="77777777" w:rsidR="00840114" w:rsidRDefault="00840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032B0" w14:textId="77777777" w:rsidR="004F2DF1" w:rsidRDefault="004F2DF1" w:rsidP="001A3992">
      <w:pPr>
        <w:spacing w:after="0" w:line="240" w:lineRule="auto"/>
      </w:pPr>
      <w:r>
        <w:separator/>
      </w:r>
    </w:p>
  </w:footnote>
  <w:footnote w:type="continuationSeparator" w:id="0">
    <w:p w14:paraId="3C01503F" w14:textId="77777777" w:rsidR="004F2DF1" w:rsidRDefault="004F2DF1"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2A2F9" w14:textId="77777777" w:rsidR="00840114" w:rsidRDefault="00840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40114" w:rsidRPr="002E7F61" w14:paraId="7750EF4E" w14:textId="77777777" w:rsidTr="008E0F19">
      <w:trPr>
        <w:trHeight w:val="590"/>
      </w:trPr>
      <w:tc>
        <w:tcPr>
          <w:tcW w:w="8720" w:type="dxa"/>
          <w:shd w:val="clear" w:color="auto" w:fill="E4F2E0"/>
        </w:tcPr>
        <w:p w14:paraId="721DABB3" w14:textId="77777777" w:rsidR="00840114" w:rsidRPr="002E7F61" w:rsidRDefault="00840114" w:rsidP="00840114">
          <w:pPr>
            <w:pStyle w:val="Footer"/>
            <w:rPr>
              <w:b/>
              <w:sz w:val="18"/>
              <w:szCs w:val="18"/>
            </w:rPr>
          </w:pPr>
          <w:r w:rsidRPr="002E7F61">
            <w:rPr>
              <w:b/>
              <w:sz w:val="18"/>
              <w:szCs w:val="18"/>
            </w:rPr>
            <w:t xml:space="preserve">Attachment 1: Product </w:t>
          </w:r>
          <w:r w:rsidRPr="00794AFE">
            <w:rPr>
              <w:b/>
              <w:sz w:val="18"/>
              <w:szCs w:val="18"/>
            </w:rPr>
            <w:t xml:space="preserve">AusPAR CUBICIN - </w:t>
          </w:r>
          <w:proofErr w:type="spellStart"/>
          <w:r w:rsidRPr="00794AFE">
            <w:rPr>
              <w:b/>
              <w:sz w:val="18"/>
              <w:szCs w:val="18"/>
            </w:rPr>
            <w:t>daptomycin</w:t>
          </w:r>
          <w:proofErr w:type="spellEnd"/>
          <w:r w:rsidRPr="00794AFE">
            <w:rPr>
              <w:b/>
              <w:sz w:val="18"/>
              <w:szCs w:val="18"/>
            </w:rPr>
            <w:t xml:space="preserve"> - MSD Australia Pty Ltd - PM-2017-04652-1-2 FINAL 20 November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7505CF8F" w14:textId="77777777" w:rsidR="00840114" w:rsidRDefault="00840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ACD2" w14:textId="77777777" w:rsidR="00840114" w:rsidRDefault="00840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76E8D"/>
    <w:multiLevelType w:val="singleLevel"/>
    <w:tmpl w:val="0809000F"/>
    <w:lvl w:ilvl="0">
      <w:start w:val="1"/>
      <w:numFmt w:val="decimal"/>
      <w:pStyle w:val="tablefootnotelettered"/>
      <w:lvlText w:val="%1."/>
      <w:lvlJc w:val="left"/>
      <w:pPr>
        <w:tabs>
          <w:tab w:val="num" w:pos="360"/>
        </w:tabs>
        <w:ind w:left="360" w:hanging="36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058E2"/>
    <w:multiLevelType w:val="hybridMultilevel"/>
    <w:tmpl w:val="102A6C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AC5291"/>
    <w:multiLevelType w:val="hybridMultilevel"/>
    <w:tmpl w:val="9906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9737F1"/>
    <w:multiLevelType w:val="hybridMultilevel"/>
    <w:tmpl w:val="E7E2502A"/>
    <w:lvl w:ilvl="0" w:tplc="BD04C4DC">
      <w:numFmt w:val="bullet"/>
      <w:lvlText w:val="-"/>
      <w:lvlJc w:val="left"/>
      <w:pPr>
        <w:ind w:left="420" w:hanging="360"/>
      </w:pPr>
      <w:rPr>
        <w:rFonts w:ascii="Times New Roman" w:eastAsia="MS Mincho" w:hAnsi="Times New Roman" w:cs="Times New Roman" w:hint="default"/>
        <w:i/>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29A31D33"/>
    <w:multiLevelType w:val="hybridMultilevel"/>
    <w:tmpl w:val="C87A8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224036"/>
    <w:multiLevelType w:val="hybridMultilevel"/>
    <w:tmpl w:val="45BA426A"/>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0" w15:restartNumberingAfterBreak="0">
    <w:nsid w:val="2EF534B2"/>
    <w:multiLevelType w:val="hybridMultilevel"/>
    <w:tmpl w:val="F3304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FF3DFC"/>
    <w:multiLevelType w:val="hybridMultilevel"/>
    <w:tmpl w:val="595CB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290FAE"/>
    <w:multiLevelType w:val="hybridMultilevel"/>
    <w:tmpl w:val="79D0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F15BD2"/>
    <w:multiLevelType w:val="singleLevel"/>
    <w:tmpl w:val="FBC0950C"/>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643049C5"/>
    <w:multiLevelType w:val="hybridMultilevel"/>
    <w:tmpl w:val="AB266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11"/>
  </w:num>
  <w:num w:numId="5">
    <w:abstractNumId w:val="21"/>
  </w:num>
  <w:num w:numId="6">
    <w:abstractNumId w:val="19"/>
  </w:num>
  <w:num w:numId="7">
    <w:abstractNumId w:val="17"/>
  </w:num>
  <w:num w:numId="8">
    <w:abstractNumId w:val="20"/>
  </w:num>
  <w:num w:numId="9">
    <w:abstractNumId w:val="6"/>
  </w:num>
  <w:num w:numId="10">
    <w:abstractNumId w:val="16"/>
  </w:num>
  <w:num w:numId="11">
    <w:abstractNumId w:val="1"/>
  </w:num>
  <w:num w:numId="12">
    <w:abstractNumId w:val="15"/>
  </w:num>
  <w:num w:numId="13">
    <w:abstractNumId w:val="9"/>
  </w:num>
  <w:num w:numId="14">
    <w:abstractNumId w:val="5"/>
  </w:num>
  <w:num w:numId="15">
    <w:abstractNumId w:val="2"/>
  </w:num>
  <w:num w:numId="16">
    <w:abstractNumId w:val="14"/>
  </w:num>
  <w:num w:numId="17">
    <w:abstractNumId w:val="7"/>
  </w:num>
  <w:num w:numId="18">
    <w:abstractNumId w:val="12"/>
  </w:num>
  <w:num w:numId="19">
    <w:abstractNumId w:val="4"/>
  </w:num>
  <w:num w:numId="20">
    <w:abstractNumId w:val="10"/>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2531"/>
    <w:rsid w:val="0000490C"/>
    <w:rsid w:val="00020FA7"/>
    <w:rsid w:val="00041EA5"/>
    <w:rsid w:val="000511F8"/>
    <w:rsid w:val="00057FDB"/>
    <w:rsid w:val="00071D09"/>
    <w:rsid w:val="00072BC4"/>
    <w:rsid w:val="000731EB"/>
    <w:rsid w:val="0008730A"/>
    <w:rsid w:val="00092C67"/>
    <w:rsid w:val="000A7828"/>
    <w:rsid w:val="000B177D"/>
    <w:rsid w:val="000B2695"/>
    <w:rsid w:val="000B3530"/>
    <w:rsid w:val="000C3750"/>
    <w:rsid w:val="000D2CF6"/>
    <w:rsid w:val="000D2F9D"/>
    <w:rsid w:val="00114914"/>
    <w:rsid w:val="00123D37"/>
    <w:rsid w:val="001259AB"/>
    <w:rsid w:val="0012602A"/>
    <w:rsid w:val="00130A9D"/>
    <w:rsid w:val="00181696"/>
    <w:rsid w:val="001A3992"/>
    <w:rsid w:val="001A5FB1"/>
    <w:rsid w:val="001C4B71"/>
    <w:rsid w:val="001D5DE9"/>
    <w:rsid w:val="002023E6"/>
    <w:rsid w:val="002234C1"/>
    <w:rsid w:val="00225799"/>
    <w:rsid w:val="00230EEE"/>
    <w:rsid w:val="00233C9A"/>
    <w:rsid w:val="00247955"/>
    <w:rsid w:val="00273FAF"/>
    <w:rsid w:val="00277125"/>
    <w:rsid w:val="002823AA"/>
    <w:rsid w:val="00283E49"/>
    <w:rsid w:val="002A4672"/>
    <w:rsid w:val="002C013E"/>
    <w:rsid w:val="002E277D"/>
    <w:rsid w:val="003064D5"/>
    <w:rsid w:val="003274A6"/>
    <w:rsid w:val="0033162C"/>
    <w:rsid w:val="00335E4C"/>
    <w:rsid w:val="00352946"/>
    <w:rsid w:val="003606BB"/>
    <w:rsid w:val="00371DC5"/>
    <w:rsid w:val="00382C2A"/>
    <w:rsid w:val="003875F1"/>
    <w:rsid w:val="003906C4"/>
    <w:rsid w:val="003B0EAF"/>
    <w:rsid w:val="003B5F06"/>
    <w:rsid w:val="003C18F8"/>
    <w:rsid w:val="003C27C1"/>
    <w:rsid w:val="003C799A"/>
    <w:rsid w:val="003E67F9"/>
    <w:rsid w:val="004032BD"/>
    <w:rsid w:val="004050F5"/>
    <w:rsid w:val="00411A17"/>
    <w:rsid w:val="004168F8"/>
    <w:rsid w:val="00421A72"/>
    <w:rsid w:val="00424349"/>
    <w:rsid w:val="00431ACD"/>
    <w:rsid w:val="00445E0A"/>
    <w:rsid w:val="00447EC9"/>
    <w:rsid w:val="004519AF"/>
    <w:rsid w:val="00453B35"/>
    <w:rsid w:val="0046095E"/>
    <w:rsid w:val="0047579E"/>
    <w:rsid w:val="004758A0"/>
    <w:rsid w:val="00487393"/>
    <w:rsid w:val="004A504C"/>
    <w:rsid w:val="004B2CC6"/>
    <w:rsid w:val="004C0C7D"/>
    <w:rsid w:val="004C3EED"/>
    <w:rsid w:val="004D27B6"/>
    <w:rsid w:val="004D3499"/>
    <w:rsid w:val="004F2DF1"/>
    <w:rsid w:val="00501037"/>
    <w:rsid w:val="00512BA0"/>
    <w:rsid w:val="00533210"/>
    <w:rsid w:val="00535FFE"/>
    <w:rsid w:val="00541118"/>
    <w:rsid w:val="00551379"/>
    <w:rsid w:val="005729DA"/>
    <w:rsid w:val="005736A3"/>
    <w:rsid w:val="00582DD0"/>
    <w:rsid w:val="0059437D"/>
    <w:rsid w:val="0059713D"/>
    <w:rsid w:val="005A3B49"/>
    <w:rsid w:val="005C05F7"/>
    <w:rsid w:val="005C21FD"/>
    <w:rsid w:val="005D01C1"/>
    <w:rsid w:val="005F3B92"/>
    <w:rsid w:val="00606B5F"/>
    <w:rsid w:val="00606E9D"/>
    <w:rsid w:val="0061455F"/>
    <w:rsid w:val="00625F7E"/>
    <w:rsid w:val="00631943"/>
    <w:rsid w:val="00641270"/>
    <w:rsid w:val="00644E6B"/>
    <w:rsid w:val="00647D52"/>
    <w:rsid w:val="006512B2"/>
    <w:rsid w:val="00652C3C"/>
    <w:rsid w:val="00684C55"/>
    <w:rsid w:val="006A2C95"/>
    <w:rsid w:val="006B2277"/>
    <w:rsid w:val="006B58B1"/>
    <w:rsid w:val="006C0165"/>
    <w:rsid w:val="006C3F7C"/>
    <w:rsid w:val="006D2CC7"/>
    <w:rsid w:val="00711130"/>
    <w:rsid w:val="007120D7"/>
    <w:rsid w:val="007224C9"/>
    <w:rsid w:val="00723DC1"/>
    <w:rsid w:val="00743A3B"/>
    <w:rsid w:val="007451BB"/>
    <w:rsid w:val="00781390"/>
    <w:rsid w:val="007A5D09"/>
    <w:rsid w:val="007B78EF"/>
    <w:rsid w:val="007E0CA2"/>
    <w:rsid w:val="007F3F23"/>
    <w:rsid w:val="007F3F31"/>
    <w:rsid w:val="007F5866"/>
    <w:rsid w:val="007F69AA"/>
    <w:rsid w:val="00805B08"/>
    <w:rsid w:val="00807D79"/>
    <w:rsid w:val="008230C4"/>
    <w:rsid w:val="00823EB1"/>
    <w:rsid w:val="00840114"/>
    <w:rsid w:val="0086621A"/>
    <w:rsid w:val="00871278"/>
    <w:rsid w:val="0088070D"/>
    <w:rsid w:val="008B040A"/>
    <w:rsid w:val="008E5548"/>
    <w:rsid w:val="008E56EC"/>
    <w:rsid w:val="008F0197"/>
    <w:rsid w:val="008F627E"/>
    <w:rsid w:val="00912A46"/>
    <w:rsid w:val="00925C37"/>
    <w:rsid w:val="00937E44"/>
    <w:rsid w:val="00951269"/>
    <w:rsid w:val="009554FD"/>
    <w:rsid w:val="00960CD5"/>
    <w:rsid w:val="009B68FF"/>
    <w:rsid w:val="00A037B0"/>
    <w:rsid w:val="00A32C17"/>
    <w:rsid w:val="00A4221C"/>
    <w:rsid w:val="00A46E93"/>
    <w:rsid w:val="00A50635"/>
    <w:rsid w:val="00A679F5"/>
    <w:rsid w:val="00A77BA3"/>
    <w:rsid w:val="00A82DDF"/>
    <w:rsid w:val="00A95BE6"/>
    <w:rsid w:val="00A96EF5"/>
    <w:rsid w:val="00AA1CCC"/>
    <w:rsid w:val="00AB0249"/>
    <w:rsid w:val="00AC708A"/>
    <w:rsid w:val="00AC7529"/>
    <w:rsid w:val="00AF13AD"/>
    <w:rsid w:val="00B0049C"/>
    <w:rsid w:val="00B06C29"/>
    <w:rsid w:val="00B43C56"/>
    <w:rsid w:val="00B67592"/>
    <w:rsid w:val="00B84E20"/>
    <w:rsid w:val="00B85479"/>
    <w:rsid w:val="00B87760"/>
    <w:rsid w:val="00B87B73"/>
    <w:rsid w:val="00B92D5F"/>
    <w:rsid w:val="00B94D3D"/>
    <w:rsid w:val="00BA0CC3"/>
    <w:rsid w:val="00BB290B"/>
    <w:rsid w:val="00BD4F5B"/>
    <w:rsid w:val="00BE18E5"/>
    <w:rsid w:val="00BE7680"/>
    <w:rsid w:val="00BF67B2"/>
    <w:rsid w:val="00C1030F"/>
    <w:rsid w:val="00C52781"/>
    <w:rsid w:val="00C63537"/>
    <w:rsid w:val="00C776C2"/>
    <w:rsid w:val="00C80C7C"/>
    <w:rsid w:val="00C8393C"/>
    <w:rsid w:val="00C93131"/>
    <w:rsid w:val="00C94FA2"/>
    <w:rsid w:val="00CA3101"/>
    <w:rsid w:val="00CA5C63"/>
    <w:rsid w:val="00CA6CCF"/>
    <w:rsid w:val="00CC525D"/>
    <w:rsid w:val="00CD0268"/>
    <w:rsid w:val="00CD126A"/>
    <w:rsid w:val="00CD52E2"/>
    <w:rsid w:val="00CD776E"/>
    <w:rsid w:val="00CE0740"/>
    <w:rsid w:val="00CE591D"/>
    <w:rsid w:val="00CF1C55"/>
    <w:rsid w:val="00D0485E"/>
    <w:rsid w:val="00D157A2"/>
    <w:rsid w:val="00D44BA0"/>
    <w:rsid w:val="00D71E3F"/>
    <w:rsid w:val="00D80BBC"/>
    <w:rsid w:val="00D81939"/>
    <w:rsid w:val="00D842C2"/>
    <w:rsid w:val="00DB11B6"/>
    <w:rsid w:val="00DB4451"/>
    <w:rsid w:val="00DC1813"/>
    <w:rsid w:val="00DC7758"/>
    <w:rsid w:val="00DF5E99"/>
    <w:rsid w:val="00E118F0"/>
    <w:rsid w:val="00E2270F"/>
    <w:rsid w:val="00E22F34"/>
    <w:rsid w:val="00E2430F"/>
    <w:rsid w:val="00E25914"/>
    <w:rsid w:val="00E50663"/>
    <w:rsid w:val="00E74A56"/>
    <w:rsid w:val="00E9268C"/>
    <w:rsid w:val="00E92FE4"/>
    <w:rsid w:val="00EB2147"/>
    <w:rsid w:val="00ED0937"/>
    <w:rsid w:val="00EE273C"/>
    <w:rsid w:val="00EF3388"/>
    <w:rsid w:val="00F0099E"/>
    <w:rsid w:val="00F07AB8"/>
    <w:rsid w:val="00F16209"/>
    <w:rsid w:val="00F23D48"/>
    <w:rsid w:val="00F24F20"/>
    <w:rsid w:val="00F27D9F"/>
    <w:rsid w:val="00F33DBB"/>
    <w:rsid w:val="00F81732"/>
    <w:rsid w:val="00F81FCA"/>
    <w:rsid w:val="00F93C41"/>
    <w:rsid w:val="00FA08DB"/>
    <w:rsid w:val="00FA6BCA"/>
    <w:rsid w:val="00FB23E5"/>
    <w:rsid w:val="00FB7827"/>
    <w:rsid w:val="00FD3B21"/>
    <w:rsid w:val="00FF0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9AFEAC"/>
  <w15:docId w15:val="{C90A83D3-6CCB-404B-BBDF-2F899366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CC7"/>
    <w:rPr>
      <w:rFonts w:ascii="Times New Roman" w:hAnsi="Times New Roman"/>
      <w:sz w:val="24"/>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D2CC7"/>
    <w:pPr>
      <w:keepNext/>
      <w:keepLines/>
      <w:widowControl w:val="0"/>
      <w:tabs>
        <w:tab w:val="left" w:pos="0"/>
      </w:tabs>
      <w:autoSpaceDE w:val="0"/>
      <w:autoSpaceDN w:val="0"/>
      <w:adjustRightInd w:val="0"/>
      <w:spacing w:before="120" w:after="60" w:line="320" w:lineRule="atLeast"/>
      <w:jc w:val="both"/>
      <w:outlineLvl w:val="3"/>
    </w:pPr>
    <w:rPr>
      <w:rFonts w:eastAsia="Times New Roman" w:cs="Times New Roman"/>
      <w:szCs w:val="24"/>
      <w:u w:val="single"/>
      <w:lang w:val="nb-NO"/>
    </w:rPr>
  </w:style>
  <w:style w:type="paragraph" w:styleId="Heading5">
    <w:name w:val="heading 5"/>
    <w:basedOn w:val="Normal"/>
    <w:next w:val="Normal"/>
    <w:link w:val="Heading5Char"/>
    <w:uiPriority w:val="9"/>
    <w:unhideWhenUsed/>
    <w:qFormat/>
    <w:rsid w:val="006D2CC7"/>
    <w:pPr>
      <w:keepNext/>
      <w:keepLines/>
      <w:widowControl w:val="0"/>
      <w:tabs>
        <w:tab w:val="left" w:pos="0"/>
      </w:tabs>
      <w:autoSpaceDE w:val="0"/>
      <w:autoSpaceDN w:val="0"/>
      <w:adjustRightInd w:val="0"/>
      <w:spacing w:before="120" w:after="60" w:line="320" w:lineRule="atLeast"/>
      <w:jc w:val="both"/>
      <w:outlineLvl w:val="4"/>
    </w:pPr>
    <w:rPr>
      <w:rFonts w:eastAsia="Times New Roman" w:cs="Times New Roman"/>
      <w:i/>
      <w:szCs w:val="24"/>
      <w:u w:val="single"/>
      <w:lang w:val="nb-NO"/>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D2CC7"/>
    <w:rPr>
      <w:rFonts w:ascii="Times New Roman" w:eastAsia="Times New Roman" w:hAnsi="Times New Roman" w:cs="Times New Roman"/>
      <w:sz w:val="24"/>
      <w:szCs w:val="24"/>
      <w:u w:val="single"/>
      <w:lang w:val="nb-NO"/>
    </w:rPr>
  </w:style>
  <w:style w:type="character" w:customStyle="1" w:styleId="Heading5Char">
    <w:name w:val="Heading 5 Char"/>
    <w:basedOn w:val="DefaultParagraphFont"/>
    <w:link w:val="Heading5"/>
    <w:uiPriority w:val="9"/>
    <w:rsid w:val="006D2CC7"/>
    <w:rPr>
      <w:rFonts w:ascii="Times New Roman" w:eastAsia="Times New Roman" w:hAnsi="Times New Roman" w:cs="Times New Roman"/>
      <w:i/>
      <w:sz w:val="24"/>
      <w:szCs w:val="24"/>
      <w:u w:val="single"/>
      <w:lang w:val="nb-NO"/>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Text">
    <w:name w:val="Text"/>
    <w:basedOn w:val="Normal"/>
    <w:link w:val="TextChar"/>
    <w:rsid w:val="003B5F06"/>
    <w:pPr>
      <w:widowControl w:val="0"/>
      <w:tabs>
        <w:tab w:val="left" w:pos="0"/>
      </w:tabs>
      <w:autoSpaceDE w:val="0"/>
      <w:autoSpaceDN w:val="0"/>
      <w:adjustRightInd w:val="0"/>
      <w:spacing w:before="120" w:after="0" w:line="320" w:lineRule="atLeast"/>
      <w:jc w:val="both"/>
    </w:pPr>
    <w:rPr>
      <w:rFonts w:eastAsia="Times New Roman" w:cs="Times New Roman"/>
      <w:szCs w:val="20"/>
    </w:rPr>
  </w:style>
  <w:style w:type="character" w:customStyle="1" w:styleId="TextChar">
    <w:name w:val="Text Char"/>
    <w:link w:val="Text"/>
    <w:rsid w:val="003B5F06"/>
    <w:rPr>
      <w:rFonts w:ascii="Times New Roman" w:eastAsia="Times New Roman" w:hAnsi="Times New Roman" w:cs="Times New Roman"/>
      <w:sz w:val="24"/>
      <w:szCs w:val="20"/>
    </w:rPr>
  </w:style>
  <w:style w:type="table" w:styleId="TableGrid">
    <w:name w:val="Table Grid"/>
    <w:basedOn w:val="TableNormal"/>
    <w:uiPriority w:val="59"/>
    <w:rsid w:val="00E22F3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3C799A"/>
    <w:pPr>
      <w:keepNext/>
      <w:keepLines/>
      <w:widowControl w:val="0"/>
      <w:suppressLineNumbers/>
      <w:autoSpaceDE w:val="0"/>
      <w:autoSpaceDN w:val="0"/>
      <w:adjustRightInd w:val="0"/>
      <w:spacing w:before="360" w:after="120" w:line="240" w:lineRule="auto"/>
      <w:jc w:val="both"/>
    </w:pPr>
    <w:rPr>
      <w:rFonts w:ascii="Times New Roman Bold" w:eastAsia="Times New Roman" w:hAnsi="Times New Roman Bold" w:cs="Times New Roman"/>
      <w:b/>
      <w:snapToGrid w:val="0"/>
      <w:szCs w:val="20"/>
    </w:rPr>
  </w:style>
  <w:style w:type="character" w:customStyle="1" w:styleId="CaptionChar">
    <w:name w:val="Caption Char"/>
    <w:link w:val="Caption"/>
    <w:rsid w:val="003C799A"/>
    <w:rPr>
      <w:rFonts w:ascii="Times New Roman Bold" w:eastAsia="Times New Roman" w:hAnsi="Times New Roman Bold" w:cs="Times New Roman"/>
      <w:b/>
      <w:snapToGrid w:val="0"/>
      <w:sz w:val="24"/>
      <w:szCs w:val="20"/>
    </w:rPr>
  </w:style>
  <w:style w:type="paragraph" w:customStyle="1" w:styleId="tablefootnotelettered">
    <w:name w:val="table_footnote_lettered"/>
    <w:basedOn w:val="Normal"/>
    <w:rsid w:val="003C799A"/>
    <w:pPr>
      <w:widowControl w:val="0"/>
      <w:numPr>
        <w:numId w:val="15"/>
      </w:numPr>
      <w:suppressLineNumbers/>
      <w:autoSpaceDE w:val="0"/>
      <w:autoSpaceDN w:val="0"/>
      <w:adjustRightInd w:val="0"/>
      <w:spacing w:before="20" w:after="20" w:line="240" w:lineRule="auto"/>
      <w:jc w:val="both"/>
    </w:pPr>
    <w:rPr>
      <w:rFonts w:eastAsia="Times" w:cs="Times New Roman"/>
      <w:snapToGrid w:val="0"/>
      <w:sz w:val="20"/>
      <w:szCs w:val="20"/>
    </w:rPr>
  </w:style>
  <w:style w:type="paragraph" w:customStyle="1" w:styleId="tablebodytext">
    <w:name w:val="table_body text"/>
    <w:basedOn w:val="Normal"/>
    <w:rsid w:val="003C799A"/>
    <w:pPr>
      <w:keepNext/>
      <w:widowControl w:val="0"/>
      <w:suppressLineNumbers/>
      <w:autoSpaceDE w:val="0"/>
      <w:autoSpaceDN w:val="0"/>
      <w:adjustRightInd w:val="0"/>
      <w:spacing w:before="40" w:after="60" w:line="240" w:lineRule="auto"/>
      <w:jc w:val="both"/>
    </w:pPr>
    <w:rPr>
      <w:rFonts w:eastAsia="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F0D18"/>
    <w:rPr>
      <w:rFonts w:asciiTheme="minorHAnsi" w:hAnsiTheme="minorHAnsi"/>
      <w:b/>
      <w:bCs/>
    </w:rPr>
  </w:style>
  <w:style w:type="character" w:customStyle="1" w:styleId="CommentSubjectChar">
    <w:name w:val="Comment Subject Char"/>
    <w:basedOn w:val="CommentTextChar"/>
    <w:link w:val="CommentSubject"/>
    <w:uiPriority w:val="99"/>
    <w:semiHidden/>
    <w:rsid w:val="00FF0D18"/>
    <w:rPr>
      <w:rFonts w:ascii="Cambria" w:hAnsi="Cambria"/>
      <w:b/>
      <w:bCs/>
      <w:sz w:val="20"/>
      <w:szCs w:val="20"/>
    </w:rPr>
  </w:style>
  <w:style w:type="table" w:customStyle="1" w:styleId="TableGrid2">
    <w:name w:val="Table Grid2"/>
    <w:basedOn w:val="TableNormal"/>
    <w:next w:val="TableGrid"/>
    <w:uiPriority w:val="59"/>
    <w:rsid w:val="00A0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semiHidden/>
    <w:rsid w:val="004758A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5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ga.gov.au/reporting-proble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msd-australia.com.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EFYCX3CDVRKR-1794191079-191249</_dlc_DocId>
    <_dlc_DocIdUrl xmlns="d353fcf7-205b-40c5-a3af-4cf3a5e9c355">
      <Url>http://spapp.merck.com/sites/ANZMarket/REGAFF/_layouts/DocIdRedir.aspx?ID=EFYCX3CDVRKR-1794191079-191249</Url>
      <Description>EFYCX3CDVRKR-1794191079-191249</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4" ma:contentTypeDescription="Create a new document." ma:contentTypeScope="" ma:versionID="23adbf9c522eddd7275e8b9ae690c966">
  <xsd:schema xmlns:xsd="http://www.w3.org/2001/XMLSchema" xmlns:xs="http://www.w3.org/2001/XMLSchema" xmlns:p="http://schemas.microsoft.com/office/2006/metadata/properties" xmlns:ns1="http://schemas.microsoft.com/sharepoint/v3" xmlns:ns2="d353fcf7-205b-40c5-a3af-4cf3a5e9c355" xmlns:ns3="9db20a44-376d-4c97-8d2b-88532430f6d7" xmlns:ns4="http://schemas.microsoft.com/sharepoint/v4" targetNamespace="http://schemas.microsoft.com/office/2006/metadata/properties" ma:root="true" ma:fieldsID="36c9fdd10a7308c1dc79ffaf6c0de9b8" ns1:_="" ns2:_="" ns3:_="" ns4:_="">
    <xsd:import namespace="http://schemas.microsoft.com/sharepoint/v3"/>
    <xsd:import namespace="d353fcf7-205b-40c5-a3af-4cf3a5e9c355"/>
    <xsd:import namespace="9db20a44-376d-4c97-8d2b-88532430f6d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6016-D6AA-46D5-9F03-E52B7D701B84}">
  <ds:schemaRefs>
    <ds:schemaRef ds:uri="http://purl.org/dc/elements/1.1/"/>
    <ds:schemaRef ds:uri="http://schemas.microsoft.com/office/2006/metadata/properties"/>
    <ds:schemaRef ds:uri="http://schemas.microsoft.com/sharepoint/v3"/>
    <ds:schemaRef ds:uri="d353fcf7-205b-40c5-a3af-4cf3a5e9c3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9db20a44-376d-4c97-8d2b-88532430f6d7"/>
    <ds:schemaRef ds:uri="http://www.w3.org/XML/1998/namespace"/>
    <ds:schemaRef ds:uri="http://purl.org/dc/dcmitype/"/>
  </ds:schemaRefs>
</ds:datastoreItem>
</file>

<file path=customXml/itemProps2.xml><?xml version="1.0" encoding="utf-8"?>
<ds:datastoreItem xmlns:ds="http://schemas.openxmlformats.org/officeDocument/2006/customXml" ds:itemID="{1B409389-7D8B-4847-B962-8BD22770395E}">
  <ds:schemaRefs>
    <ds:schemaRef ds:uri="http://schemas.microsoft.com/sharepoint/v3/contenttype/forms"/>
  </ds:schemaRefs>
</ds:datastoreItem>
</file>

<file path=customXml/itemProps3.xml><?xml version="1.0" encoding="utf-8"?>
<ds:datastoreItem xmlns:ds="http://schemas.openxmlformats.org/officeDocument/2006/customXml" ds:itemID="{6B7ED086-28FF-4BC6-8D66-D47E69EFB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53fcf7-205b-40c5-a3af-4cf3a5e9c355"/>
    <ds:schemaRef ds:uri="9db20a44-376d-4c97-8d2b-88532430f6d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014E9-6C05-4AA4-805D-090E35BB043B}">
  <ds:schemaRefs>
    <ds:schemaRef ds:uri="http://schemas.microsoft.com/sharepoint/events"/>
  </ds:schemaRefs>
</ds:datastoreItem>
</file>

<file path=customXml/itemProps5.xml><?xml version="1.0" encoding="utf-8"?>
<ds:datastoreItem xmlns:ds="http://schemas.openxmlformats.org/officeDocument/2006/customXml" ds:itemID="{9763AFC2-4FEB-47B3-857C-F2C36E72208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CC5D68B-BCDF-48E9-B7DD-91EB10E2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12355</Words>
  <Characters>69932</Characters>
  <Application>Microsoft Office Word</Application>
  <DocSecurity>0</DocSecurity>
  <Lines>1248</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Daptomycin</dc:title>
  <dc:subject>prescription medicines</dc:subject>
  <dc:creator>Merck &amp; Co., Inc.</dc:creator>
  <cp:lastModifiedBy>LACK, Janet</cp:lastModifiedBy>
  <cp:revision>3</cp:revision>
  <cp:lastPrinted>2019-01-31T22:17:00Z</cp:lastPrinted>
  <dcterms:created xsi:type="dcterms:W3CDTF">2019-12-18T23:13:00Z</dcterms:created>
  <dcterms:modified xsi:type="dcterms:W3CDTF">2019-12-18T23:15:00Z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8ab18d6e-1cfd-4f01-ac0c-1b97b4a2a05b</vt:lpwstr>
  </property>
  <property fmtid="{D5CDD505-2E9C-101B-9397-08002B2CF9AE}" pid="3" name="bjSaver">
    <vt:lpwstr>zGDROrmApN4cHdxTuYQ9S2+8qS+34iwr</vt:lpwstr>
  </property>
  <property fmtid="{D5CDD505-2E9C-101B-9397-08002B2CF9AE}" pid="4" name="ContentTypeId">
    <vt:lpwstr>0x01010052E7E68ACC01DE46BAB8D5F65BAC05EC</vt:lpwstr>
  </property>
  <property fmtid="{D5CDD505-2E9C-101B-9397-08002B2CF9AE}" pid="5" name="_dlc_DocIdItemGuid">
    <vt:lpwstr>e84ffcbd-d45a-43ea-abe6-83459e011c62</vt:lpwstr>
  </property>
  <property fmtid="{D5CDD505-2E9C-101B-9397-08002B2CF9AE}" pid="6" name="bjDocumentSecurityLabel">
    <vt:lpwstr>Not Classified</vt:lpwstr>
  </property>
  <property fmtid="{D5CDD505-2E9C-101B-9397-08002B2CF9AE}" pid="7"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8" name="bjDocumentLabelXML-0">
    <vt:lpwstr>ames.com/2008/01/sie/internal/label"&gt;&lt;element uid="9920fcc9-9f43-4d43-9e3e-b98a219cfd55" value="" /&gt;&lt;/sisl&gt;</vt:lpwstr>
  </property>
  <property fmtid="{D5CDD505-2E9C-101B-9397-08002B2CF9AE}" pid="9" name="_AdHocReviewCycleID">
    <vt:i4>-17891524</vt:i4>
  </property>
  <property fmtid="{D5CDD505-2E9C-101B-9397-08002B2CF9AE}" pid="10" name="_NewReviewCycle">
    <vt:lpwstr/>
  </property>
  <property fmtid="{D5CDD505-2E9C-101B-9397-08002B2CF9AE}" pid="11" name="_EmailSubject">
    <vt:lpwstr>re Draft AusPAR for CUBICIN - Daptomycin  - Merck Sharp &amp; Dohme (Australia) Pty Ltd - PM-2017-04652-1-2 </vt:lpwstr>
  </property>
  <property fmtid="{D5CDD505-2E9C-101B-9397-08002B2CF9AE}" pid="12" name="_AuthorEmail">
    <vt:lpwstr>ingrida.ozols@merck.com</vt:lpwstr>
  </property>
  <property fmtid="{D5CDD505-2E9C-101B-9397-08002B2CF9AE}" pid="13" name="_AuthorEmailDisplayName">
    <vt:lpwstr>Ozols, Ingrida</vt:lpwstr>
  </property>
  <property fmtid="{D5CDD505-2E9C-101B-9397-08002B2CF9AE}" pid="14" name="_ReviewingToolsShownOnce">
    <vt:lpwstr/>
  </property>
</Properties>
</file>