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44CD5" w14:textId="3018A5F0" w:rsidR="00256154" w:rsidRDefault="00256154" w:rsidP="00AC7F68">
      <w:pPr>
        <w:spacing w:before="0"/>
      </w:pPr>
      <w:r w:rsidRPr="00256154">
        <w:rPr>
          <w:noProof/>
          <w:lang w:val="en-AU" w:eastAsia="en-AU"/>
        </w:rPr>
        <mc:AlternateContent>
          <mc:Choice Requires="wps">
            <w:drawing>
              <wp:inline distT="0" distB="0" distL="0" distR="0" wp14:anchorId="0D3B323C" wp14:editId="3302D0C9">
                <wp:extent cx="361950" cy="518795"/>
                <wp:effectExtent l="0" t="0" r="0" b="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 cy="518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991DEE5" w14:textId="77777777" w:rsidR="00A97FD5" w:rsidRDefault="00A97FD5" w:rsidP="004D3A7C">
                            <w:pPr>
                              <w:rPr>
                                <w:rFonts w:ascii="Wingdings 3" w:hAnsi="Wingdings 3"/>
                              </w:rPr>
                            </w:pPr>
                            <w:r>
                              <w:rPr>
                                <w:rFonts w:hint="eastAsia"/>
                              </w:rPr>
                              <w:t>▼</w:t>
                            </w:r>
                          </w:p>
                        </w:txbxContent>
                      </wps:txbx>
                      <wps:bodyPr rot="0" vert="horz" wrap="square" lIns="0" tIns="0" rIns="0" bIns="0" anchor="t" anchorCtr="0" upright="1">
                        <a:noAutofit/>
                      </wps:bodyPr>
                    </wps:wsp>
                  </a:graphicData>
                </a:graphic>
              </wp:inline>
            </w:drawing>
          </mc:Choice>
          <mc:Fallback>
            <w:pict>
              <v:shapetype w14:anchorId="0D3B323C" id="_x0000_t202" coordsize="21600,21600" o:spt="202" path="m,l,21600r21600,l21600,xe">
                <v:stroke joinstyle="miter"/>
                <v:path gradientshapeok="t" o:connecttype="rect"/>
              </v:shapetype>
              <v:shape id="Text Box 1" o:spid="_x0000_s1026" type="#_x0000_t202" style="width:28.5pt;height:40.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" stroked="f">
                <v:textbox inset="0,0,0,0">
                  <w:txbxContent>
                    <w:p w14:paraId="2991DEE5" w14:textId="77777777" w:rsidR="00A97FD5" w:rsidRDefault="00A97FD5" w:rsidP="004D3A7C">
                      <w:pPr>
                        <w:rPr>
                          <w:rFonts w:ascii="Wingdings 3" w:hAnsi="Wingdings 3"/>
                        </w:rPr>
                      </w:pPr>
                      <w:r>
                        <w:rPr>
                          <w:rFonts w:hint="eastAsia"/>
                        </w:rPr>
                        <w:t>▼</w:t>
                      </w:r>
                    </w:p>
                  </w:txbxContent>
                </v:textbox>
                <w10:anchorlock/>
              </v:shape>
            </w:pict>
          </mc:Fallback>
        </mc:AlternateContent>
      </w:r>
      <w:r w:rsidRPr="00256154">
        <w:t xml:space="preserve">This medicinal product is subject to additional monitoring in Australia. This will allow quick identification of new safety information. Healthcare professionals are asked to report any suspected adverse events at </w:t>
      </w:r>
      <w:hyperlink r:id="rId12" w:history="1">
        <w:r w:rsidRPr="00256154">
          <w:rPr>
            <w:rStyle w:val="Hyperlink"/>
          </w:rPr>
          <w:t>https://www.tga.gov.au/reporting-problems</w:t>
        </w:r>
      </w:hyperlink>
    </w:p>
    <w:p w14:paraId="54745527" w14:textId="7A67F457" w:rsidR="004032BD" w:rsidRPr="00CF3CA1" w:rsidRDefault="004032BD" w:rsidP="004D3A7C">
      <w:pPr>
        <w:pStyle w:val="Title"/>
      </w:pPr>
      <w:r w:rsidRPr="00CF3CA1">
        <w:t>Australian P</w:t>
      </w:r>
      <w:r w:rsidR="00677840" w:rsidRPr="00CF3CA1">
        <w:t xml:space="preserve">roduct </w:t>
      </w:r>
      <w:r w:rsidRPr="00CF3CA1">
        <w:t>I</w:t>
      </w:r>
      <w:r w:rsidR="00677840" w:rsidRPr="00CF3CA1">
        <w:t>nformation</w:t>
      </w:r>
      <w:r w:rsidRPr="00CF3CA1">
        <w:t xml:space="preserve"> – </w:t>
      </w:r>
      <w:r w:rsidR="00C30787">
        <w:t>INQOVI</w:t>
      </w:r>
      <w:r w:rsidR="001606D7" w:rsidRPr="00CB3B96">
        <w:rPr>
          <w:vertAlign w:val="superscript"/>
        </w:rPr>
        <w:t>®</w:t>
      </w:r>
      <w:r w:rsidR="00C30787">
        <w:t xml:space="preserve"> </w:t>
      </w:r>
      <w:r w:rsidR="008F77AF">
        <w:t>35</w:t>
      </w:r>
      <w:r w:rsidR="00C30787">
        <w:t>/</w:t>
      </w:r>
      <w:r w:rsidR="008F77AF">
        <w:t>100</w:t>
      </w:r>
      <w:r w:rsidR="000828D9">
        <w:t xml:space="preserve"> </w:t>
      </w:r>
      <w:r w:rsidR="00CB3B96" w:rsidRPr="00CB3B96">
        <w:t>(</w:t>
      </w:r>
      <w:r w:rsidR="008F77AF" w:rsidRPr="008F77AF">
        <w:t xml:space="preserve">decitabine and </w:t>
      </w:r>
      <w:r w:rsidR="00CB3B96" w:rsidRPr="00CB3B96">
        <w:t>cedazuridine ) tablets</w:t>
      </w:r>
      <w:r w:rsidR="007E693C" w:rsidRPr="00CF3CA1">
        <w:t xml:space="preserve"> </w:t>
      </w:r>
    </w:p>
    <w:p w14:paraId="0DF3A7D7" w14:textId="685D038C" w:rsidR="001A3992" w:rsidRDefault="001A3992" w:rsidP="004D3A7C">
      <w:pPr>
        <w:pStyle w:val="Heading1"/>
      </w:pPr>
      <w:bookmarkStart w:id="0" w:name="_Ref26433398"/>
      <w:r w:rsidRPr="00CF3CA1">
        <w:t>Name of the medicine</w:t>
      </w:r>
      <w:bookmarkEnd w:id="0"/>
    </w:p>
    <w:p w14:paraId="089B929F" w14:textId="2E60F16F" w:rsidR="00CB3B96" w:rsidRPr="00703488" w:rsidRDefault="00CD57C6" w:rsidP="004D3A7C">
      <w:r>
        <w:t>D</w:t>
      </w:r>
      <w:r w:rsidR="00CB3B96" w:rsidRPr="00703488">
        <w:t>ecitabine</w:t>
      </w:r>
      <w:r w:rsidRPr="00CD57C6">
        <w:t xml:space="preserve"> and</w:t>
      </w:r>
      <w:r>
        <w:t xml:space="preserve"> </w:t>
      </w:r>
      <w:r w:rsidR="000828D9">
        <w:t>c</w:t>
      </w:r>
      <w:r w:rsidRPr="00CD57C6">
        <w:t>edazuridine</w:t>
      </w:r>
    </w:p>
    <w:p w14:paraId="577AA172" w14:textId="77777777" w:rsidR="001A3992" w:rsidRPr="00497C85" w:rsidRDefault="001A3992" w:rsidP="004D3A7C">
      <w:pPr>
        <w:pStyle w:val="Heading1"/>
      </w:pPr>
      <w:r w:rsidRPr="00497C85">
        <w:t>Qualitative and quantitative composition</w:t>
      </w:r>
    </w:p>
    <w:p w14:paraId="769BA8F2" w14:textId="193225E6" w:rsidR="002C51F8" w:rsidRPr="00703488" w:rsidRDefault="002B5B51" w:rsidP="004D3A7C">
      <w:r>
        <w:t xml:space="preserve">Each </w:t>
      </w:r>
      <w:r w:rsidR="00C30787">
        <w:t xml:space="preserve">INQOVI </w:t>
      </w:r>
      <w:r w:rsidR="008F77AF">
        <w:t>35</w:t>
      </w:r>
      <w:r w:rsidR="00C30787">
        <w:t>/</w:t>
      </w:r>
      <w:r w:rsidR="008F77AF">
        <w:t>100</w:t>
      </w:r>
      <w:r w:rsidR="002C51F8" w:rsidRPr="00703488">
        <w:t xml:space="preserve"> </w:t>
      </w:r>
      <w:r>
        <w:t xml:space="preserve">tablet </w:t>
      </w:r>
      <w:r w:rsidR="00753F9F" w:rsidRPr="00703488">
        <w:t xml:space="preserve">contains </w:t>
      </w:r>
      <w:r w:rsidR="008F77AF">
        <w:t>35</w:t>
      </w:r>
      <w:r w:rsidR="00753F9F" w:rsidRPr="00703488">
        <w:t xml:space="preserve"> mg of </w:t>
      </w:r>
      <w:r w:rsidR="008F77AF" w:rsidRPr="008F77AF">
        <w:t xml:space="preserve">decitabine </w:t>
      </w:r>
      <w:r w:rsidR="00753F9F" w:rsidRPr="00703488">
        <w:t xml:space="preserve">and </w:t>
      </w:r>
      <w:r w:rsidR="008F77AF">
        <w:t>100</w:t>
      </w:r>
      <w:r w:rsidR="00753F9F" w:rsidRPr="00703488">
        <w:t xml:space="preserve"> mg of</w:t>
      </w:r>
      <w:r w:rsidR="008F77AF">
        <w:t xml:space="preserve"> </w:t>
      </w:r>
      <w:r w:rsidR="008F77AF" w:rsidRPr="008F77AF">
        <w:t>cedazuridine</w:t>
      </w:r>
      <w:r w:rsidR="00753F9F" w:rsidRPr="00703488">
        <w:t xml:space="preserve">. </w:t>
      </w:r>
    </w:p>
    <w:p w14:paraId="68A592D4" w14:textId="7CB417AA" w:rsidR="00A0764A" w:rsidRPr="00703488" w:rsidRDefault="00C30787" w:rsidP="004D3A7C">
      <w:r>
        <w:t xml:space="preserve">INQOVI </w:t>
      </w:r>
      <w:r w:rsidR="008F77AF">
        <w:t>35</w:t>
      </w:r>
      <w:r>
        <w:t>/</w:t>
      </w:r>
      <w:r w:rsidR="008F77AF">
        <w:t>100</w:t>
      </w:r>
      <w:r w:rsidR="00753F9F" w:rsidRPr="00703488">
        <w:t xml:space="preserve"> contains </w:t>
      </w:r>
      <w:r w:rsidR="00A0764A" w:rsidRPr="00703488">
        <w:t xml:space="preserve">lactose monohydrate. </w:t>
      </w:r>
    </w:p>
    <w:p w14:paraId="1690710D" w14:textId="1E0E3C5C" w:rsidR="00497C85" w:rsidRPr="00CF3CA1" w:rsidRDefault="00497C85" w:rsidP="004D3A7C">
      <w:r w:rsidRPr="00CF3CA1">
        <w:t xml:space="preserve">For the full list of excipients, see Section 6.1 List of excipients. </w:t>
      </w:r>
    </w:p>
    <w:p w14:paraId="3E4DC302" w14:textId="7CD30D75" w:rsidR="001A3992" w:rsidRDefault="001A3992" w:rsidP="004D3A7C">
      <w:pPr>
        <w:pStyle w:val="Heading1"/>
      </w:pPr>
      <w:r w:rsidRPr="00497C85">
        <w:t>Pharmaceutical form</w:t>
      </w:r>
    </w:p>
    <w:p w14:paraId="610B2CCB" w14:textId="476380F5" w:rsidR="00974228" w:rsidRPr="00D26301" w:rsidRDefault="003B328B" w:rsidP="004D3A7C">
      <w:r>
        <w:t>F</w:t>
      </w:r>
      <w:r w:rsidRPr="00D26301">
        <w:t>ilm</w:t>
      </w:r>
      <w:r>
        <w:t>-</w:t>
      </w:r>
      <w:r w:rsidRPr="00D26301">
        <w:t xml:space="preserve">coated </w:t>
      </w:r>
      <w:r>
        <w:t>t</w:t>
      </w:r>
      <w:r w:rsidR="00974228" w:rsidRPr="00D26301">
        <w:t>ablet</w:t>
      </w:r>
      <w:r w:rsidR="00E84644" w:rsidRPr="00D26301">
        <w:t xml:space="preserve"> </w:t>
      </w:r>
    </w:p>
    <w:p w14:paraId="47B84C1F" w14:textId="32B13380" w:rsidR="00753F9F" w:rsidRPr="00D26301" w:rsidRDefault="00C30787" w:rsidP="004D3A7C">
      <w:r>
        <w:t xml:space="preserve">INQOVI </w:t>
      </w:r>
      <w:r w:rsidR="008F77AF">
        <w:t>35</w:t>
      </w:r>
      <w:r>
        <w:t>/</w:t>
      </w:r>
      <w:r w:rsidR="008F77AF">
        <w:t>100</w:t>
      </w:r>
      <w:r w:rsidR="00DA358F" w:rsidRPr="00D26301">
        <w:t xml:space="preserve"> is a biconvex, oval</w:t>
      </w:r>
      <w:r w:rsidR="00DA358F" w:rsidRPr="00D26301">
        <w:noBreakHyphen/>
        <w:t xml:space="preserve">shaped, red </w:t>
      </w:r>
      <w:r w:rsidRPr="00D26301">
        <w:t xml:space="preserve">film-coated </w:t>
      </w:r>
      <w:r w:rsidR="00DA358F" w:rsidRPr="00D26301">
        <w:t>tablet, plain-faced on one side and debossed with “H35” on the other side.</w:t>
      </w:r>
    </w:p>
    <w:p w14:paraId="483F01E9" w14:textId="77777777" w:rsidR="001A3992" w:rsidRPr="00497C85" w:rsidRDefault="001A3992" w:rsidP="004D3A7C">
      <w:pPr>
        <w:pStyle w:val="Heading1"/>
      </w:pPr>
      <w:r w:rsidRPr="00497C85">
        <w:t>Clinical particulars</w:t>
      </w:r>
    </w:p>
    <w:p w14:paraId="34392DD9" w14:textId="722B931D" w:rsidR="001A3992" w:rsidRDefault="001A3992" w:rsidP="004D3A7C">
      <w:pPr>
        <w:pStyle w:val="Heading2"/>
      </w:pPr>
      <w:r w:rsidRPr="00CF3CA1">
        <w:t xml:space="preserve">Therapeutic indications </w:t>
      </w:r>
    </w:p>
    <w:p w14:paraId="0CB7BBB2" w14:textId="6579FBEA" w:rsidR="002C51F8" w:rsidRPr="002C51F8" w:rsidRDefault="00C30787" w:rsidP="004D3A7C">
      <w:r>
        <w:t xml:space="preserve">INQOVI </w:t>
      </w:r>
      <w:r w:rsidR="008F77AF">
        <w:t>35</w:t>
      </w:r>
      <w:r>
        <w:t>/</w:t>
      </w:r>
      <w:r w:rsidR="008F77AF">
        <w:t>100</w:t>
      </w:r>
      <w:r w:rsidR="002C51F8" w:rsidRPr="00703488">
        <w:t xml:space="preserve"> is indicated </w:t>
      </w:r>
      <w:r w:rsidR="00304170" w:rsidRPr="00E40B52">
        <w:t xml:space="preserve">for treatment of adult patients with </w:t>
      </w:r>
      <w:r w:rsidRPr="00211465">
        <w:t xml:space="preserve">myelodysplastic syndromes </w:t>
      </w:r>
      <w:r>
        <w:t>(</w:t>
      </w:r>
      <w:r w:rsidR="00304170" w:rsidRPr="00C30787">
        <w:t>MDS</w:t>
      </w:r>
      <w:r>
        <w:t>)</w:t>
      </w:r>
      <w:r w:rsidR="00304170" w:rsidRPr="00C30787">
        <w:t xml:space="preserve"> intermediate-1, intermediate-2, and high-risk International Prognostic Scoring System groups, and patients with chronic </w:t>
      </w:r>
      <w:proofErr w:type="spellStart"/>
      <w:r w:rsidR="00304170" w:rsidRPr="00C30787">
        <w:t>myelomonocytic</w:t>
      </w:r>
      <w:proofErr w:type="spellEnd"/>
      <w:r w:rsidR="00304170" w:rsidRPr="00C30787">
        <w:t xml:space="preserve"> </w:t>
      </w:r>
      <w:proofErr w:type="spellStart"/>
      <w:r w:rsidR="00304170" w:rsidRPr="00C30787">
        <w:t>leuk</w:t>
      </w:r>
      <w:r w:rsidR="00F241C4">
        <w:t>a</w:t>
      </w:r>
      <w:r w:rsidR="00304170" w:rsidRPr="00C30787">
        <w:t>emia</w:t>
      </w:r>
      <w:proofErr w:type="spellEnd"/>
      <w:r w:rsidR="00304170" w:rsidRPr="00C30787">
        <w:t xml:space="preserve"> (CMML)</w:t>
      </w:r>
      <w:r w:rsidR="002C51F8" w:rsidRPr="00C30787">
        <w:t>.</w:t>
      </w:r>
      <w:r w:rsidR="002D2E9D">
        <w:rPr>
          <w:rStyle w:val="CommentReference"/>
          <w:rFonts w:ascii="Cambria" w:hAnsi="Cambria"/>
        </w:rPr>
        <w:t xml:space="preserve"> </w:t>
      </w:r>
    </w:p>
    <w:p w14:paraId="10A0AE62" w14:textId="28486B12" w:rsidR="001A3992" w:rsidRDefault="001A3992" w:rsidP="004D3A7C">
      <w:pPr>
        <w:pStyle w:val="Heading2"/>
      </w:pPr>
      <w:bookmarkStart w:id="1" w:name="_Ref26434208"/>
      <w:r w:rsidRPr="00497C85">
        <w:t>Dose and method of administration</w:t>
      </w:r>
      <w:bookmarkEnd w:id="1"/>
      <w:r w:rsidRPr="00497C85">
        <w:t xml:space="preserve"> </w:t>
      </w:r>
    </w:p>
    <w:p w14:paraId="68B6F7C1" w14:textId="77777777" w:rsidR="00974228" w:rsidRPr="004D3A7C" w:rsidRDefault="00974228" w:rsidP="004D3A7C">
      <w:pPr>
        <w:pStyle w:val="Heading3"/>
      </w:pPr>
      <w:r w:rsidRPr="004D3A7C">
        <w:t>Dosage</w:t>
      </w:r>
    </w:p>
    <w:p w14:paraId="0D7161F4" w14:textId="7A33E131" w:rsidR="00974228" w:rsidRPr="00703488" w:rsidRDefault="00974228" w:rsidP="004D3A7C">
      <w:r w:rsidRPr="004D3A7C">
        <w:t xml:space="preserve">The recommended dose of </w:t>
      </w:r>
      <w:r w:rsidR="00C30787">
        <w:t xml:space="preserve">INQOVI </w:t>
      </w:r>
      <w:r w:rsidR="008F77AF">
        <w:t>35</w:t>
      </w:r>
      <w:r w:rsidR="00C30787">
        <w:t>/</w:t>
      </w:r>
      <w:r w:rsidR="008F77AF">
        <w:t>100</w:t>
      </w:r>
      <w:r w:rsidRPr="004D3A7C">
        <w:t xml:space="preserve"> is 1 tablet containing </w:t>
      </w:r>
      <w:r w:rsidR="008F77AF">
        <w:t>35</w:t>
      </w:r>
      <w:r w:rsidRPr="004D3A7C">
        <w:t xml:space="preserve"> mg of </w:t>
      </w:r>
      <w:r w:rsidR="008F77AF" w:rsidRPr="008F77AF">
        <w:t>decitabine</w:t>
      </w:r>
      <w:r w:rsidR="008F77AF" w:rsidRPr="008F77AF" w:rsidDel="008F77AF">
        <w:t xml:space="preserve"> </w:t>
      </w:r>
      <w:r w:rsidRPr="004D3A7C">
        <w:t xml:space="preserve">and </w:t>
      </w:r>
      <w:r w:rsidR="008F77AF">
        <w:t xml:space="preserve">100 </w:t>
      </w:r>
      <w:r w:rsidRPr="004D3A7C">
        <w:t>mg</w:t>
      </w:r>
      <w:r w:rsidRPr="00703488">
        <w:t xml:space="preserve"> of </w:t>
      </w:r>
      <w:r w:rsidR="008F77AF" w:rsidRPr="008F77AF">
        <w:t xml:space="preserve">cedazuridine </w:t>
      </w:r>
      <w:r w:rsidRPr="00703488">
        <w:t xml:space="preserve">taken orally once daily on Days 1 through 5 of each 28-day cycle for </w:t>
      </w:r>
      <w:r w:rsidRPr="00703488">
        <w:lastRenderedPageBreak/>
        <w:t>a minimum of 4 cycles. Best response may take longer than 4 cycles.</w:t>
      </w:r>
      <w:r w:rsidR="002D2E9D">
        <w:rPr>
          <w:rStyle w:val="CommentReference"/>
          <w:rFonts w:ascii="Cambria" w:hAnsi="Cambria"/>
        </w:rPr>
        <w:t xml:space="preserve"> </w:t>
      </w:r>
      <w:r w:rsidRPr="00703488">
        <w:t xml:space="preserve"> Continue treatment as long as the patient continues to benefit. Repeat cycles every 28 days in the absence of </w:t>
      </w:r>
      <w:proofErr w:type="spellStart"/>
      <w:r w:rsidRPr="00703488">
        <w:t>h</w:t>
      </w:r>
      <w:r w:rsidR="00BD23C4">
        <w:t>a</w:t>
      </w:r>
      <w:r w:rsidRPr="00703488">
        <w:t>ematologic</w:t>
      </w:r>
      <w:proofErr w:type="spellEnd"/>
      <w:r w:rsidRPr="00703488">
        <w:t xml:space="preserve"> toxicities not attributed to active disease and blood counts show absolute neutrophil count</w:t>
      </w:r>
      <w:r w:rsidRPr="00703488" w:rsidDel="000776E6">
        <w:t xml:space="preserve"> </w:t>
      </w:r>
      <w:r w:rsidRPr="00703488">
        <w:t>at least 1,000/µL and platelets at least 50,000/µL, or at least return to pretreatment levels.</w:t>
      </w:r>
      <w:r w:rsidR="002D2E9D">
        <w:rPr>
          <w:rStyle w:val="CommentReference"/>
          <w:rFonts w:ascii="Cambria" w:hAnsi="Cambria"/>
        </w:rPr>
        <w:t xml:space="preserve"> </w:t>
      </w:r>
      <w:r w:rsidRPr="00703488">
        <w:t xml:space="preserve"> Delay or reduce the dose per cycle for </w:t>
      </w:r>
      <w:proofErr w:type="spellStart"/>
      <w:r w:rsidRPr="00703488">
        <w:t>h</w:t>
      </w:r>
      <w:r w:rsidR="00BD23C4">
        <w:t>a</w:t>
      </w:r>
      <w:r w:rsidRPr="00703488">
        <w:t>ematologic</w:t>
      </w:r>
      <w:proofErr w:type="spellEnd"/>
      <w:r w:rsidRPr="00703488">
        <w:t xml:space="preserve"> toxicity</w:t>
      </w:r>
      <w:r w:rsidR="007B0173">
        <w:t xml:space="preserve"> (see Dosage adjustment, </w:t>
      </w:r>
      <w:proofErr w:type="spellStart"/>
      <w:r w:rsidR="007B0173">
        <w:t>H</w:t>
      </w:r>
      <w:r w:rsidR="00BD23C4">
        <w:t>a</w:t>
      </w:r>
      <w:r w:rsidR="007B0173">
        <w:t>ematological</w:t>
      </w:r>
      <w:proofErr w:type="spellEnd"/>
      <w:r w:rsidR="007B0173">
        <w:t xml:space="preserve"> toxicity)</w:t>
      </w:r>
      <w:r w:rsidRPr="00703488">
        <w:t>.</w:t>
      </w:r>
      <w:r w:rsidR="002D2E9D">
        <w:rPr>
          <w:rStyle w:val="CommentReference"/>
          <w:rFonts w:ascii="Cambria" w:hAnsi="Cambria"/>
        </w:rPr>
        <w:t xml:space="preserve"> </w:t>
      </w:r>
    </w:p>
    <w:p w14:paraId="23C7F561" w14:textId="50C883D1" w:rsidR="002B5B51" w:rsidRPr="00703488" w:rsidRDefault="002B5B51" w:rsidP="004D3A7C">
      <w:r>
        <w:t xml:space="preserve">Prior to initiation of </w:t>
      </w:r>
      <w:r w:rsidR="00C30787">
        <w:t xml:space="preserve">INQOVI </w:t>
      </w:r>
      <w:r w:rsidR="008F77AF">
        <w:t>35</w:t>
      </w:r>
      <w:r w:rsidR="00C30787">
        <w:t>/</w:t>
      </w:r>
      <w:r w:rsidR="008F77AF">
        <w:t>100</w:t>
      </w:r>
      <w:r>
        <w:t>, c</w:t>
      </w:r>
      <w:r w:rsidRPr="00703488">
        <w:t>onduct baseline laboratory testing</w:t>
      </w:r>
      <w:r>
        <w:t xml:space="preserve"> including</w:t>
      </w:r>
      <w:r w:rsidRPr="00703488">
        <w:t xml:space="preserve"> complete blood cell counts with platelets, serum hepatic panel, and serum creatinine.</w:t>
      </w:r>
      <w:r w:rsidR="002D2E9D">
        <w:rPr>
          <w:rStyle w:val="CommentReference"/>
          <w:rFonts w:ascii="Cambria" w:hAnsi="Cambria"/>
        </w:rPr>
        <w:t xml:space="preserve"> </w:t>
      </w:r>
      <w:r>
        <w:t xml:space="preserve"> O</w:t>
      </w:r>
      <w:r w:rsidR="00974228" w:rsidRPr="00703488">
        <w:t xml:space="preserve">btain complete blood cell counts prior to initiation of </w:t>
      </w:r>
      <w:r w:rsidR="00C30787">
        <w:t xml:space="preserve">INQOVI </w:t>
      </w:r>
      <w:r w:rsidR="00D37CDA">
        <w:t>35</w:t>
      </w:r>
      <w:r w:rsidR="00C30787">
        <w:t>/</w:t>
      </w:r>
      <w:r w:rsidR="00D37CDA">
        <w:t>100</w:t>
      </w:r>
      <w:r w:rsidR="00974228" w:rsidRPr="00703488">
        <w:t xml:space="preserve"> and prior to each cycle</w:t>
      </w:r>
      <w:r w:rsidR="005C0AE3" w:rsidRPr="00703488">
        <w:t xml:space="preserve"> (see </w:t>
      </w:r>
      <w:r w:rsidR="004F1BF8">
        <w:t xml:space="preserve">Dosage adjustment, </w:t>
      </w:r>
      <w:proofErr w:type="spellStart"/>
      <w:r w:rsidR="004F1BF8">
        <w:t>H</w:t>
      </w:r>
      <w:r w:rsidR="00BD23C4">
        <w:t>a</w:t>
      </w:r>
      <w:r w:rsidR="004F1BF8">
        <w:t>ematological</w:t>
      </w:r>
      <w:proofErr w:type="spellEnd"/>
      <w:r w:rsidR="004F1BF8">
        <w:t xml:space="preserve"> toxicity)</w:t>
      </w:r>
      <w:r w:rsidR="00974228" w:rsidRPr="00703488">
        <w:t>.</w:t>
      </w:r>
      <w:r w:rsidR="002D2E9D">
        <w:rPr>
          <w:rStyle w:val="CommentReference"/>
          <w:rFonts w:ascii="Cambria" w:hAnsi="Cambria"/>
        </w:rPr>
        <w:t xml:space="preserve"> </w:t>
      </w:r>
      <w:r>
        <w:t xml:space="preserve"> </w:t>
      </w:r>
    </w:p>
    <w:p w14:paraId="50BE7358" w14:textId="2B2C81A4" w:rsidR="006E137E" w:rsidRPr="004D3A7C" w:rsidRDefault="006E137E" w:rsidP="006E137E">
      <w:pPr>
        <w:pStyle w:val="Heading3"/>
      </w:pPr>
      <w:bookmarkStart w:id="2" w:name="_2.2_Missed_or"/>
      <w:bookmarkEnd w:id="2"/>
      <w:r w:rsidRPr="004D3A7C">
        <w:t>Method of administration</w:t>
      </w:r>
    </w:p>
    <w:p w14:paraId="355BE7E3" w14:textId="302CD621" w:rsidR="006E137E" w:rsidRDefault="00C30787" w:rsidP="006E137E">
      <w:bookmarkStart w:id="3" w:name="_Hlk26943039"/>
      <w:r>
        <w:t xml:space="preserve">INQOVI </w:t>
      </w:r>
      <w:r w:rsidR="00D37CDA">
        <w:t>35/100</w:t>
      </w:r>
      <w:r w:rsidR="006E137E" w:rsidRPr="00136C2F">
        <w:t xml:space="preserve"> tablets should be taken with water on an empty stomach</w:t>
      </w:r>
      <w:bookmarkEnd w:id="3"/>
      <w:r w:rsidR="006E137E" w:rsidRPr="00136C2F">
        <w:t xml:space="preserve">, at approximately the same time each day. </w:t>
      </w:r>
      <w:r w:rsidR="00EF3AAD">
        <w:t xml:space="preserve">Do not consume food two hours before </w:t>
      </w:r>
      <w:r w:rsidR="005F4CCC">
        <w:t xml:space="preserve">and </w:t>
      </w:r>
      <w:r w:rsidR="00EF3AAD">
        <w:t>two hours after taking</w:t>
      </w:r>
      <w:r w:rsidR="006E137E" w:rsidRPr="00136C2F">
        <w:t xml:space="preserve"> </w:t>
      </w:r>
      <w:r>
        <w:t xml:space="preserve">INQOVI </w:t>
      </w:r>
      <w:r w:rsidR="00D37CDA">
        <w:t>35</w:t>
      </w:r>
      <w:r>
        <w:t>/</w:t>
      </w:r>
      <w:r w:rsidR="00D37CDA">
        <w:t>100</w:t>
      </w:r>
      <w:r w:rsidR="006E137E">
        <w:t xml:space="preserve">. </w:t>
      </w:r>
    </w:p>
    <w:p w14:paraId="1089D4CF" w14:textId="77777777" w:rsidR="00AE2D89" w:rsidRPr="00AE2D89" w:rsidRDefault="00AE2D89" w:rsidP="00AE2D89">
      <w:pPr>
        <w:autoSpaceDE w:val="0"/>
        <w:autoSpaceDN w:val="0"/>
        <w:adjustRightInd w:val="0"/>
        <w:spacing w:before="0"/>
        <w:rPr>
          <w:rFonts w:eastAsiaTheme="minorHAnsi"/>
          <w:lang w:val="en-AU"/>
        </w:rPr>
      </w:pPr>
    </w:p>
    <w:p w14:paraId="12B5D3C2" w14:textId="7BFA1EA3" w:rsidR="00AE2D89" w:rsidRPr="00AE2D89" w:rsidRDefault="00AE2D89" w:rsidP="00AE2D89">
      <w:pPr>
        <w:autoSpaceDE w:val="0"/>
        <w:autoSpaceDN w:val="0"/>
        <w:adjustRightInd w:val="0"/>
        <w:spacing w:before="0"/>
        <w:rPr>
          <w:rFonts w:eastAsiaTheme="minorHAnsi"/>
          <w:lang w:val="en-AU"/>
        </w:rPr>
      </w:pPr>
      <w:r w:rsidRPr="00AE2D89">
        <w:rPr>
          <w:rFonts w:eastAsiaTheme="minorHAnsi"/>
          <w:lang w:val="en-AU"/>
        </w:rPr>
        <w:t>Agents that increase gastric pH should not be taken within 4 hours of I</w:t>
      </w:r>
      <w:r>
        <w:rPr>
          <w:rFonts w:eastAsiaTheme="minorHAnsi"/>
          <w:lang w:val="en-AU"/>
        </w:rPr>
        <w:t>NQOVI 35/100</w:t>
      </w:r>
      <w:r w:rsidRPr="00AE2D89">
        <w:rPr>
          <w:rFonts w:eastAsiaTheme="minorHAnsi"/>
          <w:lang w:val="en-AU"/>
        </w:rPr>
        <w:t xml:space="preserve"> administration (see INTERACTIONS</w:t>
      </w:r>
      <w:r w:rsidR="00644DBD">
        <w:rPr>
          <w:rFonts w:eastAsiaTheme="minorHAnsi"/>
          <w:lang w:val="en-AU"/>
        </w:rPr>
        <w:t xml:space="preserve"> WITH OTHER MEDICINES AND OTHER FORMS OF INTERACTIONS</w:t>
      </w:r>
      <w:r w:rsidRPr="00AE2D89">
        <w:rPr>
          <w:rFonts w:eastAsiaTheme="minorHAnsi"/>
          <w:lang w:val="en-AU"/>
        </w:rPr>
        <w:t xml:space="preserve">). </w:t>
      </w:r>
    </w:p>
    <w:p w14:paraId="21DBBF0A" w14:textId="72EF3EF3" w:rsidR="006E137E" w:rsidRDefault="00C30787" w:rsidP="006E137E">
      <w:r>
        <w:t xml:space="preserve">INQOVI </w:t>
      </w:r>
      <w:r w:rsidR="00D37CDA">
        <w:t>35</w:t>
      </w:r>
      <w:r>
        <w:t>/</w:t>
      </w:r>
      <w:r w:rsidR="00D37CDA">
        <w:t>100</w:t>
      </w:r>
      <w:r w:rsidR="005533D5" w:rsidRPr="005533D5">
        <w:t xml:space="preserve"> is a cytotoxic drug. </w:t>
      </w:r>
      <w:r>
        <w:t xml:space="preserve">INQOVI </w:t>
      </w:r>
      <w:r w:rsidR="00D37CDA">
        <w:t>35</w:t>
      </w:r>
      <w:r>
        <w:t>/</w:t>
      </w:r>
      <w:r w:rsidR="00D37CDA">
        <w:t>100</w:t>
      </w:r>
      <w:r w:rsidR="006E137E" w:rsidRPr="00136C2F">
        <w:t xml:space="preserve"> tablets should be swallowed whole and not chewed, crushed, or broken prior to swallowing. </w:t>
      </w:r>
    </w:p>
    <w:p w14:paraId="63580AAE" w14:textId="77777777" w:rsidR="004D3A7C" w:rsidRPr="004D3A7C" w:rsidRDefault="004D3A7C" w:rsidP="004D3A7C">
      <w:pPr>
        <w:pStyle w:val="Heading3"/>
      </w:pPr>
      <w:r w:rsidRPr="004D3A7C">
        <w:t>Missed or vomited dose</w:t>
      </w:r>
    </w:p>
    <w:p w14:paraId="439E9D70" w14:textId="49871614" w:rsidR="004D3A7C" w:rsidRPr="00703488" w:rsidRDefault="004D3A7C" w:rsidP="004D3A7C">
      <w:r w:rsidRPr="00703488">
        <w:t xml:space="preserve">If the patient misses a dose of </w:t>
      </w:r>
      <w:r w:rsidR="00C30787">
        <w:t xml:space="preserve">INQOVI </w:t>
      </w:r>
      <w:r w:rsidR="00D37CDA">
        <w:t>35</w:t>
      </w:r>
      <w:r w:rsidR="00C30787">
        <w:t>/</w:t>
      </w:r>
      <w:r w:rsidR="00D37CDA">
        <w:t>100</w:t>
      </w:r>
      <w:r w:rsidRPr="00703488">
        <w:t xml:space="preserve"> within </w:t>
      </w:r>
      <w:r w:rsidR="00EF3AAD">
        <w:t>12</w:t>
      </w:r>
      <w:r w:rsidR="00EF3AAD" w:rsidRPr="00703488">
        <w:t xml:space="preserve"> </w:t>
      </w:r>
      <w:r w:rsidRPr="00703488">
        <w:t xml:space="preserve">hours of the time it is usually taken, the patient should take the missed dose as soon as possible and resume the normal daily dosing schedule. If a patient misses a dose by more than </w:t>
      </w:r>
      <w:r w:rsidR="00EF3AAD">
        <w:t>12</w:t>
      </w:r>
      <w:r w:rsidR="00EF3AAD" w:rsidRPr="00703488">
        <w:t xml:space="preserve"> </w:t>
      </w:r>
      <w:r w:rsidRPr="00703488">
        <w:t>hours, the patient should not take the missed dose and should resume the usual dosing schedule the next day to complete 5 days of treatment per cycle.</w:t>
      </w:r>
      <w:r w:rsidR="002D2E9D">
        <w:rPr>
          <w:rStyle w:val="CommentReference"/>
          <w:rFonts w:ascii="Cambria" w:hAnsi="Cambria"/>
        </w:rPr>
        <w:t xml:space="preserve"> </w:t>
      </w:r>
      <w:r w:rsidRPr="00703488">
        <w:rPr>
          <w:color w:val="0000FF"/>
        </w:rPr>
        <w:t xml:space="preserve"> </w:t>
      </w:r>
    </w:p>
    <w:p w14:paraId="703CB0D0" w14:textId="5A8FBD86" w:rsidR="004D3A7C" w:rsidRPr="00136C2F" w:rsidRDefault="004D3A7C" w:rsidP="004D3A7C">
      <w:r w:rsidRPr="00703488">
        <w:t>If the patient vomits following dosing, no additional dose should be taken that day. The next prescribed dose should be taken at the usual time. Consider pre-medicating with antiemetics for next dose.</w:t>
      </w:r>
      <w:r w:rsidR="002D2E9D">
        <w:rPr>
          <w:rStyle w:val="CommentReference"/>
          <w:rFonts w:ascii="Cambria" w:hAnsi="Cambria"/>
        </w:rPr>
        <w:t xml:space="preserve"> </w:t>
      </w:r>
    </w:p>
    <w:p w14:paraId="021421E9" w14:textId="2D3E323B" w:rsidR="00974228" w:rsidRPr="004D3A7C" w:rsidRDefault="00974228" w:rsidP="004D3A7C">
      <w:pPr>
        <w:pStyle w:val="Heading3"/>
      </w:pPr>
      <w:r w:rsidRPr="004D3A7C">
        <w:t>Dosage adjustment</w:t>
      </w:r>
    </w:p>
    <w:p w14:paraId="413FBC7E" w14:textId="2A76970F" w:rsidR="00974228" w:rsidRPr="00703488" w:rsidRDefault="00974228" w:rsidP="004D3A7C">
      <w:bookmarkStart w:id="4" w:name="_2.3_Treatment_Modifications"/>
      <w:bookmarkStart w:id="5" w:name="p269131291527705565"/>
      <w:bookmarkEnd w:id="4"/>
      <w:bookmarkEnd w:id="5"/>
      <w:r w:rsidRPr="00703488">
        <w:t xml:space="preserve">Monitor blood counts frequently through resolution of </w:t>
      </w:r>
      <w:proofErr w:type="spellStart"/>
      <w:r w:rsidRPr="00703488">
        <w:t>cytopenias</w:t>
      </w:r>
      <w:proofErr w:type="spellEnd"/>
      <w:r w:rsidRPr="00703488">
        <w:t xml:space="preserve">. Management of some adverse reactions may require dose delay or dose reduction of </w:t>
      </w:r>
      <w:r w:rsidR="00C30787">
        <w:t xml:space="preserve">INQOVI </w:t>
      </w:r>
      <w:r w:rsidR="00D37CDA">
        <w:t>35</w:t>
      </w:r>
      <w:r w:rsidR="00C30787">
        <w:t>/</w:t>
      </w:r>
      <w:r w:rsidR="00D37CDA">
        <w:t>100</w:t>
      </w:r>
      <w:r w:rsidRPr="00703488">
        <w:t xml:space="preserve"> </w:t>
      </w:r>
      <w:r w:rsidR="005C0AE3" w:rsidRPr="00703488">
        <w:t xml:space="preserve">(see </w:t>
      </w:r>
      <w:r w:rsidR="00A82A95">
        <w:t xml:space="preserve">also </w:t>
      </w:r>
      <w:r w:rsidR="00661664">
        <w:t xml:space="preserve">Section </w:t>
      </w:r>
      <w:r w:rsidR="00196CF7" w:rsidRPr="00196CF7">
        <w:t>4.4 Special warnings and precautions for use</w:t>
      </w:r>
      <w:r w:rsidR="005C0AE3" w:rsidRPr="00703488">
        <w:t xml:space="preserve"> and </w:t>
      </w:r>
      <w:r w:rsidR="00661664">
        <w:t xml:space="preserve">Section </w:t>
      </w:r>
      <w:r w:rsidR="00196CF7" w:rsidRPr="00196CF7">
        <w:t>4.8 Adverse effects (undesirable effects)</w:t>
      </w:r>
      <w:r w:rsidR="00AE1DA8" w:rsidRPr="00703488">
        <w:t>)</w:t>
      </w:r>
      <w:r w:rsidR="005C0AE3" w:rsidRPr="00703488">
        <w:t>.</w:t>
      </w:r>
      <w:r w:rsidRPr="00703488">
        <w:t xml:space="preserve"> </w:t>
      </w:r>
    </w:p>
    <w:p w14:paraId="452F04C4" w14:textId="72A50E80" w:rsidR="00974228" w:rsidRPr="004D3A7C" w:rsidRDefault="00974228" w:rsidP="004D3A7C">
      <w:pPr>
        <w:pStyle w:val="Heading4"/>
      </w:pPr>
      <w:proofErr w:type="spellStart"/>
      <w:r w:rsidRPr="004D3A7C">
        <w:t>H</w:t>
      </w:r>
      <w:r w:rsidR="00BD23C4">
        <w:t>a</w:t>
      </w:r>
      <w:r w:rsidRPr="004D3A7C">
        <w:t>ematologic</w:t>
      </w:r>
      <w:proofErr w:type="spellEnd"/>
      <w:r w:rsidRPr="004D3A7C">
        <w:t xml:space="preserve"> </w:t>
      </w:r>
      <w:r w:rsidR="004D3A7C" w:rsidRPr="004D3A7C">
        <w:t>t</w:t>
      </w:r>
      <w:r w:rsidRPr="004D3A7C">
        <w:t>oxicity</w:t>
      </w:r>
    </w:p>
    <w:p w14:paraId="4551B40C" w14:textId="52583434" w:rsidR="00EF7350" w:rsidRPr="00A70D2F" w:rsidRDefault="005C48F0" w:rsidP="00EF7350">
      <w:pPr>
        <w:spacing w:beforeLines="40" w:before="96" w:afterLines="40" w:after="96"/>
      </w:pPr>
      <w:r w:rsidRPr="005C48F0">
        <w:t>Obtain complete blood cell counts prior to initiating INQOVI and before each cycle.</w:t>
      </w:r>
      <w:r>
        <w:rPr>
          <w:sz w:val="22"/>
          <w:szCs w:val="22"/>
        </w:rPr>
        <w:t xml:space="preserve"> </w:t>
      </w:r>
      <w:r w:rsidR="00974228" w:rsidRPr="00703488">
        <w:t xml:space="preserve">Dose reduction is not recommended for the first 2 cycles. </w:t>
      </w:r>
      <w:r w:rsidR="00EF7350" w:rsidRPr="00A70D2F">
        <w:t xml:space="preserve">In case of persistent </w:t>
      </w:r>
      <w:proofErr w:type="spellStart"/>
      <w:r w:rsidR="00EF7350" w:rsidRPr="00A70D2F">
        <w:t>cytopenias</w:t>
      </w:r>
      <w:proofErr w:type="spellEnd"/>
      <w:r w:rsidR="00EF7350" w:rsidRPr="00A70D2F">
        <w:t xml:space="preserve"> at </w:t>
      </w:r>
      <w:r w:rsidR="00EF7350" w:rsidRPr="00A70D2F">
        <w:lastRenderedPageBreak/>
        <w:t>4 weeks after start of treatment cycle, delay the next cycle if absolute neutrophil count (ANC) is less than 1,000/µL and platelets are less than 50,000/µL in the absence of active disease. Monitor complete blood cell counts until ANC is 1,000/µL or greater and platelets are 50,000/µL or greater</w:t>
      </w:r>
      <w:r w:rsidR="00A70D2F">
        <w:t>.</w:t>
      </w:r>
    </w:p>
    <w:p w14:paraId="6A74FE0F" w14:textId="4918289F" w:rsidR="00EF7350" w:rsidRDefault="00EF7350" w:rsidP="005F4CCC">
      <w:pPr>
        <w:pStyle w:val="ListParagraph"/>
        <w:numPr>
          <w:ilvl w:val="0"/>
          <w:numId w:val="3"/>
        </w:numPr>
        <w:ind w:left="714" w:hanging="357"/>
      </w:pPr>
      <w:r w:rsidRPr="00A70D2F">
        <w:t xml:space="preserve">If hematologic recovery occurs (ANC at least 1,000/µL and platelets at least 50,000/µL) within 2 weeks </w:t>
      </w:r>
      <w:r w:rsidR="00E506C2">
        <w:t>from the delayed cycle</w:t>
      </w:r>
      <w:r w:rsidRPr="00A70D2F">
        <w:t xml:space="preserve">, continue INQOVI at the same dose. </w:t>
      </w:r>
    </w:p>
    <w:p w14:paraId="30C429A5" w14:textId="03B1E0E3" w:rsidR="005F4CCC" w:rsidRDefault="00EF7350" w:rsidP="005F4CCC">
      <w:pPr>
        <w:pStyle w:val="ListParagraph"/>
        <w:numPr>
          <w:ilvl w:val="0"/>
          <w:numId w:val="3"/>
        </w:numPr>
        <w:spacing w:after="120"/>
      </w:pPr>
      <w:r w:rsidRPr="00A70D2F">
        <w:t xml:space="preserve">If hematologic recovery does not occur (ANC at least 1,000/µL and platelets at least 50,000/µL) within 2 weeks </w:t>
      </w:r>
      <w:r w:rsidR="00E506C2">
        <w:t>from the delayed cycle</w:t>
      </w:r>
      <w:r w:rsidRPr="00A70D2F">
        <w:t>,</w:t>
      </w:r>
    </w:p>
    <w:p w14:paraId="26BF33A2" w14:textId="77777777" w:rsidR="00EF7350" w:rsidRPr="00A70D2F" w:rsidRDefault="00EF7350" w:rsidP="005F4CCC">
      <w:pPr>
        <w:pStyle w:val="ListParagraph"/>
        <w:numPr>
          <w:ilvl w:val="1"/>
          <w:numId w:val="10"/>
        </w:numPr>
        <w:spacing w:before="240" w:afterLines="40" w:after="96"/>
        <w:contextualSpacing/>
      </w:pPr>
      <w:r w:rsidRPr="00A70D2F">
        <w:t>Delay INQOVI for up to 2 additional weeks AND</w:t>
      </w:r>
    </w:p>
    <w:p w14:paraId="102C85C0" w14:textId="61386DBF" w:rsidR="00EF7350" w:rsidRPr="00A70D2F" w:rsidRDefault="00EF7350" w:rsidP="00EF7350">
      <w:pPr>
        <w:pStyle w:val="ListParagraph"/>
        <w:numPr>
          <w:ilvl w:val="1"/>
          <w:numId w:val="10"/>
        </w:numPr>
        <w:spacing w:beforeLines="40" w:before="96" w:afterLines="40" w:after="96"/>
        <w:contextualSpacing/>
      </w:pPr>
      <w:r w:rsidRPr="00A70D2F">
        <w:t xml:space="preserve">Resume at a reduced dose by administering INQOVI on Days 1 through 4. Consider further dose reductions in the order listed in Table 1 if myelosuppression persists after a dose reduction. Maintain or increase dose in subsequent cycles as clinically indicated. </w:t>
      </w:r>
    </w:p>
    <w:p w14:paraId="1713DD8F" w14:textId="15323B3F" w:rsidR="00EF7350" w:rsidRPr="00C7498A" w:rsidRDefault="00EF7350" w:rsidP="00EF7350">
      <w:pPr>
        <w:pStyle w:val="Heading3"/>
        <w:keepNext w:val="0"/>
        <w:spacing w:beforeLines="40" w:before="96" w:afterLines="40" w:after="96"/>
        <w:rPr>
          <w:rFonts w:ascii="Times New Roman" w:eastAsiaTheme="minorEastAsia" w:hAnsi="Times New Roman" w:cs="Times New Roman"/>
          <w:bCs/>
          <w:sz w:val="24"/>
          <w:szCs w:val="24"/>
          <w:lang w:eastAsia="ja-JP"/>
        </w:rPr>
      </w:pPr>
      <w:r w:rsidRPr="00C7498A">
        <w:rPr>
          <w:rFonts w:ascii="Times New Roman" w:eastAsiaTheme="minorEastAsia" w:hAnsi="Times New Roman" w:cs="Times New Roman"/>
          <w:bCs/>
          <w:sz w:val="24"/>
          <w:szCs w:val="24"/>
          <w:lang w:eastAsia="ja-JP"/>
        </w:rPr>
        <w:t>Table 1:</w:t>
      </w:r>
      <w:r w:rsidRPr="00C7498A">
        <w:rPr>
          <w:rFonts w:ascii="Times New Roman" w:eastAsiaTheme="minorEastAsia" w:hAnsi="Times New Roman" w:cs="Times New Roman"/>
          <w:bCs/>
          <w:sz w:val="24"/>
          <w:szCs w:val="24"/>
          <w:lang w:eastAsia="ja-JP"/>
        </w:rPr>
        <w:tab/>
        <w:t>Recommended INQOVI Dose Reductions for Myelosuppression</w:t>
      </w:r>
      <w:r w:rsidR="007B5F75" w:rsidRPr="00C7498A">
        <w:rPr>
          <w:rFonts w:ascii="Times New Roman" w:eastAsiaTheme="minorEastAsia" w:hAnsi="Times New Roman" w:cs="Times New Roman"/>
          <w:bCs/>
          <w:sz w:val="24"/>
          <w:szCs w:val="24"/>
          <w:lang w:eastAsia="ja-JP"/>
        </w:rPr>
        <w:t xml:space="preserve"> </w:t>
      </w:r>
    </w:p>
    <w:tbl>
      <w:tblPr>
        <w:tblStyle w:val="TableGrid"/>
        <w:tblW w:w="0" w:type="auto"/>
        <w:tblLayout w:type="fixed"/>
        <w:tblLook w:val="04A0" w:firstRow="1" w:lastRow="0" w:firstColumn="1" w:lastColumn="0" w:noHBand="0" w:noVBand="1"/>
      </w:tblPr>
      <w:tblGrid>
        <w:gridCol w:w="2134"/>
        <w:gridCol w:w="5232"/>
      </w:tblGrid>
      <w:tr w:rsidR="00EF7350" w:rsidRPr="00A70D2F" w14:paraId="7844531E" w14:textId="77777777" w:rsidTr="00A97FD5">
        <w:trPr>
          <w:trHeight w:val="427"/>
          <w:tblHeader/>
        </w:trPr>
        <w:tc>
          <w:tcPr>
            <w:tcW w:w="2134" w:type="dxa"/>
            <w:tcBorders>
              <w:top w:val="single" w:sz="4" w:space="0" w:color="auto"/>
              <w:left w:val="single" w:sz="4" w:space="0" w:color="auto"/>
              <w:bottom w:val="single" w:sz="4" w:space="0" w:color="auto"/>
              <w:right w:val="single" w:sz="4" w:space="0" w:color="auto"/>
            </w:tcBorders>
            <w:hideMark/>
          </w:tcPr>
          <w:p w14:paraId="70278360" w14:textId="77777777" w:rsidR="00EF7350" w:rsidRPr="00A70D2F" w:rsidRDefault="00EF7350" w:rsidP="00A97FD5">
            <w:pPr>
              <w:spacing w:beforeLines="40" w:before="96" w:afterLines="40" w:after="96"/>
              <w:ind w:left="171"/>
            </w:pPr>
            <w:r w:rsidRPr="00A70D2F">
              <w:t>Dose Reduction</w:t>
            </w:r>
          </w:p>
        </w:tc>
        <w:tc>
          <w:tcPr>
            <w:tcW w:w="5232" w:type="dxa"/>
            <w:tcBorders>
              <w:top w:val="single" w:sz="4" w:space="0" w:color="auto"/>
              <w:left w:val="single" w:sz="4" w:space="0" w:color="auto"/>
              <w:bottom w:val="single" w:sz="4" w:space="0" w:color="auto"/>
              <w:right w:val="single" w:sz="4" w:space="0" w:color="auto"/>
            </w:tcBorders>
            <w:hideMark/>
          </w:tcPr>
          <w:p w14:paraId="36E7DE34" w14:textId="77777777" w:rsidR="00EF7350" w:rsidRPr="00A70D2F" w:rsidRDefault="00EF7350" w:rsidP="00704645">
            <w:pPr>
              <w:spacing w:beforeLines="40" w:before="96" w:afterLines="40" w:after="96"/>
              <w:ind w:left="360"/>
            </w:pPr>
            <w:r w:rsidRPr="00A70D2F">
              <w:t xml:space="preserve">Dosage </w:t>
            </w:r>
          </w:p>
        </w:tc>
      </w:tr>
      <w:tr w:rsidR="00EF7350" w:rsidRPr="00A70D2F" w14:paraId="576E9FC7" w14:textId="77777777" w:rsidTr="00DF1643">
        <w:trPr>
          <w:trHeight w:val="412"/>
        </w:trPr>
        <w:tc>
          <w:tcPr>
            <w:tcW w:w="2134" w:type="dxa"/>
            <w:tcBorders>
              <w:top w:val="single" w:sz="4" w:space="0" w:color="auto"/>
              <w:left w:val="single" w:sz="4" w:space="0" w:color="auto"/>
              <w:bottom w:val="single" w:sz="4" w:space="0" w:color="auto"/>
              <w:right w:val="single" w:sz="4" w:space="0" w:color="auto"/>
            </w:tcBorders>
            <w:hideMark/>
          </w:tcPr>
          <w:p w14:paraId="7035AB1E" w14:textId="77777777" w:rsidR="00EF7350" w:rsidRPr="00A70D2F" w:rsidRDefault="00EF7350" w:rsidP="00A97FD5">
            <w:pPr>
              <w:spacing w:beforeLines="40" w:before="96" w:afterLines="40" w:after="96"/>
              <w:ind w:left="171"/>
            </w:pPr>
            <w:r w:rsidRPr="00A70D2F">
              <w:t xml:space="preserve">First </w:t>
            </w:r>
          </w:p>
        </w:tc>
        <w:tc>
          <w:tcPr>
            <w:tcW w:w="5232" w:type="dxa"/>
            <w:tcBorders>
              <w:top w:val="single" w:sz="4" w:space="0" w:color="auto"/>
              <w:left w:val="single" w:sz="4" w:space="0" w:color="auto"/>
              <w:bottom w:val="single" w:sz="4" w:space="0" w:color="auto"/>
              <w:right w:val="single" w:sz="4" w:space="0" w:color="auto"/>
            </w:tcBorders>
            <w:hideMark/>
          </w:tcPr>
          <w:p w14:paraId="55F29C9A" w14:textId="77777777" w:rsidR="00EF7350" w:rsidRPr="00A70D2F" w:rsidRDefault="00EF7350" w:rsidP="00704645">
            <w:pPr>
              <w:spacing w:beforeLines="40" w:before="96" w:afterLines="40" w:after="96"/>
              <w:ind w:left="360"/>
            </w:pPr>
            <w:r w:rsidRPr="00A70D2F">
              <w:t xml:space="preserve">1 tablet orally once daily on Days 1 through 4 </w:t>
            </w:r>
          </w:p>
        </w:tc>
      </w:tr>
      <w:tr w:rsidR="00EF7350" w:rsidRPr="00A70D2F" w14:paraId="27FF54C0" w14:textId="77777777" w:rsidTr="00DF1643">
        <w:trPr>
          <w:trHeight w:val="427"/>
        </w:trPr>
        <w:tc>
          <w:tcPr>
            <w:tcW w:w="2134" w:type="dxa"/>
            <w:tcBorders>
              <w:top w:val="single" w:sz="4" w:space="0" w:color="auto"/>
              <w:left w:val="single" w:sz="4" w:space="0" w:color="auto"/>
              <w:bottom w:val="single" w:sz="4" w:space="0" w:color="auto"/>
              <w:right w:val="single" w:sz="4" w:space="0" w:color="auto"/>
            </w:tcBorders>
            <w:hideMark/>
          </w:tcPr>
          <w:p w14:paraId="49F47B58" w14:textId="77777777" w:rsidR="00EF7350" w:rsidRPr="00A70D2F" w:rsidRDefault="00EF7350" w:rsidP="00A97FD5">
            <w:pPr>
              <w:spacing w:beforeLines="40" w:before="96" w:afterLines="40" w:after="96"/>
              <w:ind w:left="171"/>
            </w:pPr>
            <w:r w:rsidRPr="00A70D2F">
              <w:t>Second</w:t>
            </w:r>
          </w:p>
        </w:tc>
        <w:tc>
          <w:tcPr>
            <w:tcW w:w="5232" w:type="dxa"/>
            <w:tcBorders>
              <w:top w:val="single" w:sz="4" w:space="0" w:color="auto"/>
              <w:left w:val="single" w:sz="4" w:space="0" w:color="auto"/>
              <w:bottom w:val="single" w:sz="4" w:space="0" w:color="auto"/>
              <w:right w:val="single" w:sz="4" w:space="0" w:color="auto"/>
            </w:tcBorders>
            <w:hideMark/>
          </w:tcPr>
          <w:p w14:paraId="432CC7F2" w14:textId="77777777" w:rsidR="00EF7350" w:rsidRPr="00A70D2F" w:rsidRDefault="00EF7350" w:rsidP="00704645">
            <w:pPr>
              <w:spacing w:beforeLines="40" w:before="96" w:afterLines="40" w:after="96"/>
              <w:ind w:left="360"/>
            </w:pPr>
            <w:r w:rsidRPr="00A70D2F">
              <w:t>1 tablet orally once daily on Days 1 through 3</w:t>
            </w:r>
          </w:p>
        </w:tc>
      </w:tr>
      <w:tr w:rsidR="00EF7350" w:rsidRPr="00A70D2F" w14:paraId="1A7C693C" w14:textId="77777777" w:rsidTr="00DF1643">
        <w:trPr>
          <w:trHeight w:val="427"/>
        </w:trPr>
        <w:tc>
          <w:tcPr>
            <w:tcW w:w="2134" w:type="dxa"/>
            <w:tcBorders>
              <w:top w:val="single" w:sz="4" w:space="0" w:color="auto"/>
              <w:left w:val="single" w:sz="4" w:space="0" w:color="auto"/>
              <w:bottom w:val="single" w:sz="4" w:space="0" w:color="auto"/>
              <w:right w:val="single" w:sz="4" w:space="0" w:color="auto"/>
            </w:tcBorders>
            <w:hideMark/>
          </w:tcPr>
          <w:p w14:paraId="09630852" w14:textId="77777777" w:rsidR="00EF7350" w:rsidRPr="00A70D2F" w:rsidRDefault="00EF7350" w:rsidP="00A97FD5">
            <w:pPr>
              <w:spacing w:beforeLines="40" w:before="96" w:afterLines="40" w:after="96"/>
              <w:ind w:left="171"/>
            </w:pPr>
            <w:r w:rsidRPr="00A70D2F">
              <w:t>Third</w:t>
            </w:r>
          </w:p>
        </w:tc>
        <w:tc>
          <w:tcPr>
            <w:tcW w:w="5232" w:type="dxa"/>
            <w:tcBorders>
              <w:top w:val="single" w:sz="4" w:space="0" w:color="auto"/>
              <w:left w:val="single" w:sz="4" w:space="0" w:color="auto"/>
              <w:bottom w:val="single" w:sz="4" w:space="0" w:color="auto"/>
              <w:right w:val="single" w:sz="4" w:space="0" w:color="auto"/>
            </w:tcBorders>
            <w:hideMark/>
          </w:tcPr>
          <w:p w14:paraId="3742D89A" w14:textId="77777777" w:rsidR="00EF7350" w:rsidRPr="00A70D2F" w:rsidRDefault="00EF7350" w:rsidP="00704645">
            <w:pPr>
              <w:spacing w:beforeLines="40" w:before="96" w:afterLines="40" w:after="96"/>
              <w:ind w:left="360"/>
            </w:pPr>
            <w:r w:rsidRPr="00A70D2F">
              <w:t>1 tablet orally once daily on Days 1, 3 and 5</w:t>
            </w:r>
          </w:p>
        </w:tc>
      </w:tr>
    </w:tbl>
    <w:p w14:paraId="37D6A89F" w14:textId="0583EF52" w:rsidR="00974228" w:rsidRPr="00703488" w:rsidRDefault="00974228" w:rsidP="004D3A7C">
      <w:r w:rsidRPr="00703488">
        <w:t>Manage persistent severe neutropenia and febrile neutropenia with supportive treatment such as growth factors and anti-infective therapy, including anti-</w:t>
      </w:r>
      <w:proofErr w:type="spellStart"/>
      <w:r w:rsidRPr="00703488">
        <w:t>fungals</w:t>
      </w:r>
      <w:proofErr w:type="spellEnd"/>
      <w:r w:rsidRPr="00703488">
        <w:t xml:space="preserve"> </w:t>
      </w:r>
      <w:r w:rsidR="00AE1DA8" w:rsidRPr="00703488">
        <w:t xml:space="preserve">(see </w:t>
      </w:r>
      <w:r w:rsidR="00661664">
        <w:t xml:space="preserve">Section </w:t>
      </w:r>
      <w:r w:rsidR="00A82A95">
        <w:t xml:space="preserve">4.4 </w:t>
      </w:r>
      <w:r w:rsidR="00A82A95" w:rsidRPr="00A82A95">
        <w:t>Special warnings and precautions for use</w:t>
      </w:r>
      <w:r w:rsidR="00AE1DA8" w:rsidRPr="00703488">
        <w:t>)</w:t>
      </w:r>
      <w:r w:rsidRPr="00703488">
        <w:rPr>
          <w:i/>
        </w:rPr>
        <w:t>.</w:t>
      </w:r>
      <w:r w:rsidR="002D2E9D">
        <w:rPr>
          <w:rStyle w:val="CommentReference"/>
          <w:rFonts w:ascii="Cambria" w:hAnsi="Cambria"/>
        </w:rPr>
        <w:t xml:space="preserve"> </w:t>
      </w:r>
    </w:p>
    <w:p w14:paraId="410FB84C" w14:textId="412A497F" w:rsidR="00974228" w:rsidRPr="00703488" w:rsidRDefault="00974228" w:rsidP="004D3A7C">
      <w:pPr>
        <w:pStyle w:val="Heading4"/>
      </w:pPr>
      <w:r w:rsidRPr="00703488">
        <w:t>Non-</w:t>
      </w:r>
      <w:proofErr w:type="spellStart"/>
      <w:r w:rsidR="004D3A7C">
        <w:t>h</w:t>
      </w:r>
      <w:r w:rsidR="00BD23C4">
        <w:t>a</w:t>
      </w:r>
      <w:r w:rsidRPr="00703488">
        <w:t>ematologic</w:t>
      </w:r>
      <w:proofErr w:type="spellEnd"/>
      <w:r w:rsidRPr="00703488">
        <w:t xml:space="preserve"> </w:t>
      </w:r>
      <w:r w:rsidR="004D3A7C">
        <w:t>t</w:t>
      </w:r>
      <w:r w:rsidR="004D3A7C" w:rsidRPr="00703488">
        <w:t xml:space="preserve">oxicity </w:t>
      </w:r>
    </w:p>
    <w:p w14:paraId="131E21F7" w14:textId="368329B6" w:rsidR="00974228" w:rsidRPr="00703488" w:rsidRDefault="00974228" w:rsidP="004D3A7C">
      <w:r w:rsidRPr="00703488">
        <w:t xml:space="preserve">Delay subsequent </w:t>
      </w:r>
      <w:r w:rsidR="00C30787">
        <w:t xml:space="preserve">INQOVI </w:t>
      </w:r>
      <w:r w:rsidR="00D37CDA">
        <w:t>35</w:t>
      </w:r>
      <w:r w:rsidR="00C30787">
        <w:t>/</w:t>
      </w:r>
      <w:r w:rsidR="00D37CDA">
        <w:t>100</w:t>
      </w:r>
      <w:r w:rsidRPr="00703488">
        <w:t xml:space="preserve"> cycles for any of the following non-</w:t>
      </w:r>
      <w:proofErr w:type="spellStart"/>
      <w:r w:rsidRPr="00703488">
        <w:t>h</w:t>
      </w:r>
      <w:r w:rsidR="00BD23C4">
        <w:t>a</w:t>
      </w:r>
      <w:r w:rsidRPr="00703488">
        <w:t>ematologic</w:t>
      </w:r>
      <w:proofErr w:type="spellEnd"/>
      <w:r w:rsidRPr="00703488">
        <w:t xml:space="preserve"> toxicities, if not present prior to treatment, until toxicities resolve or an alternative cause for the toxicity is clearly established: </w:t>
      </w:r>
    </w:p>
    <w:p w14:paraId="0609B8DB" w14:textId="4E508331" w:rsidR="00974228" w:rsidRPr="00A82A95" w:rsidRDefault="00974228" w:rsidP="00A82A95">
      <w:pPr>
        <w:pStyle w:val="ListParagraph"/>
        <w:numPr>
          <w:ilvl w:val="0"/>
          <w:numId w:val="3"/>
        </w:numPr>
        <w:ind w:left="714" w:hanging="357"/>
      </w:pPr>
      <w:r w:rsidRPr="00A82A95">
        <w:t xml:space="preserve">Serum creatinine equal to or greater than </w:t>
      </w:r>
      <w:r w:rsidR="00124100">
        <w:t>0.</w:t>
      </w:r>
      <w:r w:rsidRPr="00A82A95">
        <w:t>2 mg/L</w:t>
      </w:r>
    </w:p>
    <w:p w14:paraId="3E055EE8" w14:textId="77777777" w:rsidR="00974228" w:rsidRPr="00A82A95" w:rsidRDefault="00974228" w:rsidP="00A82A95">
      <w:pPr>
        <w:pStyle w:val="ListParagraph"/>
        <w:numPr>
          <w:ilvl w:val="0"/>
          <w:numId w:val="3"/>
        </w:numPr>
        <w:ind w:left="714" w:hanging="357"/>
      </w:pPr>
      <w:r w:rsidRPr="00A82A95">
        <w:t xml:space="preserve">Serum bilirubin equal to or greater than 2 times upper limit of normal (ULN) </w:t>
      </w:r>
    </w:p>
    <w:p w14:paraId="6F16D0B5" w14:textId="02AB0DF6" w:rsidR="00974228" w:rsidRPr="00AE79EB" w:rsidRDefault="00974228" w:rsidP="00A82A95">
      <w:pPr>
        <w:pStyle w:val="ListParagraph"/>
        <w:numPr>
          <w:ilvl w:val="0"/>
          <w:numId w:val="3"/>
        </w:numPr>
        <w:ind w:left="714" w:hanging="357"/>
        <w:rPr>
          <w:rStyle w:val="CommentReference"/>
          <w:sz w:val="24"/>
          <w:szCs w:val="24"/>
        </w:rPr>
      </w:pPr>
      <w:r w:rsidRPr="00A82A95">
        <w:t>Aspartate aminotransferase (AST) or Alanine aminotransferase (ALT) equal to or greater than 2 times ULN</w:t>
      </w:r>
      <w:r w:rsidR="00A82A95">
        <w:t>.</w:t>
      </w:r>
      <w:r w:rsidR="002D2E9D">
        <w:rPr>
          <w:rStyle w:val="CommentReference"/>
          <w:rFonts w:ascii="Cambria" w:hAnsi="Cambria"/>
        </w:rPr>
        <w:t xml:space="preserve"> </w:t>
      </w:r>
    </w:p>
    <w:p w14:paraId="7743390E" w14:textId="7987F524" w:rsidR="00AE79EB" w:rsidRPr="00A82A95" w:rsidRDefault="00AE79EB" w:rsidP="00A82A95">
      <w:pPr>
        <w:pStyle w:val="ListParagraph"/>
        <w:numPr>
          <w:ilvl w:val="0"/>
          <w:numId w:val="3"/>
        </w:numPr>
        <w:ind w:left="714" w:hanging="357"/>
      </w:pPr>
      <w:r>
        <w:t>Active or uncontrolled infection</w:t>
      </w:r>
    </w:p>
    <w:p w14:paraId="7F4EA330" w14:textId="1C2D1996" w:rsidR="001A3992" w:rsidRDefault="001A3992" w:rsidP="00A97FD5">
      <w:pPr>
        <w:pStyle w:val="Heading2"/>
        <w:pageBreakBefore/>
      </w:pPr>
      <w:r w:rsidRPr="00497C85">
        <w:t>Contraindications</w:t>
      </w:r>
    </w:p>
    <w:p w14:paraId="093B4F2F" w14:textId="60E3FCF0" w:rsidR="009C6771" w:rsidRPr="004E702A" w:rsidRDefault="009C6771" w:rsidP="009C6771">
      <w:bookmarkStart w:id="6" w:name="_Hlk47525569"/>
      <w:r w:rsidRPr="004E702A">
        <w:t>Pregnancy</w:t>
      </w:r>
      <w:r w:rsidR="004E702A">
        <w:t>.</w:t>
      </w:r>
    </w:p>
    <w:p w14:paraId="444026F5" w14:textId="0F8A36B1" w:rsidR="00AE1DA8" w:rsidRPr="00AE1DA8" w:rsidRDefault="003A0F33" w:rsidP="004D3A7C">
      <w:bookmarkStart w:id="7" w:name="_Hlk51313380"/>
      <w:bookmarkEnd w:id="6"/>
      <w:r>
        <w:t xml:space="preserve">Hypersensitivity to the active substances, </w:t>
      </w:r>
      <w:r w:rsidRPr="003A0F33">
        <w:t>decitabine</w:t>
      </w:r>
      <w:r w:rsidR="00D37CDA" w:rsidRPr="00D37CDA">
        <w:t xml:space="preserve"> or cedazuridine</w:t>
      </w:r>
      <w:r>
        <w:t xml:space="preserve">, or to any of the excipients listed in </w:t>
      </w:r>
      <w:r w:rsidRPr="003A0F33">
        <w:t>Section 6.1 List of excipients</w:t>
      </w:r>
      <w:r>
        <w:t>.</w:t>
      </w:r>
    </w:p>
    <w:p w14:paraId="06D7747B" w14:textId="77777777" w:rsidR="001A3992" w:rsidRPr="00497C85" w:rsidRDefault="00E74A56" w:rsidP="004D3A7C">
      <w:pPr>
        <w:pStyle w:val="Heading2"/>
      </w:pPr>
      <w:bookmarkStart w:id="8" w:name="_Ref26433258"/>
      <w:bookmarkEnd w:id="7"/>
      <w:r w:rsidRPr="00497C85">
        <w:t>Special warnings and p</w:t>
      </w:r>
      <w:r w:rsidR="001A3992" w:rsidRPr="00497C85">
        <w:t xml:space="preserve">recautions </w:t>
      </w:r>
      <w:r w:rsidRPr="00497C85">
        <w:t>for use</w:t>
      </w:r>
      <w:bookmarkEnd w:id="8"/>
    </w:p>
    <w:p w14:paraId="0DABAFBF" w14:textId="1709C69C" w:rsidR="005C0AE3" w:rsidRDefault="005C0AE3" w:rsidP="004D3A7C">
      <w:pPr>
        <w:pStyle w:val="Heading3"/>
      </w:pPr>
      <w:r w:rsidRPr="00343383">
        <w:t>Myelosuppression</w:t>
      </w:r>
      <w:r w:rsidRPr="00CF3CA1">
        <w:t xml:space="preserve"> </w:t>
      </w:r>
    </w:p>
    <w:p w14:paraId="232F0D27" w14:textId="752A415C" w:rsidR="004E702A" w:rsidRDefault="005C0AE3" w:rsidP="00DC7E97">
      <w:r w:rsidRPr="00703488">
        <w:t xml:space="preserve">Fatal and serious myelosuppression may occur </w:t>
      </w:r>
      <w:r w:rsidR="00E81063">
        <w:t>with</w:t>
      </w:r>
      <w:r w:rsidRPr="00703488">
        <w:t xml:space="preserve"> </w:t>
      </w:r>
      <w:r w:rsidR="00C30787" w:rsidRPr="00696DE4">
        <w:t xml:space="preserve">INQOVI </w:t>
      </w:r>
      <w:r w:rsidR="00D37CDA" w:rsidRPr="00696DE4">
        <w:t>35</w:t>
      </w:r>
      <w:r w:rsidR="00C30787" w:rsidRPr="00696DE4">
        <w:t>/</w:t>
      </w:r>
      <w:r w:rsidR="00D37CDA" w:rsidRPr="00696DE4">
        <w:t>100</w:t>
      </w:r>
      <w:r w:rsidRPr="00703488">
        <w:t>.</w:t>
      </w:r>
      <w:r w:rsidR="00881E61">
        <w:rPr>
          <w:rStyle w:val="CommentReference"/>
          <w:rFonts w:ascii="Cambria" w:hAnsi="Cambria"/>
        </w:rPr>
        <w:t xml:space="preserve"> </w:t>
      </w:r>
      <w:r w:rsidR="00DC7E97" w:rsidRPr="00DC7E97">
        <w:rPr>
          <w:color w:val="auto"/>
        </w:rPr>
        <w:t>Based on laboratory values, new or worsening t</w:t>
      </w:r>
      <w:r w:rsidRPr="00DC7E97">
        <w:rPr>
          <w:color w:val="auto"/>
        </w:rPr>
        <w:t xml:space="preserve">hrombocytopenia occurred in </w:t>
      </w:r>
      <w:r w:rsidR="00DC7E97">
        <w:rPr>
          <w:color w:val="auto"/>
        </w:rPr>
        <w:t>82</w:t>
      </w:r>
      <w:r w:rsidRPr="00DC7E97">
        <w:rPr>
          <w:color w:val="auto"/>
        </w:rPr>
        <w:t>% of pati</w:t>
      </w:r>
      <w:r w:rsidRPr="00703488">
        <w:t>ents</w:t>
      </w:r>
      <w:r w:rsidR="00DC7E97">
        <w:t>,</w:t>
      </w:r>
      <w:r w:rsidRPr="00703488">
        <w:t xml:space="preserve"> with Grade</w:t>
      </w:r>
      <w:r w:rsidR="00DC7E97">
        <w:t xml:space="preserve"> </w:t>
      </w:r>
      <w:r w:rsidRPr="00703488">
        <w:t>3</w:t>
      </w:r>
      <w:r w:rsidR="00DC7E97">
        <w:t xml:space="preserve"> or 4</w:t>
      </w:r>
      <w:r w:rsidRPr="00703488">
        <w:t xml:space="preserve"> occurring in </w:t>
      </w:r>
      <w:r w:rsidR="00DC7E97">
        <w:t>76</w:t>
      </w:r>
      <w:r w:rsidRPr="00703488">
        <w:t xml:space="preserve">%. Neutropenia occurred in </w:t>
      </w:r>
      <w:r w:rsidR="00DC7E97">
        <w:t>73</w:t>
      </w:r>
      <w:r w:rsidRPr="00703488">
        <w:t>% of patients</w:t>
      </w:r>
      <w:r w:rsidR="00DC7E97">
        <w:t>,</w:t>
      </w:r>
      <w:r w:rsidRPr="00703488">
        <w:t xml:space="preserve"> with Grade</w:t>
      </w:r>
      <w:r w:rsidR="00A82A95">
        <w:t> </w:t>
      </w:r>
      <w:r w:rsidRPr="00703488">
        <w:t xml:space="preserve">3 </w:t>
      </w:r>
      <w:r w:rsidR="00DC7E97">
        <w:t xml:space="preserve">or 4 </w:t>
      </w:r>
      <w:r w:rsidRPr="00703488">
        <w:t xml:space="preserve">occurring in </w:t>
      </w:r>
      <w:r w:rsidR="00DC7E97">
        <w:t>71</w:t>
      </w:r>
      <w:r w:rsidRPr="00703488">
        <w:t xml:space="preserve">%. </w:t>
      </w:r>
      <w:proofErr w:type="spellStart"/>
      <w:r w:rsidR="00E65905">
        <w:t>Anaemia</w:t>
      </w:r>
      <w:proofErr w:type="spellEnd"/>
      <w:r w:rsidRPr="00703488">
        <w:t xml:space="preserve"> occurred in </w:t>
      </w:r>
      <w:r w:rsidR="00DC7E97">
        <w:t>71</w:t>
      </w:r>
      <w:r w:rsidRPr="00703488">
        <w:t>% of patients</w:t>
      </w:r>
      <w:r w:rsidR="00DC7E97">
        <w:t>,</w:t>
      </w:r>
      <w:r w:rsidRPr="00703488">
        <w:t xml:space="preserve"> with Grade</w:t>
      </w:r>
      <w:r w:rsidR="00A82A95">
        <w:t> </w:t>
      </w:r>
      <w:r w:rsidRPr="00703488">
        <w:t>3</w:t>
      </w:r>
      <w:r w:rsidR="00DC7E97">
        <w:t xml:space="preserve"> or 4</w:t>
      </w:r>
      <w:r w:rsidRPr="00703488">
        <w:t xml:space="preserve"> occurring in </w:t>
      </w:r>
      <w:r w:rsidR="00DC7E97">
        <w:t>55</w:t>
      </w:r>
      <w:r w:rsidRPr="00703488">
        <w:t xml:space="preserve">%. Febrile neutropenia occurred in </w:t>
      </w:r>
      <w:r w:rsidR="00CB38CF">
        <w:t>33</w:t>
      </w:r>
      <w:r w:rsidRPr="00703488">
        <w:t>% of patients</w:t>
      </w:r>
      <w:r w:rsidR="00365866">
        <w:t>,</w:t>
      </w:r>
      <w:r w:rsidRPr="00703488">
        <w:t xml:space="preserve"> with Grade 3 </w:t>
      </w:r>
      <w:r w:rsidR="00365866">
        <w:t xml:space="preserve">or 4 </w:t>
      </w:r>
      <w:r w:rsidRPr="00703488">
        <w:t xml:space="preserve">occurring in </w:t>
      </w:r>
      <w:r w:rsidR="00CB38CF">
        <w:t>32</w:t>
      </w:r>
      <w:r w:rsidRPr="00703488">
        <w:t>%.</w:t>
      </w:r>
    </w:p>
    <w:p w14:paraId="78F8380F" w14:textId="711A5BC2" w:rsidR="00743B7D" w:rsidRDefault="002D2E9D" w:rsidP="00DC7E97">
      <w:r>
        <w:rPr>
          <w:rStyle w:val="CommentReference"/>
          <w:rFonts w:ascii="Cambria" w:hAnsi="Cambria"/>
        </w:rPr>
        <w:t xml:space="preserve"> </w:t>
      </w:r>
      <w:r w:rsidR="00743B7D" w:rsidRPr="00743B7D">
        <w:t xml:space="preserve">Myelosuppression (thrombocytopenia, neutropenia, anemia, and febrile neutropenia) is the most frequent cause of </w:t>
      </w:r>
      <w:r w:rsidR="00743B7D" w:rsidRPr="002528CD">
        <w:t xml:space="preserve">INQOVI </w:t>
      </w:r>
      <w:r w:rsidR="00881E61" w:rsidRPr="002528CD">
        <w:t xml:space="preserve">35/100 </w:t>
      </w:r>
      <w:r w:rsidR="00743B7D" w:rsidRPr="002528CD">
        <w:t>dose</w:t>
      </w:r>
      <w:r w:rsidR="00743B7D" w:rsidRPr="00743B7D">
        <w:t xml:space="preserve"> reduction or interruption, occurring in 36% of patients. Permanent discontinuation due to myelosuppression (febrile neutropenia) occurred in 1% of patients. </w:t>
      </w:r>
      <w:r w:rsidR="00743B7D" w:rsidRPr="00743B7D" w:rsidDel="00E85D8D">
        <w:t>Myelosuppression and worsening neutropenia may occur more frequently in the first or second treatment cycles and may not necessarily indicate progression of underlying MDS.</w:t>
      </w:r>
    </w:p>
    <w:p w14:paraId="5D4A7795" w14:textId="7FFFD48B" w:rsidR="005C0AE3" w:rsidRPr="00C735A6" w:rsidRDefault="005C0AE3" w:rsidP="00DC7E97">
      <w:pPr>
        <w:rPr>
          <w:rFonts w:eastAsia="Calibri"/>
        </w:rPr>
      </w:pPr>
      <w:r w:rsidRPr="00C735A6">
        <w:t xml:space="preserve">Fatal and serious infectious complications </w:t>
      </w:r>
      <w:r w:rsidR="002528CD">
        <w:t xml:space="preserve">may occur </w:t>
      </w:r>
      <w:r w:rsidR="00C735A6" w:rsidRPr="00C735A6">
        <w:t>with INQO</w:t>
      </w:r>
      <w:r w:rsidR="00C735A6" w:rsidRPr="002528CD">
        <w:t>VI 35/100.</w:t>
      </w:r>
      <w:r w:rsidR="00C735A6" w:rsidRPr="00C735A6">
        <w:t xml:space="preserve"> </w:t>
      </w:r>
      <w:bookmarkStart w:id="9" w:name="_Hlk20773076"/>
      <w:r w:rsidRPr="00C735A6">
        <w:t xml:space="preserve">Pneumonia occurred in </w:t>
      </w:r>
      <w:r w:rsidR="00CB38CF" w:rsidRPr="00C735A6">
        <w:t>21</w:t>
      </w:r>
      <w:r w:rsidRPr="00C735A6">
        <w:t>% of patients</w:t>
      </w:r>
      <w:r w:rsidR="00C735A6" w:rsidRPr="00C735A6">
        <w:t>,</w:t>
      </w:r>
      <w:r w:rsidRPr="00C735A6">
        <w:t xml:space="preserve"> with Grade 3 </w:t>
      </w:r>
      <w:r w:rsidR="00C735A6" w:rsidRPr="00C735A6">
        <w:t xml:space="preserve">or 4 </w:t>
      </w:r>
      <w:r w:rsidRPr="00C735A6">
        <w:t xml:space="preserve">occurring in </w:t>
      </w:r>
      <w:r w:rsidR="00CB38CF" w:rsidRPr="00C735A6">
        <w:t>15</w:t>
      </w:r>
      <w:r w:rsidRPr="00C735A6">
        <w:t xml:space="preserve">%. </w:t>
      </w:r>
      <w:bookmarkEnd w:id="9"/>
      <w:r w:rsidRPr="00C735A6">
        <w:t xml:space="preserve">Sepsis occurred in </w:t>
      </w:r>
      <w:r w:rsidR="00CB38CF" w:rsidRPr="00C735A6">
        <w:t>14</w:t>
      </w:r>
      <w:r w:rsidRPr="00C735A6">
        <w:t>% of patients</w:t>
      </w:r>
      <w:r w:rsidR="00C735A6" w:rsidRPr="00C735A6">
        <w:t>,</w:t>
      </w:r>
      <w:r w:rsidRPr="00C735A6">
        <w:t xml:space="preserve"> with Grade 3</w:t>
      </w:r>
      <w:r w:rsidR="00C735A6" w:rsidRPr="00C735A6">
        <w:t xml:space="preserve"> or 4</w:t>
      </w:r>
      <w:r w:rsidRPr="00C735A6">
        <w:t xml:space="preserve"> occurring in </w:t>
      </w:r>
      <w:r w:rsidR="00CB38CF" w:rsidRPr="00C735A6">
        <w:t>11</w:t>
      </w:r>
      <w:r w:rsidRPr="00C735A6">
        <w:t>%</w:t>
      </w:r>
      <w:r w:rsidR="00C735A6" w:rsidRPr="00C735A6">
        <w:t xml:space="preserve">. </w:t>
      </w:r>
      <w:r w:rsidR="00C735A6" w:rsidRPr="00C735A6">
        <w:rPr>
          <w:rFonts w:eastAsiaTheme="minorHAnsi"/>
        </w:rPr>
        <w:t xml:space="preserve">Fatal pneumonia occurred in 1% of patients, fatal sepsis in 1%, and fatal septic shock in 1% </w:t>
      </w:r>
      <w:r w:rsidR="00661664" w:rsidRPr="00C735A6">
        <w:t xml:space="preserve">(see Section </w:t>
      </w:r>
      <w:r w:rsidR="00A82A95" w:rsidRPr="00C735A6">
        <w:t>4.8 Adverse effects (undesirable effects)</w:t>
      </w:r>
      <w:r w:rsidR="00661664" w:rsidRPr="00C735A6">
        <w:t>)</w:t>
      </w:r>
      <w:r w:rsidR="00AE1DA8" w:rsidRPr="00C735A6">
        <w:t>.</w:t>
      </w:r>
      <w:r w:rsidR="002D2E9D" w:rsidRPr="00C735A6">
        <w:rPr>
          <w:rStyle w:val="CommentReference"/>
          <w:sz w:val="24"/>
          <w:szCs w:val="24"/>
        </w:rPr>
        <w:t xml:space="preserve"> </w:t>
      </w:r>
      <w:r w:rsidRPr="00C735A6">
        <w:rPr>
          <w:rFonts w:eastAsia="Calibri"/>
          <w:color w:val="0000FF"/>
        </w:rPr>
        <w:t xml:space="preserve"> </w:t>
      </w:r>
    </w:p>
    <w:p w14:paraId="0CDA7CC1" w14:textId="56575A5B" w:rsidR="005C0AE3" w:rsidRDefault="005C0AE3" w:rsidP="00A82A95">
      <w:pPr>
        <w:pStyle w:val="ListParagraph"/>
        <w:ind w:left="0"/>
        <w:rPr>
          <w:rStyle w:val="CommentReference"/>
          <w:rFonts w:ascii="Cambria" w:hAnsi="Cambria"/>
        </w:rPr>
      </w:pPr>
      <w:r w:rsidRPr="00A82A95">
        <w:t xml:space="preserve">Obtain complete blood cell counts prior to initiation of </w:t>
      </w:r>
      <w:r w:rsidR="00C30787">
        <w:t xml:space="preserve">INQOVI </w:t>
      </w:r>
      <w:r w:rsidR="004B000B">
        <w:t>35</w:t>
      </w:r>
      <w:r w:rsidR="00C30787">
        <w:t>/</w:t>
      </w:r>
      <w:r w:rsidR="004B000B">
        <w:t>100</w:t>
      </w:r>
      <w:r w:rsidR="00C735A6">
        <w:t>,</w:t>
      </w:r>
      <w:r w:rsidRPr="00A82A95">
        <w:t xml:space="preserve"> and prior to each cycle</w:t>
      </w:r>
      <w:r w:rsidR="00C735A6">
        <w:t>, and as clinically indicated</w:t>
      </w:r>
      <w:r w:rsidRPr="00A82A95">
        <w:t xml:space="preserve"> to monitor response and toxicity. </w:t>
      </w:r>
      <w:r w:rsidR="00C735A6">
        <w:t xml:space="preserve">Administer </w:t>
      </w:r>
      <w:r w:rsidRPr="00A82A95">
        <w:t>growth factors and anti</w:t>
      </w:r>
      <w:r w:rsidRPr="00A82A95">
        <w:noBreakHyphen/>
        <w:t xml:space="preserve">infective therapies for treatment or prophylaxis as </w:t>
      </w:r>
      <w:r w:rsidR="00C735A6">
        <w:t>appropriate.</w:t>
      </w:r>
      <w:r w:rsidR="00C735A6" w:rsidRPr="00A82A95">
        <w:t xml:space="preserve"> </w:t>
      </w:r>
      <w:r w:rsidR="00C735A6" w:rsidRPr="00C74382">
        <w:rPr>
          <w:rFonts w:eastAsia="Calibri"/>
        </w:rPr>
        <w:t>Delay the next cycle and resume at the same or reduced dose as recommended</w:t>
      </w:r>
      <w:r w:rsidR="00C735A6" w:rsidRPr="00A82A95" w:rsidDel="00C735A6">
        <w:t xml:space="preserve"> </w:t>
      </w:r>
      <w:r w:rsidR="00661664" w:rsidRPr="00A82A95">
        <w:t xml:space="preserve">(see Section </w:t>
      </w:r>
      <w:r w:rsidR="00A82A95" w:rsidRPr="00A82A95">
        <w:t>4.2 Dose and method of administration</w:t>
      </w:r>
      <w:r w:rsidR="00A82A95">
        <w:t xml:space="preserve">, </w:t>
      </w:r>
      <w:proofErr w:type="spellStart"/>
      <w:r w:rsidR="00A82A95">
        <w:t>H</w:t>
      </w:r>
      <w:r w:rsidR="00BD23C4">
        <w:t>a</w:t>
      </w:r>
      <w:r w:rsidR="00A82A95">
        <w:t>ematological</w:t>
      </w:r>
      <w:proofErr w:type="spellEnd"/>
      <w:r w:rsidR="00A82A95">
        <w:t xml:space="preserve"> toxicity</w:t>
      </w:r>
      <w:r w:rsidR="00661664" w:rsidRPr="00A82A95">
        <w:t>)</w:t>
      </w:r>
      <w:r w:rsidRPr="00A82A95">
        <w:t xml:space="preserve">. </w:t>
      </w:r>
    </w:p>
    <w:p w14:paraId="4BDFA9F7" w14:textId="7E788A56" w:rsidR="00040865" w:rsidRPr="00FA00E5" w:rsidRDefault="00040865" w:rsidP="00FA00E5">
      <w:pPr>
        <w:pStyle w:val="Heading3"/>
      </w:pPr>
      <w:bookmarkStart w:id="10" w:name="_Hlk47522473"/>
      <w:proofErr w:type="spellStart"/>
      <w:r w:rsidRPr="00FA00E5">
        <w:t>Haemorrhage</w:t>
      </w:r>
      <w:proofErr w:type="spellEnd"/>
      <w:r w:rsidRPr="00FA00E5">
        <w:t xml:space="preserve"> </w:t>
      </w:r>
    </w:p>
    <w:p w14:paraId="6CAFE876" w14:textId="703236FD" w:rsidR="00040865" w:rsidRPr="00040865" w:rsidRDefault="00040865" w:rsidP="00040865">
      <w:pPr>
        <w:pStyle w:val="ListParagraph"/>
        <w:ind w:left="0"/>
      </w:pPr>
      <w:r w:rsidRPr="00040865">
        <w:rPr>
          <w:rFonts w:eastAsiaTheme="minorHAnsi"/>
          <w:lang w:val="en-AU"/>
        </w:rPr>
        <w:t xml:space="preserve">Serious bleeding-related treatment-emergent adverse events (TEAEs) have been reported with </w:t>
      </w:r>
      <w:r>
        <w:rPr>
          <w:rFonts w:eastAsiaTheme="minorHAnsi"/>
          <w:lang w:val="en-AU"/>
        </w:rPr>
        <w:t>INQOVI 35/100</w:t>
      </w:r>
      <w:r w:rsidRPr="00040865">
        <w:rPr>
          <w:rFonts w:eastAsiaTheme="minorHAnsi"/>
          <w:lang w:val="en-AU"/>
        </w:rPr>
        <w:t xml:space="preserve"> due to severe thrombocytopenia. Gastrointestinal h</w:t>
      </w:r>
      <w:r>
        <w:rPr>
          <w:rFonts w:eastAsiaTheme="minorHAnsi"/>
          <w:lang w:val="en-AU"/>
        </w:rPr>
        <w:t>a</w:t>
      </w:r>
      <w:r w:rsidRPr="00040865">
        <w:rPr>
          <w:rFonts w:eastAsiaTheme="minorHAnsi"/>
          <w:lang w:val="en-AU"/>
        </w:rPr>
        <w:t>emorrhage was reported in 6.7% including Grade ≥ 3 in 2.4%. Intracranial h</w:t>
      </w:r>
      <w:r>
        <w:rPr>
          <w:rFonts w:eastAsiaTheme="minorHAnsi"/>
          <w:lang w:val="en-AU"/>
        </w:rPr>
        <w:t>a</w:t>
      </w:r>
      <w:r w:rsidRPr="00040865">
        <w:rPr>
          <w:rFonts w:eastAsiaTheme="minorHAnsi"/>
          <w:lang w:val="en-AU"/>
        </w:rPr>
        <w:t xml:space="preserve">emorrhage was reported in 1.9% including Grade ≥ 3 in 1.4%. Monitor patients receiving </w:t>
      </w:r>
      <w:r>
        <w:rPr>
          <w:rFonts w:eastAsiaTheme="minorHAnsi"/>
          <w:lang w:val="en-AU"/>
        </w:rPr>
        <w:t>INQOVI 35/100</w:t>
      </w:r>
      <w:r w:rsidRPr="00040865">
        <w:rPr>
          <w:rFonts w:eastAsiaTheme="minorHAnsi"/>
          <w:lang w:val="en-AU"/>
        </w:rPr>
        <w:t xml:space="preserve"> closely for signs and symptoms of serious bleeding-related adverse reactions.</w:t>
      </w:r>
    </w:p>
    <w:bookmarkEnd w:id="10"/>
    <w:p w14:paraId="2AFF78C7" w14:textId="6E58E1F9" w:rsidR="005C0AE3" w:rsidRPr="005C0AE3" w:rsidRDefault="005C0AE3" w:rsidP="004D3A7C">
      <w:pPr>
        <w:pStyle w:val="Heading3"/>
      </w:pPr>
      <w:proofErr w:type="spellStart"/>
      <w:r w:rsidRPr="005C0AE3">
        <w:t>Embryo</w:t>
      </w:r>
      <w:r w:rsidR="00D8028C">
        <w:t>f</w:t>
      </w:r>
      <w:r w:rsidR="00B50995">
        <w:t>o</w:t>
      </w:r>
      <w:r w:rsidRPr="005C0AE3">
        <w:t>etal</w:t>
      </w:r>
      <w:proofErr w:type="spellEnd"/>
      <w:r w:rsidRPr="005C0AE3">
        <w:t xml:space="preserve"> </w:t>
      </w:r>
      <w:r w:rsidR="00D8028C">
        <w:t>t</w:t>
      </w:r>
      <w:r w:rsidRPr="005C0AE3">
        <w:t>oxicity</w:t>
      </w:r>
    </w:p>
    <w:p w14:paraId="25C945B5" w14:textId="04AFC3E6" w:rsidR="005C0AE3" w:rsidRPr="00703488" w:rsidRDefault="005C0AE3" w:rsidP="004D3A7C">
      <w:r w:rsidRPr="00703488">
        <w:t xml:space="preserve">Based on its mechanism of action and findings in animals, </w:t>
      </w:r>
      <w:r w:rsidR="00C30787">
        <w:t xml:space="preserve">INQOVI </w:t>
      </w:r>
      <w:r w:rsidR="004B000B">
        <w:t>35</w:t>
      </w:r>
      <w:r w:rsidR="00C30787">
        <w:t>/</w:t>
      </w:r>
      <w:r w:rsidR="004B000B">
        <w:t>100</w:t>
      </w:r>
      <w:r w:rsidRPr="00703488">
        <w:t xml:space="preserve"> can cause </w:t>
      </w:r>
      <w:proofErr w:type="spellStart"/>
      <w:r w:rsidRPr="00703488">
        <w:t>f</w:t>
      </w:r>
      <w:r w:rsidR="00B50995">
        <w:t>o</w:t>
      </w:r>
      <w:r w:rsidRPr="00703488">
        <w:t>etal</w:t>
      </w:r>
      <w:proofErr w:type="spellEnd"/>
      <w:r w:rsidRPr="00703488">
        <w:t xml:space="preserve"> harm when administered to a pregnant woman. Decitabine alters DNA synthesis and is expected to result in adverse reproductive effects</w:t>
      </w:r>
      <w:r w:rsidR="006225E7" w:rsidRPr="00703488">
        <w:t xml:space="preserve"> (see </w:t>
      </w:r>
      <w:r w:rsidR="00661664">
        <w:t xml:space="preserve">Section </w:t>
      </w:r>
      <w:r w:rsidR="00BE2C3F">
        <w:t>4.6 Fertility, pregnancy and lactation</w:t>
      </w:r>
      <w:r w:rsidR="006225E7" w:rsidRPr="00703488">
        <w:t>)</w:t>
      </w:r>
      <w:r w:rsidRPr="00703488">
        <w:rPr>
          <w:i/>
        </w:rPr>
        <w:t>.</w:t>
      </w:r>
      <w:r w:rsidRPr="00703488">
        <w:t xml:space="preserve"> In studies with decitabine in mice and rats, decitabine was teratogenic, </w:t>
      </w:r>
      <w:proofErr w:type="spellStart"/>
      <w:r w:rsidRPr="00703488">
        <w:t>f</w:t>
      </w:r>
      <w:r w:rsidR="00B50995">
        <w:t>o</w:t>
      </w:r>
      <w:r w:rsidRPr="00703488">
        <w:t>etotoxic</w:t>
      </w:r>
      <w:proofErr w:type="spellEnd"/>
      <w:r w:rsidRPr="00703488">
        <w:t xml:space="preserve">, and </w:t>
      </w:r>
      <w:proofErr w:type="spellStart"/>
      <w:r w:rsidRPr="00703488">
        <w:t>embryotoxic</w:t>
      </w:r>
      <w:proofErr w:type="spellEnd"/>
      <w:r w:rsidR="00374014">
        <w:t xml:space="preserve"> at doses less than the recommended human dose</w:t>
      </w:r>
      <w:r w:rsidRPr="00703488">
        <w:t>.</w:t>
      </w:r>
      <w:r w:rsidR="002D2E9D">
        <w:rPr>
          <w:rStyle w:val="CommentReference"/>
          <w:rFonts w:ascii="Cambria" w:hAnsi="Cambria"/>
        </w:rPr>
        <w:t xml:space="preserve"> </w:t>
      </w:r>
      <w:r w:rsidRPr="00703488">
        <w:rPr>
          <w:color w:val="0000FF"/>
        </w:rPr>
        <w:t xml:space="preserve"> </w:t>
      </w:r>
    </w:p>
    <w:p w14:paraId="3583FB4F" w14:textId="1F3B706D" w:rsidR="005C0AE3" w:rsidRPr="00BA103F" w:rsidRDefault="005C0AE3" w:rsidP="004D3A7C">
      <w:r w:rsidRPr="00703488">
        <w:t xml:space="preserve">If </w:t>
      </w:r>
      <w:r w:rsidR="00C30787">
        <w:t xml:space="preserve">INQOVI </w:t>
      </w:r>
      <w:r w:rsidR="004B000B">
        <w:t>35</w:t>
      </w:r>
      <w:r w:rsidR="00C30787">
        <w:t>/</w:t>
      </w:r>
      <w:r w:rsidR="004B000B">
        <w:t>100</w:t>
      </w:r>
      <w:r w:rsidRPr="00703488">
        <w:t xml:space="preserve"> is used during pregnancy, or if a patient becomes pregnant while receiving this drug, the patient should be apprised of the potential hazard to the f</w:t>
      </w:r>
      <w:r w:rsidR="00FF3DCD">
        <w:t>o</w:t>
      </w:r>
      <w:r w:rsidRPr="00703488">
        <w:t xml:space="preserve">etus. Advise women of childbearing potential to avoid becoming pregnant while taking </w:t>
      </w:r>
      <w:r w:rsidR="00C30787">
        <w:t xml:space="preserve">INQOVI </w:t>
      </w:r>
      <w:r w:rsidR="004B000B">
        <w:t>35</w:t>
      </w:r>
      <w:r w:rsidR="00C30787">
        <w:t>/</w:t>
      </w:r>
      <w:r w:rsidR="004B000B">
        <w:t>100</w:t>
      </w:r>
      <w:r w:rsidRPr="00703488">
        <w:t xml:space="preserve"> and for 6 months following the last dose. Advise men with female partners of childbearing potential to avoid fathering a child while receiving treatment with </w:t>
      </w:r>
      <w:r w:rsidR="00C30787">
        <w:t xml:space="preserve">INQOVI </w:t>
      </w:r>
      <w:r w:rsidR="00BD4315">
        <w:t>35</w:t>
      </w:r>
      <w:r w:rsidR="00C30787">
        <w:t>/</w:t>
      </w:r>
      <w:r w:rsidR="00BD4315">
        <w:t>100</w:t>
      </w:r>
      <w:r w:rsidRPr="00703488">
        <w:t>, and for 3 months following the last dose. Counsel patients of childbearing potential to use effective contraception during this time</w:t>
      </w:r>
      <w:r w:rsidR="006225E7" w:rsidRPr="00703488">
        <w:t xml:space="preserve"> (see</w:t>
      </w:r>
      <w:r w:rsidR="00661664" w:rsidRPr="00661664">
        <w:t xml:space="preserve"> </w:t>
      </w:r>
      <w:r w:rsidR="00661664">
        <w:t>Section</w:t>
      </w:r>
      <w:r w:rsidR="006225E7" w:rsidRPr="00703488">
        <w:t xml:space="preserve"> </w:t>
      </w:r>
      <w:r w:rsidR="00D8028C" w:rsidRPr="00D8028C">
        <w:t>4.6 Fertility, pregnancy and lactation</w:t>
      </w:r>
      <w:r w:rsidR="006225E7" w:rsidRPr="00703488">
        <w:t>)</w:t>
      </w:r>
      <w:r w:rsidRPr="00703488">
        <w:rPr>
          <w:i/>
        </w:rPr>
        <w:t>.</w:t>
      </w:r>
      <w:r w:rsidR="002D2E9D">
        <w:rPr>
          <w:rStyle w:val="CommentReference"/>
          <w:rFonts w:ascii="Cambria" w:hAnsi="Cambria"/>
        </w:rPr>
        <w:t xml:space="preserve"> </w:t>
      </w:r>
    </w:p>
    <w:p w14:paraId="036F9C63" w14:textId="514B1E34" w:rsidR="00BA103F" w:rsidRDefault="00E42D68" w:rsidP="00BA103F">
      <w:pPr>
        <w:pStyle w:val="Heading3"/>
      </w:pPr>
      <w:r w:rsidRPr="00E42D68">
        <w:t>Cardiovascular</w:t>
      </w:r>
    </w:p>
    <w:p w14:paraId="39E50683" w14:textId="3D130B24" w:rsidR="00CC2A95" w:rsidRDefault="00BA103F" w:rsidP="00CC2A95">
      <w:r w:rsidRPr="00BA103F">
        <w:t>Patients with a history of severe congestive heart failure or clinically unstable cardiac disease were excluded from clinical studies and therefore the safety and efficacy of INQOVI</w:t>
      </w:r>
      <w:r>
        <w:t xml:space="preserve"> </w:t>
      </w:r>
      <w:r w:rsidR="00BD4315">
        <w:t>35</w:t>
      </w:r>
      <w:r>
        <w:t>/</w:t>
      </w:r>
      <w:r w:rsidR="00BD4315">
        <w:t>100</w:t>
      </w:r>
      <w:r w:rsidRPr="00BA103F">
        <w:t xml:space="preserve"> in these patients has not been established. Patients with history of severe congestive heart failure or clinically unstable cardiac disease should be closely monitored.</w:t>
      </w:r>
    </w:p>
    <w:p w14:paraId="56D81E9B" w14:textId="6D3F2C89" w:rsidR="00693929" w:rsidRPr="00FA00E5" w:rsidRDefault="00693929" w:rsidP="00FA00E5">
      <w:pPr>
        <w:pStyle w:val="Heading3"/>
      </w:pPr>
      <w:r w:rsidRPr="00FA00E5">
        <w:t>Interstitial Lun</w:t>
      </w:r>
      <w:r w:rsidR="006C53E2" w:rsidRPr="00FA00E5">
        <w:t>g</w:t>
      </w:r>
      <w:r w:rsidRPr="00FA00E5">
        <w:t xml:space="preserve"> Disease</w:t>
      </w:r>
    </w:p>
    <w:p w14:paraId="221DD321" w14:textId="1FC3F076" w:rsidR="00693929" w:rsidRPr="00693929" w:rsidRDefault="00693929" w:rsidP="00CC2A95">
      <w:r w:rsidRPr="00693929">
        <w:t xml:space="preserve">Interstitial lung disease (ILD) (including pulmonary infiltrates, </w:t>
      </w:r>
      <w:proofErr w:type="spellStart"/>
      <w:r w:rsidRPr="00693929">
        <w:t>organising</w:t>
      </w:r>
      <w:proofErr w:type="spellEnd"/>
      <w:r w:rsidRPr="00693929">
        <w:t xml:space="preserve"> pneumonia and pulmonary fibrosis) without signs of infectious </w:t>
      </w:r>
      <w:proofErr w:type="spellStart"/>
      <w:r w:rsidR="00FF3DCD">
        <w:t>a</w:t>
      </w:r>
      <w:r w:rsidRPr="00693929">
        <w:t>etiology</w:t>
      </w:r>
      <w:proofErr w:type="spellEnd"/>
      <w:r w:rsidRPr="00693929">
        <w:t xml:space="preserve"> were reported in patients receiving intravenous decitabine. Assess patients with acute onset or unexplained worsening of pulmonary symptoms to exclude ILD. If ILD is confirmed, initiate appropriate treatment.</w:t>
      </w:r>
    </w:p>
    <w:p w14:paraId="130B043D" w14:textId="047E03CB" w:rsidR="001A3992" w:rsidRPr="00AE10EF" w:rsidRDefault="001A3992" w:rsidP="004D3A7C">
      <w:pPr>
        <w:pStyle w:val="Heading3"/>
      </w:pPr>
      <w:r w:rsidRPr="00AE10EF">
        <w:t xml:space="preserve">Use in hepatic impairment </w:t>
      </w:r>
    </w:p>
    <w:p w14:paraId="696DABC6" w14:textId="4E557BCD" w:rsidR="00AE10EF" w:rsidRPr="0096169C" w:rsidRDefault="00DD64DF" w:rsidP="002B5B51">
      <w:pPr>
        <w:spacing w:after="200" w:line="276" w:lineRule="auto"/>
      </w:pPr>
      <w:r w:rsidRPr="00DD64DF">
        <w:t xml:space="preserve">A population PK analysis indicated that mild hepatic impairment (total bilirubin &gt; ULN to ≤1.5 × ULN) does not have a clinically meaningful effect on the pharmacokinetics of decitabine or cedazuridine after dosing with </w:t>
      </w:r>
      <w:r w:rsidR="00693929" w:rsidRPr="00BA103F">
        <w:t>INQOVI</w:t>
      </w:r>
      <w:r w:rsidR="00693929">
        <w:t xml:space="preserve"> 35/100</w:t>
      </w:r>
      <w:r w:rsidRPr="00DD64DF">
        <w:t>. The effects of moderate and severe hepatic impairment (1.5 × ULN) on the pharmacokinetics of decitabine and cedazuridine are unknown.</w:t>
      </w:r>
      <w:r>
        <w:rPr>
          <w:sz w:val="22"/>
          <w:szCs w:val="22"/>
        </w:rPr>
        <w:t xml:space="preserve"> </w:t>
      </w:r>
      <w:r w:rsidR="00AE10EF" w:rsidRPr="00D8028C">
        <w:t>(see</w:t>
      </w:r>
      <w:r w:rsidR="00AE10EF" w:rsidRPr="002B5B51">
        <w:t xml:space="preserve"> </w:t>
      </w:r>
      <w:r w:rsidR="00661664" w:rsidRPr="002B5B51">
        <w:t xml:space="preserve">Section </w:t>
      </w:r>
      <w:r w:rsidR="00D8028C" w:rsidRPr="00D8028C">
        <w:t>5.2 Pharmacokinetic properties</w:t>
      </w:r>
      <w:r w:rsidR="00AE10EF" w:rsidRPr="00703488">
        <w:t>).</w:t>
      </w:r>
      <w:r w:rsidR="002D2E9D" w:rsidRPr="0096169C">
        <w:t xml:space="preserve"> </w:t>
      </w:r>
    </w:p>
    <w:p w14:paraId="28AE50BC" w14:textId="6A47F9BC" w:rsidR="001A3992" w:rsidRPr="00AE10EF" w:rsidRDefault="001A3992" w:rsidP="004D3A7C">
      <w:pPr>
        <w:pStyle w:val="Heading3"/>
      </w:pPr>
      <w:r w:rsidRPr="00AE10EF">
        <w:t>Use in renal impairment</w:t>
      </w:r>
    </w:p>
    <w:p w14:paraId="1FD3BF1C" w14:textId="5642CC2E" w:rsidR="00AE10EF" w:rsidRDefault="00AE10EF" w:rsidP="004D3A7C">
      <w:pPr>
        <w:rPr>
          <w:rStyle w:val="CommentReference"/>
          <w:rFonts w:ascii="Cambria" w:hAnsi="Cambria"/>
        </w:rPr>
      </w:pPr>
      <w:r w:rsidRPr="00703488">
        <w:t>No</w:t>
      </w:r>
      <w:r w:rsidRPr="00703488" w:rsidDel="00BC6ED7">
        <w:t xml:space="preserve"> </w:t>
      </w:r>
      <w:r w:rsidRPr="00703488">
        <w:t>modification to the starting dose is recommended in patients with mild or moderate renal impairment (creatinine clearance [</w:t>
      </w:r>
      <w:proofErr w:type="spellStart"/>
      <w:r w:rsidRPr="00703488">
        <w:t>CrCL</w:t>
      </w:r>
      <w:proofErr w:type="spellEnd"/>
      <w:r w:rsidRPr="00703488">
        <w:t>] of 20 to 59 mL/min/1.73</w:t>
      </w:r>
      <w:r w:rsidR="00D8028C">
        <w:t> </w:t>
      </w:r>
      <w:r w:rsidRPr="00703488">
        <w:t>m</w:t>
      </w:r>
      <w:r w:rsidRPr="00D8028C">
        <w:rPr>
          <w:vertAlign w:val="superscript"/>
        </w:rPr>
        <w:t>2</w:t>
      </w:r>
      <w:r w:rsidRPr="00703488">
        <w:t xml:space="preserve">). </w:t>
      </w:r>
      <w:r w:rsidR="00C30787">
        <w:t xml:space="preserve">INQOVI </w:t>
      </w:r>
      <w:r w:rsidR="00BD4315">
        <w:t>35</w:t>
      </w:r>
      <w:r w:rsidR="00C30787">
        <w:t>/</w:t>
      </w:r>
      <w:r w:rsidR="00BD4315">
        <w:t>100</w:t>
      </w:r>
      <w:r w:rsidRPr="00703488">
        <w:t xml:space="preserve"> has not been studied in patients with severe renal impairment (</w:t>
      </w:r>
      <w:proofErr w:type="spellStart"/>
      <w:r w:rsidRPr="00703488">
        <w:t>CrCL</w:t>
      </w:r>
      <w:proofErr w:type="spellEnd"/>
      <w:r w:rsidRPr="00703488">
        <w:t xml:space="preserve"> &lt; 20 mL/min/1.73</w:t>
      </w:r>
      <w:r w:rsidR="00D8028C">
        <w:t> </w:t>
      </w:r>
      <w:r w:rsidRPr="00703488">
        <w:t>m</w:t>
      </w:r>
      <w:r w:rsidRPr="00D8028C">
        <w:rPr>
          <w:vertAlign w:val="superscript"/>
        </w:rPr>
        <w:t>2</w:t>
      </w:r>
      <w:r w:rsidRPr="00703488">
        <w:t xml:space="preserve">) or end stage renal disease (see </w:t>
      </w:r>
      <w:r w:rsidR="00661664">
        <w:t xml:space="preserve">Section </w:t>
      </w:r>
      <w:r w:rsidR="00D8028C" w:rsidRPr="00D8028C">
        <w:t>5.2 Pharmacokinetic properties</w:t>
      </w:r>
      <w:r w:rsidR="00703488">
        <w:t>)</w:t>
      </w:r>
      <w:r w:rsidRPr="00703488">
        <w:t>.</w:t>
      </w:r>
      <w:r w:rsidR="002D2E9D">
        <w:rPr>
          <w:rStyle w:val="CommentReference"/>
          <w:rFonts w:ascii="Cambria" w:hAnsi="Cambria"/>
        </w:rPr>
        <w:t xml:space="preserve"> </w:t>
      </w:r>
    </w:p>
    <w:p w14:paraId="3AA4DB71" w14:textId="1E1D41C4" w:rsidR="00A9302A" w:rsidRPr="00A9302A" w:rsidRDefault="00A9302A" w:rsidP="004D3A7C">
      <w:r w:rsidRPr="00A9302A">
        <w:rPr>
          <w:rStyle w:val="CommentReference"/>
          <w:sz w:val="24"/>
          <w:szCs w:val="24"/>
        </w:rPr>
        <w:t xml:space="preserve">Due to the potential for increased adverse </w:t>
      </w:r>
      <w:r w:rsidR="00B401FE">
        <w:rPr>
          <w:rStyle w:val="CommentReference"/>
          <w:sz w:val="24"/>
          <w:szCs w:val="24"/>
        </w:rPr>
        <w:t>reactions</w:t>
      </w:r>
      <w:r w:rsidRPr="00A9302A">
        <w:rPr>
          <w:rStyle w:val="CommentReference"/>
          <w:sz w:val="24"/>
          <w:szCs w:val="24"/>
        </w:rPr>
        <w:t>, monitor patients with moderate renal impairment (</w:t>
      </w:r>
      <w:proofErr w:type="spellStart"/>
      <w:r w:rsidRPr="00A9302A">
        <w:rPr>
          <w:rStyle w:val="CommentReference"/>
          <w:sz w:val="24"/>
          <w:szCs w:val="24"/>
        </w:rPr>
        <w:t>CrCL</w:t>
      </w:r>
      <w:proofErr w:type="spellEnd"/>
      <w:r w:rsidRPr="00A9302A">
        <w:rPr>
          <w:rStyle w:val="CommentReference"/>
          <w:sz w:val="24"/>
          <w:szCs w:val="24"/>
        </w:rPr>
        <w:t xml:space="preserve"> </w:t>
      </w:r>
      <w:r w:rsidR="00E506C2">
        <w:rPr>
          <w:rStyle w:val="CommentReference"/>
          <w:sz w:val="24"/>
          <w:szCs w:val="24"/>
        </w:rPr>
        <w:t xml:space="preserve">20 to 39 </w:t>
      </w:r>
      <w:r w:rsidRPr="00A9302A">
        <w:rPr>
          <w:rStyle w:val="CommentReference"/>
          <w:sz w:val="24"/>
          <w:szCs w:val="24"/>
        </w:rPr>
        <w:t>mL/min/1.73m</w:t>
      </w:r>
      <w:r w:rsidRPr="00A9302A">
        <w:rPr>
          <w:rStyle w:val="CommentReference"/>
          <w:sz w:val="24"/>
          <w:szCs w:val="24"/>
          <w:vertAlign w:val="superscript"/>
        </w:rPr>
        <w:t>2</w:t>
      </w:r>
      <w:r w:rsidRPr="00A9302A">
        <w:rPr>
          <w:rStyle w:val="CommentReference"/>
          <w:sz w:val="24"/>
          <w:szCs w:val="24"/>
        </w:rPr>
        <w:t>).</w:t>
      </w:r>
    </w:p>
    <w:p w14:paraId="425BF518" w14:textId="79D8CFA8" w:rsidR="001A3992" w:rsidRDefault="001A3992" w:rsidP="004D3A7C">
      <w:pPr>
        <w:pStyle w:val="Heading3"/>
      </w:pPr>
      <w:r w:rsidRPr="00AE10EF">
        <w:t>Use in the elderly</w:t>
      </w:r>
    </w:p>
    <w:p w14:paraId="5E23A597" w14:textId="1D4873A4" w:rsidR="00AE10EF" w:rsidRPr="00343383" w:rsidRDefault="00AE10EF" w:rsidP="004D3A7C">
      <w:pPr>
        <w:rPr>
          <w:sz w:val="22"/>
          <w:szCs w:val="22"/>
        </w:rPr>
      </w:pPr>
      <w:r w:rsidRPr="00703488">
        <w:t xml:space="preserve">Of the 208 patients treated with </w:t>
      </w:r>
      <w:r w:rsidR="00C30787">
        <w:t xml:space="preserve">INQOVI </w:t>
      </w:r>
      <w:r w:rsidR="00BD4315">
        <w:t>35</w:t>
      </w:r>
      <w:r w:rsidR="00C30787">
        <w:t>/</w:t>
      </w:r>
      <w:r w:rsidR="00BD4315">
        <w:t>100</w:t>
      </w:r>
      <w:r w:rsidRPr="00703488">
        <w:t xml:space="preserve">, 75% were age 65 </w:t>
      </w:r>
      <w:r w:rsidR="00D8135B">
        <w:t xml:space="preserve">years </w:t>
      </w:r>
      <w:r w:rsidRPr="00703488">
        <w:t xml:space="preserve">and over, while 36% were age 75 </w:t>
      </w:r>
      <w:r w:rsidR="00D8135B">
        <w:t xml:space="preserve">years </w:t>
      </w:r>
      <w:r w:rsidRPr="00703488">
        <w:t>and over. No overall difference in safety was noted between patients age 65</w:t>
      </w:r>
      <w:r w:rsidR="00D8135B">
        <w:t> </w:t>
      </w:r>
      <w:r w:rsidRPr="00703488">
        <w:t>years or older and younger patients</w:t>
      </w:r>
      <w:r w:rsidRPr="00343383">
        <w:rPr>
          <w:sz w:val="22"/>
          <w:szCs w:val="22"/>
        </w:rPr>
        <w:t>.</w:t>
      </w:r>
      <w:r w:rsidR="002D2E9D">
        <w:rPr>
          <w:rStyle w:val="CommentReference"/>
          <w:rFonts w:ascii="Cambria" w:hAnsi="Cambria"/>
        </w:rPr>
        <w:t xml:space="preserve"> </w:t>
      </w:r>
    </w:p>
    <w:p w14:paraId="5CD6676B" w14:textId="455654E8" w:rsidR="001A3992" w:rsidRPr="00AE10EF" w:rsidRDefault="001A3992" w:rsidP="004D3A7C">
      <w:pPr>
        <w:pStyle w:val="Heading3"/>
      </w:pPr>
      <w:proofErr w:type="spellStart"/>
      <w:r w:rsidRPr="00AE10EF">
        <w:t>Paediatric</w:t>
      </w:r>
      <w:proofErr w:type="spellEnd"/>
      <w:r w:rsidRPr="00AE10EF">
        <w:t xml:space="preserve"> use</w:t>
      </w:r>
    </w:p>
    <w:p w14:paraId="63422C17" w14:textId="4945F13D" w:rsidR="00AE10EF" w:rsidRPr="00343383" w:rsidRDefault="00AE10EF" w:rsidP="004D3A7C">
      <w:pPr>
        <w:rPr>
          <w:sz w:val="22"/>
          <w:szCs w:val="22"/>
        </w:rPr>
      </w:pPr>
      <w:r w:rsidRPr="00703488">
        <w:t xml:space="preserve">The safety and effectiveness of </w:t>
      </w:r>
      <w:r w:rsidR="00C30787">
        <w:t xml:space="preserve">INQOVI </w:t>
      </w:r>
      <w:r w:rsidR="00BD4315">
        <w:t>35</w:t>
      </w:r>
      <w:r w:rsidR="00C30787">
        <w:t>/</w:t>
      </w:r>
      <w:r w:rsidR="00BD4315">
        <w:t>100</w:t>
      </w:r>
      <w:r w:rsidRPr="00703488">
        <w:t xml:space="preserve"> in </w:t>
      </w:r>
      <w:proofErr w:type="spellStart"/>
      <w:r w:rsidRPr="00703488">
        <w:t>p</w:t>
      </w:r>
      <w:r w:rsidR="005039A3">
        <w:t>a</w:t>
      </w:r>
      <w:r w:rsidRPr="00703488">
        <w:t>ediatric</w:t>
      </w:r>
      <w:proofErr w:type="spellEnd"/>
      <w:r w:rsidRPr="00703488">
        <w:t xml:space="preserve"> patients have not been established</w:t>
      </w:r>
      <w:r w:rsidRPr="00343383">
        <w:rPr>
          <w:sz w:val="22"/>
          <w:szCs w:val="22"/>
        </w:rPr>
        <w:t>.</w:t>
      </w:r>
      <w:r w:rsidR="002D2E9D">
        <w:rPr>
          <w:rStyle w:val="CommentReference"/>
          <w:rFonts w:ascii="Cambria" w:hAnsi="Cambria"/>
        </w:rPr>
        <w:t xml:space="preserve"> </w:t>
      </w:r>
    </w:p>
    <w:p w14:paraId="284A5B93" w14:textId="5492B817" w:rsidR="001A3992" w:rsidRDefault="001A3992" w:rsidP="004D3A7C">
      <w:pPr>
        <w:pStyle w:val="Heading3"/>
      </w:pPr>
      <w:r w:rsidRPr="00E65905">
        <w:t>Effects on laboratory tests</w:t>
      </w:r>
    </w:p>
    <w:p w14:paraId="1BAD38BA" w14:textId="28941A11" w:rsidR="00D8135B" w:rsidRPr="00D8135B" w:rsidRDefault="002F3488" w:rsidP="00D8135B">
      <w:r>
        <w:t xml:space="preserve">There was no clinically notable </w:t>
      </w:r>
      <w:r w:rsidR="004D5FFB">
        <w:t xml:space="preserve">central tendency shifts in liver or renal laboratory values over multiple treatment cycles. In </w:t>
      </w:r>
      <w:proofErr w:type="spellStart"/>
      <w:r w:rsidR="004D5FFB">
        <w:t>h</w:t>
      </w:r>
      <w:r w:rsidR="009504A9">
        <w:t>a</w:t>
      </w:r>
      <w:r w:rsidR="004D5FFB">
        <w:t>ematology</w:t>
      </w:r>
      <w:proofErr w:type="spellEnd"/>
      <w:r w:rsidR="004D5FFB">
        <w:t xml:space="preserve">, neutrophils decreased in the first 2 cycles then </w:t>
      </w:r>
      <w:proofErr w:type="spellStart"/>
      <w:r w:rsidR="004D5FFB">
        <w:t>stabili</w:t>
      </w:r>
      <w:r w:rsidR="009504A9">
        <w:t>s</w:t>
      </w:r>
      <w:r w:rsidR="004D5FFB">
        <w:t>ed</w:t>
      </w:r>
      <w:proofErr w:type="spellEnd"/>
      <w:r w:rsidR="004D5FFB">
        <w:t xml:space="preserve"> or increased, while </w:t>
      </w:r>
      <w:proofErr w:type="spellStart"/>
      <w:r w:rsidR="004D5FFB">
        <w:t>h</w:t>
      </w:r>
      <w:r w:rsidR="009504A9">
        <w:t>a</w:t>
      </w:r>
      <w:r w:rsidR="004D5FFB">
        <w:t>emoglobin</w:t>
      </w:r>
      <w:proofErr w:type="spellEnd"/>
      <w:r w:rsidR="004D5FFB">
        <w:t xml:space="preserve"> and platelets tended to increase over multiple cycles as patients responded to treatment</w:t>
      </w:r>
      <w:r w:rsidR="009504A9">
        <w:t>.</w:t>
      </w:r>
      <w:r w:rsidR="002D2E9D">
        <w:rPr>
          <w:rStyle w:val="CommentReference"/>
          <w:rFonts w:ascii="Cambria" w:hAnsi="Cambria"/>
        </w:rPr>
        <w:t xml:space="preserve"> </w:t>
      </w:r>
    </w:p>
    <w:p w14:paraId="47A7D8DD" w14:textId="162D77B4" w:rsidR="001A3992" w:rsidRDefault="001A3992" w:rsidP="00A97FD5">
      <w:pPr>
        <w:pStyle w:val="Heading2"/>
        <w:ind w:right="-472"/>
      </w:pPr>
      <w:bookmarkStart w:id="11" w:name="_Ref26451072"/>
      <w:r w:rsidRPr="00497C85">
        <w:t>Interactions with other medicines and other forms of interactions</w:t>
      </w:r>
      <w:bookmarkEnd w:id="11"/>
    </w:p>
    <w:p w14:paraId="32BAED4C" w14:textId="32C3BC79" w:rsidR="006225E7" w:rsidRDefault="006225E7" w:rsidP="004D3A7C">
      <w:pPr>
        <w:rPr>
          <w:i/>
        </w:rPr>
      </w:pPr>
      <w:r w:rsidRPr="00703488">
        <w:t xml:space="preserve">Cedazuridine is an inhibitor of the cytidine deaminase (CDA) enzyme. Same day concomitant administration of </w:t>
      </w:r>
      <w:r w:rsidR="00C30787">
        <w:t xml:space="preserve">INQOVI </w:t>
      </w:r>
      <w:r w:rsidR="00BD4315">
        <w:t>35</w:t>
      </w:r>
      <w:r w:rsidR="00C30787">
        <w:t>/</w:t>
      </w:r>
      <w:r w:rsidR="00BD4315">
        <w:t>100</w:t>
      </w:r>
      <w:r w:rsidRPr="00703488">
        <w:t xml:space="preserve"> with drugs </w:t>
      </w:r>
      <w:proofErr w:type="spellStart"/>
      <w:r w:rsidRPr="00703488">
        <w:t>metaboli</w:t>
      </w:r>
      <w:r w:rsidR="00D8135B">
        <w:t>s</w:t>
      </w:r>
      <w:r w:rsidRPr="00703488">
        <w:t>ed</w:t>
      </w:r>
      <w:proofErr w:type="spellEnd"/>
      <w:r w:rsidRPr="00703488">
        <w:t xml:space="preserve"> by CDA may result in their increased systemic exposure with potential for increased toxicity of these drugs. Avoid coadministration of </w:t>
      </w:r>
      <w:r w:rsidR="00C30787">
        <w:t xml:space="preserve">INQOVI </w:t>
      </w:r>
      <w:r w:rsidR="00BD4315">
        <w:t>35</w:t>
      </w:r>
      <w:r w:rsidR="00C30787">
        <w:t>/</w:t>
      </w:r>
      <w:r w:rsidR="00BD4315">
        <w:t>100</w:t>
      </w:r>
      <w:r w:rsidRPr="00703488">
        <w:t xml:space="preserve"> on the same day as </w:t>
      </w:r>
      <w:r w:rsidR="00B34269">
        <w:t xml:space="preserve">other </w:t>
      </w:r>
      <w:r w:rsidRPr="00703488">
        <w:t xml:space="preserve">drugs known to be </w:t>
      </w:r>
      <w:proofErr w:type="spellStart"/>
      <w:r w:rsidRPr="00703488">
        <w:t>metaboli</w:t>
      </w:r>
      <w:r w:rsidR="00D8135B">
        <w:t>s</w:t>
      </w:r>
      <w:r w:rsidRPr="00703488">
        <w:t>ed</w:t>
      </w:r>
      <w:proofErr w:type="spellEnd"/>
      <w:r w:rsidRPr="00703488">
        <w:t xml:space="preserve"> by CDA</w:t>
      </w:r>
      <w:r w:rsidRPr="00703488">
        <w:rPr>
          <w:i/>
        </w:rPr>
        <w:t>.</w:t>
      </w:r>
      <w:r w:rsidR="002D2E9D">
        <w:rPr>
          <w:rStyle w:val="CommentReference"/>
          <w:rFonts w:ascii="Cambria" w:hAnsi="Cambria"/>
        </w:rPr>
        <w:t xml:space="preserve"> </w:t>
      </w:r>
    </w:p>
    <w:p w14:paraId="10E5F55F" w14:textId="4975D41B" w:rsidR="0098600B" w:rsidRDefault="0098600B" w:rsidP="005B7B52">
      <w:pPr>
        <w:spacing w:after="240"/>
        <w:rPr>
          <w:iCs/>
        </w:rPr>
      </w:pPr>
      <w:bookmarkStart w:id="12" w:name="_Hlk47526478"/>
      <w:r w:rsidRPr="00703488">
        <w:t xml:space="preserve">Drug interaction studies have not been conducted with </w:t>
      </w:r>
      <w:r w:rsidR="00C30787">
        <w:t xml:space="preserve">INQOVI </w:t>
      </w:r>
      <w:r w:rsidR="00BE2C3F">
        <w:t>35</w:t>
      </w:r>
      <w:r w:rsidR="00C30787">
        <w:t>/</w:t>
      </w:r>
      <w:r w:rsidR="00BE2C3F">
        <w:t xml:space="preserve">100 </w:t>
      </w:r>
      <w:r w:rsidR="00BE2C3F" w:rsidRPr="00A67DDA">
        <w:rPr>
          <w:i/>
          <w:iCs/>
        </w:rPr>
        <w:t>in vivo</w:t>
      </w:r>
      <w:r w:rsidRPr="00703488">
        <w:t>.</w:t>
      </w:r>
      <w:r>
        <w:t xml:space="preserve"> </w:t>
      </w:r>
      <w:r w:rsidRPr="0098600B">
        <w:rPr>
          <w:i/>
          <w:iCs/>
        </w:rPr>
        <w:t>In vitro</w:t>
      </w:r>
      <w:r>
        <w:t xml:space="preserve"> studies show that </w:t>
      </w:r>
      <w:r>
        <w:rPr>
          <w:iCs/>
        </w:rPr>
        <w:t>c</w:t>
      </w:r>
      <w:r w:rsidRPr="0098600B">
        <w:rPr>
          <w:iCs/>
        </w:rPr>
        <w:t xml:space="preserve">edazuridine </w:t>
      </w:r>
      <w:r w:rsidR="00B34269" w:rsidRPr="00763CDE">
        <w:rPr>
          <w:iCs/>
        </w:rPr>
        <w:t>does not inhibit CYP1A2, 2B6, 2C8, 2C9, 2C19, 2D6, 2E1 or 3A4/5 at clinically relevant concentrations and does not induce CYP1A, 2B6, 2C9 or 3A4</w:t>
      </w:r>
      <w:r w:rsidRPr="00763CDE">
        <w:rPr>
          <w:iCs/>
        </w:rPr>
        <w:t>.</w:t>
      </w:r>
      <w:r w:rsidR="00530414" w:rsidRPr="00763CDE">
        <w:rPr>
          <w:iCs/>
        </w:rPr>
        <w:t xml:space="preserve"> Cedazuridine is not a substrate of P-glycoprotein, MATE1, M</w:t>
      </w:r>
      <w:r w:rsidR="00BE2C3F" w:rsidRPr="00763CDE">
        <w:rPr>
          <w:iCs/>
        </w:rPr>
        <w:t>ATE</w:t>
      </w:r>
      <w:r w:rsidR="00530414" w:rsidRPr="00763CDE">
        <w:rPr>
          <w:iCs/>
        </w:rPr>
        <w:t>2-k, OAT1, OAT3, OATP1B1, OAPT1B3, OATP2B1, OCT1 or OCT2 and does not inhibit P-glycoprotein, BCRP, BSEP, MATE1, MATE2-K, OAT1, OAT3, OATP1B1, OAPT1B3 or OCT2.</w:t>
      </w:r>
    </w:p>
    <w:p w14:paraId="54A1606E" w14:textId="4856F496" w:rsidR="00530414" w:rsidRDefault="00530414" w:rsidP="00BE2C3F">
      <w:pPr>
        <w:pStyle w:val="Default"/>
        <w:rPr>
          <w:iCs/>
        </w:rPr>
      </w:pPr>
      <w:r w:rsidRPr="00763CDE">
        <w:rPr>
          <w:rFonts w:ascii="Times New Roman" w:hAnsi="Times New Roman" w:cs="Times New Roman"/>
          <w:i/>
        </w:rPr>
        <w:t>In vitro</w:t>
      </w:r>
      <w:r w:rsidRPr="00763CDE">
        <w:rPr>
          <w:rFonts w:ascii="Times New Roman" w:hAnsi="Times New Roman" w:cs="Times New Roman"/>
          <w:iCs/>
        </w:rPr>
        <w:t xml:space="preserve"> data show that decitabine is not a substrate or inhibitor of P-glycoprotein, does not inhibit CYP1A2, 2C8, 2C9, 2C19, 2D6 or 3A4/</w:t>
      </w:r>
      <w:bookmarkStart w:id="13" w:name="_Hlk51316797"/>
      <w:r w:rsidRPr="00763CDE">
        <w:rPr>
          <w:rFonts w:ascii="Times New Roman" w:hAnsi="Times New Roman" w:cs="Times New Roman"/>
          <w:iCs/>
        </w:rPr>
        <w:t>5</w:t>
      </w:r>
      <w:r w:rsidR="00BE2C3F" w:rsidRPr="00763CDE">
        <w:rPr>
          <w:rFonts w:ascii="Times New Roman" w:hAnsi="Times New Roman" w:cs="Times New Roman"/>
          <w:iCs/>
        </w:rPr>
        <w:t xml:space="preserve"> </w:t>
      </w:r>
      <w:r w:rsidR="00BE2C3F" w:rsidRPr="00763CDE">
        <w:rPr>
          <w:rFonts w:ascii="Times New Roman" w:eastAsia="MS Mincho" w:hAnsi="Times New Roman" w:cs="Times New Roman"/>
          <w:iCs/>
        </w:rPr>
        <w:t>at clinically</w:t>
      </w:r>
      <w:r w:rsidR="00BE2C3F" w:rsidRPr="00BE2C3F">
        <w:rPr>
          <w:rFonts w:ascii="Times New Roman" w:eastAsia="MS Mincho" w:hAnsi="Times New Roman" w:cs="Times New Roman"/>
          <w:iCs/>
        </w:rPr>
        <w:t xml:space="preserve"> relevant concentrations, and is not an inducer of CYP1A2, 2B6, 2C9 or 3A4/5</w:t>
      </w:r>
      <w:bookmarkEnd w:id="13"/>
      <w:r w:rsidR="00BE2C3F" w:rsidRPr="00BE2C3F">
        <w:rPr>
          <w:rFonts w:ascii="Times New Roman" w:eastAsia="MS Mincho" w:hAnsi="Times New Roman" w:cs="Times New Roman"/>
          <w:iCs/>
        </w:rPr>
        <w:t xml:space="preserve">. </w:t>
      </w:r>
    </w:p>
    <w:p w14:paraId="217CB4E6" w14:textId="1D7F7E3C" w:rsidR="00AE2D89" w:rsidRPr="00AE2D89" w:rsidRDefault="00AE2D89" w:rsidP="004D3A7C">
      <w:pPr>
        <w:rPr>
          <w:iCs/>
        </w:rPr>
      </w:pPr>
      <w:r w:rsidRPr="00AE2D89">
        <w:t>Cedazuridine is converted to its epimer prior absorption and its bioavailability may be affected by gastric PH. However, no effect on cedazuridine or decitabine PK was shown when co-administered with gastric pH modifying drugs as long as they are not administered within 4 hours of Inqovi administration</w:t>
      </w:r>
      <w:r>
        <w:t>.</w:t>
      </w:r>
    </w:p>
    <w:bookmarkEnd w:id="12"/>
    <w:p w14:paraId="7C728F1A" w14:textId="6DCF6D45" w:rsidR="00415104" w:rsidRPr="00415104" w:rsidRDefault="00415104" w:rsidP="00D8135B">
      <w:pPr>
        <w:pStyle w:val="Heading3"/>
      </w:pPr>
      <w:r w:rsidRPr="00415104">
        <w:t>Food</w:t>
      </w:r>
    </w:p>
    <w:p w14:paraId="3F9E6DB0" w14:textId="373A5002" w:rsidR="00034389" w:rsidRDefault="00C30787" w:rsidP="004D3A7C">
      <w:r>
        <w:t xml:space="preserve">INQOVI </w:t>
      </w:r>
      <w:r w:rsidR="00BD4315">
        <w:t>35</w:t>
      </w:r>
      <w:r>
        <w:t>/</w:t>
      </w:r>
      <w:r w:rsidR="00BD4315">
        <w:t>100</w:t>
      </w:r>
      <w:r w:rsidR="00034389" w:rsidRPr="00034389">
        <w:t xml:space="preserve"> tablets should be taken with water on an empty stomach</w:t>
      </w:r>
      <w:r w:rsidR="00034389">
        <w:t xml:space="preserve">. The oral bioavailability of decitabine is decreased in the presence of food (see Section </w:t>
      </w:r>
      <w:r w:rsidR="00034389" w:rsidRPr="00034389">
        <w:t>5.2 Pharmacokinetic properties</w:t>
      </w:r>
      <w:r w:rsidR="00034389">
        <w:t>).</w:t>
      </w:r>
    </w:p>
    <w:p w14:paraId="0D37748C" w14:textId="77777777" w:rsidR="001A3992" w:rsidRPr="00497C85" w:rsidRDefault="001A3992" w:rsidP="004D3A7C">
      <w:pPr>
        <w:pStyle w:val="Heading2"/>
      </w:pPr>
      <w:bookmarkStart w:id="14" w:name="_Ref26434364"/>
      <w:r w:rsidRPr="00497C85">
        <w:t>Fertility, pregnancy and lactation</w:t>
      </w:r>
      <w:bookmarkEnd w:id="14"/>
      <w:r w:rsidRPr="00497C85">
        <w:t xml:space="preserve"> </w:t>
      </w:r>
    </w:p>
    <w:p w14:paraId="237EE5AB" w14:textId="52993349" w:rsidR="001A3992" w:rsidRDefault="001A3992" w:rsidP="00D8135B">
      <w:pPr>
        <w:pStyle w:val="Heading3"/>
      </w:pPr>
      <w:bookmarkStart w:id="15" w:name="_Hlk47527004"/>
      <w:r w:rsidRPr="00497C85">
        <w:t>Effects on fertility</w:t>
      </w:r>
    </w:p>
    <w:p w14:paraId="5FB83894" w14:textId="344B4F2F" w:rsidR="00AE10EF" w:rsidRDefault="00AE10EF" w:rsidP="004D3A7C">
      <w:pPr>
        <w:rPr>
          <w:rStyle w:val="CommentReference"/>
          <w:rFonts w:ascii="Cambria" w:hAnsi="Cambria"/>
        </w:rPr>
      </w:pPr>
      <w:r w:rsidRPr="00703488">
        <w:t xml:space="preserve">Based on findings </w:t>
      </w:r>
      <w:r w:rsidR="00E4702F">
        <w:t>with</w:t>
      </w:r>
      <w:r w:rsidR="00E4702F" w:rsidRPr="00703488">
        <w:t xml:space="preserve"> </w:t>
      </w:r>
      <w:r w:rsidRPr="00703488">
        <w:t xml:space="preserve">decitabine in animals, male fertility may be compromised by treatment with </w:t>
      </w:r>
      <w:r w:rsidR="00C30787">
        <w:t xml:space="preserve">INQOVI </w:t>
      </w:r>
      <w:r w:rsidR="00BD4315">
        <w:t>35</w:t>
      </w:r>
      <w:r w:rsidR="00C30787">
        <w:t>/</w:t>
      </w:r>
      <w:r w:rsidR="00BD4315">
        <w:t>100</w:t>
      </w:r>
      <w:r w:rsidR="00E4702F">
        <w:t>.</w:t>
      </w:r>
      <w:r w:rsidRPr="00703488">
        <w:t xml:space="preserve"> </w:t>
      </w:r>
    </w:p>
    <w:p w14:paraId="629DADEE" w14:textId="4A8DCB88" w:rsidR="00E4702F" w:rsidRPr="00E4702F" w:rsidRDefault="00E4702F" w:rsidP="004D3A7C">
      <w:pPr>
        <w:rPr>
          <w:rStyle w:val="CommentReference"/>
          <w:sz w:val="24"/>
          <w:szCs w:val="24"/>
        </w:rPr>
      </w:pPr>
      <w:r w:rsidRPr="00E4702F">
        <w:rPr>
          <w:rStyle w:val="CommentReference"/>
          <w:sz w:val="24"/>
          <w:szCs w:val="24"/>
        </w:rPr>
        <w:t xml:space="preserve">Decitabine impaired fertility in male mice given IP doses </w:t>
      </w:r>
      <w:r w:rsidR="00A97FD5">
        <w:rPr>
          <w:rStyle w:val="CommentReference"/>
          <w:sz w:val="24"/>
          <w:szCs w:val="24"/>
        </w:rPr>
        <w:sym w:font="Symbol" w:char="F0B3"/>
      </w:r>
      <w:r w:rsidRPr="00E4702F">
        <w:rPr>
          <w:rStyle w:val="CommentReference"/>
          <w:sz w:val="24"/>
          <w:szCs w:val="24"/>
        </w:rPr>
        <w:t>0.3mg/m</w:t>
      </w:r>
      <w:r w:rsidRPr="00E4702F">
        <w:rPr>
          <w:rStyle w:val="CommentReference"/>
          <w:sz w:val="24"/>
          <w:szCs w:val="24"/>
          <w:vertAlign w:val="superscript"/>
        </w:rPr>
        <w:t>2</w:t>
      </w:r>
      <w:r w:rsidRPr="00E4702F">
        <w:rPr>
          <w:rStyle w:val="CommentReference"/>
          <w:sz w:val="24"/>
          <w:szCs w:val="24"/>
        </w:rPr>
        <w:t xml:space="preserve"> (well below the clinical dose). This was accompanied by reduced testes weights, abnormal histology and marked decreases in sperm count. Pre-implantation loss was significantly increased in females mated with treated males.</w:t>
      </w:r>
    </w:p>
    <w:p w14:paraId="675D39EE" w14:textId="6DC1DBD5" w:rsidR="00E4702F" w:rsidRPr="00E4702F" w:rsidRDefault="00E4702F" w:rsidP="004D3A7C">
      <w:r w:rsidRPr="00E4702F">
        <w:rPr>
          <w:rStyle w:val="CommentReference"/>
          <w:sz w:val="24"/>
          <w:szCs w:val="24"/>
        </w:rPr>
        <w:t>No fertility studies have been conducted with cedazuridine.</w:t>
      </w:r>
    </w:p>
    <w:bookmarkEnd w:id="15"/>
    <w:p w14:paraId="0475D8E7" w14:textId="2BE71CF1" w:rsidR="0007741A" w:rsidRDefault="00D0466C" w:rsidP="0007741A">
      <w:pPr>
        <w:pStyle w:val="Heading3"/>
      </w:pPr>
      <w:r>
        <w:t xml:space="preserve">Females and males </w:t>
      </w:r>
      <w:r w:rsidR="0007741A" w:rsidRPr="0007741A">
        <w:t xml:space="preserve">of </w:t>
      </w:r>
      <w:r>
        <w:t>reproductive</w:t>
      </w:r>
      <w:r w:rsidR="0007741A" w:rsidRPr="0007741A">
        <w:t xml:space="preserve"> potential</w:t>
      </w:r>
    </w:p>
    <w:p w14:paraId="7BF9AAA8" w14:textId="011A3234" w:rsidR="0007741A" w:rsidRPr="00703488" w:rsidRDefault="0007741A" w:rsidP="0007741A">
      <w:r w:rsidRPr="00703488">
        <w:t xml:space="preserve">Conduct pregnancy testing of females of reproductive potential prior to initiating </w:t>
      </w:r>
      <w:r w:rsidR="000828D9">
        <w:t>INQOVI </w:t>
      </w:r>
      <w:r w:rsidR="00BD4315">
        <w:t>35</w:t>
      </w:r>
      <w:r w:rsidR="00C30787">
        <w:t>/</w:t>
      </w:r>
      <w:r w:rsidR="00BD4315">
        <w:t>100</w:t>
      </w:r>
      <w:r w:rsidRPr="00703488">
        <w:t xml:space="preserve"> </w:t>
      </w:r>
      <w:r>
        <w:t>(</w:t>
      </w:r>
      <w:r w:rsidRPr="00703488">
        <w:rPr>
          <w:rFonts w:eastAsia="Calibri"/>
        </w:rPr>
        <w:t>see</w:t>
      </w:r>
      <w:r w:rsidRPr="00661664">
        <w:t xml:space="preserve"> </w:t>
      </w:r>
      <w:r>
        <w:rPr>
          <w:rFonts w:eastAsia="Calibri"/>
        </w:rPr>
        <w:t>Use in pregnancy)</w:t>
      </w:r>
      <w:r w:rsidRPr="00703488">
        <w:rPr>
          <w:i/>
        </w:rPr>
        <w:t>.</w:t>
      </w:r>
    </w:p>
    <w:p w14:paraId="20E2F14A" w14:textId="500AC19F" w:rsidR="0007741A" w:rsidRPr="00703488" w:rsidRDefault="00C30787" w:rsidP="0007741A">
      <w:r>
        <w:t xml:space="preserve">INQOVI </w:t>
      </w:r>
      <w:r w:rsidR="00BD4315">
        <w:t>35</w:t>
      </w:r>
      <w:r>
        <w:t>/</w:t>
      </w:r>
      <w:r w:rsidR="00BD4315">
        <w:t>100</w:t>
      </w:r>
      <w:r w:rsidR="0007741A" w:rsidRPr="00703488">
        <w:t xml:space="preserve"> may cause </w:t>
      </w:r>
      <w:r w:rsidR="007317D5">
        <w:t xml:space="preserve">severe </w:t>
      </w:r>
      <w:proofErr w:type="spellStart"/>
      <w:r w:rsidR="0007741A" w:rsidRPr="00703488">
        <w:t>f</w:t>
      </w:r>
      <w:r w:rsidR="00BD566D">
        <w:t>o</w:t>
      </w:r>
      <w:r w:rsidR="0007741A" w:rsidRPr="00703488">
        <w:t>etal</w:t>
      </w:r>
      <w:proofErr w:type="spellEnd"/>
      <w:r w:rsidR="0007741A" w:rsidRPr="00703488">
        <w:t xml:space="preserve"> harm when administered to a pregnant woman (see </w:t>
      </w:r>
      <w:r w:rsidR="0007741A">
        <w:t xml:space="preserve">Use in pregnancy and Section </w:t>
      </w:r>
      <w:r w:rsidR="0007741A" w:rsidRPr="0007741A">
        <w:t>4.4 Special warnings and precautions for use</w:t>
      </w:r>
      <w:r w:rsidR="0007741A">
        <w:t xml:space="preserve">, </w:t>
      </w:r>
      <w:proofErr w:type="spellStart"/>
      <w:r w:rsidR="0007741A" w:rsidRPr="00703488">
        <w:t>Embryo</w:t>
      </w:r>
      <w:r w:rsidR="0007741A">
        <w:t>f</w:t>
      </w:r>
      <w:r w:rsidR="00BD566D">
        <w:t>o</w:t>
      </w:r>
      <w:r w:rsidR="0007741A" w:rsidRPr="00703488">
        <w:t>etal</w:t>
      </w:r>
      <w:proofErr w:type="spellEnd"/>
      <w:r w:rsidR="0007741A" w:rsidRPr="00703488">
        <w:t xml:space="preserve"> </w:t>
      </w:r>
      <w:r w:rsidR="0007741A">
        <w:t>t</w:t>
      </w:r>
      <w:r w:rsidR="0007741A" w:rsidRPr="00703488">
        <w:t xml:space="preserve">oxicity). </w:t>
      </w:r>
    </w:p>
    <w:p w14:paraId="2A3B7A8D" w14:textId="33BF68D7" w:rsidR="0007741A" w:rsidRDefault="0007741A" w:rsidP="0007741A">
      <w:r w:rsidRPr="00703488">
        <w:t xml:space="preserve">Advise females of reproductive potential to avoid pregnancy and use effective contraception while receiving </w:t>
      </w:r>
      <w:r w:rsidR="00C30787">
        <w:t xml:space="preserve">INQOVI </w:t>
      </w:r>
      <w:r w:rsidR="00BD4315">
        <w:t>35</w:t>
      </w:r>
      <w:r w:rsidR="00C30787">
        <w:t>/</w:t>
      </w:r>
      <w:r w:rsidR="00BD4315">
        <w:t>100</w:t>
      </w:r>
      <w:r w:rsidRPr="00703488">
        <w:t xml:space="preserve"> and for 6 months following the last dose. </w:t>
      </w:r>
    </w:p>
    <w:p w14:paraId="3A3B0153" w14:textId="30D410DE" w:rsidR="00D0466C" w:rsidRPr="00703488" w:rsidRDefault="00D0466C" w:rsidP="0007741A">
      <w:r w:rsidRPr="00703488">
        <w:t xml:space="preserve">Advise males with female partners of reproductive potential to use effective contraception while receiving treatment with </w:t>
      </w:r>
      <w:r w:rsidR="00C30787">
        <w:t xml:space="preserve">INQOVI </w:t>
      </w:r>
      <w:r w:rsidR="00BD4315">
        <w:t>35</w:t>
      </w:r>
      <w:r w:rsidR="00C30787">
        <w:t>/</w:t>
      </w:r>
      <w:r w:rsidR="00BD4315">
        <w:t>100</w:t>
      </w:r>
      <w:r w:rsidRPr="00703488">
        <w:t xml:space="preserve"> and for 3 months following the last dose.</w:t>
      </w:r>
    </w:p>
    <w:p w14:paraId="563D9D8C" w14:textId="589BF1C5" w:rsidR="001A3992" w:rsidRDefault="001A3992" w:rsidP="004D3A7C">
      <w:pPr>
        <w:pStyle w:val="Heading3"/>
      </w:pPr>
      <w:r w:rsidRPr="00497C85">
        <w:t xml:space="preserve">Use in pregnancy </w:t>
      </w:r>
      <w:r w:rsidR="00497C85" w:rsidRPr="00497C85">
        <w:t xml:space="preserve">– Pregnancy Category </w:t>
      </w:r>
      <w:r w:rsidR="00497C85" w:rsidRPr="00943F77">
        <w:t>X</w:t>
      </w:r>
    </w:p>
    <w:p w14:paraId="1BD5E281" w14:textId="212CCB05" w:rsidR="0007741A" w:rsidRDefault="00704645" w:rsidP="004D3A7C">
      <w:pPr>
        <w:pStyle w:val="NormalWeb"/>
      </w:pPr>
      <w:r>
        <w:t xml:space="preserve">INQOVI 100/35 is contraindicated in pregnancy. </w:t>
      </w:r>
      <w:r w:rsidR="002C1975" w:rsidRPr="00703488">
        <w:t xml:space="preserve">Based on findings from human data, animal studies, and the mechanism of action for decitabine, </w:t>
      </w:r>
      <w:r w:rsidR="00C30787">
        <w:t xml:space="preserve">INQOVI </w:t>
      </w:r>
      <w:r w:rsidR="00BD4315">
        <w:t>35</w:t>
      </w:r>
      <w:r w:rsidR="00C30787">
        <w:t>/</w:t>
      </w:r>
      <w:r w:rsidR="00BD4315">
        <w:t>100</w:t>
      </w:r>
      <w:r w:rsidR="002C1975" w:rsidRPr="00703488">
        <w:t xml:space="preserve"> may cause </w:t>
      </w:r>
      <w:r>
        <w:t xml:space="preserve">severe </w:t>
      </w:r>
      <w:proofErr w:type="spellStart"/>
      <w:r w:rsidR="002C1975" w:rsidRPr="00703488">
        <w:t>f</w:t>
      </w:r>
      <w:r w:rsidR="00BD566D">
        <w:t>o</w:t>
      </w:r>
      <w:r w:rsidR="002C1975" w:rsidRPr="00703488">
        <w:t>etal</w:t>
      </w:r>
      <w:proofErr w:type="spellEnd"/>
      <w:r w:rsidR="002C1975" w:rsidRPr="00703488">
        <w:t xml:space="preserve"> harm when administered to a pregnant woman</w:t>
      </w:r>
      <w:r w:rsidR="00E022A6">
        <w:t xml:space="preserve"> </w:t>
      </w:r>
      <w:r w:rsidR="006E137E">
        <w:t xml:space="preserve">(see Section </w:t>
      </w:r>
      <w:r w:rsidR="006E137E" w:rsidRPr="006E137E">
        <w:t>5.1 Pharmacodynamic properties</w:t>
      </w:r>
      <w:r w:rsidR="00E022A6">
        <w:t>, Mechanism of action</w:t>
      </w:r>
      <w:r w:rsidR="006E137E">
        <w:t>)</w:t>
      </w:r>
      <w:r w:rsidR="002C1975" w:rsidRPr="00703488">
        <w:rPr>
          <w:i/>
          <w:iCs/>
        </w:rPr>
        <w:t>.</w:t>
      </w:r>
      <w:r w:rsidR="002C1975" w:rsidRPr="00703488">
        <w:t xml:space="preserve"> </w:t>
      </w:r>
    </w:p>
    <w:p w14:paraId="51C6B956" w14:textId="4E755176" w:rsidR="00B7246F" w:rsidRDefault="00704645" w:rsidP="00B7246F">
      <w:r w:rsidRPr="00703488">
        <w:t xml:space="preserve">There are no available data on </w:t>
      </w:r>
      <w:r>
        <w:t>INQOVI 35100/10035</w:t>
      </w:r>
      <w:r w:rsidRPr="00703488">
        <w:t xml:space="preserve"> use in pregnant women. </w:t>
      </w:r>
      <w:r w:rsidR="00B7246F">
        <w:t xml:space="preserve">No reproductive or developmental toxicity studies have been conducted with INQOVI 35/100 or cedazuridine. </w:t>
      </w:r>
    </w:p>
    <w:p w14:paraId="51660246" w14:textId="1E9A7B97" w:rsidR="00704645" w:rsidRPr="00703488" w:rsidRDefault="00B7246F" w:rsidP="00704645">
      <w:pPr>
        <w:pStyle w:val="NormalWeb"/>
        <w:rPr>
          <w:rFonts w:eastAsia="Calibri"/>
          <w:u w:val="single"/>
        </w:rPr>
      </w:pPr>
      <w:r w:rsidRPr="00DA7137">
        <w:rPr>
          <w:rFonts w:eastAsia="Calibri"/>
        </w:rPr>
        <w:t xml:space="preserve">When administered intravenously </w:t>
      </w:r>
      <w:r>
        <w:t xml:space="preserve">decitabine is known to be teratogenic, </w:t>
      </w:r>
      <w:proofErr w:type="spellStart"/>
      <w:r>
        <w:t>f</w:t>
      </w:r>
      <w:r w:rsidR="00BD566D">
        <w:t>o</w:t>
      </w:r>
      <w:r>
        <w:t>etotoxic</w:t>
      </w:r>
      <w:proofErr w:type="spellEnd"/>
      <w:r>
        <w:t xml:space="preserve">, and </w:t>
      </w:r>
      <w:proofErr w:type="spellStart"/>
      <w:r>
        <w:t>embryotoxic</w:t>
      </w:r>
      <w:proofErr w:type="spellEnd"/>
      <w:r>
        <w:t>.</w:t>
      </w:r>
    </w:p>
    <w:p w14:paraId="37B81286" w14:textId="60FDEEA2" w:rsidR="003D2B37" w:rsidRDefault="00B7246F" w:rsidP="00704645">
      <w:pPr>
        <w:autoSpaceDE w:val="0"/>
        <w:autoSpaceDN w:val="0"/>
        <w:adjustRightInd w:val="0"/>
        <w:spacing w:before="0"/>
      </w:pPr>
      <w:r>
        <w:t xml:space="preserve">Decitabine inhibits proliferation and increases apoptosis of neural progenitor cells of the </w:t>
      </w:r>
      <w:proofErr w:type="spellStart"/>
      <w:r>
        <w:t>f</w:t>
      </w:r>
      <w:r w:rsidR="00BD566D">
        <w:t>o</w:t>
      </w:r>
      <w:r>
        <w:t>etal</w:t>
      </w:r>
      <w:proofErr w:type="spellEnd"/>
      <w:r>
        <w:t xml:space="preserve"> central nervous system (CNS) in the developing murine f</w:t>
      </w:r>
      <w:r w:rsidR="00506F3D">
        <w:t>o</w:t>
      </w:r>
      <w:bookmarkStart w:id="16" w:name="_GoBack"/>
      <w:bookmarkEnd w:id="16"/>
      <w:r>
        <w:t xml:space="preserve">etus. </w:t>
      </w:r>
    </w:p>
    <w:p w14:paraId="3DE02AD7" w14:textId="77777777" w:rsidR="003D2B37" w:rsidRDefault="003D2B37" w:rsidP="00704645">
      <w:pPr>
        <w:autoSpaceDE w:val="0"/>
        <w:autoSpaceDN w:val="0"/>
        <w:adjustRightInd w:val="0"/>
        <w:spacing w:before="0"/>
      </w:pPr>
    </w:p>
    <w:p w14:paraId="2A2D4839" w14:textId="5039F96F" w:rsidR="00704645" w:rsidRDefault="00704645" w:rsidP="00704645">
      <w:pPr>
        <w:autoSpaceDE w:val="0"/>
        <w:autoSpaceDN w:val="0"/>
        <w:adjustRightInd w:val="0"/>
        <w:spacing w:before="0"/>
        <w:rPr>
          <w:rFonts w:eastAsiaTheme="minorHAnsi"/>
          <w:lang w:val="en-AU"/>
        </w:rPr>
      </w:pPr>
      <w:r w:rsidRPr="00704645">
        <w:rPr>
          <w:rFonts w:eastAsiaTheme="minorHAnsi"/>
          <w:lang w:val="en-AU"/>
        </w:rPr>
        <w:t>Decitabine was shown to cause malformations and embryof</w:t>
      </w:r>
      <w:r w:rsidR="00BD566D">
        <w:rPr>
          <w:rFonts w:eastAsiaTheme="minorHAnsi"/>
          <w:lang w:val="en-AU"/>
        </w:rPr>
        <w:t>o</w:t>
      </w:r>
      <w:r w:rsidRPr="00704645">
        <w:rPr>
          <w:rFonts w:eastAsiaTheme="minorHAnsi"/>
          <w:lang w:val="en-AU"/>
        </w:rPr>
        <w:t>etal lethality in pregnant mice and rats following single IP administration at dose levels well below the clinical dose. F</w:t>
      </w:r>
      <w:r w:rsidR="00BD566D">
        <w:rPr>
          <w:rFonts w:eastAsiaTheme="minorHAnsi"/>
          <w:lang w:val="en-AU"/>
        </w:rPr>
        <w:t>o</w:t>
      </w:r>
      <w:r w:rsidRPr="00704645">
        <w:rPr>
          <w:rFonts w:eastAsiaTheme="minorHAnsi"/>
          <w:lang w:val="en-AU"/>
        </w:rPr>
        <w:t xml:space="preserve">etal abnormalities observed in animals included fused vertebrae and ribs, cleft palate, exophthalmia, exencephaly, and limb and digital defects. </w:t>
      </w:r>
    </w:p>
    <w:p w14:paraId="013CF7C0" w14:textId="77777777" w:rsidR="00763CDE" w:rsidRDefault="00763CDE" w:rsidP="00704645">
      <w:pPr>
        <w:autoSpaceDE w:val="0"/>
        <w:autoSpaceDN w:val="0"/>
        <w:adjustRightInd w:val="0"/>
        <w:spacing w:before="0"/>
        <w:rPr>
          <w:rFonts w:eastAsiaTheme="minorHAnsi"/>
          <w:lang w:val="en-AU"/>
        </w:rPr>
      </w:pPr>
    </w:p>
    <w:p w14:paraId="0D9973E2" w14:textId="0DC42CBF" w:rsidR="00763CDE" w:rsidRPr="009534C9" w:rsidRDefault="00763CDE" w:rsidP="007D144D">
      <w:pPr>
        <w:autoSpaceDE w:val="0"/>
        <w:autoSpaceDN w:val="0"/>
        <w:adjustRightInd w:val="0"/>
        <w:spacing w:before="0" w:after="240"/>
        <w:rPr>
          <w:rFonts w:eastAsiaTheme="minorHAnsi"/>
        </w:rPr>
      </w:pPr>
      <w:bookmarkStart w:id="17" w:name="_Hlk51317164"/>
      <w:r w:rsidRPr="009534C9">
        <w:rPr>
          <w:rFonts w:eastAsiaTheme="minorHAnsi"/>
        </w:rPr>
        <w:t xml:space="preserve">Animal </w:t>
      </w:r>
      <w:proofErr w:type="spellStart"/>
      <w:r w:rsidRPr="009534C9">
        <w:rPr>
          <w:rFonts w:eastAsiaTheme="minorHAnsi"/>
        </w:rPr>
        <w:t>embryof</w:t>
      </w:r>
      <w:r w:rsidR="00BD566D">
        <w:rPr>
          <w:rFonts w:eastAsiaTheme="minorHAnsi"/>
        </w:rPr>
        <w:t>o</w:t>
      </w:r>
      <w:r w:rsidRPr="009534C9">
        <w:rPr>
          <w:rFonts w:eastAsiaTheme="minorHAnsi"/>
        </w:rPr>
        <w:t>etal</w:t>
      </w:r>
      <w:proofErr w:type="spellEnd"/>
      <w:r w:rsidRPr="009534C9">
        <w:rPr>
          <w:rFonts w:eastAsiaTheme="minorHAnsi"/>
        </w:rPr>
        <w:t xml:space="preserve"> development studies have not been performed with cedazuridine. </w:t>
      </w:r>
    </w:p>
    <w:bookmarkEnd w:id="17"/>
    <w:p w14:paraId="07C22E94" w14:textId="41E80192" w:rsidR="003D2B37" w:rsidRPr="00704645" w:rsidRDefault="003D2B37" w:rsidP="00704645">
      <w:pPr>
        <w:pStyle w:val="NormalWeb"/>
      </w:pPr>
      <w:r>
        <w:t>In rats given a single IP injection of 2.4, 3.6 or 6 mg/m</w:t>
      </w:r>
      <w:r w:rsidRPr="00BF761A">
        <w:rPr>
          <w:vertAlign w:val="superscript"/>
        </w:rPr>
        <w:t>2</w:t>
      </w:r>
      <w:r>
        <w:t xml:space="preserve"> decitabine (approximately 5, 8, or 13% the daily recommended clinical dose, respectively) on gestation Days 9-12, no maternal toxicity was observed. No live </w:t>
      </w:r>
      <w:proofErr w:type="spellStart"/>
      <w:r>
        <w:t>f</w:t>
      </w:r>
      <w:r w:rsidR="00D61F5A">
        <w:t>o</w:t>
      </w:r>
      <w:r>
        <w:t>etuses</w:t>
      </w:r>
      <w:proofErr w:type="spellEnd"/>
      <w:r>
        <w:t xml:space="preserve"> were seen at any dose when decitabine was injected on gestation Day 9. A significant decrease in fetal survival and reduced </w:t>
      </w:r>
      <w:proofErr w:type="spellStart"/>
      <w:r>
        <w:t>f</w:t>
      </w:r>
      <w:r w:rsidR="00D61F5A">
        <w:t>o</w:t>
      </w:r>
      <w:r>
        <w:t>etal</w:t>
      </w:r>
      <w:proofErr w:type="spellEnd"/>
      <w:r>
        <w:t xml:space="preserve"> weight at doses greater than 3.6 mg/m</w:t>
      </w:r>
      <w:r w:rsidRPr="00BF761A">
        <w:rPr>
          <w:vertAlign w:val="superscript"/>
        </w:rPr>
        <w:t>2</w:t>
      </w:r>
      <w:r>
        <w:t xml:space="preserve"> was seen when decitabine was given on gestation Day 10.</w:t>
      </w:r>
    </w:p>
    <w:p w14:paraId="4FDB57BA" w14:textId="6155EB0C" w:rsidR="002C1975" w:rsidRPr="00703488" w:rsidRDefault="002C1975" w:rsidP="004D3A7C">
      <w:pPr>
        <w:pStyle w:val="NormalWeb"/>
      </w:pPr>
      <w:bookmarkStart w:id="18" w:name="_Data"/>
      <w:bookmarkStart w:id="19" w:name="_Hlk51317207"/>
      <w:bookmarkEnd w:id="18"/>
      <w:r w:rsidRPr="00703488">
        <w:t xml:space="preserve">A single published case report of </w:t>
      </w:r>
      <w:r w:rsidR="00120AAC">
        <w:t>intravenous (</w:t>
      </w:r>
      <w:r w:rsidRPr="00703488">
        <w:t>IV</w:t>
      </w:r>
      <w:r w:rsidR="00120AAC">
        <w:t>)</w:t>
      </w:r>
      <w:r w:rsidRPr="00703488">
        <w:t xml:space="preserve"> decitabine pregnancy exposure in a 39</w:t>
      </w:r>
      <w:r w:rsidR="00034389">
        <w:t> </w:t>
      </w:r>
      <w:r w:rsidRPr="00703488">
        <w:t xml:space="preserve">year old woman with a </w:t>
      </w:r>
      <w:proofErr w:type="spellStart"/>
      <w:r w:rsidRPr="00703488">
        <w:t>h</w:t>
      </w:r>
      <w:r w:rsidR="00BD23C4">
        <w:t>a</w:t>
      </w:r>
      <w:r w:rsidRPr="00703488">
        <w:t>ematolo</w:t>
      </w:r>
      <w:r w:rsidRPr="001C14A8">
        <w:t>gic</w:t>
      </w:r>
      <w:r w:rsidR="00763CDE" w:rsidRPr="001C14A8">
        <w:t>al</w:t>
      </w:r>
      <w:proofErr w:type="spellEnd"/>
      <w:r w:rsidRPr="001C14A8">
        <w:t xml:space="preserve"> malignancy</w:t>
      </w:r>
      <w:r w:rsidRPr="00703488">
        <w:t xml:space="preserve"> described multiple structural abnormalities after 6 cycles of therapy in the 18</w:t>
      </w:r>
      <w:r w:rsidRPr="00703488">
        <w:rPr>
          <w:rStyle w:val="sup"/>
          <w:vertAlign w:val="superscript"/>
        </w:rPr>
        <w:t>th</w:t>
      </w:r>
      <w:r w:rsidRPr="00703488">
        <w:t xml:space="preserve"> week of gestation. These abnormalities included holoprosencephaly, absence of nasal bone, mid-facial deformity, cleft lip and palate, polydactyly, and rocker-bottom feet. The pregnancy was terminated.</w:t>
      </w:r>
    </w:p>
    <w:bookmarkEnd w:id="19"/>
    <w:p w14:paraId="14D1E831" w14:textId="2714D288" w:rsidR="001A3992" w:rsidRDefault="001A3992" w:rsidP="004D3A7C">
      <w:pPr>
        <w:pStyle w:val="Heading3"/>
      </w:pPr>
      <w:r w:rsidRPr="00497C85">
        <w:t>Use in lactation</w:t>
      </w:r>
    </w:p>
    <w:p w14:paraId="6A309058" w14:textId="36A17956" w:rsidR="002C1975" w:rsidRPr="00703488" w:rsidRDefault="002C1975" w:rsidP="004D3A7C">
      <w:r w:rsidRPr="00703488">
        <w:t xml:space="preserve">There are no data on the presence of cedazuridine, decitabine, or their metabolites in human milk, the effects on the breastfed child, or on milk production. Because many drugs are excreted in human milk, and because of the potential for serious adverse reactions from </w:t>
      </w:r>
      <w:r w:rsidR="00C30787">
        <w:t xml:space="preserve">INQOVI </w:t>
      </w:r>
      <w:r w:rsidR="00BD4315">
        <w:t>35</w:t>
      </w:r>
      <w:r w:rsidR="00C30787">
        <w:t>/</w:t>
      </w:r>
      <w:r w:rsidR="00BD4315">
        <w:t>100</w:t>
      </w:r>
      <w:r w:rsidRPr="00703488">
        <w:t xml:space="preserve"> in a nursing child, advise lactating women to avoid breastfeeding during treatment with </w:t>
      </w:r>
      <w:r w:rsidR="00C30787">
        <w:t xml:space="preserve">INQOVI </w:t>
      </w:r>
      <w:r w:rsidR="00BD4315">
        <w:t>35</w:t>
      </w:r>
      <w:r w:rsidR="00C30787">
        <w:t>/</w:t>
      </w:r>
      <w:r w:rsidR="00BD4315">
        <w:t>100</w:t>
      </w:r>
      <w:r w:rsidRPr="00703488">
        <w:t xml:space="preserve"> and for at least </w:t>
      </w:r>
      <w:r w:rsidR="00124100">
        <w:t>2</w:t>
      </w:r>
      <w:r w:rsidRPr="00703488">
        <w:t xml:space="preserve"> week</w:t>
      </w:r>
      <w:r w:rsidR="00124100">
        <w:t>s</w:t>
      </w:r>
      <w:r w:rsidRPr="00703488">
        <w:t xml:space="preserve"> after the last dose.</w:t>
      </w:r>
      <w:r w:rsidR="002D2E9D">
        <w:rPr>
          <w:rStyle w:val="CommentReference"/>
          <w:rFonts w:ascii="Cambria" w:hAnsi="Cambria"/>
        </w:rPr>
        <w:t xml:space="preserve"> </w:t>
      </w:r>
    </w:p>
    <w:p w14:paraId="53C55B98" w14:textId="77777777" w:rsidR="001A3992" w:rsidRPr="00497C85" w:rsidRDefault="001A3992" w:rsidP="004D3A7C">
      <w:pPr>
        <w:pStyle w:val="Heading2"/>
      </w:pPr>
      <w:r w:rsidRPr="00497C85">
        <w:t xml:space="preserve">Effects on ability to drive and use machines </w:t>
      </w:r>
    </w:p>
    <w:p w14:paraId="1283C695" w14:textId="363A091B" w:rsidR="002B5B51" w:rsidRPr="00415104" w:rsidRDefault="002B5B51" w:rsidP="004D3A7C">
      <w:bookmarkStart w:id="20" w:name="_Ref26433797"/>
      <w:r w:rsidRPr="00415104">
        <w:t xml:space="preserve">No studies of the effects on the ability to drive or use machines have been performed. Patients should be advised that they may experience undesirable effects, such as fatigue and dizziness due to </w:t>
      </w:r>
      <w:proofErr w:type="spellStart"/>
      <w:r w:rsidR="00E65905">
        <w:t>anaemia</w:t>
      </w:r>
      <w:proofErr w:type="spellEnd"/>
      <w:r w:rsidRPr="00415104">
        <w:t>, during treatment. Therefore, caution should be recommended when driving a car or operating machines.</w:t>
      </w:r>
    </w:p>
    <w:p w14:paraId="1FBF447C" w14:textId="77777777" w:rsidR="001A3992" w:rsidRDefault="001A3992" w:rsidP="004D3A7C">
      <w:pPr>
        <w:pStyle w:val="Heading2"/>
      </w:pPr>
      <w:r w:rsidRPr="00497C85">
        <w:t>Adverse effects (Undesirable effects)</w:t>
      </w:r>
      <w:bookmarkEnd w:id="20"/>
    </w:p>
    <w:p w14:paraId="11733014" w14:textId="540E6F78" w:rsidR="007A1B96" w:rsidRDefault="007A1B96" w:rsidP="004D3A7C">
      <w:pPr>
        <w:pStyle w:val="Heading3"/>
      </w:pPr>
      <w:r w:rsidRPr="007A1B96">
        <w:t>Clinical Trials</w:t>
      </w:r>
    </w:p>
    <w:p w14:paraId="71C76AAF" w14:textId="7F0ED412" w:rsidR="00944EE7" w:rsidRPr="00944EE7" w:rsidRDefault="00944EE7" w:rsidP="00A97FD5">
      <w:pPr>
        <w:rPr>
          <w:rFonts w:eastAsia="Times New Roman"/>
        </w:rPr>
      </w:pPr>
      <w:r w:rsidRPr="00944EE7">
        <w:t>The safety of INQO</w:t>
      </w:r>
      <w:r w:rsidRPr="004C73C8">
        <w:t xml:space="preserve">VI </w:t>
      </w:r>
      <w:r w:rsidR="00B93956" w:rsidRPr="004C73C8">
        <w:t xml:space="preserve">35/100 </w:t>
      </w:r>
      <w:r w:rsidRPr="004C73C8">
        <w:t>was</w:t>
      </w:r>
      <w:r w:rsidRPr="00944EE7">
        <w:t xml:space="preserve"> evaluated in a pooled safety population that includes patients enrolled in Study ASTX727-01-B and Study ASTX727-02 </w:t>
      </w:r>
      <w:r w:rsidR="00B93956" w:rsidRPr="00A13501">
        <w:rPr>
          <w:iCs/>
        </w:rPr>
        <w:t>(</w:t>
      </w:r>
      <w:r w:rsidRPr="00A13501">
        <w:rPr>
          <w:iCs/>
        </w:rPr>
        <w:t xml:space="preserve">see </w:t>
      </w:r>
      <w:r w:rsidR="00B93956" w:rsidRPr="00A13501">
        <w:rPr>
          <w:iCs/>
        </w:rPr>
        <w:t xml:space="preserve">Section 5.1 Pharmacodynamic Properties, </w:t>
      </w:r>
      <w:hyperlink w:anchor="_14_CLINICAL_STUDIES" w:history="1">
        <w:r w:rsidRPr="00A13501">
          <w:rPr>
            <w:iCs/>
          </w:rPr>
          <w:t xml:space="preserve">Clinical </w:t>
        </w:r>
        <w:r w:rsidR="00B93956" w:rsidRPr="00A13501">
          <w:rPr>
            <w:iCs/>
          </w:rPr>
          <w:t>trials</w:t>
        </w:r>
        <w:r w:rsidRPr="00A13501">
          <w:rPr>
            <w:iCs/>
          </w:rPr>
          <w:t>)</w:t>
        </w:r>
      </w:hyperlink>
      <w:r w:rsidRPr="00A13501">
        <w:rPr>
          <w:i/>
        </w:rPr>
        <w:t>.</w:t>
      </w:r>
      <w:r w:rsidRPr="00944EE7">
        <w:rPr>
          <w:i/>
        </w:rPr>
        <w:t xml:space="preserve"> </w:t>
      </w:r>
    </w:p>
    <w:p w14:paraId="0A54BE8D" w14:textId="10092FA1" w:rsidR="00944EE7" w:rsidRPr="004E702A" w:rsidRDefault="00944EE7" w:rsidP="00A97FD5">
      <w:r w:rsidRPr="00944EE7">
        <w:t>Patients were randomized to receive INQOVI (</w:t>
      </w:r>
      <w:r w:rsidRPr="00944EE7">
        <w:rPr>
          <w:rFonts w:eastAsia="Times New Roman"/>
        </w:rPr>
        <w:t>35 mg decitabine and 100 mg cedazuridine</w:t>
      </w:r>
      <w:r w:rsidRPr="00944EE7">
        <w:t>) orally once daily on Days 1 through 5 in Cycle 1 and decitabine 20 mg/m</w:t>
      </w:r>
      <w:r w:rsidRPr="00944EE7">
        <w:rPr>
          <w:vertAlign w:val="superscript"/>
        </w:rPr>
        <w:t>2</w:t>
      </w:r>
      <w:r w:rsidRPr="00944EE7">
        <w:t xml:space="preserve"> intravenously on Days 1 through 5 in Cycle 2, or the reverse sequence, and then INQOVI (</w:t>
      </w:r>
      <w:r w:rsidRPr="00944EE7">
        <w:rPr>
          <w:rFonts w:eastAsia="Times New Roman"/>
        </w:rPr>
        <w:t>35 mg decitabine and 100 mg cedazuridine</w:t>
      </w:r>
      <w:r w:rsidRPr="00944EE7">
        <w:t xml:space="preserve">) orally once daily on Days 1 through 5 of each 28-day cycle in Cycles 3 and beyond. Patients were allowed to have one prior cycle of decitabine or </w:t>
      </w:r>
      <w:proofErr w:type="spellStart"/>
      <w:r w:rsidRPr="00944EE7">
        <w:t>azacitidine</w:t>
      </w:r>
      <w:proofErr w:type="spellEnd"/>
      <w:r w:rsidRPr="00944EE7">
        <w:t xml:space="preserve"> and there was no limit for body weight or surface area. Among the patients who </w:t>
      </w:r>
      <w:r w:rsidRPr="004E702A">
        <w:t>received INQOVI</w:t>
      </w:r>
      <w:r w:rsidR="00B93956" w:rsidRPr="004E702A">
        <w:t xml:space="preserve"> 35/100</w:t>
      </w:r>
      <w:r w:rsidRPr="004E702A">
        <w:t xml:space="preserve">, 61% of patients were exposed for 6 months or longer and 24% were exposed to INQOVI </w:t>
      </w:r>
      <w:r w:rsidR="00B93956" w:rsidRPr="004E702A">
        <w:t xml:space="preserve">35/100 </w:t>
      </w:r>
      <w:r w:rsidRPr="004E702A">
        <w:t>for greater than 1 year.</w:t>
      </w:r>
    </w:p>
    <w:p w14:paraId="701EEE2D" w14:textId="5FD017C3" w:rsidR="00944EE7" w:rsidRPr="004E702A" w:rsidRDefault="00944EE7" w:rsidP="00A97FD5">
      <w:bookmarkStart w:id="21" w:name="_Hlk8295375"/>
      <w:r w:rsidRPr="004E702A">
        <w:t xml:space="preserve">Serious adverse reactions occurred in 68% of patients who received </w:t>
      </w:r>
      <w:bookmarkEnd w:id="21"/>
      <w:r w:rsidRPr="004E702A">
        <w:t>INQOVI</w:t>
      </w:r>
      <w:r w:rsidR="00B93956" w:rsidRPr="004E702A">
        <w:t xml:space="preserve"> 35/100</w:t>
      </w:r>
      <w:r w:rsidRPr="004E702A">
        <w:t>. Serious adverse reactions in &gt; 5% of patients included febrile neutropenia (30%), pneumonia (14%), and sepsis (13%). Fatal adverse reactions occurred in 6% of patients. These included sepsis (1%), septic shock (1%), pneumonia (1%), respiratory failure (1%), and one case each of cerebral hemorrhage and sudden death.</w:t>
      </w:r>
    </w:p>
    <w:p w14:paraId="6DA43512" w14:textId="3E4FE8AC" w:rsidR="00944EE7" w:rsidRPr="004E702A" w:rsidRDefault="00944EE7" w:rsidP="00A97FD5">
      <w:bookmarkStart w:id="22" w:name="_Hlk31802908"/>
      <w:r w:rsidRPr="004E702A">
        <w:t xml:space="preserve">Permanent discontinuation due to an adverse reaction occurred in </w:t>
      </w:r>
      <w:bookmarkEnd w:id="22"/>
      <w:r w:rsidRPr="004E702A">
        <w:t>5% of patients who received INQOVI</w:t>
      </w:r>
      <w:r w:rsidR="00B93956" w:rsidRPr="004E702A">
        <w:t xml:space="preserve"> 35/100</w:t>
      </w:r>
      <w:r w:rsidRPr="004E702A">
        <w:t>. The most frequent adverse reactions resulting in permanent discontinuation were febrile neutropenia (1%) and pneumonia (1%).</w:t>
      </w:r>
    </w:p>
    <w:p w14:paraId="4F94F623" w14:textId="0BD023C0" w:rsidR="00944EE7" w:rsidRPr="004E702A" w:rsidRDefault="00944EE7" w:rsidP="00A97FD5">
      <w:r w:rsidRPr="004E702A">
        <w:t>Dose interruptions due to an adverse reaction occurred in 41% of patients who received INQOVI</w:t>
      </w:r>
      <w:r w:rsidR="00B93956" w:rsidRPr="004E702A">
        <w:t xml:space="preserve"> 35/100</w:t>
      </w:r>
      <w:r w:rsidRPr="004E702A">
        <w:t>. Adverse</w:t>
      </w:r>
      <w:r w:rsidRPr="00944EE7">
        <w:t xml:space="preserve"> reactions requiring dosage interruptions in &gt; 5% of patients who </w:t>
      </w:r>
      <w:r w:rsidRPr="004E702A">
        <w:t>received INQOVI</w:t>
      </w:r>
      <w:r w:rsidR="00B93956" w:rsidRPr="004E702A">
        <w:t xml:space="preserve"> 35/100</w:t>
      </w:r>
      <w:r w:rsidRPr="004E702A">
        <w:t xml:space="preserve"> included neutropenia (18%), febrile neutropenia (8%), thrombocytopenia (6%), and anemia (5%).</w:t>
      </w:r>
    </w:p>
    <w:p w14:paraId="20B38DA2" w14:textId="6DB8309A" w:rsidR="00944EE7" w:rsidRPr="004E702A" w:rsidRDefault="00944EE7" w:rsidP="00A97FD5">
      <w:r w:rsidRPr="004E702A">
        <w:t>Dose reductions due to an adverse reaction occurred in 19% of patients who received INQOVI</w:t>
      </w:r>
      <w:r w:rsidR="00B93956" w:rsidRPr="004E702A">
        <w:t xml:space="preserve"> 35/100</w:t>
      </w:r>
      <w:r w:rsidRPr="004E702A">
        <w:t>. Adverse reactions requiring dosage reductions in &gt; 2% of patients who received INQOVI</w:t>
      </w:r>
      <w:r w:rsidR="00B93956" w:rsidRPr="004E702A">
        <w:t xml:space="preserve"> 35/100</w:t>
      </w:r>
      <w:r w:rsidRPr="004E702A">
        <w:t xml:space="preserve"> included neutropenia (12%), anemia (3%), and thrombocytopenia (3%).</w:t>
      </w:r>
    </w:p>
    <w:p w14:paraId="234D4F6D" w14:textId="34CC132E" w:rsidR="00944EE7" w:rsidRPr="004E702A" w:rsidRDefault="00944EE7" w:rsidP="00A97FD5">
      <w:pPr>
        <w:rPr>
          <w:rFonts w:eastAsia="Calibri"/>
        </w:rPr>
      </w:pPr>
      <w:r w:rsidRPr="004E702A">
        <w:rPr>
          <w:rFonts w:eastAsia="Calibri"/>
        </w:rPr>
        <w:t>The most common adverse reactions (</w:t>
      </w:r>
      <w:r w:rsidR="00A97FD5">
        <w:rPr>
          <w:rFonts w:eastAsia="Calibri"/>
        </w:rPr>
        <w:sym w:font="Symbol" w:char="F0B3"/>
      </w:r>
      <w:r w:rsidRPr="004E702A">
        <w:rPr>
          <w:rFonts w:eastAsia="Calibri"/>
        </w:rPr>
        <w:t xml:space="preserve"> 20%) were fatigue, constipation, hemorrhage, myalgia, </w:t>
      </w:r>
      <w:proofErr w:type="spellStart"/>
      <w:r w:rsidRPr="004E702A">
        <w:rPr>
          <w:rFonts w:eastAsia="Calibri"/>
        </w:rPr>
        <w:t>mucositis</w:t>
      </w:r>
      <w:proofErr w:type="spellEnd"/>
      <w:r w:rsidRPr="004E702A">
        <w:rPr>
          <w:rFonts w:eastAsia="Calibri"/>
        </w:rPr>
        <w:t xml:space="preserve">, arthralgia, nausea, </w:t>
      </w:r>
      <w:proofErr w:type="spellStart"/>
      <w:r w:rsidRPr="004E702A">
        <w:rPr>
          <w:rFonts w:eastAsia="Calibri"/>
        </w:rPr>
        <w:t>dyspn</w:t>
      </w:r>
      <w:r w:rsidR="00BD566D" w:rsidRPr="004E702A">
        <w:rPr>
          <w:rFonts w:eastAsia="Calibri"/>
        </w:rPr>
        <w:t>o</w:t>
      </w:r>
      <w:r w:rsidRPr="004E702A">
        <w:rPr>
          <w:rFonts w:eastAsia="Calibri"/>
        </w:rPr>
        <w:t>ea</w:t>
      </w:r>
      <w:proofErr w:type="spellEnd"/>
      <w:r w:rsidRPr="004E702A">
        <w:rPr>
          <w:rFonts w:eastAsia="Calibri"/>
        </w:rPr>
        <w:t xml:space="preserve">, </w:t>
      </w:r>
      <w:proofErr w:type="spellStart"/>
      <w:r w:rsidRPr="004E702A">
        <w:rPr>
          <w:rFonts w:eastAsia="Calibri"/>
        </w:rPr>
        <w:t>diarrh</w:t>
      </w:r>
      <w:r w:rsidR="00BD566D" w:rsidRPr="004E702A">
        <w:rPr>
          <w:rFonts w:eastAsia="Calibri"/>
        </w:rPr>
        <w:t>oe</w:t>
      </w:r>
      <w:r w:rsidRPr="004E702A">
        <w:rPr>
          <w:rFonts w:eastAsia="Calibri"/>
        </w:rPr>
        <w:t>a</w:t>
      </w:r>
      <w:proofErr w:type="spellEnd"/>
      <w:r w:rsidRPr="004E702A">
        <w:rPr>
          <w:rFonts w:eastAsia="Calibri"/>
        </w:rPr>
        <w:t xml:space="preserve">, rash, dizziness, febrile neutropenia, </w:t>
      </w:r>
      <w:r w:rsidR="00BD566D" w:rsidRPr="004E702A">
        <w:rPr>
          <w:rFonts w:eastAsia="Calibri"/>
        </w:rPr>
        <w:t>o</w:t>
      </w:r>
      <w:r w:rsidRPr="004E702A">
        <w:rPr>
          <w:rFonts w:eastAsia="Calibri"/>
        </w:rPr>
        <w:t xml:space="preserve">edema, headache, cough, decreased appetite, upper respiratory tract infection, pneumonia, and transaminase increased. </w:t>
      </w:r>
      <w:bookmarkStart w:id="23" w:name="_Hlk40856159"/>
      <w:r w:rsidRPr="004E702A">
        <w:rPr>
          <w:rFonts w:eastAsia="Calibri"/>
        </w:rPr>
        <w:t>The most common Grade 3 or 4 laboratory abnormalities (</w:t>
      </w:r>
      <w:r w:rsidR="00A97FD5">
        <w:rPr>
          <w:rFonts w:eastAsia="Calibri"/>
        </w:rPr>
        <w:sym w:font="Symbol" w:char="F0B3"/>
      </w:r>
      <w:r w:rsidRPr="004E702A">
        <w:rPr>
          <w:rFonts w:eastAsia="Calibri"/>
        </w:rPr>
        <w:t xml:space="preserve"> 50%) were leukocytes decreased, platelet count decreased, neutrophil count decreased, and </w:t>
      </w:r>
      <w:proofErr w:type="spellStart"/>
      <w:r w:rsidRPr="004E702A">
        <w:rPr>
          <w:rFonts w:eastAsia="Calibri"/>
        </w:rPr>
        <w:t>h</w:t>
      </w:r>
      <w:r w:rsidR="00BD566D" w:rsidRPr="004E702A">
        <w:rPr>
          <w:rFonts w:eastAsia="Calibri"/>
        </w:rPr>
        <w:t>a</w:t>
      </w:r>
      <w:r w:rsidRPr="004E702A">
        <w:rPr>
          <w:rFonts w:eastAsia="Calibri"/>
        </w:rPr>
        <w:t>emoglobin</w:t>
      </w:r>
      <w:proofErr w:type="spellEnd"/>
      <w:r w:rsidRPr="004E702A">
        <w:rPr>
          <w:rFonts w:eastAsia="Calibri"/>
        </w:rPr>
        <w:t xml:space="preserve"> decreased. </w:t>
      </w:r>
    </w:p>
    <w:bookmarkEnd w:id="23"/>
    <w:p w14:paraId="67ECDEB0" w14:textId="77777777" w:rsidR="00944EE7" w:rsidRPr="004E702A" w:rsidRDefault="00944EE7" w:rsidP="00944EE7">
      <w:pPr>
        <w:spacing w:before="0" w:after="200" w:line="276" w:lineRule="auto"/>
        <w:rPr>
          <w:rFonts w:eastAsia="Calibri"/>
          <w:color w:val="auto"/>
        </w:rPr>
      </w:pPr>
      <w:r w:rsidRPr="004E702A">
        <w:rPr>
          <w:rFonts w:eastAsia="Times New Roman"/>
          <w:color w:val="auto"/>
        </w:rPr>
        <w:fldChar w:fldCharType="begin"/>
      </w:r>
      <w:r w:rsidRPr="004E702A">
        <w:rPr>
          <w:rFonts w:eastAsia="Times New Roman"/>
          <w:color w:val="auto"/>
        </w:rPr>
        <w:instrText xml:space="preserve"> HYPERLINK  \l "_Table_2:_Adverse" </w:instrText>
      </w:r>
      <w:r w:rsidRPr="004E702A">
        <w:rPr>
          <w:rFonts w:eastAsia="Times New Roman"/>
          <w:color w:val="auto"/>
        </w:rPr>
        <w:fldChar w:fldCharType="separate"/>
      </w:r>
      <w:r w:rsidRPr="004E702A">
        <w:rPr>
          <w:rFonts w:eastAsia="Times New Roman"/>
          <w:color w:val="0000FF"/>
          <w:u w:val="single"/>
        </w:rPr>
        <w:t>Table 2</w:t>
      </w:r>
      <w:r w:rsidRPr="004E702A">
        <w:rPr>
          <w:rFonts w:eastAsia="Times New Roman"/>
          <w:color w:val="auto"/>
        </w:rPr>
        <w:fldChar w:fldCharType="end"/>
      </w:r>
      <w:r w:rsidRPr="004E702A">
        <w:rPr>
          <w:rFonts w:eastAsia="Times New Roman"/>
          <w:color w:val="auto"/>
        </w:rPr>
        <w:t xml:space="preserve"> summarizes the adverse reactions in the pooled safety population.</w:t>
      </w:r>
    </w:p>
    <w:p w14:paraId="0527FAD4" w14:textId="053F2AAE" w:rsidR="00944EE7" w:rsidRPr="00944EE7" w:rsidRDefault="00944EE7" w:rsidP="00A97FD5">
      <w:pPr>
        <w:keepNext/>
        <w:pageBreakBefore/>
        <w:tabs>
          <w:tab w:val="left" w:pos="270"/>
        </w:tabs>
        <w:spacing w:before="0" w:after="240"/>
        <w:ind w:left="1259" w:hanging="1259"/>
        <w:outlineLvl w:val="2"/>
        <w:rPr>
          <w:rFonts w:eastAsia="Times New Roman"/>
          <w:b/>
          <w:color w:val="auto"/>
          <w:szCs w:val="20"/>
        </w:rPr>
      </w:pPr>
      <w:bookmarkStart w:id="24" w:name="_Table_2:_Adverse"/>
      <w:bookmarkEnd w:id="24"/>
      <w:r w:rsidRPr="004E702A">
        <w:rPr>
          <w:rFonts w:eastAsia="Times New Roman"/>
          <w:b/>
          <w:color w:val="auto"/>
          <w:szCs w:val="20"/>
        </w:rPr>
        <w:t>Table 2:</w:t>
      </w:r>
      <w:r w:rsidRPr="004E702A">
        <w:rPr>
          <w:rFonts w:eastAsia="Times New Roman"/>
          <w:b/>
          <w:color w:val="auto"/>
          <w:szCs w:val="20"/>
        </w:rPr>
        <w:tab/>
        <w:t>Adverse Reactions (</w:t>
      </w:r>
      <w:r w:rsidR="00A97FD5">
        <w:rPr>
          <w:rFonts w:eastAsia="Calibri"/>
        </w:rPr>
        <w:sym w:font="Symbol" w:char="F0B3"/>
      </w:r>
      <w:r w:rsidRPr="004E702A">
        <w:rPr>
          <w:rFonts w:eastAsia="Times New Roman"/>
          <w:b/>
          <w:color w:val="auto"/>
          <w:szCs w:val="20"/>
        </w:rPr>
        <w:t xml:space="preserve"> 10%) in Patients Who Received INQOVI </w:t>
      </w:r>
      <w:r w:rsidR="00B93956" w:rsidRPr="004E702A">
        <w:rPr>
          <w:b/>
          <w:bCs/>
        </w:rPr>
        <w:t>35/100</w:t>
      </w:r>
      <w:r w:rsidR="00B93956" w:rsidRPr="004E702A">
        <w:t xml:space="preserve"> </w:t>
      </w:r>
      <w:r w:rsidRPr="004E702A">
        <w:rPr>
          <w:rFonts w:eastAsia="Times New Roman"/>
          <w:b/>
          <w:color w:val="auto"/>
          <w:szCs w:val="20"/>
        </w:rPr>
        <w:t>in</w:t>
      </w:r>
      <w:r w:rsidRPr="00944EE7">
        <w:rPr>
          <w:rFonts w:eastAsia="Times New Roman"/>
          <w:b/>
          <w:color w:val="auto"/>
          <w:szCs w:val="20"/>
        </w:rPr>
        <w:t xml:space="preserve"> Pooled Safety Population</w:t>
      </w:r>
    </w:p>
    <w:tbl>
      <w:tblPr>
        <w:tblW w:w="490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27"/>
        <w:gridCol w:w="1019"/>
        <w:gridCol w:w="1019"/>
        <w:gridCol w:w="1019"/>
        <w:gridCol w:w="1019"/>
        <w:gridCol w:w="1019"/>
        <w:gridCol w:w="1024"/>
      </w:tblGrid>
      <w:tr w:rsidR="00944EE7" w:rsidRPr="00944EE7" w14:paraId="24129D77" w14:textId="77777777" w:rsidTr="00B93956">
        <w:trPr>
          <w:tblHeader/>
          <w:jc w:val="center"/>
        </w:trPr>
        <w:tc>
          <w:tcPr>
            <w:tcW w:w="1541" w:type="pct"/>
            <w:vMerge w:val="restart"/>
            <w:tcMar>
              <w:top w:w="0" w:type="dxa"/>
              <w:left w:w="108" w:type="dxa"/>
              <w:bottom w:w="0" w:type="dxa"/>
              <w:right w:w="108" w:type="dxa"/>
            </w:tcMar>
            <w:vAlign w:val="bottom"/>
            <w:hideMark/>
          </w:tcPr>
          <w:p w14:paraId="69CE5847" w14:textId="77777777" w:rsidR="00944EE7" w:rsidRPr="00944EE7" w:rsidRDefault="00944EE7" w:rsidP="00944EE7">
            <w:pPr>
              <w:keepNext/>
              <w:autoSpaceDE w:val="0"/>
              <w:autoSpaceDN w:val="0"/>
              <w:spacing w:before="0" w:after="200"/>
              <w:rPr>
                <w:rFonts w:eastAsia="Times New Roman"/>
                <w:color w:val="auto"/>
                <w:sz w:val="20"/>
                <w:szCs w:val="20"/>
              </w:rPr>
            </w:pPr>
            <w:r w:rsidRPr="00944EE7">
              <w:rPr>
                <w:rFonts w:eastAsia="Times New Roman"/>
                <w:b/>
                <w:bCs/>
                <w:color w:val="auto"/>
                <w:sz w:val="20"/>
                <w:szCs w:val="20"/>
              </w:rPr>
              <w:t>Adverse Reactions</w:t>
            </w:r>
          </w:p>
        </w:tc>
        <w:tc>
          <w:tcPr>
            <w:tcW w:w="1152" w:type="pct"/>
            <w:gridSpan w:val="2"/>
            <w:tcMar>
              <w:top w:w="0" w:type="dxa"/>
              <w:left w:w="108" w:type="dxa"/>
              <w:bottom w:w="0" w:type="dxa"/>
              <w:right w:w="108" w:type="dxa"/>
            </w:tcMar>
            <w:vAlign w:val="bottom"/>
            <w:hideMark/>
          </w:tcPr>
          <w:p w14:paraId="2C1D7DA7" w14:textId="46719E55" w:rsidR="00944EE7" w:rsidRPr="00A13501" w:rsidRDefault="00944EE7" w:rsidP="00944EE7">
            <w:pPr>
              <w:keepNext/>
              <w:autoSpaceDE w:val="0"/>
              <w:autoSpaceDN w:val="0"/>
              <w:spacing w:before="0" w:after="200"/>
              <w:jc w:val="center"/>
              <w:rPr>
                <w:rFonts w:eastAsia="Times New Roman"/>
                <w:b/>
                <w:bCs/>
                <w:color w:val="auto"/>
                <w:sz w:val="20"/>
                <w:szCs w:val="20"/>
              </w:rPr>
            </w:pPr>
            <w:r w:rsidRPr="00A13501">
              <w:rPr>
                <w:rFonts w:eastAsia="Times New Roman"/>
                <w:b/>
                <w:bCs/>
                <w:color w:val="auto"/>
                <w:sz w:val="20"/>
                <w:szCs w:val="20"/>
              </w:rPr>
              <w:t>INQOVI</w:t>
            </w:r>
            <w:r w:rsidR="00B93956" w:rsidRPr="00A13501">
              <w:rPr>
                <w:rFonts w:eastAsia="Times New Roman"/>
                <w:b/>
                <w:bCs/>
                <w:color w:val="auto"/>
                <w:sz w:val="20"/>
                <w:szCs w:val="20"/>
              </w:rPr>
              <w:t xml:space="preserve"> 35/100</w:t>
            </w:r>
            <w:r w:rsidRPr="00A13501">
              <w:rPr>
                <w:rFonts w:eastAsia="Times New Roman"/>
                <w:b/>
                <w:bCs/>
                <w:color w:val="auto"/>
                <w:sz w:val="20"/>
                <w:szCs w:val="20"/>
              </w:rPr>
              <w:br/>
              <w:t>Cycle 1</w:t>
            </w:r>
            <w:r w:rsidRPr="00A13501">
              <w:rPr>
                <w:rFonts w:eastAsia="Times New Roman"/>
                <w:b/>
                <w:bCs/>
                <w:color w:val="auto"/>
                <w:sz w:val="20"/>
                <w:szCs w:val="20"/>
              </w:rPr>
              <w:br/>
              <w:t>N=107</w:t>
            </w:r>
          </w:p>
        </w:tc>
        <w:tc>
          <w:tcPr>
            <w:tcW w:w="1152" w:type="pct"/>
            <w:gridSpan w:val="2"/>
            <w:tcMar>
              <w:top w:w="0" w:type="dxa"/>
              <w:left w:w="108" w:type="dxa"/>
              <w:bottom w:w="0" w:type="dxa"/>
              <w:right w:w="108" w:type="dxa"/>
            </w:tcMar>
            <w:vAlign w:val="center"/>
            <w:hideMark/>
          </w:tcPr>
          <w:p w14:paraId="026A2BB1" w14:textId="77777777" w:rsidR="00944EE7" w:rsidRPr="00A13501" w:rsidRDefault="00944EE7" w:rsidP="00944EE7">
            <w:pPr>
              <w:keepNext/>
              <w:autoSpaceDE w:val="0"/>
              <w:autoSpaceDN w:val="0"/>
              <w:spacing w:before="0" w:after="200"/>
              <w:jc w:val="center"/>
              <w:rPr>
                <w:rFonts w:eastAsia="Times New Roman"/>
                <w:b/>
                <w:bCs/>
                <w:color w:val="auto"/>
                <w:sz w:val="20"/>
                <w:szCs w:val="20"/>
              </w:rPr>
            </w:pPr>
            <w:r w:rsidRPr="00A13501">
              <w:rPr>
                <w:rFonts w:eastAsia="Times New Roman"/>
                <w:b/>
                <w:bCs/>
                <w:color w:val="auto"/>
                <w:sz w:val="20"/>
                <w:szCs w:val="20"/>
              </w:rPr>
              <w:t>Intravenous Decitabine</w:t>
            </w:r>
            <w:r w:rsidRPr="00A13501">
              <w:rPr>
                <w:rFonts w:eastAsia="Times New Roman"/>
                <w:b/>
                <w:bCs/>
                <w:color w:val="auto"/>
                <w:sz w:val="20"/>
                <w:szCs w:val="20"/>
              </w:rPr>
              <w:br/>
              <w:t>Cycle 1</w:t>
            </w:r>
            <w:r w:rsidRPr="00A13501">
              <w:rPr>
                <w:rFonts w:eastAsia="Times New Roman"/>
                <w:b/>
                <w:bCs/>
                <w:color w:val="auto"/>
                <w:sz w:val="20"/>
                <w:szCs w:val="20"/>
              </w:rPr>
              <w:br/>
              <w:t>N=106</w:t>
            </w:r>
          </w:p>
        </w:tc>
        <w:tc>
          <w:tcPr>
            <w:tcW w:w="1155" w:type="pct"/>
            <w:gridSpan w:val="2"/>
            <w:tcMar>
              <w:top w:w="0" w:type="dxa"/>
              <w:left w:w="108" w:type="dxa"/>
              <w:bottom w:w="0" w:type="dxa"/>
              <w:right w:w="108" w:type="dxa"/>
            </w:tcMar>
            <w:vAlign w:val="bottom"/>
          </w:tcPr>
          <w:p w14:paraId="3E1AC55F" w14:textId="118589F1" w:rsidR="00944EE7" w:rsidRPr="00A13501" w:rsidRDefault="00944EE7" w:rsidP="00944EE7">
            <w:pPr>
              <w:keepNext/>
              <w:autoSpaceDE w:val="0"/>
              <w:autoSpaceDN w:val="0"/>
              <w:spacing w:before="0" w:after="200"/>
              <w:jc w:val="center"/>
              <w:rPr>
                <w:rFonts w:eastAsia="Times New Roman"/>
                <w:b/>
                <w:bCs/>
                <w:color w:val="auto"/>
                <w:sz w:val="20"/>
                <w:szCs w:val="20"/>
              </w:rPr>
            </w:pPr>
            <w:r w:rsidRPr="00A13501">
              <w:rPr>
                <w:rFonts w:eastAsia="Times New Roman"/>
                <w:b/>
                <w:bCs/>
                <w:color w:val="auto"/>
                <w:sz w:val="20"/>
                <w:szCs w:val="20"/>
              </w:rPr>
              <w:t>INQOVI</w:t>
            </w:r>
            <w:r w:rsidR="00B93956" w:rsidRPr="00A13501">
              <w:rPr>
                <w:rFonts w:eastAsia="Times New Roman"/>
                <w:b/>
                <w:bCs/>
                <w:color w:val="auto"/>
                <w:sz w:val="20"/>
                <w:szCs w:val="20"/>
              </w:rPr>
              <w:t xml:space="preserve"> 35/100</w:t>
            </w:r>
            <w:r w:rsidRPr="00A13501">
              <w:rPr>
                <w:rFonts w:eastAsia="Times New Roman"/>
                <w:b/>
                <w:bCs/>
                <w:color w:val="auto"/>
                <w:sz w:val="20"/>
                <w:szCs w:val="20"/>
              </w:rPr>
              <w:t>†</w:t>
            </w:r>
            <w:r w:rsidRPr="00A13501">
              <w:rPr>
                <w:rFonts w:eastAsia="Times New Roman"/>
                <w:b/>
                <w:bCs/>
                <w:color w:val="auto"/>
                <w:sz w:val="20"/>
                <w:szCs w:val="20"/>
              </w:rPr>
              <w:br/>
              <w:t>All Cycles</w:t>
            </w:r>
            <w:r w:rsidRPr="00A13501">
              <w:rPr>
                <w:rFonts w:eastAsia="Times New Roman"/>
                <w:b/>
                <w:bCs/>
                <w:color w:val="auto"/>
                <w:sz w:val="20"/>
                <w:szCs w:val="20"/>
              </w:rPr>
              <w:br/>
              <w:t>N=208</w:t>
            </w:r>
          </w:p>
        </w:tc>
      </w:tr>
      <w:tr w:rsidR="00944EE7" w:rsidRPr="00944EE7" w14:paraId="6329D61A" w14:textId="77777777" w:rsidTr="00B93956">
        <w:trPr>
          <w:tblHeader/>
          <w:jc w:val="center"/>
        </w:trPr>
        <w:tc>
          <w:tcPr>
            <w:tcW w:w="1541" w:type="pct"/>
            <w:vMerge/>
            <w:vAlign w:val="bottom"/>
            <w:hideMark/>
          </w:tcPr>
          <w:p w14:paraId="792FA170" w14:textId="77777777" w:rsidR="00944EE7" w:rsidRPr="00944EE7" w:rsidRDefault="00944EE7" w:rsidP="00944EE7">
            <w:pPr>
              <w:spacing w:before="0" w:after="200"/>
              <w:rPr>
                <w:rFonts w:eastAsiaTheme="minorHAnsi"/>
                <w:color w:val="auto"/>
                <w:sz w:val="20"/>
                <w:szCs w:val="20"/>
              </w:rPr>
            </w:pPr>
          </w:p>
        </w:tc>
        <w:tc>
          <w:tcPr>
            <w:tcW w:w="576" w:type="pct"/>
            <w:tcMar>
              <w:top w:w="0" w:type="dxa"/>
              <w:left w:w="108" w:type="dxa"/>
              <w:bottom w:w="0" w:type="dxa"/>
              <w:right w:w="108" w:type="dxa"/>
            </w:tcMar>
            <w:vAlign w:val="bottom"/>
            <w:hideMark/>
          </w:tcPr>
          <w:p w14:paraId="33514345"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76" w:type="pct"/>
            <w:tcMar>
              <w:top w:w="0" w:type="dxa"/>
              <w:left w:w="108" w:type="dxa"/>
              <w:bottom w:w="0" w:type="dxa"/>
              <w:right w:w="108" w:type="dxa"/>
            </w:tcMar>
            <w:vAlign w:val="bottom"/>
            <w:hideMark/>
          </w:tcPr>
          <w:p w14:paraId="4F8E7207"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  3-4</w:t>
            </w:r>
            <w:r w:rsidRPr="00944EE7">
              <w:rPr>
                <w:rFonts w:eastAsia="Times New Roman"/>
                <w:b/>
                <w:bCs/>
                <w:color w:val="auto"/>
                <w:sz w:val="20"/>
                <w:szCs w:val="20"/>
              </w:rPr>
              <w:br/>
              <w:t>(%)</w:t>
            </w:r>
          </w:p>
        </w:tc>
        <w:tc>
          <w:tcPr>
            <w:tcW w:w="576" w:type="pct"/>
            <w:tcMar>
              <w:top w:w="0" w:type="dxa"/>
              <w:left w:w="108" w:type="dxa"/>
              <w:bottom w:w="0" w:type="dxa"/>
              <w:right w:w="108" w:type="dxa"/>
            </w:tcMar>
            <w:vAlign w:val="bottom"/>
            <w:hideMark/>
          </w:tcPr>
          <w:p w14:paraId="26B946B8"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76" w:type="pct"/>
            <w:tcMar>
              <w:top w:w="0" w:type="dxa"/>
              <w:left w:w="108" w:type="dxa"/>
              <w:bottom w:w="0" w:type="dxa"/>
              <w:right w:w="108" w:type="dxa"/>
            </w:tcMar>
            <w:vAlign w:val="bottom"/>
            <w:hideMark/>
          </w:tcPr>
          <w:p w14:paraId="2CDAC1F5"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  3-4</w:t>
            </w:r>
            <w:r w:rsidRPr="00944EE7">
              <w:rPr>
                <w:rFonts w:eastAsia="Times New Roman"/>
                <w:b/>
                <w:bCs/>
                <w:color w:val="auto"/>
                <w:sz w:val="20"/>
                <w:szCs w:val="20"/>
              </w:rPr>
              <w:br/>
              <w:t>(%)</w:t>
            </w:r>
          </w:p>
        </w:tc>
        <w:tc>
          <w:tcPr>
            <w:tcW w:w="576" w:type="pct"/>
            <w:tcMar>
              <w:top w:w="0" w:type="dxa"/>
              <w:left w:w="108" w:type="dxa"/>
              <w:bottom w:w="0" w:type="dxa"/>
              <w:right w:w="108" w:type="dxa"/>
            </w:tcMar>
            <w:vAlign w:val="bottom"/>
          </w:tcPr>
          <w:p w14:paraId="5F4FA7EC"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79" w:type="pct"/>
            <w:tcMar>
              <w:top w:w="0" w:type="dxa"/>
              <w:left w:w="108" w:type="dxa"/>
              <w:bottom w:w="0" w:type="dxa"/>
              <w:right w:w="108" w:type="dxa"/>
            </w:tcMar>
            <w:vAlign w:val="bottom"/>
          </w:tcPr>
          <w:p w14:paraId="0DE9F35C"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  3-4</w:t>
            </w:r>
            <w:r w:rsidRPr="00944EE7">
              <w:rPr>
                <w:rFonts w:eastAsia="Times New Roman"/>
                <w:b/>
                <w:bCs/>
                <w:color w:val="auto"/>
                <w:sz w:val="20"/>
                <w:szCs w:val="20"/>
              </w:rPr>
              <w:br/>
              <w:t>(%)</w:t>
            </w:r>
          </w:p>
        </w:tc>
      </w:tr>
      <w:tr w:rsidR="00944EE7" w:rsidRPr="00944EE7" w14:paraId="5AB0ADE4" w14:textId="77777777" w:rsidTr="00B93956">
        <w:trPr>
          <w:trHeight w:val="179"/>
          <w:jc w:val="center"/>
        </w:trPr>
        <w:tc>
          <w:tcPr>
            <w:tcW w:w="5000" w:type="pct"/>
            <w:gridSpan w:val="7"/>
            <w:tcMar>
              <w:top w:w="0" w:type="dxa"/>
              <w:left w:w="108" w:type="dxa"/>
              <w:bottom w:w="0" w:type="dxa"/>
              <w:right w:w="108" w:type="dxa"/>
            </w:tcMar>
            <w:vAlign w:val="center"/>
          </w:tcPr>
          <w:p w14:paraId="5707A0CD" w14:textId="77777777" w:rsidR="00944EE7" w:rsidRPr="00944EE7" w:rsidRDefault="00944EE7" w:rsidP="00944EE7">
            <w:pPr>
              <w:spacing w:before="0" w:after="200"/>
              <w:rPr>
                <w:rFonts w:eastAsia="Times New Roman"/>
                <w:sz w:val="20"/>
              </w:rPr>
            </w:pPr>
            <w:r w:rsidRPr="00944EE7">
              <w:rPr>
                <w:rFonts w:eastAsia="Times New Roman"/>
                <w:b/>
                <w:bCs/>
                <w:color w:val="auto"/>
                <w:sz w:val="20"/>
                <w:szCs w:val="20"/>
              </w:rPr>
              <w:t>General disorders and administration site conditions</w:t>
            </w:r>
          </w:p>
        </w:tc>
      </w:tr>
      <w:tr w:rsidR="00944EE7" w:rsidRPr="00944EE7" w14:paraId="1E0572AB" w14:textId="77777777" w:rsidTr="00B93956">
        <w:trPr>
          <w:trHeight w:val="179"/>
          <w:jc w:val="center"/>
        </w:trPr>
        <w:tc>
          <w:tcPr>
            <w:tcW w:w="1541" w:type="pct"/>
            <w:tcMar>
              <w:top w:w="0" w:type="dxa"/>
              <w:left w:w="108" w:type="dxa"/>
              <w:bottom w:w="0" w:type="dxa"/>
              <w:right w:w="108" w:type="dxa"/>
            </w:tcMar>
            <w:vAlign w:val="center"/>
          </w:tcPr>
          <w:p w14:paraId="470BE05D"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Fatigue</w:t>
            </w:r>
            <w:r w:rsidRPr="00944EE7">
              <w:rPr>
                <w:rFonts w:eastAsia="Times New Roman"/>
                <w:color w:val="auto"/>
                <w:sz w:val="20"/>
                <w:szCs w:val="20"/>
                <w:vertAlign w:val="superscript"/>
              </w:rPr>
              <w:t>1</w:t>
            </w:r>
          </w:p>
        </w:tc>
        <w:tc>
          <w:tcPr>
            <w:tcW w:w="576" w:type="pct"/>
            <w:tcMar>
              <w:top w:w="0" w:type="dxa"/>
              <w:left w:w="108" w:type="dxa"/>
              <w:bottom w:w="0" w:type="dxa"/>
              <w:right w:w="108" w:type="dxa"/>
            </w:tcMar>
            <w:vAlign w:val="center"/>
          </w:tcPr>
          <w:p w14:paraId="2DAB3623" w14:textId="77777777" w:rsidR="00944EE7" w:rsidRPr="00944EE7" w:rsidRDefault="00944EE7" w:rsidP="00944EE7">
            <w:pPr>
              <w:spacing w:before="0" w:after="200"/>
              <w:jc w:val="center"/>
              <w:rPr>
                <w:rFonts w:eastAsia="Times New Roman"/>
                <w:sz w:val="20"/>
              </w:rPr>
            </w:pPr>
            <w:r w:rsidRPr="00944EE7">
              <w:rPr>
                <w:rFonts w:eastAsia="Times New Roman"/>
                <w:sz w:val="20"/>
              </w:rPr>
              <w:t>29</w:t>
            </w:r>
          </w:p>
        </w:tc>
        <w:tc>
          <w:tcPr>
            <w:tcW w:w="576" w:type="pct"/>
            <w:tcMar>
              <w:top w:w="0" w:type="dxa"/>
              <w:left w:w="108" w:type="dxa"/>
              <w:bottom w:w="0" w:type="dxa"/>
              <w:right w:w="108" w:type="dxa"/>
            </w:tcMar>
            <w:vAlign w:val="center"/>
          </w:tcPr>
          <w:p w14:paraId="1C48BB34"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Mar>
              <w:top w:w="0" w:type="dxa"/>
              <w:left w:w="108" w:type="dxa"/>
              <w:bottom w:w="0" w:type="dxa"/>
              <w:right w:w="108" w:type="dxa"/>
            </w:tcMar>
            <w:vAlign w:val="center"/>
          </w:tcPr>
          <w:p w14:paraId="2D426F3E" w14:textId="77777777" w:rsidR="00944EE7" w:rsidRPr="00944EE7" w:rsidRDefault="00944EE7" w:rsidP="00944EE7">
            <w:pPr>
              <w:spacing w:before="0" w:after="200"/>
              <w:jc w:val="center"/>
              <w:rPr>
                <w:rFonts w:eastAsia="Times New Roman"/>
                <w:sz w:val="20"/>
              </w:rPr>
            </w:pPr>
            <w:r w:rsidRPr="00944EE7">
              <w:rPr>
                <w:rFonts w:eastAsia="Times New Roman"/>
                <w:sz w:val="20"/>
              </w:rPr>
              <w:t>25</w:t>
            </w:r>
          </w:p>
        </w:tc>
        <w:tc>
          <w:tcPr>
            <w:tcW w:w="576" w:type="pct"/>
            <w:tcMar>
              <w:top w:w="0" w:type="dxa"/>
              <w:left w:w="108" w:type="dxa"/>
              <w:bottom w:w="0" w:type="dxa"/>
              <w:right w:w="108" w:type="dxa"/>
            </w:tcMar>
            <w:vAlign w:val="center"/>
          </w:tcPr>
          <w:p w14:paraId="68B25D96"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1DBD28F3" w14:textId="77777777" w:rsidR="00944EE7" w:rsidRPr="00944EE7" w:rsidRDefault="00944EE7" w:rsidP="00944EE7">
            <w:pPr>
              <w:spacing w:before="0" w:after="200"/>
              <w:jc w:val="center"/>
              <w:rPr>
                <w:rFonts w:eastAsia="Times New Roman"/>
                <w:sz w:val="20"/>
              </w:rPr>
            </w:pPr>
            <w:r w:rsidRPr="00944EE7">
              <w:rPr>
                <w:rFonts w:eastAsia="Times New Roman"/>
                <w:sz w:val="20"/>
              </w:rPr>
              <w:t>55</w:t>
            </w:r>
          </w:p>
        </w:tc>
        <w:tc>
          <w:tcPr>
            <w:tcW w:w="579" w:type="pct"/>
            <w:tcMar>
              <w:top w:w="0" w:type="dxa"/>
              <w:left w:w="108" w:type="dxa"/>
              <w:bottom w:w="0" w:type="dxa"/>
              <w:right w:w="108" w:type="dxa"/>
            </w:tcMar>
            <w:vAlign w:val="center"/>
          </w:tcPr>
          <w:p w14:paraId="7CD8A380"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r>
      <w:tr w:rsidR="00944EE7" w:rsidRPr="00944EE7" w14:paraId="7B9AE5B9" w14:textId="77777777" w:rsidTr="00B93956">
        <w:trPr>
          <w:trHeight w:val="179"/>
          <w:jc w:val="center"/>
        </w:trPr>
        <w:tc>
          <w:tcPr>
            <w:tcW w:w="1541" w:type="pct"/>
            <w:tcMar>
              <w:top w:w="0" w:type="dxa"/>
              <w:left w:w="108" w:type="dxa"/>
              <w:bottom w:w="0" w:type="dxa"/>
              <w:right w:w="108" w:type="dxa"/>
            </w:tcMar>
            <w:vAlign w:val="center"/>
          </w:tcPr>
          <w:p w14:paraId="520CC5B0" w14:textId="2B207A95"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H</w:t>
            </w:r>
            <w:r w:rsidR="00BD566D">
              <w:rPr>
                <w:rFonts w:eastAsia="Times New Roman"/>
                <w:color w:val="auto"/>
                <w:sz w:val="20"/>
                <w:szCs w:val="20"/>
              </w:rPr>
              <w:t>a</w:t>
            </w:r>
            <w:r w:rsidRPr="00944EE7">
              <w:rPr>
                <w:rFonts w:eastAsia="Times New Roman"/>
                <w:color w:val="auto"/>
                <w:sz w:val="20"/>
                <w:szCs w:val="20"/>
              </w:rPr>
              <w:t>emorrhage</w:t>
            </w:r>
            <w:r w:rsidRPr="00944EE7">
              <w:rPr>
                <w:rFonts w:eastAsia="Times New Roman"/>
                <w:color w:val="auto"/>
                <w:sz w:val="20"/>
                <w:szCs w:val="20"/>
                <w:vertAlign w:val="superscript"/>
              </w:rPr>
              <w:t>2</w:t>
            </w:r>
          </w:p>
        </w:tc>
        <w:tc>
          <w:tcPr>
            <w:tcW w:w="576" w:type="pct"/>
            <w:tcMar>
              <w:top w:w="0" w:type="dxa"/>
              <w:left w:w="108" w:type="dxa"/>
              <w:bottom w:w="0" w:type="dxa"/>
              <w:right w:w="108" w:type="dxa"/>
            </w:tcMar>
            <w:vAlign w:val="center"/>
          </w:tcPr>
          <w:p w14:paraId="4F08DA49" w14:textId="77777777" w:rsidR="00944EE7" w:rsidRPr="00944EE7" w:rsidRDefault="00944EE7" w:rsidP="00944EE7">
            <w:pPr>
              <w:spacing w:before="0" w:after="200"/>
              <w:jc w:val="center"/>
              <w:rPr>
                <w:rFonts w:eastAsia="Times New Roman"/>
                <w:sz w:val="20"/>
              </w:rPr>
            </w:pPr>
            <w:r w:rsidRPr="00944EE7">
              <w:rPr>
                <w:rFonts w:eastAsia="Times New Roman"/>
                <w:sz w:val="20"/>
              </w:rPr>
              <w:t>24</w:t>
            </w:r>
          </w:p>
        </w:tc>
        <w:tc>
          <w:tcPr>
            <w:tcW w:w="576" w:type="pct"/>
            <w:tcMar>
              <w:top w:w="0" w:type="dxa"/>
              <w:left w:w="108" w:type="dxa"/>
              <w:bottom w:w="0" w:type="dxa"/>
              <w:right w:w="108" w:type="dxa"/>
            </w:tcMar>
            <w:vAlign w:val="center"/>
          </w:tcPr>
          <w:p w14:paraId="21AB0B32"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Mar>
              <w:top w:w="0" w:type="dxa"/>
              <w:left w:w="108" w:type="dxa"/>
              <w:bottom w:w="0" w:type="dxa"/>
              <w:right w:w="108" w:type="dxa"/>
            </w:tcMar>
            <w:vAlign w:val="center"/>
          </w:tcPr>
          <w:p w14:paraId="39D94D7D" w14:textId="77777777" w:rsidR="00944EE7" w:rsidRPr="00944EE7" w:rsidRDefault="00944EE7" w:rsidP="00944EE7">
            <w:pPr>
              <w:spacing w:before="0" w:after="200"/>
              <w:jc w:val="center"/>
              <w:rPr>
                <w:rFonts w:eastAsia="Times New Roman"/>
                <w:sz w:val="20"/>
              </w:rPr>
            </w:pPr>
            <w:r w:rsidRPr="00944EE7">
              <w:rPr>
                <w:rFonts w:eastAsia="Times New Roman"/>
                <w:sz w:val="20"/>
              </w:rPr>
              <w:t>17</w:t>
            </w:r>
          </w:p>
        </w:tc>
        <w:tc>
          <w:tcPr>
            <w:tcW w:w="576" w:type="pct"/>
            <w:tcMar>
              <w:top w:w="0" w:type="dxa"/>
              <w:left w:w="108" w:type="dxa"/>
              <w:bottom w:w="0" w:type="dxa"/>
              <w:right w:w="108" w:type="dxa"/>
            </w:tcMar>
            <w:vAlign w:val="center"/>
          </w:tcPr>
          <w:p w14:paraId="607E8375"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7086118B" w14:textId="77777777" w:rsidR="00944EE7" w:rsidRPr="00944EE7" w:rsidRDefault="00944EE7" w:rsidP="00944EE7">
            <w:pPr>
              <w:spacing w:before="0" w:after="200"/>
              <w:jc w:val="center"/>
              <w:rPr>
                <w:rFonts w:eastAsia="Times New Roman"/>
                <w:sz w:val="20"/>
              </w:rPr>
            </w:pPr>
            <w:r w:rsidRPr="00944EE7">
              <w:rPr>
                <w:rFonts w:eastAsia="Times New Roman"/>
                <w:sz w:val="20"/>
              </w:rPr>
              <w:t>43</w:t>
            </w:r>
          </w:p>
        </w:tc>
        <w:tc>
          <w:tcPr>
            <w:tcW w:w="579" w:type="pct"/>
            <w:tcMar>
              <w:top w:w="0" w:type="dxa"/>
              <w:left w:w="108" w:type="dxa"/>
              <w:bottom w:w="0" w:type="dxa"/>
              <w:right w:w="108" w:type="dxa"/>
            </w:tcMar>
            <w:vAlign w:val="center"/>
          </w:tcPr>
          <w:p w14:paraId="625BECDE"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w:t>
            </w:r>
          </w:p>
        </w:tc>
      </w:tr>
      <w:tr w:rsidR="00944EE7" w:rsidRPr="00944EE7" w14:paraId="29D72AA2" w14:textId="77777777" w:rsidTr="00B93956">
        <w:trPr>
          <w:trHeight w:val="179"/>
          <w:jc w:val="center"/>
        </w:trPr>
        <w:tc>
          <w:tcPr>
            <w:tcW w:w="1541" w:type="pct"/>
            <w:tcMar>
              <w:top w:w="0" w:type="dxa"/>
              <w:left w:w="108" w:type="dxa"/>
              <w:bottom w:w="0" w:type="dxa"/>
              <w:right w:w="108" w:type="dxa"/>
            </w:tcMar>
            <w:vAlign w:val="center"/>
          </w:tcPr>
          <w:p w14:paraId="006BEBB0" w14:textId="26DCA994" w:rsidR="00944EE7" w:rsidRPr="00944EE7" w:rsidRDefault="00BD566D" w:rsidP="00944EE7">
            <w:pPr>
              <w:spacing w:before="0" w:after="200"/>
              <w:ind w:left="154"/>
              <w:rPr>
                <w:rFonts w:eastAsia="Times New Roman"/>
                <w:color w:val="auto"/>
                <w:sz w:val="20"/>
                <w:szCs w:val="20"/>
              </w:rPr>
            </w:pPr>
            <w:r>
              <w:rPr>
                <w:rFonts w:eastAsia="Times New Roman"/>
                <w:color w:val="auto"/>
                <w:sz w:val="20"/>
                <w:szCs w:val="20"/>
              </w:rPr>
              <w:t>Oe</w:t>
            </w:r>
            <w:r w:rsidR="00944EE7" w:rsidRPr="00944EE7">
              <w:rPr>
                <w:rFonts w:eastAsia="Times New Roman"/>
                <w:color w:val="auto"/>
                <w:sz w:val="20"/>
                <w:szCs w:val="20"/>
              </w:rPr>
              <w:t>dema</w:t>
            </w:r>
            <w:r w:rsidR="00944EE7" w:rsidRPr="00944EE7">
              <w:rPr>
                <w:rFonts w:eastAsia="Times New Roman"/>
                <w:color w:val="auto"/>
                <w:sz w:val="20"/>
                <w:szCs w:val="20"/>
                <w:vertAlign w:val="superscript"/>
              </w:rPr>
              <w:t>3</w:t>
            </w:r>
          </w:p>
        </w:tc>
        <w:tc>
          <w:tcPr>
            <w:tcW w:w="576" w:type="pct"/>
            <w:tcMar>
              <w:top w:w="0" w:type="dxa"/>
              <w:left w:w="108" w:type="dxa"/>
              <w:bottom w:w="0" w:type="dxa"/>
              <w:right w:w="108" w:type="dxa"/>
            </w:tcMar>
            <w:vAlign w:val="center"/>
          </w:tcPr>
          <w:p w14:paraId="473D6D9E" w14:textId="77777777" w:rsidR="00944EE7" w:rsidRPr="00944EE7" w:rsidRDefault="00944EE7" w:rsidP="00944EE7">
            <w:pPr>
              <w:spacing w:before="0" w:after="200"/>
              <w:jc w:val="center"/>
              <w:rPr>
                <w:rFonts w:eastAsia="Times New Roman"/>
                <w:sz w:val="20"/>
              </w:rPr>
            </w:pPr>
            <w:r w:rsidRPr="00944EE7">
              <w:rPr>
                <w:rFonts w:eastAsia="Times New Roman"/>
                <w:sz w:val="20"/>
              </w:rPr>
              <w:t>10</w:t>
            </w:r>
          </w:p>
        </w:tc>
        <w:tc>
          <w:tcPr>
            <w:tcW w:w="576" w:type="pct"/>
            <w:tcMar>
              <w:top w:w="0" w:type="dxa"/>
              <w:left w:w="108" w:type="dxa"/>
              <w:bottom w:w="0" w:type="dxa"/>
              <w:right w:w="108" w:type="dxa"/>
            </w:tcMar>
            <w:vAlign w:val="center"/>
          </w:tcPr>
          <w:p w14:paraId="1AA32676"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00073691"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6" w:type="pct"/>
            <w:tcMar>
              <w:top w:w="0" w:type="dxa"/>
              <w:left w:w="108" w:type="dxa"/>
              <w:bottom w:w="0" w:type="dxa"/>
              <w:right w:w="108" w:type="dxa"/>
            </w:tcMar>
            <w:vAlign w:val="center"/>
          </w:tcPr>
          <w:p w14:paraId="2FC506E8"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34A6CEE5" w14:textId="77777777" w:rsidR="00944EE7" w:rsidRPr="00944EE7" w:rsidRDefault="00944EE7" w:rsidP="00944EE7">
            <w:pPr>
              <w:spacing w:before="0" w:after="200"/>
              <w:jc w:val="center"/>
              <w:rPr>
                <w:rFonts w:eastAsia="Times New Roman"/>
                <w:sz w:val="20"/>
              </w:rPr>
            </w:pPr>
            <w:r w:rsidRPr="00944EE7">
              <w:rPr>
                <w:rFonts w:eastAsia="Times New Roman"/>
                <w:sz w:val="20"/>
              </w:rPr>
              <w:t>30</w:t>
            </w:r>
          </w:p>
        </w:tc>
        <w:tc>
          <w:tcPr>
            <w:tcW w:w="579" w:type="pct"/>
            <w:tcMar>
              <w:top w:w="0" w:type="dxa"/>
              <w:left w:w="108" w:type="dxa"/>
              <w:bottom w:w="0" w:type="dxa"/>
              <w:right w:w="108" w:type="dxa"/>
            </w:tcMar>
            <w:vAlign w:val="center"/>
          </w:tcPr>
          <w:p w14:paraId="7E5BFBC8" w14:textId="77777777" w:rsidR="00944EE7" w:rsidRPr="00944EE7" w:rsidRDefault="00944EE7" w:rsidP="00944EE7">
            <w:pPr>
              <w:spacing w:before="0" w:after="200"/>
              <w:jc w:val="center"/>
              <w:rPr>
                <w:rFonts w:eastAsia="Times New Roman"/>
                <w:sz w:val="20"/>
              </w:rPr>
            </w:pPr>
            <w:r w:rsidRPr="00944EE7">
              <w:rPr>
                <w:rFonts w:eastAsia="Times New Roman"/>
                <w:sz w:val="20"/>
              </w:rPr>
              <w:t>0.5</w:t>
            </w:r>
          </w:p>
        </w:tc>
      </w:tr>
      <w:tr w:rsidR="00944EE7" w:rsidRPr="00944EE7" w14:paraId="45819B54" w14:textId="77777777" w:rsidTr="00B93956">
        <w:trPr>
          <w:trHeight w:val="179"/>
          <w:jc w:val="center"/>
        </w:trPr>
        <w:tc>
          <w:tcPr>
            <w:tcW w:w="1541" w:type="pct"/>
            <w:tcMar>
              <w:top w:w="0" w:type="dxa"/>
              <w:left w:w="108" w:type="dxa"/>
              <w:bottom w:w="0" w:type="dxa"/>
              <w:right w:w="108" w:type="dxa"/>
            </w:tcMar>
            <w:vAlign w:val="center"/>
          </w:tcPr>
          <w:p w14:paraId="3E8B4FCF"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Pyrexia</w:t>
            </w:r>
          </w:p>
        </w:tc>
        <w:tc>
          <w:tcPr>
            <w:tcW w:w="576" w:type="pct"/>
            <w:tcMar>
              <w:top w:w="0" w:type="dxa"/>
              <w:left w:w="108" w:type="dxa"/>
              <w:bottom w:w="0" w:type="dxa"/>
              <w:right w:w="108" w:type="dxa"/>
            </w:tcMar>
            <w:vAlign w:val="center"/>
          </w:tcPr>
          <w:p w14:paraId="01819291"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62E07A66"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58C47DF6"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052122AF"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633C3EA8" w14:textId="77777777" w:rsidR="00944EE7" w:rsidRPr="00944EE7" w:rsidRDefault="00944EE7" w:rsidP="00944EE7">
            <w:pPr>
              <w:spacing w:before="0" w:after="200"/>
              <w:jc w:val="center"/>
              <w:rPr>
                <w:rFonts w:eastAsia="Times New Roman"/>
                <w:sz w:val="20"/>
              </w:rPr>
            </w:pPr>
            <w:r w:rsidRPr="00944EE7">
              <w:rPr>
                <w:rFonts w:eastAsia="Times New Roman"/>
                <w:sz w:val="20"/>
              </w:rPr>
              <w:t>19</w:t>
            </w:r>
          </w:p>
        </w:tc>
        <w:tc>
          <w:tcPr>
            <w:tcW w:w="579" w:type="pct"/>
            <w:tcMar>
              <w:top w:w="0" w:type="dxa"/>
              <w:left w:w="108" w:type="dxa"/>
              <w:bottom w:w="0" w:type="dxa"/>
              <w:right w:w="108" w:type="dxa"/>
            </w:tcMar>
            <w:vAlign w:val="center"/>
          </w:tcPr>
          <w:p w14:paraId="193C9DE2"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r>
      <w:tr w:rsidR="00944EE7" w:rsidRPr="00944EE7" w14:paraId="1EE251FC" w14:textId="77777777" w:rsidTr="00B93956">
        <w:trPr>
          <w:trHeight w:val="179"/>
          <w:jc w:val="center"/>
        </w:trPr>
        <w:tc>
          <w:tcPr>
            <w:tcW w:w="5000" w:type="pct"/>
            <w:gridSpan w:val="7"/>
            <w:tcMar>
              <w:top w:w="0" w:type="dxa"/>
              <w:left w:w="108" w:type="dxa"/>
              <w:bottom w:w="0" w:type="dxa"/>
              <w:right w:w="108" w:type="dxa"/>
            </w:tcMar>
            <w:vAlign w:val="center"/>
          </w:tcPr>
          <w:p w14:paraId="1830B026" w14:textId="77777777" w:rsidR="00944EE7" w:rsidRPr="00944EE7" w:rsidRDefault="00944EE7" w:rsidP="00944EE7">
            <w:pPr>
              <w:spacing w:before="0" w:after="200"/>
              <w:rPr>
                <w:rFonts w:eastAsia="Times New Roman"/>
                <w:b/>
                <w:bCs/>
                <w:sz w:val="20"/>
              </w:rPr>
            </w:pPr>
            <w:r w:rsidRPr="00944EE7">
              <w:rPr>
                <w:rFonts w:eastAsia="Times New Roman"/>
                <w:b/>
                <w:bCs/>
                <w:color w:val="auto"/>
                <w:sz w:val="20"/>
                <w:szCs w:val="20"/>
              </w:rPr>
              <w:t>Gastrointestinal disorders</w:t>
            </w:r>
          </w:p>
        </w:tc>
      </w:tr>
      <w:tr w:rsidR="00944EE7" w:rsidRPr="00944EE7" w14:paraId="48CDEA82" w14:textId="77777777" w:rsidTr="00B93956">
        <w:trPr>
          <w:trHeight w:val="179"/>
          <w:jc w:val="center"/>
        </w:trPr>
        <w:tc>
          <w:tcPr>
            <w:tcW w:w="1541" w:type="pct"/>
            <w:tcMar>
              <w:top w:w="0" w:type="dxa"/>
              <w:left w:w="108" w:type="dxa"/>
              <w:bottom w:w="0" w:type="dxa"/>
              <w:right w:w="108" w:type="dxa"/>
            </w:tcMar>
            <w:vAlign w:val="center"/>
          </w:tcPr>
          <w:p w14:paraId="6B700284"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Constipation</w:t>
            </w:r>
            <w:r w:rsidRPr="00944EE7">
              <w:rPr>
                <w:rFonts w:eastAsia="Times New Roman"/>
                <w:color w:val="auto"/>
                <w:sz w:val="20"/>
                <w:szCs w:val="20"/>
                <w:vertAlign w:val="superscript"/>
              </w:rPr>
              <w:t>4</w:t>
            </w:r>
          </w:p>
        </w:tc>
        <w:tc>
          <w:tcPr>
            <w:tcW w:w="576" w:type="pct"/>
            <w:tcMar>
              <w:top w:w="0" w:type="dxa"/>
              <w:left w:w="108" w:type="dxa"/>
              <w:bottom w:w="0" w:type="dxa"/>
              <w:right w:w="108" w:type="dxa"/>
            </w:tcMar>
            <w:vAlign w:val="center"/>
          </w:tcPr>
          <w:p w14:paraId="431D7737" w14:textId="77777777" w:rsidR="00944EE7" w:rsidRPr="00944EE7" w:rsidRDefault="00944EE7" w:rsidP="00944EE7">
            <w:pPr>
              <w:spacing w:before="0" w:after="200"/>
              <w:jc w:val="center"/>
              <w:rPr>
                <w:rFonts w:eastAsia="Times New Roman"/>
                <w:sz w:val="20"/>
              </w:rPr>
            </w:pPr>
            <w:r w:rsidRPr="00944EE7">
              <w:rPr>
                <w:rFonts w:eastAsia="Times New Roman"/>
                <w:sz w:val="20"/>
              </w:rPr>
              <w:t>20</w:t>
            </w:r>
          </w:p>
        </w:tc>
        <w:tc>
          <w:tcPr>
            <w:tcW w:w="576" w:type="pct"/>
            <w:tcMar>
              <w:top w:w="0" w:type="dxa"/>
              <w:left w:w="108" w:type="dxa"/>
              <w:bottom w:w="0" w:type="dxa"/>
              <w:right w:w="108" w:type="dxa"/>
            </w:tcMar>
            <w:vAlign w:val="center"/>
          </w:tcPr>
          <w:p w14:paraId="5C735D28"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50C9C21D" w14:textId="77777777" w:rsidR="00944EE7" w:rsidRPr="00944EE7" w:rsidRDefault="00944EE7" w:rsidP="00944EE7">
            <w:pPr>
              <w:spacing w:before="0" w:after="200"/>
              <w:jc w:val="center"/>
              <w:rPr>
                <w:rFonts w:eastAsia="Times New Roman"/>
                <w:sz w:val="20"/>
              </w:rPr>
            </w:pPr>
            <w:r w:rsidRPr="00944EE7">
              <w:rPr>
                <w:rFonts w:eastAsia="Times New Roman"/>
                <w:sz w:val="20"/>
              </w:rPr>
              <w:t>23</w:t>
            </w:r>
          </w:p>
        </w:tc>
        <w:tc>
          <w:tcPr>
            <w:tcW w:w="576" w:type="pct"/>
            <w:tcMar>
              <w:top w:w="0" w:type="dxa"/>
              <w:left w:w="108" w:type="dxa"/>
              <w:bottom w:w="0" w:type="dxa"/>
              <w:right w:w="108" w:type="dxa"/>
            </w:tcMar>
            <w:vAlign w:val="center"/>
          </w:tcPr>
          <w:p w14:paraId="6728B2AB"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1F5B25B0" w14:textId="77777777" w:rsidR="00944EE7" w:rsidRPr="00944EE7" w:rsidRDefault="00944EE7" w:rsidP="00944EE7">
            <w:pPr>
              <w:spacing w:before="0" w:after="200"/>
              <w:jc w:val="center"/>
              <w:rPr>
                <w:rFonts w:eastAsia="Times New Roman"/>
                <w:sz w:val="20"/>
              </w:rPr>
            </w:pPr>
            <w:r w:rsidRPr="00944EE7">
              <w:rPr>
                <w:rFonts w:eastAsia="Times New Roman"/>
                <w:sz w:val="20"/>
              </w:rPr>
              <w:t>44</w:t>
            </w:r>
          </w:p>
        </w:tc>
        <w:tc>
          <w:tcPr>
            <w:tcW w:w="579" w:type="pct"/>
            <w:tcMar>
              <w:top w:w="0" w:type="dxa"/>
              <w:left w:w="108" w:type="dxa"/>
              <w:bottom w:w="0" w:type="dxa"/>
              <w:right w:w="108" w:type="dxa"/>
            </w:tcMar>
            <w:vAlign w:val="center"/>
          </w:tcPr>
          <w:p w14:paraId="06C18311"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r>
      <w:tr w:rsidR="00944EE7" w:rsidRPr="00944EE7" w14:paraId="75D48BE0" w14:textId="77777777" w:rsidTr="00B93956">
        <w:trPr>
          <w:trHeight w:val="179"/>
          <w:jc w:val="center"/>
        </w:trPr>
        <w:tc>
          <w:tcPr>
            <w:tcW w:w="1541" w:type="pct"/>
            <w:tcMar>
              <w:top w:w="0" w:type="dxa"/>
              <w:left w:w="108" w:type="dxa"/>
              <w:bottom w:w="0" w:type="dxa"/>
              <w:right w:w="108" w:type="dxa"/>
            </w:tcMar>
            <w:vAlign w:val="center"/>
          </w:tcPr>
          <w:p w14:paraId="1EAA5412"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Mucositis</w:t>
            </w:r>
            <w:r w:rsidRPr="00944EE7">
              <w:rPr>
                <w:rFonts w:eastAsia="Times New Roman"/>
                <w:color w:val="auto"/>
                <w:sz w:val="20"/>
                <w:szCs w:val="20"/>
                <w:vertAlign w:val="superscript"/>
              </w:rPr>
              <w:t>5</w:t>
            </w:r>
          </w:p>
        </w:tc>
        <w:tc>
          <w:tcPr>
            <w:tcW w:w="576" w:type="pct"/>
            <w:tcMar>
              <w:top w:w="0" w:type="dxa"/>
              <w:left w:w="108" w:type="dxa"/>
              <w:bottom w:w="0" w:type="dxa"/>
              <w:right w:w="108" w:type="dxa"/>
            </w:tcMar>
            <w:vAlign w:val="center"/>
          </w:tcPr>
          <w:p w14:paraId="0767FE06" w14:textId="77777777" w:rsidR="00944EE7" w:rsidRPr="00944EE7" w:rsidRDefault="00944EE7" w:rsidP="00944EE7">
            <w:pPr>
              <w:spacing w:before="0" w:after="200"/>
              <w:jc w:val="center"/>
              <w:rPr>
                <w:rFonts w:eastAsia="Times New Roman"/>
                <w:sz w:val="20"/>
              </w:rPr>
            </w:pPr>
            <w:r w:rsidRPr="00944EE7">
              <w:rPr>
                <w:rFonts w:eastAsia="Times New Roman"/>
                <w:sz w:val="20"/>
              </w:rPr>
              <w:t>18</w:t>
            </w:r>
          </w:p>
        </w:tc>
        <w:tc>
          <w:tcPr>
            <w:tcW w:w="576" w:type="pct"/>
            <w:tcMar>
              <w:top w:w="0" w:type="dxa"/>
              <w:left w:w="108" w:type="dxa"/>
              <w:bottom w:w="0" w:type="dxa"/>
              <w:right w:w="108" w:type="dxa"/>
            </w:tcMar>
            <w:vAlign w:val="center"/>
          </w:tcPr>
          <w:p w14:paraId="3B88EA98"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0E9CAED3" w14:textId="77777777" w:rsidR="00944EE7" w:rsidRPr="00944EE7" w:rsidRDefault="00944EE7" w:rsidP="00944EE7">
            <w:pPr>
              <w:spacing w:before="0" w:after="200"/>
              <w:jc w:val="center"/>
              <w:rPr>
                <w:rFonts w:eastAsia="Times New Roman"/>
                <w:sz w:val="20"/>
              </w:rPr>
            </w:pPr>
            <w:r w:rsidRPr="00944EE7">
              <w:rPr>
                <w:rFonts w:eastAsia="Times New Roman"/>
                <w:sz w:val="20"/>
              </w:rPr>
              <w:t>24</w:t>
            </w:r>
          </w:p>
        </w:tc>
        <w:tc>
          <w:tcPr>
            <w:tcW w:w="576" w:type="pct"/>
            <w:tcMar>
              <w:top w:w="0" w:type="dxa"/>
              <w:left w:w="108" w:type="dxa"/>
              <w:bottom w:w="0" w:type="dxa"/>
              <w:right w:w="108" w:type="dxa"/>
            </w:tcMar>
            <w:vAlign w:val="center"/>
          </w:tcPr>
          <w:p w14:paraId="2BEB93D2"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2</w:t>
            </w:r>
          </w:p>
        </w:tc>
        <w:tc>
          <w:tcPr>
            <w:tcW w:w="576" w:type="pct"/>
            <w:tcMar>
              <w:top w:w="0" w:type="dxa"/>
              <w:left w:w="108" w:type="dxa"/>
              <w:bottom w:w="0" w:type="dxa"/>
              <w:right w:w="108" w:type="dxa"/>
            </w:tcMar>
            <w:vAlign w:val="center"/>
          </w:tcPr>
          <w:p w14:paraId="0792977D" w14:textId="77777777" w:rsidR="00944EE7" w:rsidRPr="00944EE7" w:rsidRDefault="00944EE7" w:rsidP="00944EE7">
            <w:pPr>
              <w:spacing w:before="0" w:after="200"/>
              <w:jc w:val="center"/>
              <w:rPr>
                <w:rFonts w:eastAsia="Times New Roman"/>
                <w:sz w:val="20"/>
              </w:rPr>
            </w:pPr>
            <w:r w:rsidRPr="00944EE7">
              <w:rPr>
                <w:rFonts w:eastAsia="Times New Roman"/>
                <w:sz w:val="20"/>
              </w:rPr>
              <w:t>41</w:t>
            </w:r>
          </w:p>
        </w:tc>
        <w:tc>
          <w:tcPr>
            <w:tcW w:w="579" w:type="pct"/>
            <w:tcMar>
              <w:top w:w="0" w:type="dxa"/>
              <w:left w:w="108" w:type="dxa"/>
              <w:bottom w:w="0" w:type="dxa"/>
              <w:right w:w="108" w:type="dxa"/>
            </w:tcMar>
            <w:vAlign w:val="center"/>
          </w:tcPr>
          <w:p w14:paraId="1DCA52BB" w14:textId="77777777" w:rsidR="00944EE7" w:rsidRPr="00944EE7" w:rsidRDefault="00944EE7" w:rsidP="00944EE7">
            <w:pPr>
              <w:spacing w:before="0" w:after="200"/>
              <w:jc w:val="center"/>
              <w:rPr>
                <w:rFonts w:eastAsia="Times New Roman"/>
                <w:sz w:val="20"/>
              </w:rPr>
            </w:pPr>
            <w:r w:rsidRPr="00944EE7">
              <w:rPr>
                <w:rFonts w:eastAsia="Times New Roman"/>
                <w:sz w:val="20"/>
              </w:rPr>
              <w:t>4</w:t>
            </w:r>
          </w:p>
        </w:tc>
      </w:tr>
      <w:tr w:rsidR="00944EE7" w:rsidRPr="00944EE7" w14:paraId="428F73AD" w14:textId="77777777" w:rsidTr="00B93956">
        <w:trPr>
          <w:trHeight w:val="179"/>
          <w:jc w:val="center"/>
        </w:trPr>
        <w:tc>
          <w:tcPr>
            <w:tcW w:w="1541" w:type="pct"/>
            <w:tcMar>
              <w:top w:w="0" w:type="dxa"/>
              <w:left w:w="108" w:type="dxa"/>
              <w:bottom w:w="0" w:type="dxa"/>
              <w:right w:w="108" w:type="dxa"/>
            </w:tcMar>
            <w:vAlign w:val="center"/>
          </w:tcPr>
          <w:p w14:paraId="7606F633"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Nausea</w:t>
            </w:r>
          </w:p>
        </w:tc>
        <w:tc>
          <w:tcPr>
            <w:tcW w:w="576" w:type="pct"/>
            <w:tcMar>
              <w:top w:w="0" w:type="dxa"/>
              <w:left w:w="108" w:type="dxa"/>
              <w:bottom w:w="0" w:type="dxa"/>
              <w:right w:w="108" w:type="dxa"/>
            </w:tcMar>
            <w:vAlign w:val="center"/>
          </w:tcPr>
          <w:p w14:paraId="041FFD0A" w14:textId="77777777" w:rsidR="00944EE7" w:rsidRPr="00944EE7" w:rsidRDefault="00944EE7" w:rsidP="00944EE7">
            <w:pPr>
              <w:spacing w:before="0" w:after="200"/>
              <w:jc w:val="center"/>
              <w:rPr>
                <w:rFonts w:eastAsia="Times New Roman"/>
                <w:color w:val="auto"/>
                <w:sz w:val="20"/>
              </w:rPr>
            </w:pPr>
            <w:r w:rsidRPr="00944EE7">
              <w:rPr>
                <w:rFonts w:eastAsia="Times New Roman"/>
                <w:sz w:val="20"/>
              </w:rPr>
              <w:t>25</w:t>
            </w:r>
          </w:p>
        </w:tc>
        <w:tc>
          <w:tcPr>
            <w:tcW w:w="576" w:type="pct"/>
            <w:tcMar>
              <w:top w:w="0" w:type="dxa"/>
              <w:left w:w="108" w:type="dxa"/>
              <w:bottom w:w="0" w:type="dxa"/>
              <w:right w:w="108" w:type="dxa"/>
            </w:tcMar>
            <w:vAlign w:val="center"/>
          </w:tcPr>
          <w:p w14:paraId="5A3B1B82"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289B30E1" w14:textId="77777777" w:rsidR="00944EE7" w:rsidRPr="00944EE7" w:rsidRDefault="00944EE7" w:rsidP="00944EE7">
            <w:pPr>
              <w:spacing w:before="0" w:after="200"/>
              <w:jc w:val="center"/>
              <w:rPr>
                <w:rFonts w:eastAsia="Times New Roman"/>
                <w:color w:val="auto"/>
                <w:sz w:val="20"/>
              </w:rPr>
            </w:pPr>
            <w:r w:rsidRPr="00944EE7">
              <w:rPr>
                <w:rFonts w:eastAsia="Times New Roman"/>
                <w:sz w:val="20"/>
              </w:rPr>
              <w:t>16</w:t>
            </w:r>
          </w:p>
        </w:tc>
        <w:tc>
          <w:tcPr>
            <w:tcW w:w="576" w:type="pct"/>
            <w:tcMar>
              <w:top w:w="0" w:type="dxa"/>
              <w:left w:w="108" w:type="dxa"/>
              <w:bottom w:w="0" w:type="dxa"/>
              <w:right w:w="108" w:type="dxa"/>
            </w:tcMar>
            <w:vAlign w:val="center"/>
          </w:tcPr>
          <w:p w14:paraId="64AEFBBB"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27FC2687"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40</w:t>
            </w:r>
          </w:p>
        </w:tc>
        <w:tc>
          <w:tcPr>
            <w:tcW w:w="579" w:type="pct"/>
            <w:tcMar>
              <w:top w:w="0" w:type="dxa"/>
              <w:left w:w="108" w:type="dxa"/>
              <w:bottom w:w="0" w:type="dxa"/>
              <w:right w:w="108" w:type="dxa"/>
            </w:tcMar>
            <w:vAlign w:val="center"/>
          </w:tcPr>
          <w:p w14:paraId="0F5ECA9C"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0.5</w:t>
            </w:r>
          </w:p>
        </w:tc>
      </w:tr>
      <w:tr w:rsidR="00944EE7" w:rsidRPr="00944EE7" w14:paraId="65CEE324" w14:textId="77777777" w:rsidTr="00B93956">
        <w:trPr>
          <w:trHeight w:val="179"/>
          <w:jc w:val="center"/>
        </w:trPr>
        <w:tc>
          <w:tcPr>
            <w:tcW w:w="1541" w:type="pct"/>
            <w:tcMar>
              <w:top w:w="0" w:type="dxa"/>
              <w:left w:w="108" w:type="dxa"/>
              <w:bottom w:w="0" w:type="dxa"/>
              <w:right w:w="108" w:type="dxa"/>
            </w:tcMar>
            <w:vAlign w:val="center"/>
          </w:tcPr>
          <w:p w14:paraId="145585BF" w14:textId="180B7E9F"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Diarrh</w:t>
            </w:r>
            <w:r w:rsidR="00BD566D">
              <w:rPr>
                <w:rFonts w:eastAsia="Times New Roman"/>
                <w:color w:val="auto"/>
                <w:sz w:val="20"/>
                <w:szCs w:val="20"/>
              </w:rPr>
              <w:t>o</w:t>
            </w:r>
            <w:r w:rsidRPr="00944EE7">
              <w:rPr>
                <w:rFonts w:eastAsia="Times New Roman"/>
                <w:color w:val="auto"/>
                <w:sz w:val="20"/>
                <w:szCs w:val="20"/>
              </w:rPr>
              <w:t>ea</w:t>
            </w:r>
            <w:r w:rsidRPr="00944EE7">
              <w:rPr>
                <w:rFonts w:eastAsia="Times New Roman"/>
                <w:color w:val="auto"/>
                <w:sz w:val="20"/>
                <w:szCs w:val="20"/>
                <w:vertAlign w:val="superscript"/>
              </w:rPr>
              <w:t>6</w:t>
            </w:r>
          </w:p>
        </w:tc>
        <w:tc>
          <w:tcPr>
            <w:tcW w:w="576" w:type="pct"/>
            <w:tcMar>
              <w:top w:w="0" w:type="dxa"/>
              <w:left w:w="108" w:type="dxa"/>
              <w:bottom w:w="0" w:type="dxa"/>
              <w:right w:w="108" w:type="dxa"/>
            </w:tcMar>
            <w:vAlign w:val="center"/>
          </w:tcPr>
          <w:p w14:paraId="2FF8B852" w14:textId="77777777" w:rsidR="00944EE7" w:rsidRPr="00944EE7" w:rsidRDefault="00944EE7" w:rsidP="00944EE7">
            <w:pPr>
              <w:spacing w:before="0" w:after="200"/>
              <w:jc w:val="center"/>
              <w:rPr>
                <w:rFonts w:eastAsia="Times New Roman"/>
                <w:sz w:val="20"/>
              </w:rPr>
            </w:pPr>
            <w:r w:rsidRPr="00944EE7">
              <w:rPr>
                <w:rFonts w:eastAsia="Times New Roman"/>
                <w:sz w:val="20"/>
              </w:rPr>
              <w:t>16</w:t>
            </w:r>
          </w:p>
        </w:tc>
        <w:tc>
          <w:tcPr>
            <w:tcW w:w="576" w:type="pct"/>
            <w:tcMar>
              <w:top w:w="0" w:type="dxa"/>
              <w:left w:w="108" w:type="dxa"/>
              <w:bottom w:w="0" w:type="dxa"/>
              <w:right w:w="108" w:type="dxa"/>
            </w:tcMar>
            <w:vAlign w:val="center"/>
          </w:tcPr>
          <w:p w14:paraId="73C3E3A6"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3D014A8B"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6" w:type="pct"/>
            <w:tcMar>
              <w:top w:w="0" w:type="dxa"/>
              <w:left w:w="108" w:type="dxa"/>
              <w:bottom w:w="0" w:type="dxa"/>
              <w:right w:w="108" w:type="dxa"/>
            </w:tcMar>
            <w:vAlign w:val="center"/>
          </w:tcPr>
          <w:p w14:paraId="75959E6B"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07EB6C9B"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37</w:t>
            </w:r>
          </w:p>
        </w:tc>
        <w:tc>
          <w:tcPr>
            <w:tcW w:w="579" w:type="pct"/>
            <w:tcMar>
              <w:top w:w="0" w:type="dxa"/>
              <w:left w:w="108" w:type="dxa"/>
              <w:bottom w:w="0" w:type="dxa"/>
              <w:right w:w="108" w:type="dxa"/>
            </w:tcMar>
            <w:vAlign w:val="center"/>
          </w:tcPr>
          <w:p w14:paraId="6DB221FD"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r>
      <w:tr w:rsidR="00944EE7" w:rsidRPr="00944EE7" w14:paraId="6F235C4C" w14:textId="77777777" w:rsidTr="00B93956">
        <w:trPr>
          <w:trHeight w:val="179"/>
          <w:jc w:val="center"/>
        </w:trPr>
        <w:tc>
          <w:tcPr>
            <w:tcW w:w="1541" w:type="pct"/>
            <w:tcMar>
              <w:top w:w="0" w:type="dxa"/>
              <w:left w:w="108" w:type="dxa"/>
              <w:bottom w:w="0" w:type="dxa"/>
              <w:right w:w="108" w:type="dxa"/>
            </w:tcMar>
            <w:vAlign w:val="center"/>
          </w:tcPr>
          <w:p w14:paraId="4CECBC36"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Transaminase increased</w:t>
            </w:r>
            <w:r w:rsidRPr="00944EE7">
              <w:rPr>
                <w:rFonts w:eastAsia="Times New Roman"/>
                <w:color w:val="auto"/>
                <w:sz w:val="20"/>
                <w:szCs w:val="20"/>
                <w:vertAlign w:val="superscript"/>
              </w:rPr>
              <w:t>7</w:t>
            </w:r>
          </w:p>
        </w:tc>
        <w:tc>
          <w:tcPr>
            <w:tcW w:w="576" w:type="pct"/>
            <w:tcMar>
              <w:top w:w="0" w:type="dxa"/>
              <w:left w:w="108" w:type="dxa"/>
              <w:bottom w:w="0" w:type="dxa"/>
              <w:right w:w="108" w:type="dxa"/>
            </w:tcMar>
            <w:vAlign w:val="center"/>
          </w:tcPr>
          <w:p w14:paraId="30FD3F2E" w14:textId="77777777" w:rsidR="00944EE7" w:rsidRPr="00944EE7" w:rsidRDefault="00944EE7" w:rsidP="00944EE7">
            <w:pPr>
              <w:spacing w:before="0" w:after="200"/>
              <w:jc w:val="center"/>
              <w:rPr>
                <w:rFonts w:eastAsia="Times New Roman"/>
                <w:sz w:val="20"/>
              </w:rPr>
            </w:pPr>
            <w:r w:rsidRPr="00944EE7">
              <w:rPr>
                <w:rFonts w:eastAsia="Times New Roman"/>
                <w:sz w:val="20"/>
              </w:rPr>
              <w:t>12</w:t>
            </w:r>
          </w:p>
        </w:tc>
        <w:tc>
          <w:tcPr>
            <w:tcW w:w="576" w:type="pct"/>
            <w:tcMar>
              <w:top w:w="0" w:type="dxa"/>
              <w:left w:w="108" w:type="dxa"/>
              <w:bottom w:w="0" w:type="dxa"/>
              <w:right w:w="108" w:type="dxa"/>
            </w:tcMar>
            <w:vAlign w:val="center"/>
          </w:tcPr>
          <w:p w14:paraId="7E6DA033"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1</w:t>
            </w:r>
          </w:p>
        </w:tc>
        <w:tc>
          <w:tcPr>
            <w:tcW w:w="576" w:type="pct"/>
            <w:tcMar>
              <w:top w:w="0" w:type="dxa"/>
              <w:left w:w="108" w:type="dxa"/>
              <w:bottom w:w="0" w:type="dxa"/>
              <w:right w:w="108" w:type="dxa"/>
            </w:tcMar>
            <w:vAlign w:val="center"/>
          </w:tcPr>
          <w:p w14:paraId="4EA7B239"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c>
          <w:tcPr>
            <w:tcW w:w="576" w:type="pct"/>
            <w:tcMar>
              <w:top w:w="0" w:type="dxa"/>
              <w:left w:w="108" w:type="dxa"/>
              <w:bottom w:w="0" w:type="dxa"/>
              <w:right w:w="108" w:type="dxa"/>
            </w:tcMar>
            <w:vAlign w:val="center"/>
          </w:tcPr>
          <w:p w14:paraId="126D0B8D"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7C60E7B3" w14:textId="77777777" w:rsidR="00944EE7" w:rsidRPr="00944EE7" w:rsidRDefault="00944EE7" w:rsidP="00944EE7">
            <w:pPr>
              <w:spacing w:before="0" w:after="200"/>
              <w:jc w:val="center"/>
              <w:rPr>
                <w:rFonts w:eastAsia="Times New Roman"/>
                <w:sz w:val="20"/>
              </w:rPr>
            </w:pPr>
            <w:r w:rsidRPr="00944EE7">
              <w:rPr>
                <w:rFonts w:eastAsia="Times New Roman"/>
                <w:sz w:val="20"/>
              </w:rPr>
              <w:t>21</w:t>
            </w:r>
          </w:p>
        </w:tc>
        <w:tc>
          <w:tcPr>
            <w:tcW w:w="579" w:type="pct"/>
            <w:tcMar>
              <w:top w:w="0" w:type="dxa"/>
              <w:left w:w="108" w:type="dxa"/>
              <w:bottom w:w="0" w:type="dxa"/>
              <w:right w:w="108" w:type="dxa"/>
            </w:tcMar>
            <w:vAlign w:val="center"/>
          </w:tcPr>
          <w:p w14:paraId="2CA5C92C"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r>
      <w:tr w:rsidR="00944EE7" w:rsidRPr="00944EE7" w14:paraId="723E2F35" w14:textId="77777777" w:rsidTr="00B93956">
        <w:trPr>
          <w:trHeight w:val="179"/>
          <w:jc w:val="center"/>
        </w:trPr>
        <w:tc>
          <w:tcPr>
            <w:tcW w:w="1541" w:type="pct"/>
            <w:tcMar>
              <w:top w:w="0" w:type="dxa"/>
              <w:left w:w="108" w:type="dxa"/>
              <w:bottom w:w="0" w:type="dxa"/>
              <w:right w:w="108" w:type="dxa"/>
            </w:tcMar>
            <w:vAlign w:val="center"/>
          </w:tcPr>
          <w:p w14:paraId="3A98BC1B"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Abdominal pain</w:t>
            </w:r>
            <w:r w:rsidRPr="00944EE7">
              <w:rPr>
                <w:rFonts w:eastAsia="Times New Roman"/>
                <w:color w:val="auto"/>
                <w:sz w:val="20"/>
                <w:szCs w:val="20"/>
                <w:vertAlign w:val="superscript"/>
              </w:rPr>
              <w:t>8</w:t>
            </w:r>
          </w:p>
        </w:tc>
        <w:tc>
          <w:tcPr>
            <w:tcW w:w="576" w:type="pct"/>
            <w:tcMar>
              <w:top w:w="0" w:type="dxa"/>
              <w:left w:w="108" w:type="dxa"/>
              <w:bottom w:w="0" w:type="dxa"/>
              <w:right w:w="108" w:type="dxa"/>
            </w:tcMar>
            <w:vAlign w:val="center"/>
          </w:tcPr>
          <w:p w14:paraId="10753240" w14:textId="77777777" w:rsidR="00944EE7" w:rsidRPr="00944EE7" w:rsidRDefault="00944EE7" w:rsidP="00944EE7">
            <w:pPr>
              <w:spacing w:before="0" w:after="200"/>
              <w:jc w:val="center"/>
              <w:rPr>
                <w:rFonts w:eastAsia="Times New Roman"/>
                <w:sz w:val="20"/>
              </w:rPr>
            </w:pPr>
            <w:r w:rsidRPr="00944EE7">
              <w:rPr>
                <w:rFonts w:eastAsia="Times New Roman"/>
                <w:sz w:val="20"/>
              </w:rPr>
              <w:t>9</w:t>
            </w:r>
          </w:p>
        </w:tc>
        <w:tc>
          <w:tcPr>
            <w:tcW w:w="576" w:type="pct"/>
            <w:tcMar>
              <w:top w:w="0" w:type="dxa"/>
              <w:left w:w="108" w:type="dxa"/>
              <w:bottom w:w="0" w:type="dxa"/>
              <w:right w:w="108" w:type="dxa"/>
            </w:tcMar>
            <w:vAlign w:val="center"/>
          </w:tcPr>
          <w:p w14:paraId="7B157DF0"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028D6557"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0575658B"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03C53C0D" w14:textId="77777777" w:rsidR="00944EE7" w:rsidRPr="00944EE7" w:rsidRDefault="00944EE7" w:rsidP="00944EE7">
            <w:pPr>
              <w:spacing w:before="0" w:after="200"/>
              <w:jc w:val="center"/>
              <w:rPr>
                <w:rFonts w:eastAsia="Times New Roman"/>
                <w:sz w:val="20"/>
              </w:rPr>
            </w:pPr>
            <w:r w:rsidRPr="00944EE7">
              <w:rPr>
                <w:rFonts w:eastAsia="Times New Roman"/>
                <w:sz w:val="20"/>
              </w:rPr>
              <w:t>19</w:t>
            </w:r>
          </w:p>
        </w:tc>
        <w:tc>
          <w:tcPr>
            <w:tcW w:w="579" w:type="pct"/>
            <w:tcMar>
              <w:top w:w="0" w:type="dxa"/>
              <w:left w:w="108" w:type="dxa"/>
              <w:bottom w:w="0" w:type="dxa"/>
              <w:right w:w="108" w:type="dxa"/>
            </w:tcMar>
            <w:vAlign w:val="center"/>
          </w:tcPr>
          <w:p w14:paraId="409D6BD2"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r>
      <w:tr w:rsidR="00944EE7" w:rsidRPr="00944EE7" w14:paraId="383EB761" w14:textId="77777777" w:rsidTr="00B93956">
        <w:trPr>
          <w:trHeight w:val="179"/>
          <w:jc w:val="center"/>
        </w:trPr>
        <w:tc>
          <w:tcPr>
            <w:tcW w:w="1541" w:type="pct"/>
            <w:tcMar>
              <w:top w:w="0" w:type="dxa"/>
              <w:left w:w="108" w:type="dxa"/>
              <w:bottom w:w="0" w:type="dxa"/>
              <w:right w:w="108" w:type="dxa"/>
            </w:tcMar>
            <w:vAlign w:val="center"/>
          </w:tcPr>
          <w:p w14:paraId="56A5E7FB"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Vomiting</w:t>
            </w:r>
          </w:p>
        </w:tc>
        <w:tc>
          <w:tcPr>
            <w:tcW w:w="576" w:type="pct"/>
            <w:tcMar>
              <w:top w:w="0" w:type="dxa"/>
              <w:left w:w="108" w:type="dxa"/>
              <w:bottom w:w="0" w:type="dxa"/>
              <w:right w:w="108" w:type="dxa"/>
            </w:tcMar>
            <w:vAlign w:val="center"/>
          </w:tcPr>
          <w:p w14:paraId="35C17F65"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c>
          <w:tcPr>
            <w:tcW w:w="576" w:type="pct"/>
            <w:tcMar>
              <w:top w:w="0" w:type="dxa"/>
              <w:left w:w="108" w:type="dxa"/>
              <w:bottom w:w="0" w:type="dxa"/>
              <w:right w:w="108" w:type="dxa"/>
            </w:tcMar>
            <w:vAlign w:val="center"/>
          </w:tcPr>
          <w:p w14:paraId="5B411F28"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6C5516B9"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c>
          <w:tcPr>
            <w:tcW w:w="576" w:type="pct"/>
            <w:tcMar>
              <w:top w:w="0" w:type="dxa"/>
              <w:left w:w="108" w:type="dxa"/>
              <w:bottom w:w="0" w:type="dxa"/>
              <w:right w:w="108" w:type="dxa"/>
            </w:tcMar>
            <w:vAlign w:val="center"/>
          </w:tcPr>
          <w:p w14:paraId="1755A534" w14:textId="77777777" w:rsidR="00944EE7" w:rsidRPr="00944EE7" w:rsidRDefault="00944EE7" w:rsidP="00944EE7">
            <w:pPr>
              <w:spacing w:before="0" w:after="200"/>
              <w:jc w:val="center"/>
              <w:rPr>
                <w:rFonts w:eastAsia="Times New Roman"/>
                <w:sz w:val="20"/>
              </w:rPr>
            </w:pPr>
            <w:r w:rsidRPr="00944EE7">
              <w:rPr>
                <w:rFonts w:eastAsia="Times New Roman"/>
                <w:sz w:val="20"/>
              </w:rPr>
              <w:t xml:space="preserve">0 </w:t>
            </w:r>
          </w:p>
        </w:tc>
        <w:tc>
          <w:tcPr>
            <w:tcW w:w="576" w:type="pct"/>
            <w:tcMar>
              <w:top w:w="0" w:type="dxa"/>
              <w:left w:w="108" w:type="dxa"/>
              <w:bottom w:w="0" w:type="dxa"/>
              <w:right w:w="108" w:type="dxa"/>
            </w:tcMar>
            <w:vAlign w:val="center"/>
          </w:tcPr>
          <w:p w14:paraId="4BAF883E" w14:textId="77777777" w:rsidR="00944EE7" w:rsidRPr="00944EE7" w:rsidRDefault="00944EE7" w:rsidP="00944EE7">
            <w:pPr>
              <w:spacing w:before="0" w:after="200"/>
              <w:jc w:val="center"/>
              <w:rPr>
                <w:rFonts w:eastAsia="Times New Roman"/>
                <w:sz w:val="20"/>
              </w:rPr>
            </w:pPr>
            <w:r w:rsidRPr="00944EE7">
              <w:rPr>
                <w:rFonts w:eastAsia="Times New Roman"/>
                <w:sz w:val="20"/>
              </w:rPr>
              <w:t>15</w:t>
            </w:r>
          </w:p>
        </w:tc>
        <w:tc>
          <w:tcPr>
            <w:tcW w:w="579" w:type="pct"/>
            <w:tcMar>
              <w:top w:w="0" w:type="dxa"/>
              <w:left w:w="108" w:type="dxa"/>
              <w:bottom w:w="0" w:type="dxa"/>
              <w:right w:w="108" w:type="dxa"/>
            </w:tcMar>
            <w:vAlign w:val="center"/>
          </w:tcPr>
          <w:p w14:paraId="280A8FE3"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r>
      <w:tr w:rsidR="00944EE7" w:rsidRPr="00944EE7" w14:paraId="03B45AF3" w14:textId="77777777" w:rsidTr="00B93956">
        <w:trPr>
          <w:trHeight w:val="179"/>
          <w:jc w:val="center"/>
        </w:trPr>
        <w:tc>
          <w:tcPr>
            <w:tcW w:w="5000" w:type="pct"/>
            <w:gridSpan w:val="7"/>
            <w:tcMar>
              <w:top w:w="0" w:type="dxa"/>
              <w:left w:w="108" w:type="dxa"/>
              <w:bottom w:w="0" w:type="dxa"/>
              <w:right w:w="108" w:type="dxa"/>
            </w:tcMar>
            <w:vAlign w:val="center"/>
          </w:tcPr>
          <w:p w14:paraId="590DDBC1" w14:textId="77777777" w:rsidR="00944EE7" w:rsidRPr="00944EE7" w:rsidRDefault="00944EE7" w:rsidP="00944EE7">
            <w:pPr>
              <w:spacing w:before="0" w:after="200"/>
              <w:rPr>
                <w:rFonts w:eastAsia="Times New Roman"/>
                <w:b/>
                <w:bCs/>
                <w:sz w:val="20"/>
              </w:rPr>
            </w:pPr>
            <w:r w:rsidRPr="00944EE7">
              <w:rPr>
                <w:rFonts w:eastAsia="Times New Roman"/>
                <w:b/>
                <w:bCs/>
                <w:sz w:val="20"/>
              </w:rPr>
              <w:t>Musculoskeletal and connective tissue disorders</w:t>
            </w:r>
          </w:p>
        </w:tc>
      </w:tr>
      <w:tr w:rsidR="00944EE7" w:rsidRPr="00944EE7" w14:paraId="1BFDE1B5" w14:textId="77777777" w:rsidTr="00B93956">
        <w:trPr>
          <w:trHeight w:val="179"/>
          <w:jc w:val="center"/>
        </w:trPr>
        <w:tc>
          <w:tcPr>
            <w:tcW w:w="1541" w:type="pct"/>
            <w:tcMar>
              <w:top w:w="0" w:type="dxa"/>
              <w:left w:w="108" w:type="dxa"/>
              <w:bottom w:w="0" w:type="dxa"/>
              <w:right w:w="108" w:type="dxa"/>
            </w:tcMar>
            <w:vAlign w:val="center"/>
          </w:tcPr>
          <w:p w14:paraId="3911DBF8"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Myalgia</w:t>
            </w:r>
            <w:r w:rsidRPr="00944EE7">
              <w:rPr>
                <w:rFonts w:eastAsia="Times New Roman"/>
                <w:color w:val="auto"/>
                <w:sz w:val="20"/>
                <w:szCs w:val="20"/>
                <w:vertAlign w:val="superscript"/>
              </w:rPr>
              <w:t>9</w:t>
            </w:r>
          </w:p>
        </w:tc>
        <w:tc>
          <w:tcPr>
            <w:tcW w:w="576" w:type="pct"/>
            <w:tcMar>
              <w:top w:w="0" w:type="dxa"/>
              <w:left w:w="108" w:type="dxa"/>
              <w:bottom w:w="0" w:type="dxa"/>
              <w:right w:w="108" w:type="dxa"/>
            </w:tcMar>
            <w:vAlign w:val="center"/>
          </w:tcPr>
          <w:p w14:paraId="7D307BB4" w14:textId="77777777" w:rsidR="00944EE7" w:rsidRPr="00944EE7" w:rsidRDefault="00944EE7" w:rsidP="00944EE7">
            <w:pPr>
              <w:spacing w:before="0" w:after="200"/>
              <w:jc w:val="center"/>
              <w:rPr>
                <w:rFonts w:eastAsia="Times New Roman"/>
                <w:color w:val="auto"/>
                <w:sz w:val="20"/>
              </w:rPr>
            </w:pPr>
            <w:r w:rsidRPr="00944EE7">
              <w:rPr>
                <w:rFonts w:eastAsia="Times New Roman"/>
                <w:sz w:val="20"/>
              </w:rPr>
              <w:t>9</w:t>
            </w:r>
          </w:p>
        </w:tc>
        <w:tc>
          <w:tcPr>
            <w:tcW w:w="576" w:type="pct"/>
            <w:tcMar>
              <w:top w:w="0" w:type="dxa"/>
              <w:left w:w="108" w:type="dxa"/>
              <w:bottom w:w="0" w:type="dxa"/>
              <w:right w:w="108" w:type="dxa"/>
            </w:tcMar>
            <w:vAlign w:val="center"/>
          </w:tcPr>
          <w:p w14:paraId="48069496"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2</w:t>
            </w:r>
          </w:p>
        </w:tc>
        <w:tc>
          <w:tcPr>
            <w:tcW w:w="576" w:type="pct"/>
            <w:tcMar>
              <w:top w:w="0" w:type="dxa"/>
              <w:left w:w="108" w:type="dxa"/>
              <w:bottom w:w="0" w:type="dxa"/>
              <w:right w:w="108" w:type="dxa"/>
            </w:tcMar>
            <w:vAlign w:val="center"/>
          </w:tcPr>
          <w:p w14:paraId="3F7F236C" w14:textId="77777777" w:rsidR="00944EE7" w:rsidRPr="00944EE7" w:rsidRDefault="00944EE7" w:rsidP="00944EE7">
            <w:pPr>
              <w:spacing w:before="0" w:after="200"/>
              <w:jc w:val="center"/>
              <w:rPr>
                <w:rFonts w:eastAsia="Times New Roman"/>
                <w:color w:val="auto"/>
                <w:sz w:val="20"/>
              </w:rPr>
            </w:pPr>
            <w:r w:rsidRPr="00944EE7">
              <w:rPr>
                <w:rFonts w:eastAsia="Times New Roman"/>
                <w:sz w:val="20"/>
              </w:rPr>
              <w:t>16</w:t>
            </w:r>
          </w:p>
        </w:tc>
        <w:tc>
          <w:tcPr>
            <w:tcW w:w="576" w:type="pct"/>
            <w:tcMar>
              <w:top w:w="0" w:type="dxa"/>
              <w:left w:w="108" w:type="dxa"/>
              <w:bottom w:w="0" w:type="dxa"/>
              <w:right w:w="108" w:type="dxa"/>
            </w:tcMar>
            <w:vAlign w:val="center"/>
          </w:tcPr>
          <w:p w14:paraId="0B7EB36A"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c>
          <w:tcPr>
            <w:tcW w:w="576" w:type="pct"/>
            <w:tcMar>
              <w:top w:w="0" w:type="dxa"/>
              <w:left w:w="108" w:type="dxa"/>
              <w:bottom w:w="0" w:type="dxa"/>
              <w:right w:w="108" w:type="dxa"/>
            </w:tcMar>
            <w:vAlign w:val="center"/>
          </w:tcPr>
          <w:p w14:paraId="16B5A06F"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42</w:t>
            </w:r>
          </w:p>
        </w:tc>
        <w:tc>
          <w:tcPr>
            <w:tcW w:w="579" w:type="pct"/>
            <w:tcMar>
              <w:top w:w="0" w:type="dxa"/>
              <w:left w:w="108" w:type="dxa"/>
              <w:bottom w:w="0" w:type="dxa"/>
              <w:right w:w="108" w:type="dxa"/>
            </w:tcMar>
            <w:vAlign w:val="center"/>
          </w:tcPr>
          <w:p w14:paraId="50D87B4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w:t>
            </w:r>
          </w:p>
        </w:tc>
      </w:tr>
      <w:tr w:rsidR="00944EE7" w:rsidRPr="00944EE7" w14:paraId="2CAA8D6D" w14:textId="77777777" w:rsidTr="00B93956">
        <w:trPr>
          <w:trHeight w:val="179"/>
          <w:jc w:val="center"/>
        </w:trPr>
        <w:tc>
          <w:tcPr>
            <w:tcW w:w="1541" w:type="pct"/>
            <w:tcMar>
              <w:top w:w="0" w:type="dxa"/>
              <w:left w:w="108" w:type="dxa"/>
              <w:bottom w:w="0" w:type="dxa"/>
              <w:right w:w="108" w:type="dxa"/>
            </w:tcMar>
            <w:vAlign w:val="center"/>
          </w:tcPr>
          <w:p w14:paraId="75C895D9"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Arthralgia</w:t>
            </w:r>
            <w:r w:rsidRPr="00944EE7">
              <w:rPr>
                <w:rFonts w:eastAsia="Times New Roman"/>
                <w:color w:val="auto"/>
                <w:sz w:val="20"/>
                <w:szCs w:val="20"/>
                <w:vertAlign w:val="superscript"/>
              </w:rPr>
              <w:t>10</w:t>
            </w:r>
          </w:p>
        </w:tc>
        <w:tc>
          <w:tcPr>
            <w:tcW w:w="576" w:type="pct"/>
            <w:tcMar>
              <w:top w:w="0" w:type="dxa"/>
              <w:left w:w="108" w:type="dxa"/>
              <w:bottom w:w="0" w:type="dxa"/>
              <w:right w:w="108" w:type="dxa"/>
            </w:tcMar>
            <w:vAlign w:val="center"/>
          </w:tcPr>
          <w:p w14:paraId="2B298F68" w14:textId="77777777" w:rsidR="00944EE7" w:rsidRPr="00944EE7" w:rsidRDefault="00944EE7" w:rsidP="00944EE7">
            <w:pPr>
              <w:spacing w:before="0" w:after="200"/>
              <w:jc w:val="center"/>
              <w:rPr>
                <w:rFonts w:eastAsia="Times New Roman"/>
                <w:sz w:val="20"/>
              </w:rPr>
            </w:pPr>
            <w:r w:rsidRPr="00944EE7">
              <w:rPr>
                <w:rFonts w:eastAsia="Times New Roman"/>
                <w:sz w:val="20"/>
              </w:rPr>
              <w:t>9</w:t>
            </w:r>
          </w:p>
        </w:tc>
        <w:tc>
          <w:tcPr>
            <w:tcW w:w="576" w:type="pct"/>
            <w:tcMar>
              <w:top w:w="0" w:type="dxa"/>
              <w:left w:w="108" w:type="dxa"/>
              <w:bottom w:w="0" w:type="dxa"/>
              <w:right w:w="108" w:type="dxa"/>
            </w:tcMar>
            <w:vAlign w:val="center"/>
          </w:tcPr>
          <w:p w14:paraId="746F6012"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6FC583D4" w14:textId="77777777" w:rsidR="00944EE7" w:rsidRPr="00944EE7" w:rsidRDefault="00944EE7" w:rsidP="00944EE7">
            <w:pPr>
              <w:spacing w:before="0" w:after="200"/>
              <w:jc w:val="center"/>
              <w:rPr>
                <w:rFonts w:eastAsia="Times New Roman"/>
                <w:sz w:val="20"/>
              </w:rPr>
            </w:pPr>
            <w:r w:rsidRPr="00944EE7">
              <w:rPr>
                <w:rFonts w:eastAsia="Times New Roman"/>
                <w:sz w:val="20"/>
              </w:rPr>
              <w:t>13</w:t>
            </w:r>
          </w:p>
        </w:tc>
        <w:tc>
          <w:tcPr>
            <w:tcW w:w="576" w:type="pct"/>
            <w:tcMar>
              <w:top w:w="0" w:type="dxa"/>
              <w:left w:w="108" w:type="dxa"/>
              <w:bottom w:w="0" w:type="dxa"/>
              <w:right w:w="108" w:type="dxa"/>
            </w:tcMar>
            <w:vAlign w:val="center"/>
          </w:tcPr>
          <w:p w14:paraId="075F4E6F"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6E50B9E2" w14:textId="77777777" w:rsidR="00944EE7" w:rsidRPr="00944EE7" w:rsidRDefault="00944EE7" w:rsidP="00944EE7">
            <w:pPr>
              <w:spacing w:before="0" w:after="200"/>
              <w:jc w:val="center"/>
              <w:rPr>
                <w:rFonts w:eastAsia="Times New Roman"/>
                <w:sz w:val="20"/>
              </w:rPr>
            </w:pPr>
            <w:r w:rsidRPr="00944EE7">
              <w:rPr>
                <w:rFonts w:eastAsia="Times New Roman"/>
                <w:sz w:val="20"/>
              </w:rPr>
              <w:t>40</w:t>
            </w:r>
          </w:p>
        </w:tc>
        <w:tc>
          <w:tcPr>
            <w:tcW w:w="579" w:type="pct"/>
            <w:tcMar>
              <w:top w:w="0" w:type="dxa"/>
              <w:left w:w="108" w:type="dxa"/>
              <w:bottom w:w="0" w:type="dxa"/>
              <w:right w:w="108" w:type="dxa"/>
            </w:tcMar>
            <w:vAlign w:val="center"/>
          </w:tcPr>
          <w:p w14:paraId="29F810D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w:t>
            </w:r>
          </w:p>
        </w:tc>
      </w:tr>
      <w:tr w:rsidR="00944EE7" w:rsidRPr="00944EE7" w14:paraId="781B0936" w14:textId="77777777" w:rsidTr="00B93956">
        <w:trPr>
          <w:trHeight w:val="179"/>
          <w:jc w:val="center"/>
        </w:trPr>
        <w:tc>
          <w:tcPr>
            <w:tcW w:w="5000" w:type="pct"/>
            <w:gridSpan w:val="7"/>
            <w:tcMar>
              <w:top w:w="0" w:type="dxa"/>
              <w:left w:w="108" w:type="dxa"/>
              <w:bottom w:w="0" w:type="dxa"/>
              <w:right w:w="108" w:type="dxa"/>
            </w:tcMar>
            <w:vAlign w:val="center"/>
          </w:tcPr>
          <w:p w14:paraId="26006478" w14:textId="77777777" w:rsidR="00944EE7" w:rsidRPr="00944EE7" w:rsidRDefault="00944EE7" w:rsidP="00944EE7">
            <w:pPr>
              <w:spacing w:before="0" w:after="200"/>
              <w:rPr>
                <w:rFonts w:eastAsia="Times New Roman"/>
                <w:b/>
                <w:bCs/>
                <w:sz w:val="20"/>
              </w:rPr>
            </w:pPr>
            <w:r w:rsidRPr="00944EE7">
              <w:rPr>
                <w:rFonts w:eastAsia="Times New Roman"/>
                <w:b/>
                <w:bCs/>
                <w:sz w:val="20"/>
              </w:rPr>
              <w:t>Respiratory, thoracic, and mediastinal disorders</w:t>
            </w:r>
          </w:p>
        </w:tc>
      </w:tr>
      <w:tr w:rsidR="00944EE7" w:rsidRPr="00944EE7" w14:paraId="4EA27E2A" w14:textId="77777777" w:rsidTr="00B93956">
        <w:trPr>
          <w:trHeight w:val="179"/>
          <w:jc w:val="center"/>
        </w:trPr>
        <w:tc>
          <w:tcPr>
            <w:tcW w:w="1541" w:type="pct"/>
            <w:tcMar>
              <w:top w:w="0" w:type="dxa"/>
              <w:left w:w="108" w:type="dxa"/>
              <w:bottom w:w="0" w:type="dxa"/>
              <w:right w:w="108" w:type="dxa"/>
            </w:tcMar>
            <w:vAlign w:val="center"/>
          </w:tcPr>
          <w:p w14:paraId="403D509B" w14:textId="0C056119"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Dyspn</w:t>
            </w:r>
            <w:r w:rsidR="00BD566D">
              <w:rPr>
                <w:rFonts w:eastAsia="Times New Roman"/>
                <w:color w:val="auto"/>
                <w:sz w:val="20"/>
                <w:szCs w:val="20"/>
              </w:rPr>
              <w:t>o</w:t>
            </w:r>
            <w:r w:rsidRPr="00944EE7">
              <w:rPr>
                <w:rFonts w:eastAsia="Times New Roman"/>
                <w:color w:val="auto"/>
                <w:sz w:val="20"/>
                <w:szCs w:val="20"/>
              </w:rPr>
              <w:t>ea</w:t>
            </w:r>
            <w:r w:rsidRPr="00944EE7">
              <w:rPr>
                <w:rFonts w:eastAsia="Times New Roman"/>
                <w:color w:val="auto"/>
                <w:sz w:val="20"/>
                <w:szCs w:val="20"/>
                <w:vertAlign w:val="superscript"/>
              </w:rPr>
              <w:t>11</w:t>
            </w:r>
          </w:p>
        </w:tc>
        <w:tc>
          <w:tcPr>
            <w:tcW w:w="576" w:type="pct"/>
            <w:tcMar>
              <w:top w:w="0" w:type="dxa"/>
              <w:left w:w="108" w:type="dxa"/>
              <w:bottom w:w="0" w:type="dxa"/>
              <w:right w:w="108" w:type="dxa"/>
            </w:tcMar>
            <w:vAlign w:val="center"/>
          </w:tcPr>
          <w:p w14:paraId="0B4A2B0B" w14:textId="77777777" w:rsidR="00944EE7" w:rsidRPr="00944EE7" w:rsidRDefault="00944EE7" w:rsidP="00944EE7">
            <w:pPr>
              <w:spacing w:before="0" w:after="200"/>
              <w:jc w:val="center"/>
              <w:rPr>
                <w:rFonts w:eastAsia="Times New Roman"/>
                <w:sz w:val="20"/>
              </w:rPr>
            </w:pPr>
            <w:r w:rsidRPr="00944EE7">
              <w:rPr>
                <w:rFonts w:eastAsia="Times New Roman"/>
                <w:sz w:val="20"/>
              </w:rPr>
              <w:t>17</w:t>
            </w:r>
          </w:p>
        </w:tc>
        <w:tc>
          <w:tcPr>
            <w:tcW w:w="576" w:type="pct"/>
            <w:tcMar>
              <w:top w:w="0" w:type="dxa"/>
              <w:left w:w="108" w:type="dxa"/>
              <w:bottom w:w="0" w:type="dxa"/>
              <w:right w:w="108" w:type="dxa"/>
            </w:tcMar>
            <w:vAlign w:val="center"/>
          </w:tcPr>
          <w:p w14:paraId="37620B94"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w:t>
            </w:r>
          </w:p>
        </w:tc>
        <w:tc>
          <w:tcPr>
            <w:tcW w:w="576" w:type="pct"/>
            <w:tcMar>
              <w:top w:w="0" w:type="dxa"/>
              <w:left w:w="108" w:type="dxa"/>
              <w:bottom w:w="0" w:type="dxa"/>
              <w:right w:w="108" w:type="dxa"/>
            </w:tcMar>
            <w:vAlign w:val="center"/>
          </w:tcPr>
          <w:p w14:paraId="47630AA7" w14:textId="77777777" w:rsidR="00944EE7" w:rsidRPr="00944EE7" w:rsidRDefault="00944EE7" w:rsidP="00944EE7">
            <w:pPr>
              <w:spacing w:before="0" w:after="200"/>
              <w:jc w:val="center"/>
              <w:rPr>
                <w:rFonts w:eastAsia="Times New Roman"/>
                <w:sz w:val="20"/>
              </w:rPr>
            </w:pPr>
            <w:r w:rsidRPr="00944EE7">
              <w:rPr>
                <w:rFonts w:eastAsia="Times New Roman"/>
                <w:sz w:val="20"/>
              </w:rPr>
              <w:t>9</w:t>
            </w:r>
          </w:p>
        </w:tc>
        <w:tc>
          <w:tcPr>
            <w:tcW w:w="576" w:type="pct"/>
            <w:tcMar>
              <w:top w:w="0" w:type="dxa"/>
              <w:left w:w="108" w:type="dxa"/>
              <w:bottom w:w="0" w:type="dxa"/>
              <w:right w:w="108" w:type="dxa"/>
            </w:tcMar>
            <w:vAlign w:val="center"/>
          </w:tcPr>
          <w:p w14:paraId="3D9C72FF"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w:t>
            </w:r>
          </w:p>
        </w:tc>
        <w:tc>
          <w:tcPr>
            <w:tcW w:w="576" w:type="pct"/>
            <w:tcMar>
              <w:top w:w="0" w:type="dxa"/>
              <w:left w:w="108" w:type="dxa"/>
              <w:bottom w:w="0" w:type="dxa"/>
              <w:right w:w="108" w:type="dxa"/>
            </w:tcMar>
            <w:vAlign w:val="center"/>
          </w:tcPr>
          <w:p w14:paraId="35F481AB"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38</w:t>
            </w:r>
          </w:p>
        </w:tc>
        <w:tc>
          <w:tcPr>
            <w:tcW w:w="579" w:type="pct"/>
            <w:tcMar>
              <w:top w:w="0" w:type="dxa"/>
              <w:left w:w="108" w:type="dxa"/>
              <w:bottom w:w="0" w:type="dxa"/>
              <w:right w:w="108" w:type="dxa"/>
            </w:tcMar>
            <w:vAlign w:val="center"/>
          </w:tcPr>
          <w:p w14:paraId="001F5F9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6</w:t>
            </w:r>
          </w:p>
        </w:tc>
      </w:tr>
      <w:tr w:rsidR="00944EE7" w:rsidRPr="00944EE7" w14:paraId="73F1015E" w14:textId="77777777" w:rsidTr="00B93956">
        <w:trPr>
          <w:trHeight w:val="179"/>
          <w:jc w:val="center"/>
        </w:trPr>
        <w:tc>
          <w:tcPr>
            <w:tcW w:w="1541" w:type="pct"/>
            <w:tcMar>
              <w:top w:w="0" w:type="dxa"/>
              <w:left w:w="108" w:type="dxa"/>
              <w:bottom w:w="0" w:type="dxa"/>
              <w:right w:w="108" w:type="dxa"/>
            </w:tcMar>
            <w:vAlign w:val="center"/>
          </w:tcPr>
          <w:p w14:paraId="4ACF0373"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Cough</w:t>
            </w:r>
            <w:r w:rsidRPr="00944EE7">
              <w:rPr>
                <w:rFonts w:eastAsia="Times New Roman"/>
                <w:color w:val="auto"/>
                <w:sz w:val="20"/>
                <w:szCs w:val="20"/>
                <w:vertAlign w:val="superscript"/>
              </w:rPr>
              <w:t>12</w:t>
            </w:r>
          </w:p>
        </w:tc>
        <w:tc>
          <w:tcPr>
            <w:tcW w:w="576" w:type="pct"/>
            <w:tcMar>
              <w:top w:w="0" w:type="dxa"/>
              <w:left w:w="108" w:type="dxa"/>
              <w:bottom w:w="0" w:type="dxa"/>
              <w:right w:w="108" w:type="dxa"/>
            </w:tcMar>
            <w:vAlign w:val="center"/>
          </w:tcPr>
          <w:p w14:paraId="02C4341D"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3C0FEE23"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4A2F97FF" w14:textId="77777777" w:rsidR="00944EE7" w:rsidRPr="00944EE7" w:rsidRDefault="00944EE7" w:rsidP="00944EE7">
            <w:pPr>
              <w:spacing w:before="0" w:after="200"/>
              <w:jc w:val="center"/>
              <w:rPr>
                <w:rFonts w:eastAsia="Times New Roman"/>
                <w:sz w:val="20"/>
              </w:rPr>
            </w:pPr>
            <w:r w:rsidRPr="00944EE7">
              <w:rPr>
                <w:rFonts w:eastAsia="Times New Roman"/>
                <w:sz w:val="20"/>
              </w:rPr>
              <w:t>8</w:t>
            </w:r>
          </w:p>
        </w:tc>
        <w:tc>
          <w:tcPr>
            <w:tcW w:w="576" w:type="pct"/>
            <w:tcMar>
              <w:top w:w="0" w:type="dxa"/>
              <w:left w:w="108" w:type="dxa"/>
              <w:bottom w:w="0" w:type="dxa"/>
              <w:right w:w="108" w:type="dxa"/>
            </w:tcMar>
            <w:vAlign w:val="center"/>
          </w:tcPr>
          <w:p w14:paraId="1EE6F5F8"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0</w:t>
            </w:r>
          </w:p>
        </w:tc>
        <w:tc>
          <w:tcPr>
            <w:tcW w:w="576" w:type="pct"/>
            <w:tcMar>
              <w:top w:w="0" w:type="dxa"/>
              <w:left w:w="108" w:type="dxa"/>
              <w:bottom w:w="0" w:type="dxa"/>
              <w:right w:w="108" w:type="dxa"/>
            </w:tcMar>
            <w:vAlign w:val="center"/>
          </w:tcPr>
          <w:p w14:paraId="1D76E6E4" w14:textId="77777777" w:rsidR="00944EE7" w:rsidRPr="00944EE7" w:rsidRDefault="00944EE7" w:rsidP="00944EE7">
            <w:pPr>
              <w:spacing w:before="0" w:after="200"/>
              <w:jc w:val="center"/>
              <w:rPr>
                <w:rFonts w:eastAsia="Times New Roman"/>
                <w:sz w:val="20"/>
              </w:rPr>
            </w:pPr>
            <w:r w:rsidRPr="00944EE7">
              <w:rPr>
                <w:rFonts w:eastAsia="Times New Roman"/>
                <w:sz w:val="20"/>
              </w:rPr>
              <w:t>28</w:t>
            </w:r>
          </w:p>
        </w:tc>
        <w:tc>
          <w:tcPr>
            <w:tcW w:w="579" w:type="pct"/>
            <w:tcMar>
              <w:top w:w="0" w:type="dxa"/>
              <w:left w:w="108" w:type="dxa"/>
              <w:bottom w:w="0" w:type="dxa"/>
              <w:right w:w="108" w:type="dxa"/>
            </w:tcMar>
            <w:vAlign w:val="center"/>
          </w:tcPr>
          <w:p w14:paraId="75846A5A"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r>
      <w:tr w:rsidR="00944EE7" w:rsidRPr="00944EE7" w14:paraId="2CEA23EE" w14:textId="77777777" w:rsidTr="00B93956">
        <w:trPr>
          <w:trHeight w:val="179"/>
          <w:jc w:val="center"/>
        </w:trPr>
        <w:tc>
          <w:tcPr>
            <w:tcW w:w="5000" w:type="pct"/>
            <w:gridSpan w:val="7"/>
            <w:tcMar>
              <w:top w:w="0" w:type="dxa"/>
              <w:left w:w="108" w:type="dxa"/>
              <w:bottom w:w="0" w:type="dxa"/>
              <w:right w:w="108" w:type="dxa"/>
            </w:tcMar>
            <w:vAlign w:val="center"/>
          </w:tcPr>
          <w:p w14:paraId="7FCE6AF5" w14:textId="77777777" w:rsidR="00944EE7" w:rsidRPr="00944EE7" w:rsidRDefault="00944EE7" w:rsidP="00944EE7">
            <w:pPr>
              <w:spacing w:before="0" w:after="200"/>
              <w:rPr>
                <w:rFonts w:eastAsia="Times New Roman"/>
                <w:b/>
                <w:bCs/>
                <w:sz w:val="20"/>
              </w:rPr>
            </w:pPr>
            <w:r w:rsidRPr="00944EE7">
              <w:rPr>
                <w:rFonts w:eastAsia="Times New Roman"/>
                <w:b/>
                <w:bCs/>
                <w:color w:val="auto"/>
                <w:sz w:val="20"/>
                <w:szCs w:val="20"/>
              </w:rPr>
              <w:t>Blood &amp; lymphatic system disorders</w:t>
            </w:r>
          </w:p>
        </w:tc>
      </w:tr>
      <w:tr w:rsidR="00944EE7" w:rsidRPr="00944EE7" w14:paraId="600B4099" w14:textId="77777777" w:rsidTr="00B93956">
        <w:trPr>
          <w:trHeight w:val="179"/>
          <w:jc w:val="center"/>
        </w:trPr>
        <w:tc>
          <w:tcPr>
            <w:tcW w:w="1541" w:type="pct"/>
            <w:tcMar>
              <w:top w:w="0" w:type="dxa"/>
              <w:left w:w="108" w:type="dxa"/>
              <w:bottom w:w="0" w:type="dxa"/>
              <w:right w:w="108" w:type="dxa"/>
            </w:tcMar>
            <w:vAlign w:val="center"/>
          </w:tcPr>
          <w:p w14:paraId="2D711CBB"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Febrile neutropenia</w:t>
            </w:r>
          </w:p>
        </w:tc>
        <w:tc>
          <w:tcPr>
            <w:tcW w:w="576" w:type="pct"/>
            <w:tcMar>
              <w:top w:w="0" w:type="dxa"/>
              <w:left w:w="108" w:type="dxa"/>
              <w:bottom w:w="0" w:type="dxa"/>
              <w:right w:w="108" w:type="dxa"/>
            </w:tcMar>
            <w:vAlign w:val="center"/>
          </w:tcPr>
          <w:p w14:paraId="6767FF68" w14:textId="77777777" w:rsidR="00944EE7" w:rsidRPr="00944EE7" w:rsidRDefault="00944EE7" w:rsidP="00944EE7">
            <w:pPr>
              <w:spacing w:before="0" w:after="200"/>
              <w:jc w:val="center"/>
              <w:rPr>
                <w:rFonts w:eastAsia="Times New Roman"/>
                <w:sz w:val="20"/>
              </w:rPr>
            </w:pPr>
            <w:r w:rsidRPr="00944EE7">
              <w:rPr>
                <w:rFonts w:eastAsia="Times New Roman"/>
                <w:sz w:val="20"/>
              </w:rPr>
              <w:t>10</w:t>
            </w:r>
          </w:p>
        </w:tc>
        <w:tc>
          <w:tcPr>
            <w:tcW w:w="576" w:type="pct"/>
            <w:tcMar>
              <w:top w:w="0" w:type="dxa"/>
              <w:left w:w="108" w:type="dxa"/>
              <w:bottom w:w="0" w:type="dxa"/>
              <w:right w:w="108" w:type="dxa"/>
            </w:tcMar>
            <w:vAlign w:val="center"/>
          </w:tcPr>
          <w:p w14:paraId="1BBE31F1" w14:textId="77777777" w:rsidR="00944EE7" w:rsidRPr="00944EE7" w:rsidRDefault="00944EE7" w:rsidP="00944EE7">
            <w:pPr>
              <w:spacing w:before="0" w:after="200"/>
              <w:jc w:val="center"/>
              <w:rPr>
                <w:rFonts w:eastAsia="Times New Roman"/>
                <w:sz w:val="20"/>
              </w:rPr>
            </w:pPr>
            <w:r w:rsidRPr="00944EE7">
              <w:rPr>
                <w:rFonts w:eastAsia="Times New Roman"/>
                <w:sz w:val="20"/>
              </w:rPr>
              <w:t>10</w:t>
            </w:r>
          </w:p>
        </w:tc>
        <w:tc>
          <w:tcPr>
            <w:tcW w:w="576" w:type="pct"/>
            <w:tcMar>
              <w:top w:w="0" w:type="dxa"/>
              <w:left w:w="108" w:type="dxa"/>
              <w:bottom w:w="0" w:type="dxa"/>
              <w:right w:w="108" w:type="dxa"/>
            </w:tcMar>
            <w:vAlign w:val="center"/>
          </w:tcPr>
          <w:p w14:paraId="6A8EB960" w14:textId="77777777" w:rsidR="00944EE7" w:rsidRPr="00944EE7" w:rsidRDefault="00944EE7" w:rsidP="00944EE7">
            <w:pPr>
              <w:spacing w:before="0" w:after="200"/>
              <w:jc w:val="center"/>
              <w:rPr>
                <w:rFonts w:eastAsia="Times New Roman"/>
                <w:sz w:val="20"/>
              </w:rPr>
            </w:pPr>
            <w:r w:rsidRPr="00944EE7">
              <w:rPr>
                <w:rFonts w:eastAsia="Times New Roman"/>
                <w:sz w:val="20"/>
              </w:rPr>
              <w:t>13</w:t>
            </w:r>
          </w:p>
        </w:tc>
        <w:tc>
          <w:tcPr>
            <w:tcW w:w="576" w:type="pct"/>
            <w:tcMar>
              <w:top w:w="0" w:type="dxa"/>
              <w:left w:w="108" w:type="dxa"/>
              <w:bottom w:w="0" w:type="dxa"/>
              <w:right w:w="108" w:type="dxa"/>
            </w:tcMar>
            <w:vAlign w:val="center"/>
          </w:tcPr>
          <w:p w14:paraId="006A7504"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13</w:t>
            </w:r>
          </w:p>
        </w:tc>
        <w:tc>
          <w:tcPr>
            <w:tcW w:w="576" w:type="pct"/>
            <w:tcMar>
              <w:top w:w="0" w:type="dxa"/>
              <w:left w:w="108" w:type="dxa"/>
              <w:bottom w:w="0" w:type="dxa"/>
              <w:right w:w="108" w:type="dxa"/>
            </w:tcMar>
            <w:vAlign w:val="center"/>
          </w:tcPr>
          <w:p w14:paraId="0F17C577" w14:textId="77777777" w:rsidR="00944EE7" w:rsidRPr="00944EE7" w:rsidRDefault="00944EE7" w:rsidP="00944EE7">
            <w:pPr>
              <w:spacing w:before="0" w:after="200"/>
              <w:jc w:val="center"/>
              <w:rPr>
                <w:rFonts w:eastAsia="Times New Roman"/>
                <w:sz w:val="20"/>
              </w:rPr>
            </w:pPr>
            <w:r w:rsidRPr="00944EE7">
              <w:rPr>
                <w:rFonts w:eastAsia="Times New Roman"/>
                <w:sz w:val="20"/>
              </w:rPr>
              <w:t>33</w:t>
            </w:r>
          </w:p>
        </w:tc>
        <w:tc>
          <w:tcPr>
            <w:tcW w:w="579" w:type="pct"/>
            <w:tcMar>
              <w:top w:w="0" w:type="dxa"/>
              <w:left w:w="108" w:type="dxa"/>
              <w:bottom w:w="0" w:type="dxa"/>
              <w:right w:w="108" w:type="dxa"/>
            </w:tcMar>
            <w:vAlign w:val="center"/>
          </w:tcPr>
          <w:p w14:paraId="1DFF23C0" w14:textId="77777777" w:rsidR="00944EE7" w:rsidRPr="00944EE7" w:rsidRDefault="00944EE7" w:rsidP="00944EE7">
            <w:pPr>
              <w:spacing w:before="0" w:after="200"/>
              <w:jc w:val="center"/>
              <w:rPr>
                <w:rFonts w:eastAsia="Times New Roman"/>
                <w:sz w:val="20"/>
              </w:rPr>
            </w:pPr>
            <w:r w:rsidRPr="00944EE7">
              <w:rPr>
                <w:rFonts w:eastAsia="Times New Roman"/>
                <w:sz w:val="20"/>
              </w:rPr>
              <w:t>32</w:t>
            </w:r>
          </w:p>
        </w:tc>
      </w:tr>
      <w:tr w:rsidR="00944EE7" w:rsidRPr="00944EE7" w14:paraId="3D979D90" w14:textId="77777777" w:rsidTr="00B93956">
        <w:trPr>
          <w:trHeight w:val="179"/>
          <w:jc w:val="center"/>
        </w:trPr>
        <w:tc>
          <w:tcPr>
            <w:tcW w:w="5000" w:type="pct"/>
            <w:gridSpan w:val="7"/>
            <w:tcMar>
              <w:top w:w="0" w:type="dxa"/>
              <w:left w:w="108" w:type="dxa"/>
              <w:bottom w:w="0" w:type="dxa"/>
              <w:right w:w="108" w:type="dxa"/>
            </w:tcMar>
            <w:vAlign w:val="center"/>
          </w:tcPr>
          <w:p w14:paraId="2ABA067C" w14:textId="77777777" w:rsidR="00944EE7" w:rsidRPr="00944EE7" w:rsidRDefault="00944EE7" w:rsidP="00944EE7">
            <w:pPr>
              <w:spacing w:before="0" w:after="200"/>
              <w:rPr>
                <w:rFonts w:eastAsia="Times New Roman"/>
                <w:color w:val="auto"/>
                <w:sz w:val="20"/>
                <w:szCs w:val="20"/>
              </w:rPr>
            </w:pPr>
            <w:r w:rsidRPr="00944EE7">
              <w:rPr>
                <w:rFonts w:eastAsia="Times New Roman"/>
                <w:b/>
                <w:bCs/>
                <w:sz w:val="20"/>
              </w:rPr>
              <w:t>Skin and subcutaneous tissue disorders</w:t>
            </w:r>
          </w:p>
        </w:tc>
      </w:tr>
      <w:tr w:rsidR="00944EE7" w:rsidRPr="00944EE7" w14:paraId="6DED3C54" w14:textId="77777777" w:rsidTr="00B93956">
        <w:trPr>
          <w:trHeight w:val="179"/>
          <w:jc w:val="center"/>
        </w:trPr>
        <w:tc>
          <w:tcPr>
            <w:tcW w:w="1541" w:type="pct"/>
            <w:tcMar>
              <w:top w:w="0" w:type="dxa"/>
              <w:left w:w="108" w:type="dxa"/>
              <w:bottom w:w="0" w:type="dxa"/>
              <w:right w:w="108" w:type="dxa"/>
            </w:tcMar>
            <w:vAlign w:val="center"/>
          </w:tcPr>
          <w:p w14:paraId="7C8460F8"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Rash</w:t>
            </w:r>
            <w:r w:rsidRPr="00944EE7">
              <w:rPr>
                <w:rFonts w:eastAsia="Times New Roman"/>
                <w:color w:val="auto"/>
                <w:sz w:val="20"/>
                <w:szCs w:val="20"/>
                <w:vertAlign w:val="superscript"/>
              </w:rPr>
              <w:t>13</w:t>
            </w:r>
          </w:p>
        </w:tc>
        <w:tc>
          <w:tcPr>
            <w:tcW w:w="576" w:type="pct"/>
            <w:tcMar>
              <w:top w:w="0" w:type="dxa"/>
              <w:left w:w="108" w:type="dxa"/>
              <w:bottom w:w="0" w:type="dxa"/>
              <w:right w:w="108" w:type="dxa"/>
            </w:tcMar>
            <w:vAlign w:val="center"/>
          </w:tcPr>
          <w:p w14:paraId="7D890B1E" w14:textId="77777777" w:rsidR="00944EE7" w:rsidRPr="00944EE7" w:rsidRDefault="00944EE7" w:rsidP="00944EE7">
            <w:pPr>
              <w:spacing w:before="0" w:after="200"/>
              <w:jc w:val="center"/>
              <w:rPr>
                <w:rFonts w:eastAsia="Times New Roman"/>
                <w:sz w:val="20"/>
              </w:rPr>
            </w:pPr>
            <w:r w:rsidRPr="00944EE7">
              <w:rPr>
                <w:rFonts w:eastAsia="Times New Roman"/>
                <w:sz w:val="20"/>
              </w:rPr>
              <w:t>12</w:t>
            </w:r>
          </w:p>
        </w:tc>
        <w:tc>
          <w:tcPr>
            <w:tcW w:w="576" w:type="pct"/>
            <w:tcMar>
              <w:top w:w="0" w:type="dxa"/>
              <w:left w:w="108" w:type="dxa"/>
              <w:bottom w:w="0" w:type="dxa"/>
              <w:right w:w="108" w:type="dxa"/>
            </w:tcMar>
            <w:vAlign w:val="center"/>
          </w:tcPr>
          <w:p w14:paraId="0D7C7603"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7AC80B28"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6" w:type="pct"/>
            <w:tcMar>
              <w:top w:w="0" w:type="dxa"/>
              <w:left w:w="108" w:type="dxa"/>
              <w:bottom w:w="0" w:type="dxa"/>
              <w:right w:w="108" w:type="dxa"/>
            </w:tcMar>
            <w:vAlign w:val="center"/>
          </w:tcPr>
          <w:p w14:paraId="6760F4F7"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0DA29641" w14:textId="77777777" w:rsidR="00944EE7" w:rsidRPr="00944EE7" w:rsidRDefault="00944EE7" w:rsidP="00944EE7">
            <w:pPr>
              <w:spacing w:before="0" w:after="200"/>
              <w:jc w:val="center"/>
              <w:rPr>
                <w:rFonts w:eastAsia="Times New Roman"/>
                <w:sz w:val="20"/>
              </w:rPr>
            </w:pPr>
            <w:r w:rsidRPr="00944EE7">
              <w:rPr>
                <w:rFonts w:eastAsia="Times New Roman"/>
                <w:sz w:val="20"/>
              </w:rPr>
              <w:t>33</w:t>
            </w:r>
          </w:p>
        </w:tc>
        <w:tc>
          <w:tcPr>
            <w:tcW w:w="579" w:type="pct"/>
            <w:tcMar>
              <w:top w:w="0" w:type="dxa"/>
              <w:left w:w="108" w:type="dxa"/>
              <w:bottom w:w="0" w:type="dxa"/>
              <w:right w:w="108" w:type="dxa"/>
            </w:tcMar>
            <w:vAlign w:val="center"/>
          </w:tcPr>
          <w:p w14:paraId="316AEC0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0.5</w:t>
            </w:r>
          </w:p>
        </w:tc>
      </w:tr>
      <w:tr w:rsidR="00944EE7" w:rsidRPr="00944EE7" w14:paraId="74CA06BC" w14:textId="77777777" w:rsidTr="00B93956">
        <w:trPr>
          <w:trHeight w:val="179"/>
          <w:jc w:val="center"/>
        </w:trPr>
        <w:tc>
          <w:tcPr>
            <w:tcW w:w="5000" w:type="pct"/>
            <w:gridSpan w:val="7"/>
            <w:tcMar>
              <w:top w:w="0" w:type="dxa"/>
              <w:left w:w="108" w:type="dxa"/>
              <w:bottom w:w="0" w:type="dxa"/>
              <w:right w:w="108" w:type="dxa"/>
            </w:tcMar>
            <w:vAlign w:val="center"/>
          </w:tcPr>
          <w:p w14:paraId="41304B6A" w14:textId="77777777" w:rsidR="00944EE7" w:rsidRPr="00944EE7" w:rsidRDefault="00944EE7" w:rsidP="00944EE7">
            <w:pPr>
              <w:spacing w:before="0" w:after="200"/>
              <w:rPr>
                <w:rFonts w:eastAsia="Times New Roman"/>
                <w:b/>
                <w:bCs/>
                <w:sz w:val="20"/>
              </w:rPr>
            </w:pPr>
            <w:r w:rsidRPr="00944EE7">
              <w:rPr>
                <w:rFonts w:eastAsia="Times New Roman"/>
                <w:b/>
                <w:bCs/>
                <w:color w:val="auto"/>
                <w:sz w:val="20"/>
                <w:szCs w:val="20"/>
              </w:rPr>
              <w:t>Nervous system disorders</w:t>
            </w:r>
          </w:p>
        </w:tc>
      </w:tr>
      <w:tr w:rsidR="00944EE7" w:rsidRPr="00944EE7" w14:paraId="6367E0F9" w14:textId="77777777" w:rsidTr="00B93956">
        <w:trPr>
          <w:trHeight w:val="179"/>
          <w:jc w:val="center"/>
        </w:trPr>
        <w:tc>
          <w:tcPr>
            <w:tcW w:w="1541" w:type="pct"/>
            <w:tcMar>
              <w:top w:w="0" w:type="dxa"/>
              <w:left w:w="108" w:type="dxa"/>
              <w:bottom w:w="0" w:type="dxa"/>
              <w:right w:w="108" w:type="dxa"/>
            </w:tcMar>
            <w:vAlign w:val="center"/>
          </w:tcPr>
          <w:p w14:paraId="0571435A"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Dizziness</w:t>
            </w:r>
            <w:r w:rsidRPr="00944EE7">
              <w:rPr>
                <w:rFonts w:eastAsia="Times New Roman"/>
                <w:color w:val="auto"/>
                <w:sz w:val="20"/>
                <w:szCs w:val="20"/>
                <w:vertAlign w:val="superscript"/>
              </w:rPr>
              <w:t>14</w:t>
            </w:r>
          </w:p>
        </w:tc>
        <w:tc>
          <w:tcPr>
            <w:tcW w:w="576" w:type="pct"/>
            <w:tcMar>
              <w:top w:w="0" w:type="dxa"/>
              <w:left w:w="108" w:type="dxa"/>
              <w:bottom w:w="0" w:type="dxa"/>
              <w:right w:w="108" w:type="dxa"/>
            </w:tcMar>
            <w:vAlign w:val="center"/>
          </w:tcPr>
          <w:p w14:paraId="65317A48" w14:textId="77777777" w:rsidR="00944EE7" w:rsidRPr="00944EE7" w:rsidRDefault="00944EE7" w:rsidP="00944EE7">
            <w:pPr>
              <w:spacing w:before="0" w:after="200"/>
              <w:jc w:val="center"/>
              <w:rPr>
                <w:rFonts w:eastAsia="Times New Roman"/>
                <w:sz w:val="20"/>
              </w:rPr>
            </w:pPr>
            <w:r w:rsidRPr="00944EE7">
              <w:rPr>
                <w:rFonts w:eastAsia="Times New Roman"/>
                <w:sz w:val="20"/>
              </w:rPr>
              <w:t>16</w:t>
            </w:r>
          </w:p>
        </w:tc>
        <w:tc>
          <w:tcPr>
            <w:tcW w:w="576" w:type="pct"/>
            <w:tcMar>
              <w:top w:w="0" w:type="dxa"/>
              <w:left w:w="108" w:type="dxa"/>
              <w:bottom w:w="0" w:type="dxa"/>
              <w:right w:w="108" w:type="dxa"/>
            </w:tcMar>
            <w:vAlign w:val="center"/>
          </w:tcPr>
          <w:p w14:paraId="362D0AE7"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c>
          <w:tcPr>
            <w:tcW w:w="576" w:type="pct"/>
            <w:tcMar>
              <w:top w:w="0" w:type="dxa"/>
              <w:left w:w="108" w:type="dxa"/>
              <w:bottom w:w="0" w:type="dxa"/>
              <w:right w:w="108" w:type="dxa"/>
            </w:tcMar>
            <w:vAlign w:val="center"/>
          </w:tcPr>
          <w:p w14:paraId="79080539"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6" w:type="pct"/>
            <w:tcMar>
              <w:top w:w="0" w:type="dxa"/>
              <w:left w:w="108" w:type="dxa"/>
              <w:bottom w:w="0" w:type="dxa"/>
              <w:right w:w="108" w:type="dxa"/>
            </w:tcMar>
            <w:vAlign w:val="center"/>
          </w:tcPr>
          <w:p w14:paraId="43BD5C9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5295AA27"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33</w:t>
            </w:r>
          </w:p>
        </w:tc>
        <w:tc>
          <w:tcPr>
            <w:tcW w:w="579" w:type="pct"/>
            <w:tcMar>
              <w:top w:w="0" w:type="dxa"/>
              <w:left w:w="108" w:type="dxa"/>
              <w:bottom w:w="0" w:type="dxa"/>
              <w:right w:w="108" w:type="dxa"/>
            </w:tcMar>
            <w:vAlign w:val="center"/>
          </w:tcPr>
          <w:p w14:paraId="52AD74D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2</w:t>
            </w:r>
          </w:p>
        </w:tc>
      </w:tr>
      <w:tr w:rsidR="00944EE7" w:rsidRPr="00944EE7" w14:paraId="03B8F2E3" w14:textId="77777777" w:rsidTr="00B93956">
        <w:trPr>
          <w:trHeight w:val="179"/>
          <w:jc w:val="center"/>
        </w:trPr>
        <w:tc>
          <w:tcPr>
            <w:tcW w:w="1541" w:type="pct"/>
            <w:tcMar>
              <w:top w:w="0" w:type="dxa"/>
              <w:left w:w="108" w:type="dxa"/>
              <w:bottom w:w="0" w:type="dxa"/>
              <w:right w:w="108" w:type="dxa"/>
            </w:tcMar>
            <w:vAlign w:val="center"/>
          </w:tcPr>
          <w:p w14:paraId="232EA93E"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Headache</w:t>
            </w:r>
            <w:r w:rsidRPr="00944EE7">
              <w:rPr>
                <w:rFonts w:eastAsia="Times New Roman"/>
                <w:color w:val="auto"/>
                <w:sz w:val="20"/>
                <w:szCs w:val="20"/>
                <w:vertAlign w:val="superscript"/>
              </w:rPr>
              <w:t>15</w:t>
            </w:r>
          </w:p>
        </w:tc>
        <w:tc>
          <w:tcPr>
            <w:tcW w:w="576" w:type="pct"/>
            <w:tcMar>
              <w:top w:w="0" w:type="dxa"/>
              <w:left w:w="108" w:type="dxa"/>
              <w:bottom w:w="0" w:type="dxa"/>
              <w:right w:w="108" w:type="dxa"/>
            </w:tcMar>
            <w:vAlign w:val="center"/>
          </w:tcPr>
          <w:p w14:paraId="501F81DE" w14:textId="77777777" w:rsidR="00944EE7" w:rsidRPr="00944EE7" w:rsidRDefault="00944EE7" w:rsidP="00944EE7">
            <w:pPr>
              <w:spacing w:before="0" w:after="200"/>
              <w:jc w:val="center"/>
              <w:rPr>
                <w:rFonts w:eastAsia="Times New Roman"/>
                <w:sz w:val="20"/>
              </w:rPr>
            </w:pPr>
            <w:r w:rsidRPr="00944EE7">
              <w:rPr>
                <w:rFonts w:eastAsia="Times New Roman"/>
                <w:sz w:val="20"/>
              </w:rPr>
              <w:t>22</w:t>
            </w:r>
          </w:p>
        </w:tc>
        <w:tc>
          <w:tcPr>
            <w:tcW w:w="576" w:type="pct"/>
            <w:tcMar>
              <w:top w:w="0" w:type="dxa"/>
              <w:left w:w="108" w:type="dxa"/>
              <w:bottom w:w="0" w:type="dxa"/>
              <w:right w:w="108" w:type="dxa"/>
            </w:tcMar>
            <w:vAlign w:val="center"/>
          </w:tcPr>
          <w:p w14:paraId="63C61363"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40E2B2D4" w14:textId="77777777" w:rsidR="00944EE7" w:rsidRPr="00944EE7" w:rsidRDefault="00944EE7" w:rsidP="00944EE7">
            <w:pPr>
              <w:spacing w:before="0" w:after="200"/>
              <w:jc w:val="center"/>
              <w:rPr>
                <w:rFonts w:eastAsia="Times New Roman"/>
                <w:sz w:val="20"/>
              </w:rPr>
            </w:pPr>
            <w:r w:rsidRPr="00944EE7">
              <w:rPr>
                <w:rFonts w:eastAsia="Times New Roman"/>
                <w:sz w:val="20"/>
              </w:rPr>
              <w:t>13</w:t>
            </w:r>
          </w:p>
        </w:tc>
        <w:tc>
          <w:tcPr>
            <w:tcW w:w="576" w:type="pct"/>
            <w:tcMar>
              <w:top w:w="0" w:type="dxa"/>
              <w:left w:w="108" w:type="dxa"/>
              <w:bottom w:w="0" w:type="dxa"/>
              <w:right w:w="108" w:type="dxa"/>
            </w:tcMar>
            <w:vAlign w:val="center"/>
          </w:tcPr>
          <w:p w14:paraId="53F33E24"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35A3BDBA" w14:textId="77777777" w:rsidR="00944EE7" w:rsidRPr="00944EE7" w:rsidRDefault="00944EE7" w:rsidP="00944EE7">
            <w:pPr>
              <w:spacing w:before="0" w:after="200"/>
              <w:jc w:val="center"/>
              <w:rPr>
                <w:rFonts w:eastAsia="Times New Roman"/>
                <w:sz w:val="20"/>
              </w:rPr>
            </w:pPr>
            <w:r w:rsidRPr="00944EE7">
              <w:rPr>
                <w:rFonts w:eastAsia="Times New Roman"/>
                <w:sz w:val="20"/>
              </w:rPr>
              <w:t>30</w:t>
            </w:r>
          </w:p>
        </w:tc>
        <w:tc>
          <w:tcPr>
            <w:tcW w:w="579" w:type="pct"/>
            <w:tcMar>
              <w:top w:w="0" w:type="dxa"/>
              <w:left w:w="108" w:type="dxa"/>
              <w:bottom w:w="0" w:type="dxa"/>
              <w:right w:w="108" w:type="dxa"/>
            </w:tcMar>
            <w:vAlign w:val="center"/>
          </w:tcPr>
          <w:p w14:paraId="65B24975"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r>
      <w:tr w:rsidR="00944EE7" w:rsidRPr="00944EE7" w14:paraId="13426E60" w14:textId="77777777" w:rsidTr="00B93956">
        <w:trPr>
          <w:trHeight w:val="179"/>
          <w:jc w:val="center"/>
        </w:trPr>
        <w:tc>
          <w:tcPr>
            <w:tcW w:w="1541" w:type="pct"/>
            <w:tcMar>
              <w:top w:w="0" w:type="dxa"/>
              <w:left w:w="108" w:type="dxa"/>
              <w:bottom w:w="0" w:type="dxa"/>
              <w:right w:w="108" w:type="dxa"/>
            </w:tcMar>
            <w:vAlign w:val="center"/>
          </w:tcPr>
          <w:p w14:paraId="694A98B9"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Neuropathy</w:t>
            </w:r>
            <w:r w:rsidRPr="00944EE7">
              <w:rPr>
                <w:rFonts w:eastAsia="Times New Roman"/>
                <w:color w:val="auto"/>
                <w:sz w:val="20"/>
                <w:szCs w:val="20"/>
                <w:vertAlign w:val="superscript"/>
              </w:rPr>
              <w:t>16</w:t>
            </w:r>
          </w:p>
        </w:tc>
        <w:tc>
          <w:tcPr>
            <w:tcW w:w="576" w:type="pct"/>
            <w:tcMar>
              <w:top w:w="0" w:type="dxa"/>
              <w:left w:w="108" w:type="dxa"/>
              <w:bottom w:w="0" w:type="dxa"/>
              <w:right w:w="108" w:type="dxa"/>
            </w:tcMar>
            <w:vAlign w:val="center"/>
          </w:tcPr>
          <w:p w14:paraId="6DD1DC21" w14:textId="77777777" w:rsidR="00944EE7" w:rsidRPr="00944EE7" w:rsidRDefault="00944EE7" w:rsidP="00944EE7">
            <w:pPr>
              <w:spacing w:before="0" w:after="200"/>
              <w:jc w:val="center"/>
              <w:rPr>
                <w:rFonts w:eastAsia="Times New Roman"/>
                <w:sz w:val="20"/>
              </w:rPr>
            </w:pPr>
            <w:r w:rsidRPr="00944EE7">
              <w:rPr>
                <w:rFonts w:eastAsia="Times New Roman"/>
                <w:sz w:val="20"/>
              </w:rPr>
              <w:t>4</w:t>
            </w:r>
          </w:p>
        </w:tc>
        <w:tc>
          <w:tcPr>
            <w:tcW w:w="576" w:type="pct"/>
            <w:tcMar>
              <w:top w:w="0" w:type="dxa"/>
              <w:left w:w="108" w:type="dxa"/>
              <w:bottom w:w="0" w:type="dxa"/>
              <w:right w:w="108" w:type="dxa"/>
            </w:tcMar>
            <w:vAlign w:val="center"/>
          </w:tcPr>
          <w:p w14:paraId="26F6BF8C"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631F2484" w14:textId="77777777" w:rsidR="00944EE7" w:rsidRPr="00944EE7" w:rsidRDefault="00944EE7" w:rsidP="00944EE7">
            <w:pPr>
              <w:spacing w:before="0" w:after="200"/>
              <w:jc w:val="center"/>
              <w:rPr>
                <w:rFonts w:eastAsia="Times New Roman"/>
                <w:sz w:val="20"/>
              </w:rPr>
            </w:pPr>
            <w:r w:rsidRPr="00944EE7">
              <w:rPr>
                <w:rFonts w:eastAsia="Times New Roman"/>
                <w:sz w:val="20"/>
              </w:rPr>
              <w:t>8</w:t>
            </w:r>
          </w:p>
        </w:tc>
        <w:tc>
          <w:tcPr>
            <w:tcW w:w="576" w:type="pct"/>
            <w:tcMar>
              <w:top w:w="0" w:type="dxa"/>
              <w:left w:w="108" w:type="dxa"/>
              <w:bottom w:w="0" w:type="dxa"/>
              <w:right w:w="108" w:type="dxa"/>
            </w:tcMar>
            <w:vAlign w:val="center"/>
          </w:tcPr>
          <w:p w14:paraId="3CC8C0CF"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7C998B67" w14:textId="77777777" w:rsidR="00944EE7" w:rsidRPr="00944EE7" w:rsidRDefault="00944EE7" w:rsidP="00944EE7">
            <w:pPr>
              <w:spacing w:before="0" w:after="200"/>
              <w:jc w:val="center"/>
              <w:rPr>
                <w:rFonts w:eastAsia="Times New Roman"/>
                <w:sz w:val="20"/>
              </w:rPr>
            </w:pPr>
            <w:r w:rsidRPr="00944EE7">
              <w:rPr>
                <w:rFonts w:eastAsia="Times New Roman"/>
                <w:sz w:val="20"/>
              </w:rPr>
              <w:t>13</w:t>
            </w:r>
          </w:p>
        </w:tc>
        <w:tc>
          <w:tcPr>
            <w:tcW w:w="579" w:type="pct"/>
            <w:tcMar>
              <w:top w:w="0" w:type="dxa"/>
              <w:left w:w="108" w:type="dxa"/>
              <w:bottom w:w="0" w:type="dxa"/>
              <w:right w:w="108" w:type="dxa"/>
            </w:tcMar>
            <w:vAlign w:val="center"/>
          </w:tcPr>
          <w:p w14:paraId="2985F631"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r>
      <w:tr w:rsidR="00944EE7" w:rsidRPr="00944EE7" w14:paraId="365FC130" w14:textId="77777777" w:rsidTr="00B93956">
        <w:trPr>
          <w:trHeight w:val="179"/>
          <w:jc w:val="center"/>
        </w:trPr>
        <w:tc>
          <w:tcPr>
            <w:tcW w:w="5000" w:type="pct"/>
            <w:gridSpan w:val="7"/>
            <w:tcMar>
              <w:top w:w="0" w:type="dxa"/>
              <w:left w:w="108" w:type="dxa"/>
              <w:bottom w:w="0" w:type="dxa"/>
              <w:right w:w="108" w:type="dxa"/>
            </w:tcMar>
            <w:vAlign w:val="center"/>
          </w:tcPr>
          <w:p w14:paraId="769111AB" w14:textId="77777777" w:rsidR="00944EE7" w:rsidRPr="00944EE7" w:rsidRDefault="00944EE7" w:rsidP="00944EE7">
            <w:pPr>
              <w:spacing w:before="0" w:after="200"/>
              <w:rPr>
                <w:rFonts w:eastAsia="Times New Roman"/>
                <w:b/>
                <w:bCs/>
                <w:sz w:val="20"/>
              </w:rPr>
            </w:pPr>
            <w:r w:rsidRPr="00944EE7">
              <w:rPr>
                <w:rFonts w:eastAsia="Times New Roman"/>
                <w:b/>
                <w:bCs/>
                <w:color w:val="auto"/>
                <w:sz w:val="20"/>
                <w:szCs w:val="20"/>
              </w:rPr>
              <w:t>Metabolism and nutritional disorders</w:t>
            </w:r>
          </w:p>
        </w:tc>
      </w:tr>
      <w:tr w:rsidR="00944EE7" w:rsidRPr="00944EE7" w14:paraId="32F09931" w14:textId="77777777" w:rsidTr="00B93956">
        <w:trPr>
          <w:trHeight w:val="179"/>
          <w:jc w:val="center"/>
        </w:trPr>
        <w:tc>
          <w:tcPr>
            <w:tcW w:w="1541" w:type="pct"/>
            <w:tcMar>
              <w:top w:w="0" w:type="dxa"/>
              <w:left w:w="108" w:type="dxa"/>
              <w:bottom w:w="0" w:type="dxa"/>
              <w:right w:w="108" w:type="dxa"/>
            </w:tcMar>
            <w:vAlign w:val="center"/>
          </w:tcPr>
          <w:p w14:paraId="12830FDA"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Decreased appetite</w:t>
            </w:r>
          </w:p>
        </w:tc>
        <w:tc>
          <w:tcPr>
            <w:tcW w:w="576" w:type="pct"/>
            <w:tcMar>
              <w:top w:w="0" w:type="dxa"/>
              <w:left w:w="108" w:type="dxa"/>
              <w:bottom w:w="0" w:type="dxa"/>
              <w:right w:w="108" w:type="dxa"/>
            </w:tcMar>
            <w:vAlign w:val="center"/>
          </w:tcPr>
          <w:p w14:paraId="4903E7A0" w14:textId="77777777" w:rsidR="00944EE7" w:rsidRPr="00944EE7" w:rsidRDefault="00944EE7" w:rsidP="00944EE7">
            <w:pPr>
              <w:spacing w:before="0" w:after="200"/>
              <w:jc w:val="center"/>
              <w:rPr>
                <w:rFonts w:eastAsia="Times New Roman"/>
                <w:sz w:val="20"/>
              </w:rPr>
            </w:pPr>
            <w:r w:rsidRPr="00944EE7">
              <w:rPr>
                <w:rFonts w:eastAsia="Times New Roman"/>
                <w:sz w:val="20"/>
              </w:rPr>
              <w:t>10</w:t>
            </w:r>
          </w:p>
        </w:tc>
        <w:tc>
          <w:tcPr>
            <w:tcW w:w="576" w:type="pct"/>
            <w:tcMar>
              <w:top w:w="0" w:type="dxa"/>
              <w:left w:w="108" w:type="dxa"/>
              <w:bottom w:w="0" w:type="dxa"/>
              <w:right w:w="108" w:type="dxa"/>
            </w:tcMar>
            <w:vAlign w:val="center"/>
          </w:tcPr>
          <w:p w14:paraId="35D9BF44"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7D8B5AE2"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662A7F5E"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c>
          <w:tcPr>
            <w:tcW w:w="576" w:type="pct"/>
            <w:tcMar>
              <w:top w:w="0" w:type="dxa"/>
              <w:left w:w="108" w:type="dxa"/>
              <w:bottom w:w="0" w:type="dxa"/>
              <w:right w:w="108" w:type="dxa"/>
            </w:tcMar>
            <w:vAlign w:val="center"/>
          </w:tcPr>
          <w:p w14:paraId="07652F50" w14:textId="77777777" w:rsidR="00944EE7" w:rsidRPr="00944EE7" w:rsidRDefault="00944EE7" w:rsidP="00944EE7">
            <w:pPr>
              <w:spacing w:before="0" w:after="200"/>
              <w:jc w:val="center"/>
              <w:rPr>
                <w:rFonts w:eastAsia="Times New Roman"/>
                <w:sz w:val="20"/>
              </w:rPr>
            </w:pPr>
            <w:r w:rsidRPr="00944EE7">
              <w:rPr>
                <w:rFonts w:eastAsia="Times New Roman"/>
                <w:sz w:val="20"/>
              </w:rPr>
              <w:t>24</w:t>
            </w:r>
          </w:p>
        </w:tc>
        <w:tc>
          <w:tcPr>
            <w:tcW w:w="579" w:type="pct"/>
            <w:tcMar>
              <w:top w:w="0" w:type="dxa"/>
              <w:left w:w="108" w:type="dxa"/>
              <w:bottom w:w="0" w:type="dxa"/>
              <w:right w:w="108" w:type="dxa"/>
            </w:tcMar>
            <w:vAlign w:val="center"/>
          </w:tcPr>
          <w:p w14:paraId="4FD4D4B2"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r>
      <w:tr w:rsidR="00944EE7" w:rsidRPr="00944EE7" w14:paraId="341A9BBB" w14:textId="77777777" w:rsidTr="00B93956">
        <w:trPr>
          <w:trHeight w:val="179"/>
          <w:jc w:val="center"/>
        </w:trPr>
        <w:tc>
          <w:tcPr>
            <w:tcW w:w="5000" w:type="pct"/>
            <w:gridSpan w:val="7"/>
            <w:tcMar>
              <w:top w:w="0" w:type="dxa"/>
              <w:left w:w="108" w:type="dxa"/>
              <w:bottom w:w="0" w:type="dxa"/>
              <w:right w:w="108" w:type="dxa"/>
            </w:tcMar>
            <w:vAlign w:val="center"/>
          </w:tcPr>
          <w:p w14:paraId="5331AF30" w14:textId="77777777" w:rsidR="00944EE7" w:rsidRPr="00944EE7" w:rsidRDefault="00944EE7" w:rsidP="00944EE7">
            <w:pPr>
              <w:spacing w:before="0" w:after="200"/>
              <w:rPr>
                <w:rFonts w:eastAsia="Times New Roman"/>
                <w:b/>
                <w:bCs/>
                <w:sz w:val="20"/>
              </w:rPr>
            </w:pPr>
            <w:r w:rsidRPr="00944EE7">
              <w:rPr>
                <w:rFonts w:eastAsia="Times New Roman"/>
                <w:b/>
                <w:bCs/>
                <w:color w:val="auto"/>
                <w:sz w:val="20"/>
                <w:szCs w:val="20"/>
              </w:rPr>
              <w:t>Infections and infestations</w:t>
            </w:r>
          </w:p>
        </w:tc>
      </w:tr>
      <w:tr w:rsidR="00944EE7" w:rsidRPr="00944EE7" w14:paraId="5AAB9543" w14:textId="77777777" w:rsidTr="00B93956">
        <w:trPr>
          <w:trHeight w:val="179"/>
          <w:jc w:val="center"/>
        </w:trPr>
        <w:tc>
          <w:tcPr>
            <w:tcW w:w="1541" w:type="pct"/>
            <w:tcMar>
              <w:top w:w="0" w:type="dxa"/>
              <w:left w:w="108" w:type="dxa"/>
              <w:bottom w:w="0" w:type="dxa"/>
              <w:right w:w="108" w:type="dxa"/>
            </w:tcMar>
            <w:vAlign w:val="center"/>
          </w:tcPr>
          <w:p w14:paraId="7BD51FDC"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Upper respiratory tract infection</w:t>
            </w:r>
            <w:r w:rsidRPr="00944EE7">
              <w:rPr>
                <w:rFonts w:eastAsia="Times New Roman"/>
                <w:color w:val="auto"/>
                <w:sz w:val="20"/>
                <w:szCs w:val="20"/>
                <w:vertAlign w:val="superscript"/>
              </w:rPr>
              <w:t>17</w:t>
            </w:r>
          </w:p>
        </w:tc>
        <w:tc>
          <w:tcPr>
            <w:tcW w:w="576" w:type="pct"/>
            <w:tcMar>
              <w:top w:w="0" w:type="dxa"/>
              <w:left w:w="108" w:type="dxa"/>
              <w:bottom w:w="0" w:type="dxa"/>
              <w:right w:w="108" w:type="dxa"/>
            </w:tcMar>
            <w:vAlign w:val="center"/>
          </w:tcPr>
          <w:p w14:paraId="3A342D57"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7EBC242A"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12C45CFE"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c>
          <w:tcPr>
            <w:tcW w:w="576" w:type="pct"/>
            <w:tcMar>
              <w:top w:w="0" w:type="dxa"/>
              <w:left w:w="108" w:type="dxa"/>
              <w:bottom w:w="0" w:type="dxa"/>
              <w:right w:w="108" w:type="dxa"/>
            </w:tcMar>
            <w:vAlign w:val="center"/>
          </w:tcPr>
          <w:p w14:paraId="123027F6"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5C79B7DF" w14:textId="77777777" w:rsidR="00944EE7" w:rsidRPr="00944EE7" w:rsidRDefault="00944EE7" w:rsidP="00944EE7">
            <w:pPr>
              <w:spacing w:before="0" w:after="200"/>
              <w:jc w:val="center"/>
              <w:rPr>
                <w:rFonts w:eastAsia="Times New Roman"/>
                <w:sz w:val="20"/>
              </w:rPr>
            </w:pPr>
            <w:r w:rsidRPr="00944EE7">
              <w:rPr>
                <w:rFonts w:eastAsia="Times New Roman"/>
                <w:sz w:val="20"/>
              </w:rPr>
              <w:t>23</w:t>
            </w:r>
          </w:p>
        </w:tc>
        <w:tc>
          <w:tcPr>
            <w:tcW w:w="579" w:type="pct"/>
            <w:tcMar>
              <w:top w:w="0" w:type="dxa"/>
              <w:left w:w="108" w:type="dxa"/>
              <w:bottom w:w="0" w:type="dxa"/>
              <w:right w:w="108" w:type="dxa"/>
            </w:tcMar>
            <w:vAlign w:val="center"/>
          </w:tcPr>
          <w:p w14:paraId="448FC5FF"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r>
      <w:tr w:rsidR="00944EE7" w:rsidRPr="00944EE7" w14:paraId="2A83B0D9" w14:textId="77777777" w:rsidTr="00B93956">
        <w:trPr>
          <w:trHeight w:val="179"/>
          <w:jc w:val="center"/>
        </w:trPr>
        <w:tc>
          <w:tcPr>
            <w:tcW w:w="1541" w:type="pct"/>
            <w:tcMar>
              <w:top w:w="0" w:type="dxa"/>
              <w:left w:w="108" w:type="dxa"/>
              <w:bottom w:w="0" w:type="dxa"/>
              <w:right w:w="108" w:type="dxa"/>
            </w:tcMar>
            <w:vAlign w:val="center"/>
          </w:tcPr>
          <w:p w14:paraId="038A0C14"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Pneumonia</w:t>
            </w:r>
            <w:r w:rsidRPr="00944EE7">
              <w:rPr>
                <w:rFonts w:eastAsia="Times New Roman"/>
                <w:color w:val="auto"/>
                <w:sz w:val="20"/>
                <w:szCs w:val="20"/>
                <w:vertAlign w:val="superscript"/>
              </w:rPr>
              <w:t>18</w:t>
            </w:r>
          </w:p>
        </w:tc>
        <w:tc>
          <w:tcPr>
            <w:tcW w:w="576" w:type="pct"/>
            <w:tcMar>
              <w:top w:w="0" w:type="dxa"/>
              <w:left w:w="108" w:type="dxa"/>
              <w:bottom w:w="0" w:type="dxa"/>
              <w:right w:w="108" w:type="dxa"/>
            </w:tcMar>
            <w:vAlign w:val="center"/>
          </w:tcPr>
          <w:p w14:paraId="61FDFB7C"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67A5A1EE"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58421827" w14:textId="77777777" w:rsidR="00944EE7" w:rsidRPr="00944EE7" w:rsidRDefault="00944EE7" w:rsidP="00944EE7">
            <w:pPr>
              <w:spacing w:before="0" w:after="200"/>
              <w:jc w:val="center"/>
              <w:rPr>
                <w:rFonts w:eastAsia="Times New Roman"/>
                <w:sz w:val="20"/>
              </w:rPr>
            </w:pPr>
            <w:r w:rsidRPr="00944EE7">
              <w:rPr>
                <w:rFonts w:eastAsia="Times New Roman"/>
                <w:sz w:val="20"/>
              </w:rPr>
              <w:t>7</w:t>
            </w:r>
          </w:p>
        </w:tc>
        <w:tc>
          <w:tcPr>
            <w:tcW w:w="576" w:type="pct"/>
            <w:tcMar>
              <w:top w:w="0" w:type="dxa"/>
              <w:left w:w="108" w:type="dxa"/>
              <w:bottom w:w="0" w:type="dxa"/>
              <w:right w:w="108" w:type="dxa"/>
            </w:tcMar>
            <w:vAlign w:val="center"/>
          </w:tcPr>
          <w:p w14:paraId="7AA57132"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c>
          <w:tcPr>
            <w:tcW w:w="576" w:type="pct"/>
            <w:tcMar>
              <w:top w:w="0" w:type="dxa"/>
              <w:left w:w="108" w:type="dxa"/>
              <w:bottom w:w="0" w:type="dxa"/>
              <w:right w:w="108" w:type="dxa"/>
            </w:tcMar>
            <w:vAlign w:val="center"/>
          </w:tcPr>
          <w:p w14:paraId="37F493FC" w14:textId="77777777" w:rsidR="00944EE7" w:rsidRPr="00944EE7" w:rsidRDefault="00944EE7" w:rsidP="00944EE7">
            <w:pPr>
              <w:spacing w:before="0" w:after="200"/>
              <w:jc w:val="center"/>
              <w:rPr>
                <w:rFonts w:eastAsia="Times New Roman"/>
                <w:sz w:val="20"/>
              </w:rPr>
            </w:pPr>
            <w:r w:rsidRPr="00944EE7">
              <w:rPr>
                <w:rFonts w:eastAsia="Times New Roman"/>
                <w:sz w:val="20"/>
              </w:rPr>
              <w:t>21</w:t>
            </w:r>
          </w:p>
        </w:tc>
        <w:tc>
          <w:tcPr>
            <w:tcW w:w="579" w:type="pct"/>
            <w:tcMar>
              <w:top w:w="0" w:type="dxa"/>
              <w:left w:w="108" w:type="dxa"/>
              <w:bottom w:w="0" w:type="dxa"/>
              <w:right w:w="108" w:type="dxa"/>
            </w:tcMar>
            <w:vAlign w:val="center"/>
          </w:tcPr>
          <w:p w14:paraId="3CDDF819" w14:textId="77777777" w:rsidR="00944EE7" w:rsidRPr="00944EE7" w:rsidRDefault="00944EE7" w:rsidP="00944EE7">
            <w:pPr>
              <w:spacing w:before="0" w:after="200"/>
              <w:jc w:val="center"/>
              <w:rPr>
                <w:rFonts w:eastAsia="Times New Roman"/>
                <w:sz w:val="20"/>
              </w:rPr>
            </w:pPr>
            <w:r w:rsidRPr="00944EE7">
              <w:rPr>
                <w:rFonts w:eastAsia="Times New Roman"/>
                <w:sz w:val="20"/>
              </w:rPr>
              <w:t>15</w:t>
            </w:r>
          </w:p>
        </w:tc>
      </w:tr>
      <w:tr w:rsidR="00944EE7" w:rsidRPr="00944EE7" w14:paraId="3AB24D58" w14:textId="77777777" w:rsidTr="00B93956">
        <w:trPr>
          <w:trHeight w:val="179"/>
          <w:jc w:val="center"/>
        </w:trPr>
        <w:tc>
          <w:tcPr>
            <w:tcW w:w="1541" w:type="pct"/>
            <w:tcMar>
              <w:top w:w="0" w:type="dxa"/>
              <w:left w:w="108" w:type="dxa"/>
              <w:bottom w:w="0" w:type="dxa"/>
              <w:right w:w="108" w:type="dxa"/>
            </w:tcMar>
            <w:vAlign w:val="center"/>
          </w:tcPr>
          <w:p w14:paraId="19243F8A"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Sepsis</w:t>
            </w:r>
            <w:r w:rsidRPr="00944EE7">
              <w:rPr>
                <w:rFonts w:eastAsia="Times New Roman"/>
                <w:color w:val="auto"/>
                <w:sz w:val="20"/>
                <w:szCs w:val="20"/>
                <w:vertAlign w:val="superscript"/>
              </w:rPr>
              <w:t>19</w:t>
            </w:r>
          </w:p>
        </w:tc>
        <w:tc>
          <w:tcPr>
            <w:tcW w:w="576" w:type="pct"/>
            <w:tcMar>
              <w:top w:w="0" w:type="dxa"/>
              <w:left w:w="108" w:type="dxa"/>
              <w:bottom w:w="0" w:type="dxa"/>
              <w:right w:w="108" w:type="dxa"/>
            </w:tcMar>
            <w:vAlign w:val="center"/>
          </w:tcPr>
          <w:p w14:paraId="1EA64848"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6C2FC001"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7EE5DBFF"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Mar>
              <w:top w:w="0" w:type="dxa"/>
              <w:left w:w="108" w:type="dxa"/>
              <w:bottom w:w="0" w:type="dxa"/>
              <w:right w:w="108" w:type="dxa"/>
            </w:tcMar>
            <w:vAlign w:val="center"/>
          </w:tcPr>
          <w:p w14:paraId="5335CCBB"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51FC0EF4" w14:textId="77777777" w:rsidR="00944EE7" w:rsidRPr="00944EE7" w:rsidRDefault="00944EE7" w:rsidP="00944EE7">
            <w:pPr>
              <w:spacing w:before="0" w:after="200"/>
              <w:jc w:val="center"/>
              <w:rPr>
                <w:rFonts w:eastAsia="Times New Roman"/>
                <w:sz w:val="20"/>
              </w:rPr>
            </w:pPr>
            <w:r w:rsidRPr="00944EE7">
              <w:rPr>
                <w:rFonts w:eastAsia="Times New Roman"/>
                <w:sz w:val="20"/>
              </w:rPr>
              <w:t>14</w:t>
            </w:r>
          </w:p>
        </w:tc>
        <w:tc>
          <w:tcPr>
            <w:tcW w:w="579" w:type="pct"/>
            <w:tcMar>
              <w:top w:w="0" w:type="dxa"/>
              <w:left w:w="108" w:type="dxa"/>
              <w:bottom w:w="0" w:type="dxa"/>
              <w:right w:w="108" w:type="dxa"/>
            </w:tcMar>
            <w:vAlign w:val="center"/>
          </w:tcPr>
          <w:p w14:paraId="4DD68B7E"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r>
      <w:tr w:rsidR="00944EE7" w:rsidRPr="00944EE7" w14:paraId="7528113A" w14:textId="77777777" w:rsidTr="00B93956">
        <w:trPr>
          <w:trHeight w:val="179"/>
          <w:jc w:val="center"/>
        </w:trPr>
        <w:tc>
          <w:tcPr>
            <w:tcW w:w="1541" w:type="pct"/>
            <w:tcMar>
              <w:top w:w="0" w:type="dxa"/>
              <w:left w:w="108" w:type="dxa"/>
              <w:bottom w:w="0" w:type="dxa"/>
              <w:right w:w="108" w:type="dxa"/>
            </w:tcMar>
            <w:vAlign w:val="center"/>
          </w:tcPr>
          <w:p w14:paraId="654E0A60"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Cellulitis</w:t>
            </w:r>
            <w:r w:rsidRPr="00944EE7">
              <w:rPr>
                <w:rFonts w:eastAsia="Times New Roman"/>
                <w:color w:val="auto"/>
                <w:sz w:val="20"/>
                <w:szCs w:val="20"/>
                <w:vertAlign w:val="superscript"/>
              </w:rPr>
              <w:t>20</w:t>
            </w:r>
          </w:p>
        </w:tc>
        <w:tc>
          <w:tcPr>
            <w:tcW w:w="576" w:type="pct"/>
            <w:tcMar>
              <w:top w:w="0" w:type="dxa"/>
              <w:left w:w="108" w:type="dxa"/>
              <w:bottom w:w="0" w:type="dxa"/>
              <w:right w:w="108" w:type="dxa"/>
            </w:tcMar>
            <w:vAlign w:val="center"/>
          </w:tcPr>
          <w:p w14:paraId="7DF0E3CE" w14:textId="77777777" w:rsidR="00944EE7" w:rsidRPr="00944EE7" w:rsidRDefault="00944EE7" w:rsidP="00944EE7">
            <w:pPr>
              <w:spacing w:before="0" w:after="200"/>
              <w:jc w:val="center"/>
              <w:rPr>
                <w:rFonts w:eastAsia="Times New Roman"/>
                <w:sz w:val="20"/>
              </w:rPr>
            </w:pPr>
            <w:r w:rsidRPr="00944EE7">
              <w:rPr>
                <w:rFonts w:eastAsia="Times New Roman"/>
                <w:sz w:val="20"/>
              </w:rPr>
              <w:t>4</w:t>
            </w:r>
          </w:p>
        </w:tc>
        <w:tc>
          <w:tcPr>
            <w:tcW w:w="576" w:type="pct"/>
            <w:tcMar>
              <w:top w:w="0" w:type="dxa"/>
              <w:left w:w="108" w:type="dxa"/>
              <w:bottom w:w="0" w:type="dxa"/>
              <w:right w:w="108" w:type="dxa"/>
            </w:tcMar>
            <w:vAlign w:val="center"/>
          </w:tcPr>
          <w:p w14:paraId="1D605B5C"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149DA646"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c>
          <w:tcPr>
            <w:tcW w:w="576" w:type="pct"/>
            <w:tcMar>
              <w:top w:w="0" w:type="dxa"/>
              <w:left w:w="108" w:type="dxa"/>
              <w:bottom w:w="0" w:type="dxa"/>
              <w:right w:w="108" w:type="dxa"/>
            </w:tcMar>
            <w:vAlign w:val="center"/>
          </w:tcPr>
          <w:p w14:paraId="7F009AB3"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Mar>
              <w:top w:w="0" w:type="dxa"/>
              <w:left w:w="108" w:type="dxa"/>
              <w:bottom w:w="0" w:type="dxa"/>
              <w:right w:w="108" w:type="dxa"/>
            </w:tcMar>
            <w:vAlign w:val="center"/>
          </w:tcPr>
          <w:p w14:paraId="553BCBF9" w14:textId="77777777" w:rsidR="00944EE7" w:rsidRPr="00944EE7" w:rsidRDefault="00944EE7" w:rsidP="00944EE7">
            <w:pPr>
              <w:spacing w:before="0" w:after="200"/>
              <w:jc w:val="center"/>
              <w:rPr>
                <w:rFonts w:eastAsia="Times New Roman"/>
                <w:sz w:val="20"/>
              </w:rPr>
            </w:pPr>
            <w:r w:rsidRPr="00944EE7">
              <w:rPr>
                <w:rFonts w:eastAsia="Times New Roman"/>
                <w:sz w:val="20"/>
              </w:rPr>
              <w:t>12</w:t>
            </w:r>
          </w:p>
        </w:tc>
        <w:tc>
          <w:tcPr>
            <w:tcW w:w="579" w:type="pct"/>
            <w:tcMar>
              <w:top w:w="0" w:type="dxa"/>
              <w:left w:w="108" w:type="dxa"/>
              <w:bottom w:w="0" w:type="dxa"/>
              <w:right w:w="108" w:type="dxa"/>
            </w:tcMar>
            <w:vAlign w:val="center"/>
          </w:tcPr>
          <w:p w14:paraId="720CEE8A"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r>
      <w:tr w:rsidR="00944EE7" w:rsidRPr="00944EE7" w14:paraId="6733185A" w14:textId="77777777" w:rsidTr="00B93956">
        <w:trPr>
          <w:trHeight w:val="179"/>
          <w:jc w:val="center"/>
        </w:trPr>
        <w:tc>
          <w:tcPr>
            <w:tcW w:w="5000" w:type="pct"/>
            <w:gridSpan w:val="7"/>
            <w:tcMar>
              <w:top w:w="0" w:type="dxa"/>
              <w:left w:w="108" w:type="dxa"/>
              <w:bottom w:w="0" w:type="dxa"/>
              <w:right w:w="108" w:type="dxa"/>
            </w:tcMar>
            <w:vAlign w:val="center"/>
          </w:tcPr>
          <w:p w14:paraId="1D29C9E5" w14:textId="77777777" w:rsidR="00944EE7" w:rsidRPr="00944EE7" w:rsidRDefault="00944EE7" w:rsidP="00944EE7">
            <w:pPr>
              <w:spacing w:before="0" w:after="200"/>
              <w:rPr>
                <w:rFonts w:eastAsia="Times New Roman"/>
                <w:sz w:val="20"/>
              </w:rPr>
            </w:pPr>
            <w:r w:rsidRPr="00944EE7">
              <w:rPr>
                <w:rFonts w:eastAsia="Times New Roman"/>
                <w:b/>
                <w:bCs/>
                <w:color w:val="auto"/>
                <w:sz w:val="20"/>
                <w:szCs w:val="20"/>
              </w:rPr>
              <w:t>Investigations</w:t>
            </w:r>
          </w:p>
        </w:tc>
      </w:tr>
      <w:tr w:rsidR="00944EE7" w:rsidRPr="00944EE7" w14:paraId="1DDF1158" w14:textId="77777777" w:rsidTr="00B93956">
        <w:trPr>
          <w:trHeight w:val="179"/>
          <w:jc w:val="center"/>
        </w:trPr>
        <w:tc>
          <w:tcPr>
            <w:tcW w:w="1541" w:type="pct"/>
            <w:tcMar>
              <w:top w:w="0" w:type="dxa"/>
              <w:left w:w="108" w:type="dxa"/>
              <w:bottom w:w="0" w:type="dxa"/>
              <w:right w:w="108" w:type="dxa"/>
            </w:tcMar>
            <w:vAlign w:val="center"/>
          </w:tcPr>
          <w:p w14:paraId="2E3A1D72"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Renal impairment</w:t>
            </w:r>
            <w:r w:rsidRPr="00944EE7">
              <w:rPr>
                <w:rFonts w:eastAsia="Times New Roman"/>
                <w:color w:val="auto"/>
                <w:sz w:val="20"/>
                <w:szCs w:val="20"/>
                <w:vertAlign w:val="superscript"/>
              </w:rPr>
              <w:t>21</w:t>
            </w:r>
          </w:p>
        </w:tc>
        <w:tc>
          <w:tcPr>
            <w:tcW w:w="576" w:type="pct"/>
            <w:tcMar>
              <w:top w:w="0" w:type="dxa"/>
              <w:left w:w="108" w:type="dxa"/>
              <w:bottom w:w="0" w:type="dxa"/>
              <w:right w:w="108" w:type="dxa"/>
            </w:tcMar>
            <w:vAlign w:val="center"/>
          </w:tcPr>
          <w:p w14:paraId="068875B6" w14:textId="77777777" w:rsidR="00944EE7" w:rsidRPr="00944EE7" w:rsidRDefault="00944EE7" w:rsidP="00944EE7">
            <w:pPr>
              <w:spacing w:before="0" w:after="200"/>
              <w:jc w:val="center"/>
              <w:rPr>
                <w:rFonts w:eastAsia="Times New Roman"/>
                <w:sz w:val="20"/>
              </w:rPr>
            </w:pPr>
            <w:r w:rsidRPr="00944EE7">
              <w:rPr>
                <w:rFonts w:eastAsia="Times New Roman"/>
                <w:sz w:val="20"/>
              </w:rPr>
              <w:t>9</w:t>
            </w:r>
          </w:p>
        </w:tc>
        <w:tc>
          <w:tcPr>
            <w:tcW w:w="576" w:type="pct"/>
            <w:tcMar>
              <w:top w:w="0" w:type="dxa"/>
              <w:left w:w="108" w:type="dxa"/>
              <w:bottom w:w="0" w:type="dxa"/>
              <w:right w:w="108" w:type="dxa"/>
            </w:tcMar>
            <w:vAlign w:val="center"/>
          </w:tcPr>
          <w:p w14:paraId="3C186BAF"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0FE7E4A1" w14:textId="77777777" w:rsidR="00944EE7" w:rsidRPr="00944EE7" w:rsidRDefault="00944EE7" w:rsidP="00944EE7">
            <w:pPr>
              <w:spacing w:before="0" w:after="200"/>
              <w:jc w:val="center"/>
              <w:rPr>
                <w:rFonts w:eastAsia="Times New Roman"/>
                <w:sz w:val="20"/>
              </w:rPr>
            </w:pPr>
            <w:r w:rsidRPr="00944EE7">
              <w:rPr>
                <w:rFonts w:eastAsia="Times New Roman"/>
                <w:sz w:val="20"/>
              </w:rPr>
              <w:t>8</w:t>
            </w:r>
          </w:p>
        </w:tc>
        <w:tc>
          <w:tcPr>
            <w:tcW w:w="576" w:type="pct"/>
            <w:tcMar>
              <w:top w:w="0" w:type="dxa"/>
              <w:left w:w="108" w:type="dxa"/>
              <w:bottom w:w="0" w:type="dxa"/>
              <w:right w:w="108" w:type="dxa"/>
            </w:tcMar>
            <w:vAlign w:val="center"/>
          </w:tcPr>
          <w:p w14:paraId="4E3AB5FA"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3D640838" w14:textId="77777777" w:rsidR="00944EE7" w:rsidRPr="00944EE7" w:rsidRDefault="00944EE7" w:rsidP="00944EE7">
            <w:pPr>
              <w:spacing w:before="0" w:after="200"/>
              <w:jc w:val="center"/>
              <w:rPr>
                <w:rFonts w:eastAsia="Times New Roman"/>
                <w:sz w:val="20"/>
              </w:rPr>
            </w:pPr>
            <w:r w:rsidRPr="00944EE7">
              <w:rPr>
                <w:rFonts w:eastAsia="Times New Roman"/>
                <w:sz w:val="20"/>
              </w:rPr>
              <w:t>18</w:t>
            </w:r>
          </w:p>
        </w:tc>
        <w:tc>
          <w:tcPr>
            <w:tcW w:w="579" w:type="pct"/>
            <w:tcMar>
              <w:top w:w="0" w:type="dxa"/>
              <w:left w:w="108" w:type="dxa"/>
              <w:bottom w:w="0" w:type="dxa"/>
              <w:right w:w="108" w:type="dxa"/>
            </w:tcMar>
            <w:vAlign w:val="center"/>
          </w:tcPr>
          <w:p w14:paraId="419C225D" w14:textId="77777777" w:rsidR="00944EE7" w:rsidRPr="00944EE7" w:rsidRDefault="00944EE7" w:rsidP="00944EE7">
            <w:pPr>
              <w:spacing w:before="0" w:after="200"/>
              <w:jc w:val="center"/>
              <w:rPr>
                <w:rFonts w:eastAsia="Times New Roman"/>
                <w:sz w:val="20"/>
              </w:rPr>
            </w:pPr>
            <w:r w:rsidRPr="00944EE7">
              <w:rPr>
                <w:rFonts w:eastAsia="Times New Roman"/>
                <w:color w:val="auto"/>
                <w:sz w:val="20"/>
                <w:szCs w:val="20"/>
              </w:rPr>
              <w:t>0</w:t>
            </w:r>
          </w:p>
        </w:tc>
      </w:tr>
      <w:tr w:rsidR="00944EE7" w:rsidRPr="00944EE7" w14:paraId="0AD07596" w14:textId="77777777" w:rsidTr="00B93956">
        <w:trPr>
          <w:trHeight w:val="179"/>
          <w:jc w:val="center"/>
        </w:trPr>
        <w:tc>
          <w:tcPr>
            <w:tcW w:w="1541" w:type="pct"/>
            <w:tcMar>
              <w:top w:w="0" w:type="dxa"/>
              <w:left w:w="108" w:type="dxa"/>
              <w:bottom w:w="0" w:type="dxa"/>
              <w:right w:w="108" w:type="dxa"/>
            </w:tcMar>
            <w:vAlign w:val="center"/>
          </w:tcPr>
          <w:p w14:paraId="11A9225B"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Weight decreased</w:t>
            </w:r>
          </w:p>
        </w:tc>
        <w:tc>
          <w:tcPr>
            <w:tcW w:w="576" w:type="pct"/>
            <w:tcMar>
              <w:top w:w="0" w:type="dxa"/>
              <w:left w:w="108" w:type="dxa"/>
              <w:bottom w:w="0" w:type="dxa"/>
              <w:right w:w="108" w:type="dxa"/>
            </w:tcMar>
            <w:vAlign w:val="center"/>
          </w:tcPr>
          <w:p w14:paraId="2097B82E" w14:textId="77777777" w:rsidR="00944EE7" w:rsidRPr="00944EE7" w:rsidRDefault="00944EE7" w:rsidP="00944EE7">
            <w:pPr>
              <w:spacing w:before="0" w:after="200"/>
              <w:jc w:val="center"/>
              <w:rPr>
                <w:rFonts w:eastAsia="Times New Roman"/>
                <w:sz w:val="20"/>
              </w:rPr>
            </w:pPr>
            <w:r w:rsidRPr="00944EE7">
              <w:rPr>
                <w:rFonts w:eastAsia="Times New Roman"/>
                <w:sz w:val="20"/>
              </w:rPr>
              <w:t>5</w:t>
            </w:r>
          </w:p>
        </w:tc>
        <w:tc>
          <w:tcPr>
            <w:tcW w:w="576" w:type="pct"/>
            <w:tcMar>
              <w:top w:w="0" w:type="dxa"/>
              <w:left w:w="108" w:type="dxa"/>
              <w:bottom w:w="0" w:type="dxa"/>
              <w:right w:w="108" w:type="dxa"/>
            </w:tcMar>
            <w:vAlign w:val="center"/>
          </w:tcPr>
          <w:p w14:paraId="77817C3F"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3D887E4A"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c>
          <w:tcPr>
            <w:tcW w:w="576" w:type="pct"/>
            <w:tcMar>
              <w:top w:w="0" w:type="dxa"/>
              <w:left w:w="108" w:type="dxa"/>
              <w:bottom w:w="0" w:type="dxa"/>
              <w:right w:w="108" w:type="dxa"/>
            </w:tcMar>
            <w:vAlign w:val="center"/>
          </w:tcPr>
          <w:p w14:paraId="3861AB09"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15EB3D0E" w14:textId="77777777" w:rsidR="00944EE7" w:rsidRPr="00944EE7" w:rsidRDefault="00944EE7" w:rsidP="00944EE7">
            <w:pPr>
              <w:spacing w:before="0" w:after="200"/>
              <w:jc w:val="center"/>
              <w:rPr>
                <w:rFonts w:eastAsia="Times New Roman"/>
                <w:sz w:val="20"/>
              </w:rPr>
            </w:pPr>
            <w:r w:rsidRPr="00944EE7">
              <w:rPr>
                <w:rFonts w:eastAsia="Times New Roman"/>
                <w:sz w:val="20"/>
              </w:rPr>
              <w:t>10</w:t>
            </w:r>
          </w:p>
        </w:tc>
        <w:tc>
          <w:tcPr>
            <w:tcW w:w="579" w:type="pct"/>
            <w:tcMar>
              <w:top w:w="0" w:type="dxa"/>
              <w:left w:w="108" w:type="dxa"/>
              <w:bottom w:w="0" w:type="dxa"/>
              <w:right w:w="108" w:type="dxa"/>
            </w:tcMar>
            <w:vAlign w:val="center"/>
          </w:tcPr>
          <w:p w14:paraId="7C92122E"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r>
      <w:tr w:rsidR="00944EE7" w:rsidRPr="00944EE7" w14:paraId="5E6F34DE" w14:textId="77777777" w:rsidTr="00B93956">
        <w:trPr>
          <w:trHeight w:val="179"/>
          <w:jc w:val="center"/>
        </w:trPr>
        <w:tc>
          <w:tcPr>
            <w:tcW w:w="5000" w:type="pct"/>
            <w:gridSpan w:val="7"/>
            <w:tcMar>
              <w:top w:w="0" w:type="dxa"/>
              <w:left w:w="108" w:type="dxa"/>
              <w:bottom w:w="0" w:type="dxa"/>
              <w:right w:w="108" w:type="dxa"/>
            </w:tcMar>
            <w:vAlign w:val="center"/>
          </w:tcPr>
          <w:p w14:paraId="7A3BAD2B" w14:textId="77777777" w:rsidR="00944EE7" w:rsidRPr="00944EE7" w:rsidRDefault="00944EE7" w:rsidP="00944EE7">
            <w:pPr>
              <w:spacing w:before="0" w:after="200"/>
              <w:rPr>
                <w:rFonts w:eastAsia="Times New Roman"/>
                <w:b/>
                <w:bCs/>
                <w:color w:val="auto"/>
                <w:sz w:val="20"/>
                <w:szCs w:val="20"/>
              </w:rPr>
            </w:pPr>
            <w:r w:rsidRPr="00944EE7">
              <w:rPr>
                <w:rFonts w:eastAsia="Times New Roman"/>
                <w:b/>
                <w:bCs/>
                <w:color w:val="auto"/>
                <w:sz w:val="20"/>
                <w:szCs w:val="20"/>
              </w:rPr>
              <w:t>Injury, poisoning, and procedural complications</w:t>
            </w:r>
          </w:p>
        </w:tc>
      </w:tr>
      <w:tr w:rsidR="00944EE7" w:rsidRPr="00944EE7" w14:paraId="7C652D68" w14:textId="77777777" w:rsidTr="00B93956">
        <w:trPr>
          <w:trHeight w:val="179"/>
          <w:jc w:val="center"/>
        </w:trPr>
        <w:tc>
          <w:tcPr>
            <w:tcW w:w="1541" w:type="pct"/>
            <w:tcMar>
              <w:top w:w="0" w:type="dxa"/>
              <w:left w:w="108" w:type="dxa"/>
              <w:bottom w:w="0" w:type="dxa"/>
              <w:right w:w="108" w:type="dxa"/>
            </w:tcMar>
            <w:vAlign w:val="center"/>
          </w:tcPr>
          <w:p w14:paraId="6B4C185D"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Fall</w:t>
            </w:r>
          </w:p>
        </w:tc>
        <w:tc>
          <w:tcPr>
            <w:tcW w:w="576" w:type="pct"/>
            <w:tcMar>
              <w:top w:w="0" w:type="dxa"/>
              <w:left w:w="108" w:type="dxa"/>
              <w:bottom w:w="0" w:type="dxa"/>
              <w:right w:w="108" w:type="dxa"/>
            </w:tcMar>
            <w:vAlign w:val="center"/>
          </w:tcPr>
          <w:p w14:paraId="614FA151" w14:textId="77777777" w:rsidR="00944EE7" w:rsidRPr="00944EE7" w:rsidRDefault="00944EE7" w:rsidP="00944EE7">
            <w:pPr>
              <w:spacing w:before="0" w:after="200"/>
              <w:jc w:val="center"/>
              <w:rPr>
                <w:rFonts w:eastAsia="Times New Roman"/>
                <w:sz w:val="20"/>
              </w:rPr>
            </w:pPr>
            <w:r w:rsidRPr="00944EE7">
              <w:rPr>
                <w:rFonts w:eastAsia="Times New Roman"/>
                <w:sz w:val="20"/>
              </w:rPr>
              <w:t>4</w:t>
            </w:r>
          </w:p>
        </w:tc>
        <w:tc>
          <w:tcPr>
            <w:tcW w:w="576" w:type="pct"/>
            <w:tcMar>
              <w:top w:w="0" w:type="dxa"/>
              <w:left w:w="108" w:type="dxa"/>
              <w:bottom w:w="0" w:type="dxa"/>
              <w:right w:w="108" w:type="dxa"/>
            </w:tcMar>
            <w:vAlign w:val="center"/>
          </w:tcPr>
          <w:p w14:paraId="46EC923E"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7CB32AFD"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00851D48"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0DC0FFE4" w14:textId="77777777" w:rsidR="00944EE7" w:rsidRPr="00944EE7" w:rsidRDefault="00944EE7" w:rsidP="00944EE7">
            <w:pPr>
              <w:spacing w:before="0" w:after="200"/>
              <w:jc w:val="center"/>
              <w:rPr>
                <w:rFonts w:eastAsia="Times New Roman"/>
                <w:sz w:val="20"/>
              </w:rPr>
            </w:pPr>
            <w:r w:rsidRPr="00944EE7">
              <w:rPr>
                <w:rFonts w:eastAsia="Times New Roman"/>
                <w:sz w:val="20"/>
              </w:rPr>
              <w:t>12</w:t>
            </w:r>
          </w:p>
        </w:tc>
        <w:tc>
          <w:tcPr>
            <w:tcW w:w="579" w:type="pct"/>
            <w:tcMar>
              <w:top w:w="0" w:type="dxa"/>
              <w:left w:w="108" w:type="dxa"/>
              <w:bottom w:w="0" w:type="dxa"/>
              <w:right w:w="108" w:type="dxa"/>
            </w:tcMar>
            <w:vAlign w:val="center"/>
          </w:tcPr>
          <w:p w14:paraId="4025922A"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1</w:t>
            </w:r>
          </w:p>
        </w:tc>
      </w:tr>
      <w:tr w:rsidR="00944EE7" w:rsidRPr="00944EE7" w14:paraId="24841E0D" w14:textId="77777777" w:rsidTr="00B93956">
        <w:trPr>
          <w:trHeight w:val="179"/>
          <w:jc w:val="center"/>
        </w:trPr>
        <w:tc>
          <w:tcPr>
            <w:tcW w:w="5000" w:type="pct"/>
            <w:gridSpan w:val="7"/>
            <w:tcMar>
              <w:top w:w="0" w:type="dxa"/>
              <w:left w:w="108" w:type="dxa"/>
              <w:bottom w:w="0" w:type="dxa"/>
              <w:right w:w="108" w:type="dxa"/>
            </w:tcMar>
            <w:vAlign w:val="center"/>
          </w:tcPr>
          <w:p w14:paraId="508BF6B3" w14:textId="77777777" w:rsidR="00944EE7" w:rsidRPr="00944EE7" w:rsidRDefault="00944EE7" w:rsidP="00944EE7">
            <w:pPr>
              <w:spacing w:before="0" w:after="200"/>
              <w:rPr>
                <w:rFonts w:eastAsia="Times New Roman"/>
                <w:sz w:val="20"/>
              </w:rPr>
            </w:pPr>
            <w:r w:rsidRPr="00944EE7">
              <w:rPr>
                <w:rFonts w:eastAsia="Times New Roman"/>
                <w:b/>
                <w:bCs/>
                <w:color w:val="auto"/>
                <w:sz w:val="20"/>
                <w:szCs w:val="20"/>
              </w:rPr>
              <w:t>Psychiatric disorders</w:t>
            </w:r>
          </w:p>
        </w:tc>
      </w:tr>
      <w:tr w:rsidR="00944EE7" w:rsidRPr="00944EE7" w14:paraId="1CBAF932" w14:textId="77777777" w:rsidTr="00B93956">
        <w:trPr>
          <w:trHeight w:val="179"/>
          <w:jc w:val="center"/>
        </w:trPr>
        <w:tc>
          <w:tcPr>
            <w:tcW w:w="1541" w:type="pct"/>
            <w:tcMar>
              <w:top w:w="0" w:type="dxa"/>
              <w:left w:w="108" w:type="dxa"/>
              <w:bottom w:w="0" w:type="dxa"/>
              <w:right w:w="108" w:type="dxa"/>
            </w:tcMar>
            <w:vAlign w:val="center"/>
          </w:tcPr>
          <w:p w14:paraId="7B819736"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Insomnia</w:t>
            </w:r>
          </w:p>
        </w:tc>
        <w:tc>
          <w:tcPr>
            <w:tcW w:w="576" w:type="pct"/>
            <w:tcMar>
              <w:top w:w="0" w:type="dxa"/>
              <w:left w:w="108" w:type="dxa"/>
              <w:bottom w:w="0" w:type="dxa"/>
              <w:right w:w="108" w:type="dxa"/>
            </w:tcMar>
            <w:vAlign w:val="center"/>
          </w:tcPr>
          <w:p w14:paraId="3592DF30"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5E8915EB"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4C1ABE46"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Mar>
              <w:top w:w="0" w:type="dxa"/>
              <w:left w:w="108" w:type="dxa"/>
              <w:bottom w:w="0" w:type="dxa"/>
              <w:right w:w="108" w:type="dxa"/>
            </w:tcMar>
            <w:vAlign w:val="center"/>
          </w:tcPr>
          <w:p w14:paraId="39025E78"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2AEEEFAC" w14:textId="77777777" w:rsidR="00944EE7" w:rsidRPr="00944EE7" w:rsidRDefault="00944EE7" w:rsidP="00944EE7">
            <w:pPr>
              <w:spacing w:before="0" w:after="200"/>
              <w:jc w:val="center"/>
              <w:rPr>
                <w:rFonts w:eastAsia="Times New Roman"/>
                <w:sz w:val="20"/>
              </w:rPr>
            </w:pPr>
            <w:r w:rsidRPr="00944EE7">
              <w:rPr>
                <w:rFonts w:eastAsia="Times New Roman"/>
                <w:sz w:val="20"/>
              </w:rPr>
              <w:t>12</w:t>
            </w:r>
          </w:p>
        </w:tc>
        <w:tc>
          <w:tcPr>
            <w:tcW w:w="579" w:type="pct"/>
            <w:tcMar>
              <w:top w:w="0" w:type="dxa"/>
              <w:left w:w="108" w:type="dxa"/>
              <w:bottom w:w="0" w:type="dxa"/>
              <w:right w:w="108" w:type="dxa"/>
            </w:tcMar>
            <w:vAlign w:val="center"/>
          </w:tcPr>
          <w:p w14:paraId="2B6D574D"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0.5</w:t>
            </w:r>
          </w:p>
        </w:tc>
      </w:tr>
      <w:tr w:rsidR="00944EE7" w:rsidRPr="00944EE7" w14:paraId="51552863" w14:textId="77777777" w:rsidTr="00B93956">
        <w:trPr>
          <w:trHeight w:val="179"/>
          <w:jc w:val="center"/>
        </w:trPr>
        <w:tc>
          <w:tcPr>
            <w:tcW w:w="5000" w:type="pct"/>
            <w:gridSpan w:val="7"/>
            <w:tcMar>
              <w:top w:w="0" w:type="dxa"/>
              <w:left w:w="108" w:type="dxa"/>
              <w:bottom w:w="0" w:type="dxa"/>
              <w:right w:w="108" w:type="dxa"/>
            </w:tcMar>
            <w:vAlign w:val="center"/>
          </w:tcPr>
          <w:p w14:paraId="4BF6ACEF" w14:textId="77777777" w:rsidR="00944EE7" w:rsidRPr="00944EE7" w:rsidRDefault="00944EE7" w:rsidP="00944EE7">
            <w:pPr>
              <w:spacing w:before="0" w:after="200"/>
              <w:rPr>
                <w:rFonts w:eastAsia="Times New Roman"/>
                <w:sz w:val="20"/>
              </w:rPr>
            </w:pPr>
            <w:r w:rsidRPr="00944EE7">
              <w:rPr>
                <w:rFonts w:eastAsia="Times New Roman"/>
                <w:b/>
                <w:bCs/>
                <w:color w:val="auto"/>
                <w:sz w:val="20"/>
                <w:szCs w:val="20"/>
              </w:rPr>
              <w:t>Vascular disorders</w:t>
            </w:r>
          </w:p>
        </w:tc>
      </w:tr>
      <w:tr w:rsidR="00944EE7" w:rsidRPr="00944EE7" w14:paraId="12F09495" w14:textId="77777777" w:rsidTr="00B93956">
        <w:trPr>
          <w:trHeight w:val="179"/>
          <w:jc w:val="center"/>
        </w:trPr>
        <w:tc>
          <w:tcPr>
            <w:tcW w:w="1541" w:type="pct"/>
            <w:tcMar>
              <w:top w:w="0" w:type="dxa"/>
              <w:left w:w="108" w:type="dxa"/>
              <w:bottom w:w="0" w:type="dxa"/>
              <w:right w:w="108" w:type="dxa"/>
            </w:tcMar>
            <w:vAlign w:val="center"/>
          </w:tcPr>
          <w:p w14:paraId="4AFB3674" w14:textId="77777777" w:rsidR="00944EE7" w:rsidRPr="00944EE7" w:rsidRDefault="00944EE7" w:rsidP="00944EE7">
            <w:pPr>
              <w:spacing w:before="0" w:after="200"/>
              <w:ind w:left="154"/>
              <w:rPr>
                <w:rFonts w:eastAsia="Times New Roman"/>
                <w:color w:val="auto"/>
                <w:sz w:val="20"/>
                <w:szCs w:val="20"/>
              </w:rPr>
            </w:pPr>
            <w:r w:rsidRPr="00944EE7">
              <w:rPr>
                <w:rFonts w:eastAsia="Times New Roman"/>
                <w:color w:val="auto"/>
                <w:sz w:val="20"/>
                <w:szCs w:val="20"/>
              </w:rPr>
              <w:t>Hypotension</w:t>
            </w:r>
            <w:r w:rsidRPr="00944EE7">
              <w:rPr>
                <w:rFonts w:eastAsia="Times New Roman"/>
                <w:color w:val="auto"/>
                <w:sz w:val="20"/>
                <w:szCs w:val="20"/>
                <w:vertAlign w:val="superscript"/>
              </w:rPr>
              <w:t>22</w:t>
            </w:r>
          </w:p>
        </w:tc>
        <w:tc>
          <w:tcPr>
            <w:tcW w:w="576" w:type="pct"/>
            <w:tcMar>
              <w:top w:w="0" w:type="dxa"/>
              <w:left w:w="108" w:type="dxa"/>
              <w:bottom w:w="0" w:type="dxa"/>
              <w:right w:w="108" w:type="dxa"/>
            </w:tcMar>
            <w:vAlign w:val="center"/>
          </w:tcPr>
          <w:p w14:paraId="2264EDD6" w14:textId="77777777" w:rsidR="00944EE7" w:rsidRPr="00944EE7" w:rsidRDefault="00944EE7" w:rsidP="00944EE7">
            <w:pPr>
              <w:spacing w:before="0" w:after="200"/>
              <w:jc w:val="center"/>
              <w:rPr>
                <w:rFonts w:eastAsia="Times New Roman"/>
                <w:sz w:val="20"/>
              </w:rPr>
            </w:pPr>
            <w:r w:rsidRPr="00944EE7">
              <w:rPr>
                <w:rFonts w:eastAsia="Times New Roman"/>
                <w:sz w:val="20"/>
              </w:rPr>
              <w:t>4</w:t>
            </w:r>
          </w:p>
        </w:tc>
        <w:tc>
          <w:tcPr>
            <w:tcW w:w="576" w:type="pct"/>
            <w:tcMar>
              <w:top w:w="0" w:type="dxa"/>
              <w:left w:w="108" w:type="dxa"/>
              <w:bottom w:w="0" w:type="dxa"/>
              <w:right w:w="108" w:type="dxa"/>
            </w:tcMar>
            <w:vAlign w:val="center"/>
          </w:tcPr>
          <w:p w14:paraId="15050196"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Mar>
              <w:top w:w="0" w:type="dxa"/>
              <w:left w:w="108" w:type="dxa"/>
              <w:bottom w:w="0" w:type="dxa"/>
              <w:right w:w="108" w:type="dxa"/>
            </w:tcMar>
            <w:vAlign w:val="center"/>
          </w:tcPr>
          <w:p w14:paraId="7C1A9EF8" w14:textId="77777777" w:rsidR="00944EE7" w:rsidRPr="00944EE7" w:rsidRDefault="00944EE7" w:rsidP="00944EE7">
            <w:pPr>
              <w:spacing w:before="0" w:after="200"/>
              <w:jc w:val="center"/>
              <w:rPr>
                <w:rFonts w:eastAsia="Times New Roman"/>
                <w:sz w:val="20"/>
              </w:rPr>
            </w:pPr>
            <w:r w:rsidRPr="00944EE7">
              <w:rPr>
                <w:rFonts w:eastAsia="Times New Roman"/>
                <w:sz w:val="20"/>
              </w:rPr>
              <w:t>6</w:t>
            </w:r>
          </w:p>
        </w:tc>
        <w:tc>
          <w:tcPr>
            <w:tcW w:w="576" w:type="pct"/>
            <w:tcMar>
              <w:top w:w="0" w:type="dxa"/>
              <w:left w:w="108" w:type="dxa"/>
              <w:bottom w:w="0" w:type="dxa"/>
              <w:right w:w="108" w:type="dxa"/>
            </w:tcMar>
            <w:vAlign w:val="center"/>
          </w:tcPr>
          <w:p w14:paraId="24519B3D"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c>
          <w:tcPr>
            <w:tcW w:w="576" w:type="pct"/>
            <w:tcMar>
              <w:top w:w="0" w:type="dxa"/>
              <w:left w:w="108" w:type="dxa"/>
              <w:bottom w:w="0" w:type="dxa"/>
              <w:right w:w="108" w:type="dxa"/>
            </w:tcMar>
            <w:vAlign w:val="center"/>
          </w:tcPr>
          <w:p w14:paraId="69BD3279"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9" w:type="pct"/>
            <w:tcMar>
              <w:top w:w="0" w:type="dxa"/>
              <w:left w:w="108" w:type="dxa"/>
              <w:bottom w:w="0" w:type="dxa"/>
              <w:right w:w="108" w:type="dxa"/>
            </w:tcMar>
            <w:vAlign w:val="center"/>
          </w:tcPr>
          <w:p w14:paraId="1A463875" w14:textId="77777777" w:rsidR="00944EE7" w:rsidRPr="00944EE7" w:rsidRDefault="00944EE7" w:rsidP="00944EE7">
            <w:pPr>
              <w:spacing w:before="0" w:after="200"/>
              <w:jc w:val="center"/>
              <w:rPr>
                <w:rFonts w:eastAsia="Times New Roman"/>
                <w:color w:val="auto"/>
                <w:sz w:val="20"/>
                <w:szCs w:val="20"/>
              </w:rPr>
            </w:pPr>
            <w:r w:rsidRPr="00944EE7">
              <w:rPr>
                <w:rFonts w:eastAsia="Times New Roman"/>
                <w:sz w:val="20"/>
              </w:rPr>
              <w:t>2</w:t>
            </w:r>
          </w:p>
        </w:tc>
      </w:tr>
      <w:tr w:rsidR="00944EE7" w:rsidRPr="00944EE7" w14:paraId="13715B14" w14:textId="77777777" w:rsidTr="00B93956">
        <w:trPr>
          <w:trHeight w:val="179"/>
          <w:jc w:val="center"/>
        </w:trPr>
        <w:tc>
          <w:tcPr>
            <w:tcW w:w="5000" w:type="pct"/>
            <w:gridSpan w:val="7"/>
            <w:tcMar>
              <w:top w:w="0" w:type="dxa"/>
              <w:left w:w="108" w:type="dxa"/>
              <w:bottom w:w="0" w:type="dxa"/>
              <w:right w:w="108" w:type="dxa"/>
            </w:tcMar>
            <w:vAlign w:val="center"/>
          </w:tcPr>
          <w:p w14:paraId="3280D4D2" w14:textId="77777777" w:rsidR="00944EE7" w:rsidRPr="00944EE7" w:rsidRDefault="00944EE7" w:rsidP="00944EE7">
            <w:pPr>
              <w:spacing w:before="0" w:after="200"/>
              <w:rPr>
                <w:rFonts w:eastAsia="Times New Roman"/>
                <w:sz w:val="20"/>
              </w:rPr>
            </w:pPr>
            <w:r w:rsidRPr="00944EE7">
              <w:rPr>
                <w:rFonts w:eastAsia="Times New Roman"/>
                <w:b/>
                <w:bCs/>
                <w:color w:val="auto"/>
                <w:sz w:val="20"/>
                <w:szCs w:val="20"/>
              </w:rPr>
              <w:t>Cardiac Disorders</w:t>
            </w:r>
          </w:p>
        </w:tc>
      </w:tr>
      <w:tr w:rsidR="00944EE7" w:rsidRPr="00944EE7" w14:paraId="49D048D1" w14:textId="77777777" w:rsidTr="00B93956">
        <w:trPr>
          <w:trHeight w:val="179"/>
          <w:jc w:val="center"/>
        </w:trPr>
        <w:tc>
          <w:tcPr>
            <w:tcW w:w="1541" w:type="pct"/>
            <w:tcBorders>
              <w:bottom w:val="single" w:sz="4" w:space="0" w:color="auto"/>
            </w:tcBorders>
            <w:tcMar>
              <w:top w:w="0" w:type="dxa"/>
              <w:left w:w="108" w:type="dxa"/>
              <w:bottom w:w="0" w:type="dxa"/>
              <w:right w:w="108" w:type="dxa"/>
            </w:tcMar>
            <w:vAlign w:val="center"/>
          </w:tcPr>
          <w:p w14:paraId="7EBFB91F" w14:textId="77777777" w:rsidR="00944EE7" w:rsidRPr="00944EE7" w:rsidRDefault="00944EE7" w:rsidP="00944EE7">
            <w:pPr>
              <w:spacing w:before="0" w:after="200"/>
              <w:ind w:left="155"/>
              <w:rPr>
                <w:rFonts w:eastAsia="Times New Roman"/>
                <w:b/>
                <w:bCs/>
                <w:color w:val="auto"/>
                <w:sz w:val="20"/>
                <w:szCs w:val="20"/>
              </w:rPr>
            </w:pPr>
            <w:r w:rsidRPr="00944EE7">
              <w:rPr>
                <w:rFonts w:eastAsia="Times New Roman"/>
                <w:color w:val="auto"/>
                <w:sz w:val="20"/>
                <w:szCs w:val="20"/>
              </w:rPr>
              <w:t>Arrhythmia</w:t>
            </w:r>
            <w:r w:rsidRPr="00944EE7">
              <w:rPr>
                <w:rFonts w:eastAsia="Times New Roman"/>
                <w:color w:val="auto"/>
                <w:sz w:val="20"/>
                <w:szCs w:val="20"/>
                <w:vertAlign w:val="superscript"/>
              </w:rPr>
              <w:t>23</w:t>
            </w:r>
          </w:p>
        </w:tc>
        <w:tc>
          <w:tcPr>
            <w:tcW w:w="576" w:type="pct"/>
            <w:tcBorders>
              <w:bottom w:val="single" w:sz="4" w:space="0" w:color="auto"/>
            </w:tcBorders>
            <w:tcMar>
              <w:top w:w="0" w:type="dxa"/>
              <w:left w:w="108" w:type="dxa"/>
              <w:bottom w:w="0" w:type="dxa"/>
              <w:right w:w="108" w:type="dxa"/>
            </w:tcMar>
            <w:vAlign w:val="center"/>
          </w:tcPr>
          <w:p w14:paraId="1C2DD692" w14:textId="77777777" w:rsidR="00944EE7" w:rsidRPr="00944EE7" w:rsidRDefault="00944EE7" w:rsidP="00944EE7">
            <w:pPr>
              <w:spacing w:before="0" w:after="200"/>
              <w:jc w:val="center"/>
              <w:rPr>
                <w:rFonts w:eastAsia="Times New Roman"/>
                <w:sz w:val="20"/>
              </w:rPr>
            </w:pPr>
            <w:r w:rsidRPr="00944EE7">
              <w:rPr>
                <w:rFonts w:eastAsia="Times New Roman"/>
                <w:sz w:val="20"/>
              </w:rPr>
              <w:t>3</w:t>
            </w:r>
          </w:p>
        </w:tc>
        <w:tc>
          <w:tcPr>
            <w:tcW w:w="576" w:type="pct"/>
            <w:tcBorders>
              <w:bottom w:val="single" w:sz="4" w:space="0" w:color="auto"/>
            </w:tcBorders>
            <w:tcMar>
              <w:top w:w="0" w:type="dxa"/>
              <w:left w:w="108" w:type="dxa"/>
              <w:bottom w:w="0" w:type="dxa"/>
              <w:right w:w="108" w:type="dxa"/>
            </w:tcMar>
            <w:vAlign w:val="center"/>
          </w:tcPr>
          <w:p w14:paraId="258D5FB4"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Borders>
              <w:bottom w:val="single" w:sz="4" w:space="0" w:color="auto"/>
            </w:tcBorders>
            <w:tcMar>
              <w:top w:w="0" w:type="dxa"/>
              <w:left w:w="108" w:type="dxa"/>
              <w:bottom w:w="0" w:type="dxa"/>
              <w:right w:w="108" w:type="dxa"/>
            </w:tcMar>
            <w:vAlign w:val="center"/>
          </w:tcPr>
          <w:p w14:paraId="3B9D4CDD" w14:textId="77777777" w:rsidR="00944EE7" w:rsidRPr="00944EE7" w:rsidRDefault="00944EE7" w:rsidP="00944EE7">
            <w:pPr>
              <w:spacing w:before="0" w:after="200"/>
              <w:jc w:val="center"/>
              <w:rPr>
                <w:rFonts w:eastAsia="Times New Roman"/>
                <w:sz w:val="20"/>
              </w:rPr>
            </w:pPr>
            <w:r w:rsidRPr="00944EE7">
              <w:rPr>
                <w:rFonts w:eastAsia="Times New Roman"/>
                <w:sz w:val="20"/>
              </w:rPr>
              <w:t>2</w:t>
            </w:r>
          </w:p>
        </w:tc>
        <w:tc>
          <w:tcPr>
            <w:tcW w:w="576" w:type="pct"/>
            <w:tcBorders>
              <w:bottom w:val="single" w:sz="4" w:space="0" w:color="auto"/>
            </w:tcBorders>
            <w:tcMar>
              <w:top w:w="0" w:type="dxa"/>
              <w:left w:w="108" w:type="dxa"/>
              <w:bottom w:w="0" w:type="dxa"/>
              <w:right w:w="108" w:type="dxa"/>
            </w:tcMar>
            <w:vAlign w:val="center"/>
          </w:tcPr>
          <w:p w14:paraId="1C9A9746" w14:textId="77777777" w:rsidR="00944EE7" w:rsidRPr="00944EE7" w:rsidRDefault="00944EE7" w:rsidP="00944EE7">
            <w:pPr>
              <w:spacing w:before="0" w:after="200"/>
              <w:jc w:val="center"/>
              <w:rPr>
                <w:rFonts w:eastAsia="Times New Roman"/>
                <w:sz w:val="20"/>
              </w:rPr>
            </w:pPr>
            <w:r w:rsidRPr="00944EE7">
              <w:rPr>
                <w:rFonts w:eastAsia="Times New Roman"/>
                <w:sz w:val="20"/>
              </w:rPr>
              <w:t>0</w:t>
            </w:r>
          </w:p>
        </w:tc>
        <w:tc>
          <w:tcPr>
            <w:tcW w:w="576" w:type="pct"/>
            <w:tcBorders>
              <w:bottom w:val="single" w:sz="4" w:space="0" w:color="auto"/>
            </w:tcBorders>
            <w:tcMar>
              <w:top w:w="0" w:type="dxa"/>
              <w:left w:w="108" w:type="dxa"/>
              <w:bottom w:w="0" w:type="dxa"/>
              <w:right w:w="108" w:type="dxa"/>
            </w:tcMar>
            <w:vAlign w:val="center"/>
          </w:tcPr>
          <w:p w14:paraId="71AA1BDD" w14:textId="77777777" w:rsidR="00944EE7" w:rsidRPr="00944EE7" w:rsidRDefault="00944EE7" w:rsidP="00944EE7">
            <w:pPr>
              <w:spacing w:before="0" w:after="200"/>
              <w:jc w:val="center"/>
              <w:rPr>
                <w:rFonts w:eastAsia="Times New Roman"/>
                <w:sz w:val="20"/>
              </w:rPr>
            </w:pPr>
            <w:r w:rsidRPr="00944EE7">
              <w:rPr>
                <w:rFonts w:eastAsia="Times New Roman"/>
                <w:sz w:val="20"/>
              </w:rPr>
              <w:t>11</w:t>
            </w:r>
          </w:p>
        </w:tc>
        <w:tc>
          <w:tcPr>
            <w:tcW w:w="579" w:type="pct"/>
            <w:tcBorders>
              <w:bottom w:val="single" w:sz="4" w:space="0" w:color="auto"/>
            </w:tcBorders>
            <w:tcMar>
              <w:top w:w="0" w:type="dxa"/>
              <w:left w:w="108" w:type="dxa"/>
              <w:bottom w:w="0" w:type="dxa"/>
              <w:right w:w="108" w:type="dxa"/>
            </w:tcMar>
            <w:vAlign w:val="center"/>
          </w:tcPr>
          <w:p w14:paraId="25FBD969" w14:textId="77777777" w:rsidR="00944EE7" w:rsidRPr="00944EE7" w:rsidRDefault="00944EE7" w:rsidP="00944EE7">
            <w:pPr>
              <w:spacing w:before="0" w:after="200"/>
              <w:jc w:val="center"/>
              <w:rPr>
                <w:rFonts w:eastAsia="Times New Roman"/>
                <w:sz w:val="20"/>
              </w:rPr>
            </w:pPr>
            <w:r w:rsidRPr="00944EE7">
              <w:rPr>
                <w:rFonts w:eastAsia="Times New Roman"/>
                <w:sz w:val="20"/>
              </w:rPr>
              <w:t>1</w:t>
            </w:r>
          </w:p>
        </w:tc>
      </w:tr>
      <w:tr w:rsidR="00944EE7" w:rsidRPr="00944EE7" w14:paraId="063EEBD8" w14:textId="77777777" w:rsidTr="00B93956">
        <w:trPr>
          <w:trHeight w:val="188"/>
          <w:jc w:val="center"/>
        </w:trPr>
        <w:tc>
          <w:tcPr>
            <w:tcW w:w="5000" w:type="pct"/>
            <w:gridSpan w:val="7"/>
            <w:tcBorders>
              <w:top w:val="single" w:sz="4" w:space="0" w:color="auto"/>
              <w:left w:val="nil"/>
              <w:bottom w:val="nil"/>
              <w:right w:val="nil"/>
            </w:tcBorders>
            <w:tcMar>
              <w:top w:w="0" w:type="dxa"/>
              <w:left w:w="108" w:type="dxa"/>
              <w:bottom w:w="0" w:type="dxa"/>
              <w:right w:w="108" w:type="dxa"/>
            </w:tcMar>
            <w:vAlign w:val="center"/>
          </w:tcPr>
          <w:p w14:paraId="56865231" w14:textId="77777777" w:rsidR="00944EE7" w:rsidRPr="00944EE7" w:rsidRDefault="00944EE7" w:rsidP="00944EE7">
            <w:pPr>
              <w:spacing w:before="0"/>
              <w:rPr>
                <w:rFonts w:eastAsia="Times New Roman"/>
                <w:color w:val="auto"/>
                <w:sz w:val="16"/>
                <w:szCs w:val="16"/>
              </w:rPr>
            </w:pPr>
            <w:r w:rsidRPr="00944EE7">
              <w:rPr>
                <w:rFonts w:ascii="Calibri" w:eastAsia="Times New Roman" w:hAnsi="Calibri" w:cs="Calibri"/>
                <w:color w:val="auto"/>
                <w:sz w:val="20"/>
                <w:szCs w:val="20"/>
                <w:vertAlign w:val="superscript"/>
              </w:rPr>
              <w:t>†</w:t>
            </w:r>
            <w:bookmarkStart w:id="25" w:name="_Hlk40275322"/>
            <w:r w:rsidRPr="00944EE7">
              <w:rPr>
                <w:rFonts w:eastAsia="Times New Roman"/>
                <w:color w:val="auto"/>
                <w:sz w:val="16"/>
                <w:szCs w:val="16"/>
              </w:rPr>
              <w:t>Includes adverse reactions that occurred during all cycles, including during treatment with 1 cycle of intravenous decitabine</w:t>
            </w:r>
            <w:bookmarkEnd w:id="25"/>
            <w:r w:rsidRPr="00944EE7">
              <w:rPr>
                <w:rFonts w:eastAsia="Times New Roman"/>
                <w:color w:val="auto"/>
                <w:sz w:val="16"/>
                <w:szCs w:val="16"/>
              </w:rPr>
              <w:t>.</w:t>
            </w:r>
          </w:p>
          <w:p w14:paraId="7A0BFA96"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w:t>
            </w:r>
            <w:r w:rsidRPr="00944EE7">
              <w:rPr>
                <w:rFonts w:eastAsia="Times New Roman"/>
                <w:color w:val="auto"/>
                <w:sz w:val="16"/>
                <w:szCs w:val="16"/>
              </w:rPr>
              <w:tab/>
              <w:t>Includes fatigue, asthenia, and lethargy</w:t>
            </w:r>
          </w:p>
          <w:p w14:paraId="38995610"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2</w:t>
            </w:r>
            <w:r w:rsidRPr="00944EE7">
              <w:rPr>
                <w:rFonts w:eastAsia="Times New Roman"/>
                <w:color w:val="auto"/>
                <w:sz w:val="16"/>
                <w:szCs w:val="16"/>
              </w:rPr>
              <w:tab/>
              <w:t xml:space="preserve">Includes contusion, epistaxis, petechiae, hematuria, conjunctival hemorrhage, mouth hemorrhage, purpura, angina bullosa </w:t>
            </w:r>
            <w:proofErr w:type="spellStart"/>
            <w:r w:rsidRPr="00944EE7">
              <w:rPr>
                <w:rFonts w:eastAsia="Times New Roman"/>
                <w:color w:val="auto"/>
                <w:sz w:val="16"/>
                <w:szCs w:val="16"/>
              </w:rPr>
              <w:t>hemorrhagica</w:t>
            </w:r>
            <w:proofErr w:type="spellEnd"/>
            <w:r w:rsidRPr="00944EE7">
              <w:rPr>
                <w:rFonts w:eastAsia="Times New Roman"/>
                <w:color w:val="auto"/>
                <w:sz w:val="16"/>
                <w:szCs w:val="16"/>
              </w:rPr>
              <w:t>, gingival bleeding, hematoma, hemoptysis, eye contusion, hemorrhagic diathesis, increased tendency to bruise, vaginal hemorrhage, abdominal wall hematoma, blood blister, bone contusion, catheter site bruise, ecchymosis, genital hemorrhage, intra-abdominal hematoma, oral mucosa hematoma, periorbital hemorrhage, procedural hemorrhage, pulmonary alveolar hemorrhage, retinal hemorrhage, scleral hemorrhage, thrombotic thrombocytopenic purpura, tongue hemorrhage, and vessel puncture site hemorrhage</w:t>
            </w:r>
          </w:p>
          <w:p w14:paraId="6D876A2B"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3</w:t>
            </w:r>
            <w:r w:rsidRPr="00944EE7">
              <w:rPr>
                <w:rFonts w:eastAsia="Times New Roman"/>
                <w:color w:val="auto"/>
                <w:sz w:val="16"/>
                <w:szCs w:val="16"/>
              </w:rPr>
              <w:tab/>
              <w:t xml:space="preserve">Includes edema peripheral, peripheral swelling, swelling face, fluid overload, localized edema, face edema, edema, eye swelling, eyelid edema, fluid retention, periorbital swelling, scrotal edema, scrotal swelling, and swelling </w:t>
            </w:r>
          </w:p>
          <w:p w14:paraId="7F00E2F6"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4</w:t>
            </w:r>
            <w:r w:rsidRPr="00944EE7">
              <w:rPr>
                <w:rFonts w:eastAsia="Times New Roman"/>
                <w:color w:val="auto"/>
                <w:sz w:val="16"/>
                <w:szCs w:val="16"/>
              </w:rPr>
              <w:tab/>
              <w:t>Includes constipation and feces hard</w:t>
            </w:r>
          </w:p>
          <w:p w14:paraId="600FF492"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5</w:t>
            </w:r>
            <w:r w:rsidRPr="00944EE7">
              <w:rPr>
                <w:rFonts w:eastAsia="Times New Roman"/>
                <w:color w:val="auto"/>
                <w:sz w:val="16"/>
                <w:szCs w:val="16"/>
              </w:rPr>
              <w:tab/>
              <w:t xml:space="preserve">Includes oropharyngeal pain, stomatitis, mouth ulceration, proctalgia, oral pain, gingivitis, oral disorder, gingival pain, colitis, </w:t>
            </w:r>
            <w:proofErr w:type="spellStart"/>
            <w:r w:rsidRPr="00944EE7">
              <w:rPr>
                <w:rFonts w:eastAsia="Times New Roman"/>
                <w:color w:val="auto"/>
                <w:sz w:val="16"/>
                <w:szCs w:val="16"/>
              </w:rPr>
              <w:t>glossodynia</w:t>
            </w:r>
            <w:proofErr w:type="spellEnd"/>
            <w:r w:rsidRPr="00944EE7">
              <w:rPr>
                <w:rFonts w:eastAsia="Times New Roman"/>
                <w:color w:val="auto"/>
                <w:sz w:val="16"/>
                <w:szCs w:val="16"/>
              </w:rPr>
              <w:t xml:space="preserve">, mouth swelling, pharyngitis, proctitis, duodenitis, enteritis, gingival discomfort, gingival swelling, lip disorder, lip ulceration, mucosal ulceration, nasal ulcer, noninfective gingivitis, oral mucosal blistering, oral mucosal erythema, pharyngeal erythema, pharyngeal ulceration, tongue ulceration, and </w:t>
            </w:r>
            <w:proofErr w:type="spellStart"/>
            <w:r w:rsidRPr="00944EE7">
              <w:rPr>
                <w:rFonts w:eastAsia="Times New Roman"/>
                <w:color w:val="auto"/>
                <w:sz w:val="16"/>
                <w:szCs w:val="16"/>
              </w:rPr>
              <w:t>vulvitis</w:t>
            </w:r>
            <w:proofErr w:type="spellEnd"/>
          </w:p>
          <w:p w14:paraId="5F2672F5" w14:textId="286AD7CC"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6</w:t>
            </w:r>
            <w:r w:rsidRPr="00944EE7">
              <w:rPr>
                <w:rFonts w:eastAsia="Times New Roman"/>
                <w:color w:val="auto"/>
                <w:sz w:val="16"/>
                <w:szCs w:val="16"/>
              </w:rPr>
              <w:tab/>
              <w:t xml:space="preserve">Includes </w:t>
            </w:r>
            <w:proofErr w:type="spellStart"/>
            <w:r w:rsidRPr="00944EE7">
              <w:rPr>
                <w:rFonts w:eastAsia="Times New Roman"/>
                <w:color w:val="auto"/>
                <w:sz w:val="16"/>
                <w:szCs w:val="16"/>
              </w:rPr>
              <w:t>diarrh</w:t>
            </w:r>
            <w:r w:rsidR="00BD566D">
              <w:rPr>
                <w:rFonts w:eastAsia="Times New Roman"/>
                <w:color w:val="auto"/>
                <w:sz w:val="16"/>
                <w:szCs w:val="16"/>
              </w:rPr>
              <w:t>o</w:t>
            </w:r>
            <w:r w:rsidRPr="00944EE7">
              <w:rPr>
                <w:rFonts w:eastAsia="Times New Roman"/>
                <w:color w:val="auto"/>
                <w:sz w:val="16"/>
                <w:szCs w:val="16"/>
              </w:rPr>
              <w:t>ea</w:t>
            </w:r>
            <w:proofErr w:type="spellEnd"/>
            <w:r w:rsidRPr="00944EE7">
              <w:rPr>
                <w:rFonts w:eastAsia="Times New Roman"/>
                <w:color w:val="auto"/>
                <w:sz w:val="16"/>
                <w:szCs w:val="16"/>
              </w:rPr>
              <w:t xml:space="preserve"> and </w:t>
            </w:r>
            <w:proofErr w:type="spellStart"/>
            <w:r w:rsidRPr="00944EE7">
              <w:rPr>
                <w:rFonts w:eastAsia="Times New Roman"/>
                <w:color w:val="auto"/>
                <w:sz w:val="16"/>
                <w:szCs w:val="16"/>
              </w:rPr>
              <w:t>f</w:t>
            </w:r>
            <w:r w:rsidR="00BD566D">
              <w:rPr>
                <w:rFonts w:eastAsia="Times New Roman"/>
                <w:color w:val="auto"/>
                <w:sz w:val="16"/>
                <w:szCs w:val="16"/>
              </w:rPr>
              <w:t>a</w:t>
            </w:r>
            <w:r w:rsidRPr="00944EE7">
              <w:rPr>
                <w:rFonts w:eastAsia="Times New Roman"/>
                <w:color w:val="auto"/>
                <w:sz w:val="16"/>
                <w:szCs w:val="16"/>
              </w:rPr>
              <w:t>eces</w:t>
            </w:r>
            <w:proofErr w:type="spellEnd"/>
            <w:r w:rsidRPr="00944EE7">
              <w:rPr>
                <w:rFonts w:eastAsia="Times New Roman"/>
                <w:color w:val="auto"/>
                <w:sz w:val="16"/>
                <w:szCs w:val="16"/>
              </w:rPr>
              <w:t xml:space="preserve"> soft</w:t>
            </w:r>
          </w:p>
          <w:p w14:paraId="61150CC0"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7</w:t>
            </w:r>
            <w:r w:rsidRPr="00944EE7">
              <w:rPr>
                <w:rFonts w:eastAsia="Times New Roman"/>
                <w:color w:val="auto"/>
                <w:sz w:val="16"/>
                <w:szCs w:val="16"/>
              </w:rPr>
              <w:tab/>
              <w:t>Includes alanine aminotransferase increased, aspartate aminotransferase increased, blood alkaline phosphatase increased, gamma-</w:t>
            </w:r>
            <w:proofErr w:type="spellStart"/>
            <w:r w:rsidRPr="00944EE7">
              <w:rPr>
                <w:rFonts w:eastAsia="Times New Roman"/>
                <w:color w:val="auto"/>
                <w:sz w:val="16"/>
                <w:szCs w:val="16"/>
              </w:rPr>
              <w:t>glutamyltransferase</w:t>
            </w:r>
            <w:proofErr w:type="spellEnd"/>
            <w:r w:rsidRPr="00944EE7">
              <w:rPr>
                <w:rFonts w:eastAsia="Times New Roman"/>
                <w:color w:val="auto"/>
                <w:sz w:val="16"/>
                <w:szCs w:val="16"/>
              </w:rPr>
              <w:t xml:space="preserve"> increased, liver function test increased, and transaminases increased</w:t>
            </w:r>
          </w:p>
          <w:p w14:paraId="7F97033A"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8</w:t>
            </w:r>
            <w:r w:rsidRPr="00944EE7">
              <w:rPr>
                <w:rFonts w:eastAsia="Times New Roman"/>
                <w:color w:val="auto"/>
                <w:sz w:val="16"/>
                <w:szCs w:val="16"/>
              </w:rPr>
              <w:tab/>
              <w:t>Includes abdominal pain, abdominal pain upper, abdominal pain lower, epigastric discomfort, and abdominal discomfort</w:t>
            </w:r>
          </w:p>
          <w:p w14:paraId="5F63D456"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9</w:t>
            </w:r>
            <w:r w:rsidRPr="00944EE7">
              <w:rPr>
                <w:rFonts w:eastAsia="Times New Roman"/>
                <w:color w:val="auto"/>
                <w:sz w:val="16"/>
                <w:szCs w:val="16"/>
              </w:rPr>
              <w:tab/>
              <w:t>Includes myalgia, pain in extremity, muscle spasms, pain, musculoskeletal pain, non-cardiac chest pain, muscular weakness, musculoskeletal chest pain, flank pain, musculoskeletal stiffness, muscle strain, and musculoskeletal discomfort</w:t>
            </w:r>
          </w:p>
          <w:p w14:paraId="13D5C248"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10</w:t>
            </w:r>
            <w:r w:rsidRPr="00944EE7">
              <w:rPr>
                <w:rFonts w:eastAsia="Times New Roman"/>
                <w:color w:val="auto"/>
                <w:sz w:val="16"/>
                <w:szCs w:val="16"/>
              </w:rPr>
              <w:tab/>
              <w:t>Includes arthralgia, back pain, neck pain, joint stiffness, pain in jaw, joint swelling, bursitis, joint range of motion decreased, and joint injury</w:t>
            </w:r>
          </w:p>
          <w:p w14:paraId="0A8B123C" w14:textId="6D5AD948"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11</w:t>
            </w:r>
            <w:r w:rsidRPr="00944EE7">
              <w:rPr>
                <w:rFonts w:eastAsia="Times New Roman"/>
                <w:color w:val="auto"/>
                <w:sz w:val="16"/>
                <w:szCs w:val="16"/>
              </w:rPr>
              <w:tab/>
              <w:t xml:space="preserve">Includes </w:t>
            </w:r>
            <w:proofErr w:type="spellStart"/>
            <w:r w:rsidRPr="00944EE7">
              <w:rPr>
                <w:rFonts w:eastAsia="Times New Roman"/>
                <w:color w:val="auto"/>
                <w:sz w:val="16"/>
                <w:szCs w:val="16"/>
              </w:rPr>
              <w:t>dyspn</w:t>
            </w:r>
            <w:r w:rsidR="00BD566D">
              <w:rPr>
                <w:rFonts w:eastAsia="Times New Roman"/>
                <w:color w:val="auto"/>
                <w:sz w:val="16"/>
                <w:szCs w:val="16"/>
              </w:rPr>
              <w:t>o</w:t>
            </w:r>
            <w:r w:rsidRPr="00944EE7">
              <w:rPr>
                <w:rFonts w:eastAsia="Times New Roman"/>
                <w:color w:val="auto"/>
                <w:sz w:val="16"/>
                <w:szCs w:val="16"/>
              </w:rPr>
              <w:t>ea</w:t>
            </w:r>
            <w:proofErr w:type="spellEnd"/>
            <w:r w:rsidRPr="00944EE7">
              <w:rPr>
                <w:rFonts w:eastAsia="Times New Roman"/>
                <w:color w:val="auto"/>
                <w:sz w:val="16"/>
                <w:szCs w:val="16"/>
              </w:rPr>
              <w:t xml:space="preserve">, </w:t>
            </w:r>
            <w:proofErr w:type="spellStart"/>
            <w:r w:rsidRPr="00944EE7">
              <w:rPr>
                <w:rFonts w:eastAsia="Times New Roman"/>
                <w:color w:val="auto"/>
                <w:sz w:val="16"/>
                <w:szCs w:val="16"/>
              </w:rPr>
              <w:t>dyspn</w:t>
            </w:r>
            <w:r w:rsidR="00BD566D">
              <w:rPr>
                <w:rFonts w:eastAsia="Times New Roman"/>
                <w:color w:val="auto"/>
                <w:sz w:val="16"/>
                <w:szCs w:val="16"/>
              </w:rPr>
              <w:t>o</w:t>
            </w:r>
            <w:r w:rsidRPr="00944EE7">
              <w:rPr>
                <w:rFonts w:eastAsia="Times New Roman"/>
                <w:color w:val="auto"/>
                <w:sz w:val="16"/>
                <w:szCs w:val="16"/>
              </w:rPr>
              <w:t>ea</w:t>
            </w:r>
            <w:proofErr w:type="spellEnd"/>
            <w:r w:rsidRPr="00944EE7">
              <w:rPr>
                <w:rFonts w:eastAsia="Times New Roman"/>
                <w:color w:val="auto"/>
                <w:sz w:val="16"/>
                <w:szCs w:val="16"/>
              </w:rPr>
              <w:t xml:space="preserve"> exertional, hypoxia, wheezing, chronic obstructive pulmonary disease, and tachypnoea</w:t>
            </w:r>
          </w:p>
          <w:p w14:paraId="1447459E"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12</w:t>
            </w:r>
            <w:r w:rsidRPr="00944EE7">
              <w:rPr>
                <w:rFonts w:eastAsia="Times New Roman"/>
                <w:color w:val="auto"/>
                <w:sz w:val="16"/>
                <w:szCs w:val="16"/>
              </w:rPr>
              <w:tab/>
              <w:t>Includes cough and productive cough</w:t>
            </w:r>
          </w:p>
          <w:p w14:paraId="0D466C42" w14:textId="514E84AF"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13</w:t>
            </w:r>
            <w:r w:rsidRPr="00944EE7">
              <w:rPr>
                <w:rFonts w:eastAsia="Times New Roman"/>
                <w:color w:val="auto"/>
                <w:sz w:val="16"/>
                <w:szCs w:val="16"/>
              </w:rPr>
              <w:tab/>
              <w:t xml:space="preserve">Includes maculo-papular rash, rash, erythema, skin lesion, folliculitis, dermatitis, dermatitis acneiform, eczema, erythema multiforme, rash erythematous, seborrheic keratosis, skin ulcer, dermatitis allergic, dermatitis contact, eczema nummular, genital erythema, rash </w:t>
            </w:r>
            <w:proofErr w:type="spellStart"/>
            <w:r w:rsidRPr="00944EE7">
              <w:rPr>
                <w:rFonts w:eastAsia="Times New Roman"/>
                <w:color w:val="auto"/>
                <w:sz w:val="16"/>
                <w:szCs w:val="16"/>
              </w:rPr>
              <w:t>papular</w:t>
            </w:r>
            <w:proofErr w:type="spellEnd"/>
            <w:r w:rsidRPr="00944EE7">
              <w:rPr>
                <w:rFonts w:eastAsia="Times New Roman"/>
                <w:color w:val="auto"/>
                <w:sz w:val="16"/>
                <w:szCs w:val="16"/>
              </w:rPr>
              <w:t xml:space="preserve">, rash pruritic, rash pustular, </w:t>
            </w:r>
            <w:proofErr w:type="spellStart"/>
            <w:r w:rsidRPr="00944EE7">
              <w:rPr>
                <w:rFonts w:eastAsia="Times New Roman"/>
                <w:color w:val="auto"/>
                <w:sz w:val="16"/>
                <w:szCs w:val="16"/>
              </w:rPr>
              <w:t>seborrh</w:t>
            </w:r>
            <w:r w:rsidR="00BD566D">
              <w:rPr>
                <w:rFonts w:eastAsia="Times New Roman"/>
                <w:color w:val="auto"/>
                <w:sz w:val="16"/>
                <w:szCs w:val="16"/>
              </w:rPr>
              <w:t>o</w:t>
            </w:r>
            <w:r w:rsidRPr="00944EE7">
              <w:rPr>
                <w:rFonts w:eastAsia="Times New Roman"/>
                <w:color w:val="auto"/>
                <w:sz w:val="16"/>
                <w:szCs w:val="16"/>
              </w:rPr>
              <w:t>eic</w:t>
            </w:r>
            <w:proofErr w:type="spellEnd"/>
            <w:r w:rsidRPr="00944EE7">
              <w:rPr>
                <w:rFonts w:eastAsia="Times New Roman"/>
                <w:color w:val="auto"/>
                <w:sz w:val="16"/>
                <w:szCs w:val="16"/>
              </w:rPr>
              <w:t xml:space="preserve"> dermatitis, skin exfoliation, skin irritation, stasis dermatitis, and ulcerative keratitis</w:t>
            </w:r>
          </w:p>
          <w:p w14:paraId="61B3D9BF"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14</w:t>
            </w:r>
            <w:r w:rsidRPr="00944EE7">
              <w:rPr>
                <w:rFonts w:eastAsia="Times New Roman"/>
                <w:color w:val="auto"/>
                <w:sz w:val="16"/>
                <w:szCs w:val="16"/>
              </w:rPr>
              <w:tab/>
              <w:t>Includes dizziness, vertigo, postural dizziness, and positional vertigo</w:t>
            </w:r>
          </w:p>
          <w:p w14:paraId="4BB54FF3"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15</w:t>
            </w:r>
            <w:r w:rsidRPr="00944EE7">
              <w:rPr>
                <w:rFonts w:eastAsia="Times New Roman"/>
                <w:color w:val="auto"/>
                <w:sz w:val="16"/>
                <w:szCs w:val="16"/>
              </w:rPr>
              <w:tab/>
              <w:t>Includes headache, sinus pain, and sinus headache</w:t>
            </w:r>
          </w:p>
          <w:p w14:paraId="05C8F5C6" w14:textId="4C450C35"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16</w:t>
            </w:r>
            <w:r w:rsidRPr="00944EE7">
              <w:rPr>
                <w:rFonts w:eastAsia="Times New Roman"/>
                <w:color w:val="auto"/>
                <w:sz w:val="16"/>
                <w:szCs w:val="16"/>
              </w:rPr>
              <w:tab/>
              <w:t xml:space="preserve">Includes </w:t>
            </w:r>
            <w:proofErr w:type="spellStart"/>
            <w:r w:rsidRPr="00944EE7">
              <w:rPr>
                <w:rFonts w:eastAsia="Times New Roman"/>
                <w:color w:val="auto"/>
                <w:sz w:val="16"/>
                <w:szCs w:val="16"/>
              </w:rPr>
              <w:t>hypo</w:t>
            </w:r>
            <w:r w:rsidR="00BD566D">
              <w:rPr>
                <w:rFonts w:eastAsia="Times New Roman"/>
                <w:color w:val="auto"/>
                <w:sz w:val="16"/>
                <w:szCs w:val="16"/>
              </w:rPr>
              <w:t>a</w:t>
            </w:r>
            <w:r w:rsidRPr="00944EE7">
              <w:rPr>
                <w:rFonts w:eastAsia="Times New Roman"/>
                <w:color w:val="auto"/>
                <w:sz w:val="16"/>
                <w:szCs w:val="16"/>
              </w:rPr>
              <w:t>esthesia</w:t>
            </w:r>
            <w:proofErr w:type="spellEnd"/>
            <w:r w:rsidRPr="00944EE7">
              <w:rPr>
                <w:rFonts w:eastAsia="Times New Roman"/>
                <w:color w:val="auto"/>
                <w:sz w:val="16"/>
                <w:szCs w:val="16"/>
              </w:rPr>
              <w:t>, paresthesia, neuropathy peripheral, gait disturbance, peripheral sensory neuropathy, ataxia, balance disorder, brachial plexopathy, carpal tunnel syndrome, and radicular pain</w:t>
            </w:r>
          </w:p>
          <w:p w14:paraId="09894DE7"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17</w:t>
            </w:r>
            <w:r w:rsidRPr="00944EE7">
              <w:rPr>
                <w:rFonts w:eastAsia="Times New Roman"/>
                <w:color w:val="auto"/>
                <w:sz w:val="16"/>
                <w:szCs w:val="16"/>
              </w:rPr>
              <w:tab/>
              <w:t>Includes upper respiratory tract infection, nasopharyngitis, sinusitis, and viral upper respiratory tract infection</w:t>
            </w:r>
          </w:p>
          <w:p w14:paraId="737E4765"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18</w:t>
            </w:r>
            <w:r w:rsidRPr="00944EE7">
              <w:rPr>
                <w:rFonts w:eastAsia="Times New Roman"/>
                <w:color w:val="auto"/>
                <w:sz w:val="16"/>
                <w:szCs w:val="16"/>
              </w:rPr>
              <w:tab/>
              <w:t>Includes pneumonia, pneumonitis, atypical pneumonia, and lung infection</w:t>
            </w:r>
          </w:p>
          <w:p w14:paraId="4E85DB89" w14:textId="0FF236E8"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19</w:t>
            </w:r>
            <w:r w:rsidRPr="00944EE7">
              <w:rPr>
                <w:rFonts w:eastAsia="Times New Roman"/>
                <w:color w:val="auto"/>
                <w:sz w:val="16"/>
                <w:szCs w:val="16"/>
              </w:rPr>
              <w:tab/>
              <w:t xml:space="preserve">Includes </w:t>
            </w:r>
            <w:bookmarkStart w:id="26" w:name="_Hlk41400177"/>
            <w:r w:rsidRPr="00944EE7">
              <w:rPr>
                <w:rFonts w:eastAsia="Times New Roman"/>
                <w:color w:val="auto"/>
                <w:sz w:val="16"/>
                <w:szCs w:val="16"/>
              </w:rPr>
              <w:t xml:space="preserve">sepsis, bacteremia, septic shock, endocarditis, pseudomonal bacteremia, and staphylococcal </w:t>
            </w:r>
            <w:proofErr w:type="spellStart"/>
            <w:r w:rsidRPr="00944EE7">
              <w:rPr>
                <w:rFonts w:eastAsia="Times New Roman"/>
                <w:color w:val="auto"/>
                <w:sz w:val="16"/>
                <w:szCs w:val="16"/>
              </w:rPr>
              <w:t>bacter</w:t>
            </w:r>
            <w:r w:rsidR="00BD566D">
              <w:rPr>
                <w:rFonts w:eastAsia="Times New Roman"/>
                <w:color w:val="auto"/>
                <w:sz w:val="16"/>
                <w:szCs w:val="16"/>
              </w:rPr>
              <w:t>a</w:t>
            </w:r>
            <w:r w:rsidRPr="00944EE7">
              <w:rPr>
                <w:rFonts w:eastAsia="Times New Roman"/>
                <w:color w:val="auto"/>
                <w:sz w:val="16"/>
                <w:szCs w:val="16"/>
              </w:rPr>
              <w:t>emia</w:t>
            </w:r>
            <w:bookmarkEnd w:id="26"/>
            <w:proofErr w:type="spellEnd"/>
          </w:p>
          <w:p w14:paraId="0043FBB4"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20</w:t>
            </w:r>
            <w:r w:rsidRPr="00944EE7">
              <w:rPr>
                <w:rFonts w:eastAsia="Times New Roman"/>
                <w:color w:val="auto"/>
                <w:sz w:val="16"/>
                <w:szCs w:val="16"/>
              </w:rPr>
              <w:tab/>
              <w:t>Includes cellulitis, catheter site cellulitis, and infected bite</w:t>
            </w:r>
          </w:p>
          <w:p w14:paraId="4B1BCF34"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21</w:t>
            </w:r>
            <w:r w:rsidRPr="00944EE7">
              <w:rPr>
                <w:rFonts w:eastAsia="Times New Roman"/>
                <w:color w:val="auto"/>
                <w:sz w:val="16"/>
                <w:szCs w:val="16"/>
              </w:rPr>
              <w:tab/>
              <w:t>Includes blood creatinine increased, acute kidney injury, blood urea increased, blood creatine increased, and renal failure</w:t>
            </w:r>
          </w:p>
          <w:p w14:paraId="04E8DB2F" w14:textId="77777777" w:rsidR="00944EE7" w:rsidRPr="00944EE7" w:rsidRDefault="00944EE7" w:rsidP="00944EE7">
            <w:pPr>
              <w:tabs>
                <w:tab w:val="left" w:pos="332"/>
              </w:tabs>
              <w:spacing w:before="0"/>
              <w:ind w:left="332" w:hanging="332"/>
              <w:rPr>
                <w:rFonts w:eastAsia="Times New Roman"/>
                <w:color w:val="auto"/>
                <w:sz w:val="16"/>
                <w:szCs w:val="16"/>
              </w:rPr>
            </w:pPr>
            <w:r w:rsidRPr="00944EE7">
              <w:rPr>
                <w:rFonts w:eastAsia="Times New Roman"/>
                <w:color w:val="auto"/>
                <w:sz w:val="16"/>
                <w:szCs w:val="16"/>
                <w:vertAlign w:val="superscript"/>
              </w:rPr>
              <w:t>22</w:t>
            </w:r>
            <w:r w:rsidRPr="00944EE7">
              <w:rPr>
                <w:rFonts w:eastAsia="Times New Roman"/>
                <w:color w:val="auto"/>
                <w:sz w:val="16"/>
                <w:szCs w:val="16"/>
              </w:rPr>
              <w:tab/>
              <w:t>Includes hypotension, blood pressure decreased, and cardiogenic shock</w:t>
            </w:r>
          </w:p>
          <w:p w14:paraId="742D3B0A" w14:textId="77777777" w:rsidR="00944EE7" w:rsidRPr="00944EE7" w:rsidRDefault="00944EE7" w:rsidP="00944EE7">
            <w:pPr>
              <w:tabs>
                <w:tab w:val="left" w:pos="332"/>
              </w:tabs>
              <w:spacing w:before="0"/>
              <w:ind w:left="332" w:hanging="332"/>
              <w:rPr>
                <w:rFonts w:eastAsia="Times New Roman"/>
                <w:color w:val="auto"/>
                <w:sz w:val="20"/>
                <w:szCs w:val="20"/>
              </w:rPr>
            </w:pPr>
            <w:r w:rsidRPr="00944EE7">
              <w:rPr>
                <w:rFonts w:eastAsia="Times New Roman"/>
                <w:color w:val="auto"/>
                <w:sz w:val="16"/>
                <w:szCs w:val="16"/>
                <w:vertAlign w:val="superscript"/>
              </w:rPr>
              <w:t>23</w:t>
            </w:r>
            <w:r w:rsidRPr="00944EE7">
              <w:rPr>
                <w:rFonts w:eastAsia="Times New Roman"/>
                <w:color w:val="auto"/>
                <w:sz w:val="16"/>
                <w:szCs w:val="16"/>
              </w:rPr>
              <w:tab/>
              <w:t xml:space="preserve">Includes sinus tachycardia, atrial fibrillation, bradycardia, tachycardia, atrial flutter, sinus bradycardia, and conduction disorder </w:t>
            </w:r>
          </w:p>
        </w:tc>
      </w:tr>
    </w:tbl>
    <w:p w14:paraId="36EA5EAA" w14:textId="77777777" w:rsidR="00944EE7" w:rsidRPr="00944EE7" w:rsidRDefault="00944EE7" w:rsidP="00944EE7">
      <w:pPr>
        <w:spacing w:before="0" w:after="200" w:line="276" w:lineRule="auto"/>
        <w:ind w:left="720"/>
        <w:contextualSpacing/>
        <w:rPr>
          <w:rFonts w:eastAsia="SimSun"/>
          <w:b/>
          <w:color w:val="auto"/>
          <w:sz w:val="22"/>
          <w:szCs w:val="22"/>
        </w:rPr>
      </w:pPr>
    </w:p>
    <w:p w14:paraId="583E6524" w14:textId="6BCD0359" w:rsidR="00944EE7" w:rsidRPr="00944EE7" w:rsidRDefault="00944EE7" w:rsidP="00944EE7">
      <w:pPr>
        <w:spacing w:before="0" w:after="240"/>
        <w:rPr>
          <w:rFonts w:eastAsia="SimSun"/>
          <w:b/>
          <w:color w:val="auto"/>
        </w:rPr>
      </w:pPr>
      <w:r w:rsidRPr="00944EE7">
        <w:rPr>
          <w:rFonts w:eastAsia="SimSun"/>
          <w:bCs/>
          <w:color w:val="auto"/>
        </w:rPr>
        <w:t xml:space="preserve">Clinically relevant adverse reactions in &lt; 10% of patients who received </w:t>
      </w:r>
      <w:r w:rsidRPr="001A212B">
        <w:rPr>
          <w:rFonts w:eastAsia="SimSun"/>
          <w:bCs/>
          <w:color w:val="auto"/>
        </w:rPr>
        <w:t xml:space="preserve">INQOVI </w:t>
      </w:r>
      <w:r w:rsidR="00294F45" w:rsidRPr="001A212B">
        <w:rPr>
          <w:rFonts w:eastAsia="SimSun"/>
          <w:bCs/>
          <w:color w:val="auto"/>
        </w:rPr>
        <w:t>35/100</w:t>
      </w:r>
      <w:r w:rsidR="00294F45">
        <w:rPr>
          <w:rFonts w:eastAsia="SimSun"/>
          <w:bCs/>
          <w:color w:val="auto"/>
        </w:rPr>
        <w:t xml:space="preserve"> </w:t>
      </w:r>
      <w:r w:rsidRPr="00944EE7">
        <w:rPr>
          <w:rFonts w:eastAsia="SimSun"/>
          <w:bCs/>
          <w:color w:val="auto"/>
        </w:rPr>
        <w:t>included:</w:t>
      </w:r>
    </w:p>
    <w:p w14:paraId="6CBAF78F" w14:textId="77777777" w:rsidR="00944EE7" w:rsidRPr="00944EE7" w:rsidRDefault="00944EE7" w:rsidP="00944EE7">
      <w:pPr>
        <w:numPr>
          <w:ilvl w:val="0"/>
          <w:numId w:val="13"/>
        </w:numPr>
        <w:spacing w:before="0" w:after="200" w:line="276" w:lineRule="auto"/>
        <w:contextualSpacing/>
        <w:rPr>
          <w:rFonts w:eastAsia="SimSun"/>
          <w:color w:val="auto"/>
        </w:rPr>
      </w:pPr>
      <w:r w:rsidRPr="00944EE7">
        <w:rPr>
          <w:rFonts w:eastAsiaTheme="minorHAnsi"/>
          <w:color w:val="auto"/>
        </w:rPr>
        <w:t>Acute febrile neutrophilic dermatosis (Sweet’s syndrome) (1%)</w:t>
      </w:r>
    </w:p>
    <w:p w14:paraId="5BB80EDA" w14:textId="27ADB0DE" w:rsidR="00944EE7" w:rsidRPr="00944EE7" w:rsidRDefault="00944EE7" w:rsidP="00944EE7">
      <w:pPr>
        <w:numPr>
          <w:ilvl w:val="0"/>
          <w:numId w:val="13"/>
        </w:numPr>
        <w:spacing w:before="0" w:after="200" w:line="276" w:lineRule="auto"/>
        <w:contextualSpacing/>
        <w:rPr>
          <w:rFonts w:eastAsia="SimSun"/>
          <w:color w:val="auto"/>
        </w:rPr>
      </w:pPr>
      <w:r w:rsidRPr="00944EE7">
        <w:rPr>
          <w:rFonts w:eastAsiaTheme="minorHAnsi"/>
          <w:color w:val="auto"/>
        </w:rPr>
        <w:t>Tumor lysis syndrome (0.5%)</w:t>
      </w:r>
    </w:p>
    <w:p w14:paraId="4D66FFF3" w14:textId="77777777" w:rsidR="00944EE7" w:rsidRPr="00944EE7" w:rsidRDefault="00944EE7" w:rsidP="00944EE7">
      <w:pPr>
        <w:spacing w:before="0" w:after="200" w:line="276" w:lineRule="auto"/>
        <w:ind w:left="720"/>
        <w:contextualSpacing/>
        <w:rPr>
          <w:rFonts w:eastAsia="SimSun"/>
          <w:color w:val="auto"/>
        </w:rPr>
      </w:pPr>
    </w:p>
    <w:p w14:paraId="3F1E9C3C" w14:textId="469CDF36" w:rsidR="00944EE7" w:rsidRPr="00944EE7" w:rsidRDefault="00944EE7" w:rsidP="00944EE7">
      <w:pPr>
        <w:keepNext/>
        <w:tabs>
          <w:tab w:val="left" w:pos="270"/>
        </w:tabs>
        <w:spacing w:before="0" w:after="240"/>
        <w:ind w:left="1350" w:hanging="1350"/>
        <w:outlineLvl w:val="2"/>
        <w:rPr>
          <w:rFonts w:eastAsia="Times New Roman"/>
          <w:b/>
          <w:color w:val="auto"/>
          <w:szCs w:val="20"/>
        </w:rPr>
      </w:pPr>
      <w:r w:rsidRPr="00944EE7">
        <w:rPr>
          <w:rFonts w:eastAsia="Times New Roman"/>
          <w:b/>
          <w:color w:val="auto"/>
          <w:szCs w:val="20"/>
        </w:rPr>
        <w:t>Table 3:</w:t>
      </w:r>
      <w:r w:rsidRPr="00944EE7">
        <w:rPr>
          <w:rFonts w:eastAsia="Times New Roman"/>
          <w:b/>
          <w:color w:val="auto"/>
          <w:szCs w:val="20"/>
        </w:rPr>
        <w:tab/>
        <w:t xml:space="preserve">Select Laboratory Abnormalities (&gt; 20%) Worsening from Baseline in Patients Who Received </w:t>
      </w:r>
      <w:r w:rsidRPr="004E702A">
        <w:rPr>
          <w:rFonts w:eastAsia="Times New Roman"/>
          <w:b/>
          <w:color w:val="auto"/>
          <w:szCs w:val="20"/>
        </w:rPr>
        <w:t xml:space="preserve">INQOVI </w:t>
      </w:r>
      <w:r w:rsidR="00EA4788" w:rsidRPr="004E702A">
        <w:rPr>
          <w:rFonts w:eastAsia="Times New Roman"/>
          <w:b/>
          <w:color w:val="auto"/>
          <w:szCs w:val="20"/>
        </w:rPr>
        <w:t xml:space="preserve">35/100 </w:t>
      </w:r>
      <w:r w:rsidRPr="004E702A">
        <w:rPr>
          <w:rFonts w:eastAsia="Times New Roman"/>
          <w:b/>
          <w:color w:val="auto"/>
          <w:szCs w:val="20"/>
        </w:rPr>
        <w:t>in</w:t>
      </w:r>
      <w:r w:rsidRPr="00944EE7">
        <w:rPr>
          <w:rFonts w:eastAsia="Times New Roman"/>
          <w:b/>
          <w:color w:val="auto"/>
          <w:szCs w:val="20"/>
        </w:rPr>
        <w:t xml:space="preserve"> Pooled Safety Population</w:t>
      </w:r>
    </w:p>
    <w:tbl>
      <w:tblPr>
        <w:tblW w:w="49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765"/>
        <w:gridCol w:w="1032"/>
        <w:gridCol w:w="1060"/>
        <w:gridCol w:w="1005"/>
        <w:gridCol w:w="990"/>
        <w:gridCol w:w="1073"/>
        <w:gridCol w:w="1030"/>
      </w:tblGrid>
      <w:tr w:rsidR="00944EE7" w:rsidRPr="00944EE7" w14:paraId="760E46D6" w14:textId="77777777" w:rsidTr="00B93956">
        <w:trPr>
          <w:tblHeader/>
          <w:jc w:val="center"/>
        </w:trPr>
        <w:tc>
          <w:tcPr>
            <w:tcW w:w="1544" w:type="pct"/>
            <w:vMerge w:val="restart"/>
            <w:tcMar>
              <w:top w:w="0" w:type="dxa"/>
              <w:left w:w="108" w:type="dxa"/>
              <w:bottom w:w="0" w:type="dxa"/>
              <w:right w:w="108" w:type="dxa"/>
            </w:tcMar>
            <w:vAlign w:val="bottom"/>
            <w:hideMark/>
          </w:tcPr>
          <w:p w14:paraId="145C77E0" w14:textId="77777777" w:rsidR="00944EE7" w:rsidRPr="00944EE7" w:rsidRDefault="00944EE7" w:rsidP="00944EE7">
            <w:pPr>
              <w:keepNext/>
              <w:autoSpaceDE w:val="0"/>
              <w:autoSpaceDN w:val="0"/>
              <w:spacing w:before="0" w:after="200"/>
              <w:rPr>
                <w:rFonts w:eastAsia="Times New Roman"/>
                <w:color w:val="auto"/>
                <w:sz w:val="20"/>
                <w:szCs w:val="20"/>
              </w:rPr>
            </w:pPr>
            <w:bookmarkStart w:id="27" w:name="_Hlk39736460"/>
            <w:r w:rsidRPr="00944EE7">
              <w:rPr>
                <w:rFonts w:eastAsia="Times New Roman"/>
                <w:b/>
                <w:bCs/>
                <w:color w:val="auto"/>
                <w:sz w:val="20"/>
                <w:szCs w:val="20"/>
              </w:rPr>
              <w:t>Lab Abnormality</w:t>
            </w:r>
            <w:r w:rsidRPr="00944EE7">
              <w:rPr>
                <w:rFonts w:eastAsia="Times New Roman"/>
                <w:b/>
                <w:bCs/>
                <w:color w:val="auto"/>
                <w:sz w:val="20"/>
                <w:szCs w:val="20"/>
                <w:vertAlign w:val="superscript"/>
              </w:rPr>
              <w:t>*</w:t>
            </w:r>
          </w:p>
        </w:tc>
        <w:tc>
          <w:tcPr>
            <w:tcW w:w="1168" w:type="pct"/>
            <w:gridSpan w:val="2"/>
            <w:tcMar>
              <w:top w:w="0" w:type="dxa"/>
              <w:left w:w="108" w:type="dxa"/>
              <w:bottom w:w="0" w:type="dxa"/>
              <w:right w:w="108" w:type="dxa"/>
            </w:tcMar>
            <w:vAlign w:val="bottom"/>
            <w:hideMark/>
          </w:tcPr>
          <w:p w14:paraId="3A6F8A31" w14:textId="1624F53E" w:rsidR="00944EE7" w:rsidRPr="001A212B" w:rsidRDefault="00944EE7" w:rsidP="00944EE7">
            <w:pPr>
              <w:keepNext/>
              <w:autoSpaceDE w:val="0"/>
              <w:autoSpaceDN w:val="0"/>
              <w:spacing w:before="0" w:after="200"/>
              <w:jc w:val="center"/>
              <w:rPr>
                <w:rFonts w:eastAsia="Times New Roman"/>
                <w:color w:val="auto"/>
                <w:sz w:val="20"/>
                <w:szCs w:val="20"/>
              </w:rPr>
            </w:pPr>
            <w:r w:rsidRPr="001A212B">
              <w:rPr>
                <w:rFonts w:eastAsia="Times New Roman"/>
                <w:b/>
                <w:bCs/>
                <w:color w:val="auto"/>
                <w:sz w:val="20"/>
                <w:szCs w:val="20"/>
              </w:rPr>
              <w:t>INQOVI</w:t>
            </w:r>
            <w:r w:rsidR="00EA4788" w:rsidRPr="001A212B">
              <w:rPr>
                <w:rFonts w:eastAsia="Times New Roman"/>
                <w:b/>
                <w:bCs/>
                <w:color w:val="auto"/>
                <w:sz w:val="20"/>
                <w:szCs w:val="20"/>
              </w:rPr>
              <w:t xml:space="preserve"> 35/100</w:t>
            </w:r>
            <w:r w:rsidRPr="001A212B">
              <w:rPr>
                <w:rFonts w:eastAsia="Times New Roman"/>
                <w:b/>
                <w:bCs/>
                <w:color w:val="auto"/>
                <w:sz w:val="20"/>
                <w:szCs w:val="20"/>
              </w:rPr>
              <w:br/>
              <w:t>Cycle 1</w:t>
            </w:r>
            <w:r w:rsidRPr="001A212B">
              <w:rPr>
                <w:rFonts w:eastAsia="Times New Roman"/>
                <w:b/>
                <w:bCs/>
                <w:iCs/>
                <w:color w:val="auto"/>
                <w:sz w:val="20"/>
                <w:szCs w:val="20"/>
                <w:vertAlign w:val="superscript"/>
              </w:rPr>
              <w:t>†</w:t>
            </w:r>
          </w:p>
        </w:tc>
        <w:tc>
          <w:tcPr>
            <w:tcW w:w="1114" w:type="pct"/>
            <w:gridSpan w:val="2"/>
            <w:tcMar>
              <w:top w:w="0" w:type="dxa"/>
              <w:left w:w="108" w:type="dxa"/>
              <w:bottom w:w="0" w:type="dxa"/>
              <w:right w:w="108" w:type="dxa"/>
            </w:tcMar>
            <w:vAlign w:val="bottom"/>
            <w:hideMark/>
          </w:tcPr>
          <w:p w14:paraId="64154E05" w14:textId="77777777" w:rsidR="00944EE7" w:rsidRPr="001A212B" w:rsidRDefault="00944EE7" w:rsidP="00944EE7">
            <w:pPr>
              <w:keepNext/>
              <w:autoSpaceDE w:val="0"/>
              <w:autoSpaceDN w:val="0"/>
              <w:spacing w:before="0" w:after="200"/>
              <w:jc w:val="center"/>
              <w:rPr>
                <w:rFonts w:eastAsia="Times New Roman"/>
                <w:color w:val="auto"/>
                <w:sz w:val="20"/>
                <w:szCs w:val="20"/>
              </w:rPr>
            </w:pPr>
            <w:r w:rsidRPr="001A212B">
              <w:rPr>
                <w:rFonts w:eastAsia="Times New Roman"/>
                <w:b/>
                <w:bCs/>
                <w:color w:val="auto"/>
                <w:sz w:val="20"/>
                <w:szCs w:val="20"/>
              </w:rPr>
              <w:t>Intravenous Decitabine</w:t>
            </w:r>
            <w:r w:rsidRPr="001A212B">
              <w:rPr>
                <w:rFonts w:eastAsia="Times New Roman"/>
                <w:b/>
                <w:bCs/>
                <w:color w:val="auto"/>
                <w:sz w:val="20"/>
                <w:szCs w:val="20"/>
              </w:rPr>
              <w:br/>
              <w:t>Cycle 1</w:t>
            </w:r>
            <w:r w:rsidRPr="001A212B">
              <w:rPr>
                <w:rFonts w:eastAsia="Times New Roman"/>
                <w:b/>
                <w:bCs/>
                <w:iCs/>
                <w:color w:val="auto"/>
                <w:sz w:val="20"/>
                <w:szCs w:val="20"/>
                <w:vertAlign w:val="superscript"/>
              </w:rPr>
              <w:t>†</w:t>
            </w:r>
          </w:p>
        </w:tc>
        <w:tc>
          <w:tcPr>
            <w:tcW w:w="1174" w:type="pct"/>
            <w:gridSpan w:val="2"/>
            <w:tcMar>
              <w:top w:w="0" w:type="dxa"/>
              <w:left w:w="108" w:type="dxa"/>
              <w:bottom w:w="0" w:type="dxa"/>
              <w:right w:w="108" w:type="dxa"/>
            </w:tcMar>
            <w:vAlign w:val="bottom"/>
          </w:tcPr>
          <w:p w14:paraId="205EF5F4" w14:textId="37E929B3" w:rsidR="00944EE7" w:rsidRPr="001A212B" w:rsidRDefault="00944EE7" w:rsidP="00944EE7">
            <w:pPr>
              <w:keepNext/>
              <w:autoSpaceDE w:val="0"/>
              <w:autoSpaceDN w:val="0"/>
              <w:spacing w:before="0" w:after="200"/>
              <w:jc w:val="center"/>
              <w:rPr>
                <w:rFonts w:eastAsia="Times New Roman"/>
                <w:color w:val="auto"/>
                <w:sz w:val="20"/>
                <w:szCs w:val="20"/>
              </w:rPr>
            </w:pPr>
            <w:r w:rsidRPr="001A212B">
              <w:rPr>
                <w:rFonts w:eastAsia="Times New Roman"/>
                <w:b/>
                <w:bCs/>
                <w:color w:val="auto"/>
                <w:sz w:val="20"/>
                <w:szCs w:val="20"/>
              </w:rPr>
              <w:t>INQOVI</w:t>
            </w:r>
            <w:r w:rsidR="00EA4788" w:rsidRPr="001A212B">
              <w:rPr>
                <w:rFonts w:eastAsia="Times New Roman"/>
                <w:b/>
                <w:bCs/>
                <w:color w:val="auto"/>
                <w:sz w:val="20"/>
                <w:szCs w:val="20"/>
              </w:rPr>
              <w:t xml:space="preserve"> 35/100</w:t>
            </w:r>
            <w:r w:rsidRPr="001A212B">
              <w:rPr>
                <w:rFonts w:eastAsia="Times New Roman"/>
                <w:b/>
                <w:bCs/>
                <w:color w:val="auto"/>
                <w:sz w:val="20"/>
                <w:szCs w:val="20"/>
              </w:rPr>
              <w:br/>
              <w:t>All Cycles</w:t>
            </w:r>
            <w:r w:rsidRPr="001A212B">
              <w:rPr>
                <w:rFonts w:eastAsia="Times New Roman"/>
                <w:b/>
                <w:bCs/>
                <w:iCs/>
                <w:color w:val="auto"/>
                <w:sz w:val="20"/>
                <w:szCs w:val="20"/>
                <w:vertAlign w:val="superscript"/>
              </w:rPr>
              <w:t>†</w:t>
            </w:r>
          </w:p>
        </w:tc>
      </w:tr>
      <w:tr w:rsidR="00944EE7" w:rsidRPr="00944EE7" w14:paraId="0F7D4201" w14:textId="77777777" w:rsidTr="00B93956">
        <w:trPr>
          <w:tblHeader/>
          <w:jc w:val="center"/>
        </w:trPr>
        <w:tc>
          <w:tcPr>
            <w:tcW w:w="1544" w:type="pct"/>
            <w:vMerge/>
            <w:vAlign w:val="bottom"/>
            <w:hideMark/>
          </w:tcPr>
          <w:p w14:paraId="1CC07E99" w14:textId="77777777" w:rsidR="00944EE7" w:rsidRPr="00944EE7" w:rsidRDefault="00944EE7" w:rsidP="00944EE7">
            <w:pPr>
              <w:keepNext/>
              <w:spacing w:before="0" w:after="200"/>
              <w:rPr>
                <w:rFonts w:eastAsiaTheme="minorHAnsi"/>
                <w:color w:val="auto"/>
                <w:sz w:val="20"/>
                <w:szCs w:val="20"/>
              </w:rPr>
            </w:pPr>
          </w:p>
        </w:tc>
        <w:tc>
          <w:tcPr>
            <w:tcW w:w="576" w:type="pct"/>
            <w:tcMar>
              <w:top w:w="0" w:type="dxa"/>
              <w:left w:w="108" w:type="dxa"/>
              <w:bottom w:w="0" w:type="dxa"/>
              <w:right w:w="108" w:type="dxa"/>
            </w:tcMar>
            <w:vAlign w:val="bottom"/>
            <w:hideMark/>
          </w:tcPr>
          <w:p w14:paraId="1FC57AFE"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92" w:type="pct"/>
            <w:tcMar>
              <w:top w:w="0" w:type="dxa"/>
              <w:left w:w="108" w:type="dxa"/>
              <w:bottom w:w="0" w:type="dxa"/>
              <w:right w:w="108" w:type="dxa"/>
            </w:tcMar>
            <w:vAlign w:val="bottom"/>
            <w:hideMark/>
          </w:tcPr>
          <w:p w14:paraId="760C19B8"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w:t>
            </w:r>
            <w:r w:rsidRPr="00944EE7">
              <w:rPr>
                <w:rFonts w:eastAsia="Times New Roman"/>
                <w:b/>
                <w:bCs/>
                <w:color w:val="auto"/>
                <w:sz w:val="20"/>
                <w:szCs w:val="20"/>
              </w:rPr>
              <w:br/>
              <w:t>3-4</w:t>
            </w:r>
            <w:r w:rsidRPr="00944EE7">
              <w:rPr>
                <w:rFonts w:eastAsia="Times New Roman"/>
                <w:b/>
                <w:bCs/>
                <w:color w:val="auto"/>
                <w:sz w:val="20"/>
                <w:szCs w:val="20"/>
              </w:rPr>
              <w:br/>
              <w:t>(%)</w:t>
            </w:r>
          </w:p>
        </w:tc>
        <w:tc>
          <w:tcPr>
            <w:tcW w:w="561" w:type="pct"/>
            <w:tcMar>
              <w:top w:w="0" w:type="dxa"/>
              <w:left w:w="108" w:type="dxa"/>
              <w:bottom w:w="0" w:type="dxa"/>
              <w:right w:w="108" w:type="dxa"/>
            </w:tcMar>
            <w:vAlign w:val="bottom"/>
            <w:hideMark/>
          </w:tcPr>
          <w:p w14:paraId="49439191"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53" w:type="pct"/>
            <w:tcMar>
              <w:top w:w="0" w:type="dxa"/>
              <w:left w:w="108" w:type="dxa"/>
              <w:bottom w:w="0" w:type="dxa"/>
              <w:right w:w="108" w:type="dxa"/>
            </w:tcMar>
            <w:vAlign w:val="bottom"/>
            <w:hideMark/>
          </w:tcPr>
          <w:p w14:paraId="40344CE7"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w:t>
            </w:r>
            <w:r w:rsidRPr="00944EE7">
              <w:rPr>
                <w:rFonts w:eastAsia="Times New Roman"/>
                <w:b/>
                <w:bCs/>
                <w:color w:val="auto"/>
                <w:sz w:val="20"/>
                <w:szCs w:val="20"/>
              </w:rPr>
              <w:br/>
              <w:t>3-4</w:t>
            </w:r>
            <w:r w:rsidRPr="00944EE7">
              <w:rPr>
                <w:rFonts w:eastAsia="Times New Roman"/>
                <w:b/>
                <w:bCs/>
                <w:color w:val="auto"/>
                <w:sz w:val="20"/>
                <w:szCs w:val="20"/>
              </w:rPr>
              <w:br/>
              <w:t>(%)</w:t>
            </w:r>
          </w:p>
        </w:tc>
        <w:tc>
          <w:tcPr>
            <w:tcW w:w="599" w:type="pct"/>
            <w:tcMar>
              <w:top w:w="0" w:type="dxa"/>
              <w:left w:w="108" w:type="dxa"/>
              <w:bottom w:w="0" w:type="dxa"/>
              <w:right w:w="108" w:type="dxa"/>
            </w:tcMar>
            <w:vAlign w:val="bottom"/>
          </w:tcPr>
          <w:p w14:paraId="317722F8"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All Grades (%)</w:t>
            </w:r>
          </w:p>
        </w:tc>
        <w:tc>
          <w:tcPr>
            <w:tcW w:w="575" w:type="pct"/>
            <w:tcMar>
              <w:top w:w="0" w:type="dxa"/>
              <w:left w:w="108" w:type="dxa"/>
              <w:bottom w:w="0" w:type="dxa"/>
              <w:right w:w="108" w:type="dxa"/>
            </w:tcMar>
            <w:vAlign w:val="bottom"/>
          </w:tcPr>
          <w:p w14:paraId="428550E5" w14:textId="77777777" w:rsidR="00944EE7" w:rsidRPr="00944EE7" w:rsidRDefault="00944EE7" w:rsidP="00944EE7">
            <w:pPr>
              <w:keepNext/>
              <w:autoSpaceDE w:val="0"/>
              <w:autoSpaceDN w:val="0"/>
              <w:spacing w:before="0" w:after="200"/>
              <w:jc w:val="center"/>
              <w:rPr>
                <w:rFonts w:eastAsia="Times New Roman"/>
                <w:color w:val="auto"/>
                <w:sz w:val="20"/>
                <w:szCs w:val="20"/>
              </w:rPr>
            </w:pPr>
            <w:r w:rsidRPr="00944EE7">
              <w:rPr>
                <w:rFonts w:eastAsia="Times New Roman"/>
                <w:b/>
                <w:bCs/>
                <w:color w:val="auto"/>
                <w:sz w:val="20"/>
                <w:szCs w:val="20"/>
              </w:rPr>
              <w:t>Grades</w:t>
            </w:r>
            <w:r w:rsidRPr="00944EE7">
              <w:rPr>
                <w:rFonts w:eastAsia="Times New Roman"/>
                <w:b/>
                <w:bCs/>
                <w:color w:val="auto"/>
                <w:sz w:val="20"/>
                <w:szCs w:val="20"/>
              </w:rPr>
              <w:br/>
              <w:t>3-4</w:t>
            </w:r>
            <w:r w:rsidRPr="00944EE7">
              <w:rPr>
                <w:rFonts w:eastAsia="Times New Roman"/>
                <w:b/>
                <w:bCs/>
                <w:color w:val="auto"/>
                <w:sz w:val="20"/>
                <w:szCs w:val="20"/>
              </w:rPr>
              <w:br/>
              <w:t>(%)</w:t>
            </w:r>
          </w:p>
        </w:tc>
      </w:tr>
      <w:tr w:rsidR="00944EE7" w:rsidRPr="00944EE7" w14:paraId="364945FD" w14:textId="77777777" w:rsidTr="00B93956">
        <w:trPr>
          <w:trHeight w:val="179"/>
          <w:jc w:val="center"/>
        </w:trPr>
        <w:tc>
          <w:tcPr>
            <w:tcW w:w="5000" w:type="pct"/>
            <w:gridSpan w:val="7"/>
            <w:tcMar>
              <w:top w:w="0" w:type="dxa"/>
              <w:left w:w="108" w:type="dxa"/>
              <w:bottom w:w="0" w:type="dxa"/>
              <w:right w:w="108" w:type="dxa"/>
            </w:tcMar>
            <w:vAlign w:val="center"/>
          </w:tcPr>
          <w:p w14:paraId="5359C78D" w14:textId="77777777" w:rsidR="00944EE7" w:rsidRPr="00944EE7" w:rsidRDefault="00944EE7" w:rsidP="00944EE7">
            <w:pPr>
              <w:keepNext/>
              <w:spacing w:before="0" w:after="200"/>
              <w:rPr>
                <w:rFonts w:ascii="Times" w:eastAsia="Times New Roman" w:hAnsi="Times" w:cs="Times"/>
                <w:b/>
                <w:bCs/>
                <w:sz w:val="20"/>
              </w:rPr>
            </w:pPr>
            <w:r w:rsidRPr="00944EE7">
              <w:rPr>
                <w:rFonts w:ascii="Times" w:eastAsia="Times New Roman" w:hAnsi="Times" w:cs="Times"/>
                <w:b/>
                <w:bCs/>
                <w:sz w:val="20"/>
              </w:rPr>
              <w:t>Hematology</w:t>
            </w:r>
          </w:p>
        </w:tc>
      </w:tr>
      <w:tr w:rsidR="00944EE7" w:rsidRPr="00944EE7" w14:paraId="18706EB1" w14:textId="77777777" w:rsidTr="00B93956">
        <w:trPr>
          <w:trHeight w:val="179"/>
          <w:jc w:val="center"/>
        </w:trPr>
        <w:tc>
          <w:tcPr>
            <w:tcW w:w="1544" w:type="pct"/>
            <w:tcMar>
              <w:top w:w="0" w:type="dxa"/>
              <w:left w:w="108" w:type="dxa"/>
              <w:bottom w:w="0" w:type="dxa"/>
              <w:right w:w="108" w:type="dxa"/>
            </w:tcMar>
            <w:vAlign w:val="center"/>
          </w:tcPr>
          <w:p w14:paraId="340EC59D"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Leukocytes decreased</w:t>
            </w:r>
          </w:p>
        </w:tc>
        <w:tc>
          <w:tcPr>
            <w:tcW w:w="576" w:type="pct"/>
            <w:tcMar>
              <w:top w:w="0" w:type="dxa"/>
              <w:left w:w="108" w:type="dxa"/>
              <w:bottom w:w="0" w:type="dxa"/>
              <w:right w:w="108" w:type="dxa"/>
            </w:tcMar>
            <w:vAlign w:val="center"/>
          </w:tcPr>
          <w:p w14:paraId="35BFF58C"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79</w:t>
            </w:r>
          </w:p>
        </w:tc>
        <w:tc>
          <w:tcPr>
            <w:tcW w:w="592" w:type="pct"/>
            <w:tcMar>
              <w:top w:w="0" w:type="dxa"/>
              <w:left w:w="108" w:type="dxa"/>
              <w:bottom w:w="0" w:type="dxa"/>
              <w:right w:w="108" w:type="dxa"/>
            </w:tcMar>
            <w:vAlign w:val="center"/>
          </w:tcPr>
          <w:p w14:paraId="203BC9B6"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65</w:t>
            </w:r>
          </w:p>
        </w:tc>
        <w:tc>
          <w:tcPr>
            <w:tcW w:w="561" w:type="pct"/>
            <w:tcMar>
              <w:top w:w="0" w:type="dxa"/>
              <w:left w:w="108" w:type="dxa"/>
              <w:bottom w:w="0" w:type="dxa"/>
              <w:right w:w="108" w:type="dxa"/>
            </w:tcMar>
            <w:vAlign w:val="center"/>
          </w:tcPr>
          <w:p w14:paraId="30B61A65"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77</w:t>
            </w:r>
          </w:p>
        </w:tc>
        <w:tc>
          <w:tcPr>
            <w:tcW w:w="553" w:type="pct"/>
            <w:tcMar>
              <w:top w:w="0" w:type="dxa"/>
              <w:left w:w="108" w:type="dxa"/>
              <w:bottom w:w="0" w:type="dxa"/>
              <w:right w:w="108" w:type="dxa"/>
            </w:tcMar>
            <w:vAlign w:val="center"/>
          </w:tcPr>
          <w:p w14:paraId="551F4EE9"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59</w:t>
            </w:r>
          </w:p>
        </w:tc>
        <w:tc>
          <w:tcPr>
            <w:tcW w:w="599" w:type="pct"/>
            <w:tcMar>
              <w:top w:w="0" w:type="dxa"/>
              <w:left w:w="108" w:type="dxa"/>
              <w:bottom w:w="0" w:type="dxa"/>
              <w:right w:w="108" w:type="dxa"/>
            </w:tcMar>
            <w:vAlign w:val="center"/>
          </w:tcPr>
          <w:p w14:paraId="2D231FA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87</w:t>
            </w:r>
          </w:p>
        </w:tc>
        <w:tc>
          <w:tcPr>
            <w:tcW w:w="575" w:type="pct"/>
            <w:tcMar>
              <w:top w:w="0" w:type="dxa"/>
              <w:left w:w="108" w:type="dxa"/>
              <w:bottom w:w="0" w:type="dxa"/>
              <w:right w:w="108" w:type="dxa"/>
            </w:tcMar>
            <w:vAlign w:val="center"/>
          </w:tcPr>
          <w:p w14:paraId="37822FCC"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81</w:t>
            </w:r>
          </w:p>
        </w:tc>
      </w:tr>
      <w:tr w:rsidR="00944EE7" w:rsidRPr="00944EE7" w14:paraId="273C7987" w14:textId="77777777" w:rsidTr="00B93956">
        <w:trPr>
          <w:trHeight w:val="179"/>
          <w:jc w:val="center"/>
        </w:trPr>
        <w:tc>
          <w:tcPr>
            <w:tcW w:w="1544" w:type="pct"/>
            <w:tcMar>
              <w:top w:w="0" w:type="dxa"/>
              <w:left w:w="108" w:type="dxa"/>
              <w:bottom w:w="0" w:type="dxa"/>
              <w:right w:w="108" w:type="dxa"/>
            </w:tcMar>
          </w:tcPr>
          <w:p w14:paraId="2C533E04"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Platelet count decreased</w:t>
            </w:r>
          </w:p>
        </w:tc>
        <w:tc>
          <w:tcPr>
            <w:tcW w:w="576" w:type="pct"/>
            <w:tcMar>
              <w:top w:w="0" w:type="dxa"/>
              <w:left w:w="108" w:type="dxa"/>
              <w:bottom w:w="0" w:type="dxa"/>
              <w:right w:w="108" w:type="dxa"/>
            </w:tcMar>
          </w:tcPr>
          <w:p w14:paraId="107EDE65"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79</w:t>
            </w:r>
          </w:p>
        </w:tc>
        <w:tc>
          <w:tcPr>
            <w:tcW w:w="592" w:type="pct"/>
            <w:tcMar>
              <w:top w:w="0" w:type="dxa"/>
              <w:left w:w="108" w:type="dxa"/>
              <w:bottom w:w="0" w:type="dxa"/>
              <w:right w:w="108" w:type="dxa"/>
            </w:tcMar>
          </w:tcPr>
          <w:p w14:paraId="6E26925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65</w:t>
            </w:r>
          </w:p>
        </w:tc>
        <w:tc>
          <w:tcPr>
            <w:tcW w:w="561" w:type="pct"/>
            <w:tcMar>
              <w:top w:w="0" w:type="dxa"/>
              <w:left w:w="108" w:type="dxa"/>
              <w:bottom w:w="0" w:type="dxa"/>
              <w:right w:w="108" w:type="dxa"/>
            </w:tcMar>
          </w:tcPr>
          <w:p w14:paraId="58C92903"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77</w:t>
            </w:r>
          </w:p>
        </w:tc>
        <w:tc>
          <w:tcPr>
            <w:tcW w:w="553" w:type="pct"/>
            <w:tcMar>
              <w:top w:w="0" w:type="dxa"/>
              <w:left w:w="108" w:type="dxa"/>
              <w:bottom w:w="0" w:type="dxa"/>
              <w:right w:w="108" w:type="dxa"/>
            </w:tcMar>
          </w:tcPr>
          <w:p w14:paraId="3837396C"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67</w:t>
            </w:r>
          </w:p>
        </w:tc>
        <w:tc>
          <w:tcPr>
            <w:tcW w:w="599" w:type="pct"/>
            <w:tcMar>
              <w:top w:w="0" w:type="dxa"/>
              <w:left w:w="108" w:type="dxa"/>
              <w:bottom w:w="0" w:type="dxa"/>
              <w:right w:w="108" w:type="dxa"/>
            </w:tcMar>
          </w:tcPr>
          <w:p w14:paraId="39A2BC33"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82</w:t>
            </w:r>
          </w:p>
        </w:tc>
        <w:tc>
          <w:tcPr>
            <w:tcW w:w="575" w:type="pct"/>
            <w:tcMar>
              <w:top w:w="0" w:type="dxa"/>
              <w:left w:w="108" w:type="dxa"/>
              <w:bottom w:w="0" w:type="dxa"/>
              <w:right w:w="108" w:type="dxa"/>
            </w:tcMar>
          </w:tcPr>
          <w:p w14:paraId="331AD3CF"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76</w:t>
            </w:r>
          </w:p>
        </w:tc>
      </w:tr>
      <w:tr w:rsidR="00944EE7" w:rsidRPr="00944EE7" w14:paraId="1713988E" w14:textId="77777777" w:rsidTr="00B93956">
        <w:trPr>
          <w:trHeight w:val="179"/>
          <w:jc w:val="center"/>
        </w:trPr>
        <w:tc>
          <w:tcPr>
            <w:tcW w:w="1544" w:type="pct"/>
            <w:tcMar>
              <w:top w:w="0" w:type="dxa"/>
              <w:left w:w="108" w:type="dxa"/>
              <w:bottom w:w="0" w:type="dxa"/>
              <w:right w:w="108" w:type="dxa"/>
            </w:tcMar>
          </w:tcPr>
          <w:p w14:paraId="560EF4E7"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Neutrophil count decreased</w:t>
            </w:r>
          </w:p>
        </w:tc>
        <w:tc>
          <w:tcPr>
            <w:tcW w:w="576" w:type="pct"/>
            <w:tcMar>
              <w:top w:w="0" w:type="dxa"/>
              <w:left w:w="108" w:type="dxa"/>
              <w:bottom w:w="0" w:type="dxa"/>
              <w:right w:w="108" w:type="dxa"/>
            </w:tcMar>
          </w:tcPr>
          <w:p w14:paraId="16D618F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70</w:t>
            </w:r>
          </w:p>
        </w:tc>
        <w:tc>
          <w:tcPr>
            <w:tcW w:w="592" w:type="pct"/>
            <w:tcMar>
              <w:top w:w="0" w:type="dxa"/>
              <w:left w:w="108" w:type="dxa"/>
              <w:bottom w:w="0" w:type="dxa"/>
              <w:right w:w="108" w:type="dxa"/>
            </w:tcMar>
          </w:tcPr>
          <w:p w14:paraId="2E8957EF"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65</w:t>
            </w:r>
          </w:p>
        </w:tc>
        <w:tc>
          <w:tcPr>
            <w:tcW w:w="561" w:type="pct"/>
            <w:tcMar>
              <w:top w:w="0" w:type="dxa"/>
              <w:left w:w="108" w:type="dxa"/>
              <w:bottom w:w="0" w:type="dxa"/>
              <w:right w:w="108" w:type="dxa"/>
            </w:tcMar>
          </w:tcPr>
          <w:p w14:paraId="65FF443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62</w:t>
            </w:r>
          </w:p>
        </w:tc>
        <w:tc>
          <w:tcPr>
            <w:tcW w:w="553" w:type="pct"/>
            <w:tcMar>
              <w:top w:w="0" w:type="dxa"/>
              <w:left w:w="108" w:type="dxa"/>
              <w:bottom w:w="0" w:type="dxa"/>
              <w:right w:w="108" w:type="dxa"/>
            </w:tcMar>
          </w:tcPr>
          <w:p w14:paraId="0CE9BEE4"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59</w:t>
            </w:r>
          </w:p>
        </w:tc>
        <w:tc>
          <w:tcPr>
            <w:tcW w:w="599" w:type="pct"/>
            <w:tcMar>
              <w:top w:w="0" w:type="dxa"/>
              <w:left w:w="108" w:type="dxa"/>
              <w:bottom w:w="0" w:type="dxa"/>
              <w:right w:w="108" w:type="dxa"/>
            </w:tcMar>
          </w:tcPr>
          <w:p w14:paraId="7E4CE56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73</w:t>
            </w:r>
          </w:p>
        </w:tc>
        <w:tc>
          <w:tcPr>
            <w:tcW w:w="575" w:type="pct"/>
            <w:tcMar>
              <w:top w:w="0" w:type="dxa"/>
              <w:left w:w="108" w:type="dxa"/>
              <w:bottom w:w="0" w:type="dxa"/>
              <w:right w:w="108" w:type="dxa"/>
            </w:tcMar>
          </w:tcPr>
          <w:p w14:paraId="670A741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71</w:t>
            </w:r>
          </w:p>
        </w:tc>
      </w:tr>
      <w:tr w:rsidR="00944EE7" w:rsidRPr="00944EE7" w14:paraId="5A667E8C" w14:textId="77777777" w:rsidTr="00B93956">
        <w:trPr>
          <w:trHeight w:val="179"/>
          <w:jc w:val="center"/>
        </w:trPr>
        <w:tc>
          <w:tcPr>
            <w:tcW w:w="1544" w:type="pct"/>
            <w:tcMar>
              <w:top w:w="0" w:type="dxa"/>
              <w:left w:w="108" w:type="dxa"/>
              <w:bottom w:w="0" w:type="dxa"/>
              <w:right w:w="108" w:type="dxa"/>
            </w:tcMar>
          </w:tcPr>
          <w:p w14:paraId="65D03409" w14:textId="5A311A1A" w:rsidR="00944EE7" w:rsidRPr="00944EE7" w:rsidRDefault="00944EE7" w:rsidP="00944EE7">
            <w:pPr>
              <w:spacing w:before="0" w:after="200"/>
              <w:rPr>
                <w:rFonts w:eastAsia="Times New Roman"/>
                <w:color w:val="auto"/>
                <w:sz w:val="20"/>
              </w:rPr>
            </w:pPr>
            <w:proofErr w:type="spellStart"/>
            <w:r w:rsidRPr="00944EE7">
              <w:rPr>
                <w:rFonts w:ascii="Times" w:eastAsia="Times New Roman" w:hAnsi="Times" w:cs="Times"/>
                <w:sz w:val="20"/>
              </w:rPr>
              <w:t>H</w:t>
            </w:r>
            <w:r w:rsidR="00BD566D">
              <w:rPr>
                <w:rFonts w:ascii="Times" w:eastAsia="Times New Roman" w:hAnsi="Times" w:cs="Times"/>
                <w:sz w:val="20"/>
              </w:rPr>
              <w:t>a</w:t>
            </w:r>
            <w:r w:rsidRPr="00944EE7">
              <w:rPr>
                <w:rFonts w:ascii="Times" w:eastAsia="Times New Roman" w:hAnsi="Times" w:cs="Times"/>
                <w:sz w:val="20"/>
              </w:rPr>
              <w:t>emoglobin</w:t>
            </w:r>
            <w:proofErr w:type="spellEnd"/>
            <w:r w:rsidRPr="00944EE7">
              <w:rPr>
                <w:rFonts w:ascii="Times" w:eastAsia="Times New Roman" w:hAnsi="Times" w:cs="Times"/>
                <w:sz w:val="20"/>
              </w:rPr>
              <w:t xml:space="preserve"> decreased</w:t>
            </w:r>
          </w:p>
        </w:tc>
        <w:tc>
          <w:tcPr>
            <w:tcW w:w="576" w:type="pct"/>
            <w:tcMar>
              <w:top w:w="0" w:type="dxa"/>
              <w:left w:w="108" w:type="dxa"/>
              <w:bottom w:w="0" w:type="dxa"/>
              <w:right w:w="108" w:type="dxa"/>
            </w:tcMar>
          </w:tcPr>
          <w:p w14:paraId="7F691CC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58</w:t>
            </w:r>
          </w:p>
        </w:tc>
        <w:tc>
          <w:tcPr>
            <w:tcW w:w="592" w:type="pct"/>
            <w:tcMar>
              <w:top w:w="0" w:type="dxa"/>
              <w:left w:w="108" w:type="dxa"/>
              <w:bottom w:w="0" w:type="dxa"/>
              <w:right w:w="108" w:type="dxa"/>
            </w:tcMar>
            <w:vAlign w:val="center"/>
          </w:tcPr>
          <w:p w14:paraId="7E82D503"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41</w:t>
            </w:r>
          </w:p>
        </w:tc>
        <w:tc>
          <w:tcPr>
            <w:tcW w:w="561" w:type="pct"/>
            <w:tcMar>
              <w:top w:w="0" w:type="dxa"/>
              <w:left w:w="108" w:type="dxa"/>
              <w:bottom w:w="0" w:type="dxa"/>
              <w:right w:w="108" w:type="dxa"/>
            </w:tcMar>
          </w:tcPr>
          <w:p w14:paraId="7C32CDB2"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59</w:t>
            </w:r>
          </w:p>
        </w:tc>
        <w:tc>
          <w:tcPr>
            <w:tcW w:w="553" w:type="pct"/>
            <w:tcMar>
              <w:top w:w="0" w:type="dxa"/>
              <w:left w:w="108" w:type="dxa"/>
              <w:bottom w:w="0" w:type="dxa"/>
              <w:right w:w="108" w:type="dxa"/>
            </w:tcMar>
            <w:vAlign w:val="center"/>
          </w:tcPr>
          <w:p w14:paraId="440A1E60"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36</w:t>
            </w:r>
          </w:p>
        </w:tc>
        <w:tc>
          <w:tcPr>
            <w:tcW w:w="599" w:type="pct"/>
            <w:tcMar>
              <w:top w:w="0" w:type="dxa"/>
              <w:left w:w="108" w:type="dxa"/>
              <w:bottom w:w="0" w:type="dxa"/>
              <w:right w:w="108" w:type="dxa"/>
            </w:tcMar>
          </w:tcPr>
          <w:p w14:paraId="533C1454"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71</w:t>
            </w:r>
          </w:p>
        </w:tc>
        <w:tc>
          <w:tcPr>
            <w:tcW w:w="575" w:type="pct"/>
            <w:tcMar>
              <w:top w:w="0" w:type="dxa"/>
              <w:left w:w="108" w:type="dxa"/>
              <w:bottom w:w="0" w:type="dxa"/>
              <w:right w:w="108" w:type="dxa"/>
            </w:tcMar>
            <w:vAlign w:val="center"/>
          </w:tcPr>
          <w:p w14:paraId="42E4B0FC"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55</w:t>
            </w:r>
          </w:p>
        </w:tc>
      </w:tr>
      <w:tr w:rsidR="00944EE7" w:rsidRPr="00944EE7" w14:paraId="2822C041" w14:textId="77777777" w:rsidTr="00B93956">
        <w:trPr>
          <w:trHeight w:val="179"/>
          <w:jc w:val="center"/>
        </w:trPr>
        <w:tc>
          <w:tcPr>
            <w:tcW w:w="5000" w:type="pct"/>
            <w:gridSpan w:val="7"/>
            <w:tcMar>
              <w:top w:w="0" w:type="dxa"/>
              <w:left w:w="108" w:type="dxa"/>
              <w:bottom w:w="0" w:type="dxa"/>
              <w:right w:w="108" w:type="dxa"/>
            </w:tcMar>
          </w:tcPr>
          <w:p w14:paraId="2911BA3F" w14:textId="77777777" w:rsidR="00944EE7" w:rsidRPr="00944EE7" w:rsidRDefault="00944EE7" w:rsidP="00944EE7">
            <w:pPr>
              <w:spacing w:before="0" w:after="200"/>
              <w:rPr>
                <w:rFonts w:ascii="Times" w:eastAsia="Times New Roman" w:hAnsi="Times" w:cs="Times"/>
                <w:b/>
                <w:bCs/>
                <w:sz w:val="20"/>
              </w:rPr>
            </w:pPr>
            <w:r w:rsidRPr="00944EE7">
              <w:rPr>
                <w:rFonts w:ascii="Times" w:eastAsia="Times New Roman" w:hAnsi="Times" w:cs="Times"/>
                <w:b/>
                <w:bCs/>
                <w:sz w:val="20"/>
              </w:rPr>
              <w:t>Chemistry</w:t>
            </w:r>
          </w:p>
        </w:tc>
      </w:tr>
      <w:tr w:rsidR="00944EE7" w:rsidRPr="00944EE7" w14:paraId="0B863E03" w14:textId="77777777" w:rsidTr="00B93956">
        <w:trPr>
          <w:trHeight w:val="179"/>
          <w:jc w:val="center"/>
        </w:trPr>
        <w:tc>
          <w:tcPr>
            <w:tcW w:w="1544" w:type="pct"/>
            <w:tcMar>
              <w:top w:w="0" w:type="dxa"/>
              <w:left w:w="108" w:type="dxa"/>
              <w:bottom w:w="0" w:type="dxa"/>
              <w:right w:w="108" w:type="dxa"/>
            </w:tcMar>
          </w:tcPr>
          <w:p w14:paraId="58364E63"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Glucose increased</w:t>
            </w:r>
          </w:p>
        </w:tc>
        <w:tc>
          <w:tcPr>
            <w:tcW w:w="576" w:type="pct"/>
            <w:tcMar>
              <w:top w:w="0" w:type="dxa"/>
              <w:left w:w="108" w:type="dxa"/>
              <w:bottom w:w="0" w:type="dxa"/>
              <w:right w:w="108" w:type="dxa"/>
            </w:tcMar>
          </w:tcPr>
          <w:p w14:paraId="3669FE76"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19</w:t>
            </w:r>
          </w:p>
        </w:tc>
        <w:tc>
          <w:tcPr>
            <w:tcW w:w="592" w:type="pct"/>
            <w:tcMar>
              <w:top w:w="0" w:type="dxa"/>
              <w:left w:w="108" w:type="dxa"/>
              <w:bottom w:w="0" w:type="dxa"/>
              <w:right w:w="108" w:type="dxa"/>
            </w:tcMar>
            <w:vAlign w:val="center"/>
          </w:tcPr>
          <w:p w14:paraId="1B53CE2F"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61" w:type="pct"/>
            <w:tcMar>
              <w:top w:w="0" w:type="dxa"/>
              <w:left w:w="108" w:type="dxa"/>
              <w:bottom w:w="0" w:type="dxa"/>
              <w:right w:w="108" w:type="dxa"/>
            </w:tcMar>
          </w:tcPr>
          <w:p w14:paraId="7919A854"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11</w:t>
            </w:r>
          </w:p>
        </w:tc>
        <w:tc>
          <w:tcPr>
            <w:tcW w:w="553" w:type="pct"/>
            <w:tcMar>
              <w:top w:w="0" w:type="dxa"/>
              <w:left w:w="108" w:type="dxa"/>
              <w:bottom w:w="0" w:type="dxa"/>
              <w:right w:w="108" w:type="dxa"/>
            </w:tcMar>
            <w:vAlign w:val="center"/>
          </w:tcPr>
          <w:p w14:paraId="685B94C0"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99" w:type="pct"/>
            <w:tcMar>
              <w:top w:w="0" w:type="dxa"/>
              <w:left w:w="108" w:type="dxa"/>
              <w:bottom w:w="0" w:type="dxa"/>
              <w:right w:w="108" w:type="dxa"/>
            </w:tcMar>
          </w:tcPr>
          <w:p w14:paraId="1C667BDE"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54</w:t>
            </w:r>
          </w:p>
        </w:tc>
        <w:tc>
          <w:tcPr>
            <w:tcW w:w="575" w:type="pct"/>
            <w:tcMar>
              <w:top w:w="0" w:type="dxa"/>
              <w:left w:w="108" w:type="dxa"/>
              <w:bottom w:w="0" w:type="dxa"/>
              <w:right w:w="108" w:type="dxa"/>
            </w:tcMar>
          </w:tcPr>
          <w:p w14:paraId="22AABFA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w:t>
            </w:r>
          </w:p>
        </w:tc>
      </w:tr>
      <w:tr w:rsidR="00944EE7" w:rsidRPr="00944EE7" w14:paraId="0F86853D" w14:textId="77777777" w:rsidTr="00B93956">
        <w:trPr>
          <w:trHeight w:val="179"/>
          <w:jc w:val="center"/>
        </w:trPr>
        <w:tc>
          <w:tcPr>
            <w:tcW w:w="1544" w:type="pct"/>
            <w:tcMar>
              <w:top w:w="0" w:type="dxa"/>
              <w:left w:w="108" w:type="dxa"/>
              <w:bottom w:w="0" w:type="dxa"/>
              <w:right w:w="108" w:type="dxa"/>
            </w:tcMar>
          </w:tcPr>
          <w:p w14:paraId="3805A73F"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Albumin decreased</w:t>
            </w:r>
          </w:p>
        </w:tc>
        <w:tc>
          <w:tcPr>
            <w:tcW w:w="576" w:type="pct"/>
            <w:tcMar>
              <w:top w:w="0" w:type="dxa"/>
              <w:left w:w="108" w:type="dxa"/>
              <w:bottom w:w="0" w:type="dxa"/>
              <w:right w:w="108" w:type="dxa"/>
            </w:tcMar>
          </w:tcPr>
          <w:p w14:paraId="4BEDF18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22</w:t>
            </w:r>
          </w:p>
        </w:tc>
        <w:tc>
          <w:tcPr>
            <w:tcW w:w="592" w:type="pct"/>
            <w:tcMar>
              <w:top w:w="0" w:type="dxa"/>
              <w:left w:w="108" w:type="dxa"/>
              <w:bottom w:w="0" w:type="dxa"/>
              <w:right w:w="108" w:type="dxa"/>
            </w:tcMar>
          </w:tcPr>
          <w:p w14:paraId="0257B97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w:t>
            </w:r>
          </w:p>
        </w:tc>
        <w:tc>
          <w:tcPr>
            <w:tcW w:w="561" w:type="pct"/>
            <w:tcMar>
              <w:top w:w="0" w:type="dxa"/>
              <w:left w:w="108" w:type="dxa"/>
              <w:bottom w:w="0" w:type="dxa"/>
              <w:right w:w="108" w:type="dxa"/>
            </w:tcMar>
          </w:tcPr>
          <w:p w14:paraId="7A73A40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20</w:t>
            </w:r>
          </w:p>
        </w:tc>
        <w:tc>
          <w:tcPr>
            <w:tcW w:w="553" w:type="pct"/>
            <w:tcMar>
              <w:top w:w="0" w:type="dxa"/>
              <w:left w:w="108" w:type="dxa"/>
              <w:bottom w:w="0" w:type="dxa"/>
              <w:right w:w="108" w:type="dxa"/>
            </w:tcMar>
          </w:tcPr>
          <w:p w14:paraId="4168CCE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w:t>
            </w:r>
          </w:p>
        </w:tc>
        <w:tc>
          <w:tcPr>
            <w:tcW w:w="599" w:type="pct"/>
            <w:tcMar>
              <w:top w:w="0" w:type="dxa"/>
              <w:left w:w="108" w:type="dxa"/>
              <w:bottom w:w="0" w:type="dxa"/>
              <w:right w:w="108" w:type="dxa"/>
            </w:tcMar>
          </w:tcPr>
          <w:p w14:paraId="6C88BBF6"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45</w:t>
            </w:r>
          </w:p>
        </w:tc>
        <w:tc>
          <w:tcPr>
            <w:tcW w:w="575" w:type="pct"/>
            <w:tcMar>
              <w:top w:w="0" w:type="dxa"/>
              <w:left w:w="108" w:type="dxa"/>
              <w:bottom w:w="0" w:type="dxa"/>
              <w:right w:w="108" w:type="dxa"/>
            </w:tcMar>
          </w:tcPr>
          <w:p w14:paraId="549FBF9B"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r>
      <w:tr w:rsidR="00944EE7" w:rsidRPr="00944EE7" w14:paraId="10928552" w14:textId="77777777" w:rsidTr="00B93956">
        <w:trPr>
          <w:trHeight w:val="179"/>
          <w:jc w:val="center"/>
        </w:trPr>
        <w:tc>
          <w:tcPr>
            <w:tcW w:w="1544" w:type="pct"/>
            <w:tcMar>
              <w:top w:w="0" w:type="dxa"/>
              <w:left w:w="108" w:type="dxa"/>
              <w:bottom w:w="0" w:type="dxa"/>
              <w:right w:w="108" w:type="dxa"/>
            </w:tcMar>
          </w:tcPr>
          <w:p w14:paraId="36B2262A"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Alkaline phosphatase increased</w:t>
            </w:r>
          </w:p>
        </w:tc>
        <w:tc>
          <w:tcPr>
            <w:tcW w:w="576" w:type="pct"/>
            <w:tcMar>
              <w:top w:w="0" w:type="dxa"/>
              <w:left w:w="108" w:type="dxa"/>
              <w:bottom w:w="0" w:type="dxa"/>
              <w:right w:w="108" w:type="dxa"/>
            </w:tcMar>
          </w:tcPr>
          <w:p w14:paraId="6B6EEB27"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22</w:t>
            </w:r>
          </w:p>
        </w:tc>
        <w:tc>
          <w:tcPr>
            <w:tcW w:w="592" w:type="pct"/>
            <w:tcMar>
              <w:top w:w="0" w:type="dxa"/>
              <w:left w:w="108" w:type="dxa"/>
              <w:bottom w:w="0" w:type="dxa"/>
              <w:right w:w="108" w:type="dxa"/>
            </w:tcMar>
          </w:tcPr>
          <w:p w14:paraId="19402577"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w:t>
            </w:r>
          </w:p>
        </w:tc>
        <w:tc>
          <w:tcPr>
            <w:tcW w:w="561" w:type="pct"/>
            <w:tcMar>
              <w:top w:w="0" w:type="dxa"/>
              <w:left w:w="108" w:type="dxa"/>
              <w:bottom w:w="0" w:type="dxa"/>
              <w:right w:w="108" w:type="dxa"/>
            </w:tcMar>
          </w:tcPr>
          <w:p w14:paraId="4CEA081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12</w:t>
            </w:r>
          </w:p>
        </w:tc>
        <w:tc>
          <w:tcPr>
            <w:tcW w:w="553" w:type="pct"/>
            <w:tcMar>
              <w:top w:w="0" w:type="dxa"/>
              <w:left w:w="108" w:type="dxa"/>
              <w:bottom w:w="0" w:type="dxa"/>
              <w:right w:w="108" w:type="dxa"/>
            </w:tcMar>
          </w:tcPr>
          <w:p w14:paraId="49454D9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w:t>
            </w:r>
          </w:p>
        </w:tc>
        <w:tc>
          <w:tcPr>
            <w:tcW w:w="599" w:type="pct"/>
            <w:tcMar>
              <w:top w:w="0" w:type="dxa"/>
              <w:left w:w="108" w:type="dxa"/>
              <w:bottom w:w="0" w:type="dxa"/>
              <w:right w:w="108" w:type="dxa"/>
            </w:tcMar>
          </w:tcPr>
          <w:p w14:paraId="02BEA800"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42</w:t>
            </w:r>
          </w:p>
        </w:tc>
        <w:tc>
          <w:tcPr>
            <w:tcW w:w="575" w:type="pct"/>
            <w:tcMar>
              <w:top w:w="0" w:type="dxa"/>
              <w:left w:w="108" w:type="dxa"/>
              <w:bottom w:w="0" w:type="dxa"/>
              <w:right w:w="108" w:type="dxa"/>
            </w:tcMar>
          </w:tcPr>
          <w:p w14:paraId="673FAB10"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0.5</w:t>
            </w:r>
          </w:p>
        </w:tc>
      </w:tr>
      <w:tr w:rsidR="00944EE7" w:rsidRPr="00944EE7" w14:paraId="1A0FC287" w14:textId="77777777" w:rsidTr="00B93956">
        <w:trPr>
          <w:trHeight w:val="179"/>
          <w:jc w:val="center"/>
        </w:trPr>
        <w:tc>
          <w:tcPr>
            <w:tcW w:w="1544" w:type="pct"/>
            <w:tcMar>
              <w:top w:w="0" w:type="dxa"/>
              <w:left w:w="108" w:type="dxa"/>
              <w:bottom w:w="0" w:type="dxa"/>
              <w:right w:w="108" w:type="dxa"/>
            </w:tcMar>
          </w:tcPr>
          <w:p w14:paraId="6011529C"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Glucose decreased</w:t>
            </w:r>
          </w:p>
        </w:tc>
        <w:tc>
          <w:tcPr>
            <w:tcW w:w="576" w:type="pct"/>
            <w:tcMar>
              <w:top w:w="0" w:type="dxa"/>
              <w:left w:w="108" w:type="dxa"/>
              <w:bottom w:w="0" w:type="dxa"/>
              <w:right w:w="108" w:type="dxa"/>
            </w:tcMar>
          </w:tcPr>
          <w:p w14:paraId="139B10E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14</w:t>
            </w:r>
          </w:p>
        </w:tc>
        <w:tc>
          <w:tcPr>
            <w:tcW w:w="592" w:type="pct"/>
            <w:tcMar>
              <w:top w:w="0" w:type="dxa"/>
              <w:left w:w="108" w:type="dxa"/>
              <w:bottom w:w="0" w:type="dxa"/>
              <w:right w:w="108" w:type="dxa"/>
            </w:tcMar>
            <w:vAlign w:val="center"/>
          </w:tcPr>
          <w:p w14:paraId="3EE331EC"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61" w:type="pct"/>
            <w:tcMar>
              <w:top w:w="0" w:type="dxa"/>
              <w:left w:w="108" w:type="dxa"/>
              <w:bottom w:w="0" w:type="dxa"/>
              <w:right w:w="108" w:type="dxa"/>
            </w:tcMar>
          </w:tcPr>
          <w:p w14:paraId="2CFF0EB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17</w:t>
            </w:r>
          </w:p>
        </w:tc>
        <w:tc>
          <w:tcPr>
            <w:tcW w:w="553" w:type="pct"/>
            <w:tcMar>
              <w:top w:w="0" w:type="dxa"/>
              <w:left w:w="108" w:type="dxa"/>
              <w:bottom w:w="0" w:type="dxa"/>
              <w:right w:w="108" w:type="dxa"/>
            </w:tcMar>
            <w:vAlign w:val="center"/>
          </w:tcPr>
          <w:p w14:paraId="4FE35B9D"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99" w:type="pct"/>
            <w:tcMar>
              <w:top w:w="0" w:type="dxa"/>
              <w:left w:w="108" w:type="dxa"/>
              <w:bottom w:w="0" w:type="dxa"/>
              <w:right w:w="108" w:type="dxa"/>
            </w:tcMar>
          </w:tcPr>
          <w:p w14:paraId="603E8288"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40</w:t>
            </w:r>
          </w:p>
        </w:tc>
        <w:tc>
          <w:tcPr>
            <w:tcW w:w="575" w:type="pct"/>
            <w:tcMar>
              <w:top w:w="0" w:type="dxa"/>
              <w:left w:w="108" w:type="dxa"/>
              <w:bottom w:w="0" w:type="dxa"/>
              <w:right w:w="108" w:type="dxa"/>
            </w:tcMar>
          </w:tcPr>
          <w:p w14:paraId="592275D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w:t>
            </w:r>
          </w:p>
        </w:tc>
      </w:tr>
      <w:tr w:rsidR="00944EE7" w:rsidRPr="00944EE7" w14:paraId="4862603E" w14:textId="77777777" w:rsidTr="00B93956">
        <w:trPr>
          <w:trHeight w:val="179"/>
          <w:jc w:val="center"/>
        </w:trPr>
        <w:tc>
          <w:tcPr>
            <w:tcW w:w="1544" w:type="pct"/>
            <w:tcMar>
              <w:top w:w="0" w:type="dxa"/>
              <w:left w:w="108" w:type="dxa"/>
              <w:bottom w:w="0" w:type="dxa"/>
              <w:right w:w="108" w:type="dxa"/>
            </w:tcMar>
          </w:tcPr>
          <w:p w14:paraId="69A66D76"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Alanine aminotransferase increased</w:t>
            </w:r>
          </w:p>
        </w:tc>
        <w:tc>
          <w:tcPr>
            <w:tcW w:w="576" w:type="pct"/>
            <w:tcMar>
              <w:top w:w="0" w:type="dxa"/>
              <w:left w:w="108" w:type="dxa"/>
              <w:bottom w:w="0" w:type="dxa"/>
              <w:right w:w="108" w:type="dxa"/>
            </w:tcMar>
          </w:tcPr>
          <w:p w14:paraId="30C23F74"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13</w:t>
            </w:r>
          </w:p>
        </w:tc>
        <w:tc>
          <w:tcPr>
            <w:tcW w:w="592" w:type="pct"/>
            <w:tcMar>
              <w:top w:w="0" w:type="dxa"/>
              <w:left w:w="108" w:type="dxa"/>
              <w:bottom w:w="0" w:type="dxa"/>
              <w:right w:w="108" w:type="dxa"/>
            </w:tcMar>
          </w:tcPr>
          <w:p w14:paraId="27091B16"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w:t>
            </w:r>
          </w:p>
        </w:tc>
        <w:tc>
          <w:tcPr>
            <w:tcW w:w="561" w:type="pct"/>
            <w:tcMar>
              <w:top w:w="0" w:type="dxa"/>
              <w:left w:w="108" w:type="dxa"/>
              <w:bottom w:w="0" w:type="dxa"/>
              <w:right w:w="108" w:type="dxa"/>
            </w:tcMar>
          </w:tcPr>
          <w:p w14:paraId="2360DB95"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w:t>
            </w:r>
          </w:p>
        </w:tc>
        <w:tc>
          <w:tcPr>
            <w:tcW w:w="553" w:type="pct"/>
            <w:tcMar>
              <w:top w:w="0" w:type="dxa"/>
              <w:left w:w="108" w:type="dxa"/>
              <w:bottom w:w="0" w:type="dxa"/>
              <w:right w:w="108" w:type="dxa"/>
            </w:tcMar>
          </w:tcPr>
          <w:p w14:paraId="55D4ACA2"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w:t>
            </w:r>
          </w:p>
        </w:tc>
        <w:tc>
          <w:tcPr>
            <w:tcW w:w="599" w:type="pct"/>
            <w:tcMar>
              <w:top w:w="0" w:type="dxa"/>
              <w:left w:w="108" w:type="dxa"/>
              <w:bottom w:w="0" w:type="dxa"/>
              <w:right w:w="108" w:type="dxa"/>
            </w:tcMar>
          </w:tcPr>
          <w:p w14:paraId="5AEFA3F5"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37</w:t>
            </w:r>
          </w:p>
        </w:tc>
        <w:tc>
          <w:tcPr>
            <w:tcW w:w="575" w:type="pct"/>
            <w:tcMar>
              <w:top w:w="0" w:type="dxa"/>
              <w:left w:w="108" w:type="dxa"/>
              <w:bottom w:w="0" w:type="dxa"/>
              <w:right w:w="108" w:type="dxa"/>
            </w:tcMar>
          </w:tcPr>
          <w:p w14:paraId="3671D76E"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r>
      <w:tr w:rsidR="00944EE7" w:rsidRPr="00944EE7" w14:paraId="7B54037C" w14:textId="77777777" w:rsidTr="00B93956">
        <w:trPr>
          <w:trHeight w:val="179"/>
          <w:jc w:val="center"/>
        </w:trPr>
        <w:tc>
          <w:tcPr>
            <w:tcW w:w="1544" w:type="pct"/>
            <w:tcMar>
              <w:top w:w="0" w:type="dxa"/>
              <w:left w:w="108" w:type="dxa"/>
              <w:bottom w:w="0" w:type="dxa"/>
              <w:right w:w="108" w:type="dxa"/>
            </w:tcMar>
            <w:vAlign w:val="center"/>
          </w:tcPr>
          <w:p w14:paraId="0112F6BB"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Sodium decreased</w:t>
            </w:r>
          </w:p>
        </w:tc>
        <w:tc>
          <w:tcPr>
            <w:tcW w:w="576" w:type="pct"/>
            <w:tcMar>
              <w:top w:w="0" w:type="dxa"/>
              <w:left w:w="108" w:type="dxa"/>
              <w:bottom w:w="0" w:type="dxa"/>
              <w:right w:w="108" w:type="dxa"/>
            </w:tcMar>
            <w:vAlign w:val="center"/>
          </w:tcPr>
          <w:p w14:paraId="4F900CFE"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9</w:t>
            </w:r>
          </w:p>
        </w:tc>
        <w:tc>
          <w:tcPr>
            <w:tcW w:w="592" w:type="pct"/>
            <w:tcMar>
              <w:top w:w="0" w:type="dxa"/>
              <w:left w:w="108" w:type="dxa"/>
              <w:bottom w:w="0" w:type="dxa"/>
              <w:right w:w="108" w:type="dxa"/>
            </w:tcMar>
          </w:tcPr>
          <w:p w14:paraId="644F5ACB"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c>
          <w:tcPr>
            <w:tcW w:w="561" w:type="pct"/>
            <w:tcMar>
              <w:top w:w="0" w:type="dxa"/>
              <w:left w:w="108" w:type="dxa"/>
              <w:bottom w:w="0" w:type="dxa"/>
              <w:right w:w="108" w:type="dxa"/>
            </w:tcMar>
            <w:vAlign w:val="center"/>
          </w:tcPr>
          <w:p w14:paraId="535AFFFA"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8</w:t>
            </w:r>
          </w:p>
        </w:tc>
        <w:tc>
          <w:tcPr>
            <w:tcW w:w="553" w:type="pct"/>
            <w:tcMar>
              <w:top w:w="0" w:type="dxa"/>
              <w:left w:w="108" w:type="dxa"/>
              <w:bottom w:w="0" w:type="dxa"/>
              <w:right w:w="108" w:type="dxa"/>
            </w:tcMar>
            <w:vAlign w:val="center"/>
          </w:tcPr>
          <w:p w14:paraId="651AF8AD"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99" w:type="pct"/>
            <w:tcMar>
              <w:top w:w="0" w:type="dxa"/>
              <w:left w:w="108" w:type="dxa"/>
              <w:bottom w:w="0" w:type="dxa"/>
              <w:right w:w="108" w:type="dxa"/>
            </w:tcMar>
            <w:vAlign w:val="center"/>
          </w:tcPr>
          <w:p w14:paraId="56C30367"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30</w:t>
            </w:r>
          </w:p>
        </w:tc>
        <w:tc>
          <w:tcPr>
            <w:tcW w:w="575" w:type="pct"/>
            <w:tcMar>
              <w:top w:w="0" w:type="dxa"/>
              <w:left w:w="108" w:type="dxa"/>
              <w:bottom w:w="0" w:type="dxa"/>
              <w:right w:w="108" w:type="dxa"/>
            </w:tcMar>
            <w:vAlign w:val="center"/>
          </w:tcPr>
          <w:p w14:paraId="1266583E"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4</w:t>
            </w:r>
          </w:p>
        </w:tc>
      </w:tr>
      <w:tr w:rsidR="00944EE7" w:rsidRPr="00944EE7" w14:paraId="72E38E57" w14:textId="77777777" w:rsidTr="00B93956">
        <w:trPr>
          <w:trHeight w:val="179"/>
          <w:jc w:val="center"/>
        </w:trPr>
        <w:tc>
          <w:tcPr>
            <w:tcW w:w="1544" w:type="pct"/>
            <w:tcMar>
              <w:top w:w="0" w:type="dxa"/>
              <w:left w:w="108" w:type="dxa"/>
              <w:bottom w:w="0" w:type="dxa"/>
              <w:right w:w="108" w:type="dxa"/>
            </w:tcMar>
          </w:tcPr>
          <w:p w14:paraId="61169864"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Calcium decreased</w:t>
            </w:r>
          </w:p>
        </w:tc>
        <w:tc>
          <w:tcPr>
            <w:tcW w:w="576" w:type="pct"/>
            <w:tcMar>
              <w:top w:w="0" w:type="dxa"/>
              <w:left w:w="108" w:type="dxa"/>
              <w:bottom w:w="0" w:type="dxa"/>
              <w:right w:w="108" w:type="dxa"/>
            </w:tcMar>
          </w:tcPr>
          <w:p w14:paraId="3AE1275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16</w:t>
            </w:r>
          </w:p>
        </w:tc>
        <w:tc>
          <w:tcPr>
            <w:tcW w:w="592" w:type="pct"/>
            <w:tcMar>
              <w:top w:w="0" w:type="dxa"/>
              <w:left w:w="108" w:type="dxa"/>
              <w:bottom w:w="0" w:type="dxa"/>
              <w:right w:w="108" w:type="dxa"/>
            </w:tcMar>
            <w:vAlign w:val="center"/>
          </w:tcPr>
          <w:p w14:paraId="6AAF2DD6"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61" w:type="pct"/>
            <w:tcMar>
              <w:top w:w="0" w:type="dxa"/>
              <w:left w:w="108" w:type="dxa"/>
              <w:bottom w:w="0" w:type="dxa"/>
              <w:right w:w="108" w:type="dxa"/>
            </w:tcMar>
          </w:tcPr>
          <w:p w14:paraId="5D7E66E6"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12</w:t>
            </w:r>
          </w:p>
        </w:tc>
        <w:tc>
          <w:tcPr>
            <w:tcW w:w="553" w:type="pct"/>
            <w:tcMar>
              <w:top w:w="0" w:type="dxa"/>
              <w:left w:w="108" w:type="dxa"/>
              <w:bottom w:w="0" w:type="dxa"/>
              <w:right w:w="108" w:type="dxa"/>
            </w:tcMar>
            <w:vAlign w:val="center"/>
          </w:tcPr>
          <w:p w14:paraId="553E5E92"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99" w:type="pct"/>
            <w:tcMar>
              <w:top w:w="0" w:type="dxa"/>
              <w:left w:w="108" w:type="dxa"/>
              <w:bottom w:w="0" w:type="dxa"/>
              <w:right w:w="108" w:type="dxa"/>
            </w:tcMar>
          </w:tcPr>
          <w:p w14:paraId="54BED8C9"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30</w:t>
            </w:r>
          </w:p>
        </w:tc>
        <w:tc>
          <w:tcPr>
            <w:tcW w:w="575" w:type="pct"/>
            <w:tcMar>
              <w:top w:w="0" w:type="dxa"/>
              <w:left w:w="108" w:type="dxa"/>
              <w:bottom w:w="0" w:type="dxa"/>
              <w:right w:w="108" w:type="dxa"/>
            </w:tcMar>
            <w:vAlign w:val="center"/>
          </w:tcPr>
          <w:p w14:paraId="388F7761"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r>
      <w:tr w:rsidR="00944EE7" w:rsidRPr="00944EE7" w14:paraId="31DF8C66" w14:textId="77777777" w:rsidTr="00B93956">
        <w:trPr>
          <w:trHeight w:val="467"/>
          <w:jc w:val="center"/>
        </w:trPr>
        <w:tc>
          <w:tcPr>
            <w:tcW w:w="1544" w:type="pct"/>
            <w:tcMar>
              <w:top w:w="0" w:type="dxa"/>
              <w:left w:w="108" w:type="dxa"/>
              <w:bottom w:w="0" w:type="dxa"/>
              <w:right w:w="108" w:type="dxa"/>
            </w:tcMar>
          </w:tcPr>
          <w:p w14:paraId="1ED89219"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Aspartate aminotransferase increased</w:t>
            </w:r>
          </w:p>
        </w:tc>
        <w:tc>
          <w:tcPr>
            <w:tcW w:w="576" w:type="pct"/>
            <w:tcMar>
              <w:top w:w="0" w:type="dxa"/>
              <w:left w:w="108" w:type="dxa"/>
              <w:bottom w:w="0" w:type="dxa"/>
              <w:right w:w="108" w:type="dxa"/>
            </w:tcMar>
          </w:tcPr>
          <w:p w14:paraId="75699189"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6</w:t>
            </w:r>
          </w:p>
        </w:tc>
        <w:tc>
          <w:tcPr>
            <w:tcW w:w="592" w:type="pct"/>
            <w:tcMar>
              <w:top w:w="0" w:type="dxa"/>
              <w:left w:w="108" w:type="dxa"/>
              <w:bottom w:w="0" w:type="dxa"/>
              <w:right w:w="108" w:type="dxa"/>
            </w:tcMar>
          </w:tcPr>
          <w:p w14:paraId="6E012768"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1</w:t>
            </w:r>
          </w:p>
        </w:tc>
        <w:tc>
          <w:tcPr>
            <w:tcW w:w="561" w:type="pct"/>
            <w:tcMar>
              <w:top w:w="0" w:type="dxa"/>
              <w:left w:w="108" w:type="dxa"/>
              <w:bottom w:w="0" w:type="dxa"/>
              <w:right w:w="108" w:type="dxa"/>
            </w:tcMar>
          </w:tcPr>
          <w:p w14:paraId="3D51BDB0"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c>
          <w:tcPr>
            <w:tcW w:w="553" w:type="pct"/>
            <w:tcMar>
              <w:top w:w="0" w:type="dxa"/>
              <w:left w:w="108" w:type="dxa"/>
              <w:bottom w:w="0" w:type="dxa"/>
              <w:right w:w="108" w:type="dxa"/>
            </w:tcMar>
          </w:tcPr>
          <w:p w14:paraId="03E6DAFD"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w:t>
            </w:r>
          </w:p>
        </w:tc>
        <w:tc>
          <w:tcPr>
            <w:tcW w:w="599" w:type="pct"/>
            <w:tcMar>
              <w:top w:w="0" w:type="dxa"/>
              <w:left w:w="108" w:type="dxa"/>
              <w:bottom w:w="0" w:type="dxa"/>
              <w:right w:w="108" w:type="dxa"/>
            </w:tcMar>
          </w:tcPr>
          <w:p w14:paraId="4A6BCB6A"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30</w:t>
            </w:r>
          </w:p>
        </w:tc>
        <w:tc>
          <w:tcPr>
            <w:tcW w:w="575" w:type="pct"/>
            <w:tcMar>
              <w:top w:w="0" w:type="dxa"/>
              <w:left w:w="108" w:type="dxa"/>
              <w:bottom w:w="0" w:type="dxa"/>
              <w:right w:w="108" w:type="dxa"/>
            </w:tcMar>
          </w:tcPr>
          <w:p w14:paraId="2467817E"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w:t>
            </w:r>
          </w:p>
        </w:tc>
      </w:tr>
      <w:tr w:rsidR="00944EE7" w:rsidRPr="00944EE7" w14:paraId="02DCE61F" w14:textId="77777777" w:rsidTr="00B93956">
        <w:trPr>
          <w:trHeight w:val="179"/>
          <w:jc w:val="center"/>
        </w:trPr>
        <w:tc>
          <w:tcPr>
            <w:tcW w:w="1544" w:type="pct"/>
            <w:tcBorders>
              <w:bottom w:val="single" w:sz="4" w:space="0" w:color="auto"/>
            </w:tcBorders>
            <w:tcMar>
              <w:top w:w="0" w:type="dxa"/>
              <w:left w:w="108" w:type="dxa"/>
              <w:bottom w:w="0" w:type="dxa"/>
              <w:right w:w="108" w:type="dxa"/>
            </w:tcMar>
          </w:tcPr>
          <w:p w14:paraId="681A05C9" w14:textId="77777777" w:rsidR="00944EE7" w:rsidRPr="00944EE7" w:rsidRDefault="00944EE7" w:rsidP="00944EE7">
            <w:pPr>
              <w:spacing w:before="0" w:after="200"/>
              <w:rPr>
                <w:rFonts w:eastAsia="Times New Roman"/>
                <w:color w:val="auto"/>
                <w:sz w:val="20"/>
              </w:rPr>
            </w:pPr>
            <w:r w:rsidRPr="00944EE7">
              <w:rPr>
                <w:rFonts w:ascii="Times" w:eastAsia="Times New Roman" w:hAnsi="Times" w:cs="Times"/>
                <w:sz w:val="20"/>
              </w:rPr>
              <w:t>Creatinine increased</w:t>
            </w:r>
          </w:p>
        </w:tc>
        <w:tc>
          <w:tcPr>
            <w:tcW w:w="576" w:type="pct"/>
            <w:tcBorders>
              <w:bottom w:val="single" w:sz="4" w:space="0" w:color="auto"/>
            </w:tcBorders>
            <w:tcMar>
              <w:top w:w="0" w:type="dxa"/>
              <w:left w:w="108" w:type="dxa"/>
              <w:bottom w:w="0" w:type="dxa"/>
              <w:right w:w="108" w:type="dxa"/>
            </w:tcMar>
          </w:tcPr>
          <w:p w14:paraId="495CDCF7"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7</w:t>
            </w:r>
          </w:p>
        </w:tc>
        <w:tc>
          <w:tcPr>
            <w:tcW w:w="592" w:type="pct"/>
            <w:tcBorders>
              <w:bottom w:val="single" w:sz="4" w:space="0" w:color="auto"/>
            </w:tcBorders>
            <w:tcMar>
              <w:top w:w="0" w:type="dxa"/>
              <w:left w:w="108" w:type="dxa"/>
              <w:bottom w:w="0" w:type="dxa"/>
              <w:right w:w="108" w:type="dxa"/>
            </w:tcMar>
            <w:vAlign w:val="center"/>
          </w:tcPr>
          <w:p w14:paraId="0A95CD9F"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61" w:type="pct"/>
            <w:tcBorders>
              <w:bottom w:val="single" w:sz="4" w:space="0" w:color="auto"/>
            </w:tcBorders>
            <w:tcMar>
              <w:top w:w="0" w:type="dxa"/>
              <w:left w:w="108" w:type="dxa"/>
              <w:bottom w:w="0" w:type="dxa"/>
              <w:right w:w="108" w:type="dxa"/>
            </w:tcMar>
          </w:tcPr>
          <w:p w14:paraId="2FFDF0BB"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8</w:t>
            </w:r>
          </w:p>
        </w:tc>
        <w:tc>
          <w:tcPr>
            <w:tcW w:w="553" w:type="pct"/>
            <w:tcBorders>
              <w:bottom w:val="single" w:sz="4" w:space="0" w:color="auto"/>
            </w:tcBorders>
            <w:tcMar>
              <w:top w:w="0" w:type="dxa"/>
              <w:left w:w="108" w:type="dxa"/>
              <w:bottom w:w="0" w:type="dxa"/>
              <w:right w:w="108" w:type="dxa"/>
            </w:tcMar>
            <w:vAlign w:val="center"/>
          </w:tcPr>
          <w:p w14:paraId="3C08F09A" w14:textId="77777777" w:rsidR="00944EE7" w:rsidRPr="00944EE7" w:rsidRDefault="00944EE7" w:rsidP="00944EE7">
            <w:pPr>
              <w:spacing w:before="0" w:after="200"/>
              <w:jc w:val="center"/>
              <w:rPr>
                <w:rFonts w:eastAsia="Times New Roman"/>
                <w:color w:val="auto"/>
                <w:sz w:val="20"/>
              </w:rPr>
            </w:pPr>
            <w:r w:rsidRPr="00944EE7">
              <w:rPr>
                <w:rFonts w:eastAsia="Times New Roman"/>
                <w:color w:val="auto"/>
                <w:sz w:val="20"/>
              </w:rPr>
              <w:t>0</w:t>
            </w:r>
          </w:p>
        </w:tc>
        <w:tc>
          <w:tcPr>
            <w:tcW w:w="599" w:type="pct"/>
            <w:tcBorders>
              <w:bottom w:val="single" w:sz="4" w:space="0" w:color="auto"/>
            </w:tcBorders>
            <w:tcMar>
              <w:top w:w="0" w:type="dxa"/>
              <w:left w:w="108" w:type="dxa"/>
              <w:bottom w:w="0" w:type="dxa"/>
              <w:right w:w="108" w:type="dxa"/>
            </w:tcMar>
          </w:tcPr>
          <w:p w14:paraId="3E032667"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29</w:t>
            </w:r>
          </w:p>
        </w:tc>
        <w:tc>
          <w:tcPr>
            <w:tcW w:w="575" w:type="pct"/>
            <w:tcBorders>
              <w:bottom w:val="single" w:sz="4" w:space="0" w:color="auto"/>
            </w:tcBorders>
            <w:tcMar>
              <w:top w:w="0" w:type="dxa"/>
              <w:left w:w="108" w:type="dxa"/>
              <w:bottom w:w="0" w:type="dxa"/>
              <w:right w:w="108" w:type="dxa"/>
            </w:tcMar>
            <w:vAlign w:val="center"/>
          </w:tcPr>
          <w:p w14:paraId="19E50AD2" w14:textId="77777777" w:rsidR="00944EE7" w:rsidRPr="00944EE7" w:rsidRDefault="00944EE7" w:rsidP="00944EE7">
            <w:pPr>
              <w:spacing w:before="0" w:after="200"/>
              <w:jc w:val="center"/>
              <w:rPr>
                <w:rFonts w:eastAsia="Times New Roman"/>
                <w:color w:val="auto"/>
                <w:sz w:val="20"/>
              </w:rPr>
            </w:pPr>
            <w:r w:rsidRPr="00944EE7">
              <w:rPr>
                <w:rFonts w:ascii="Times" w:eastAsia="Times New Roman" w:hAnsi="Times" w:cs="Times"/>
                <w:sz w:val="20"/>
              </w:rPr>
              <w:t>0.5</w:t>
            </w:r>
          </w:p>
        </w:tc>
      </w:tr>
      <w:tr w:rsidR="00944EE7" w:rsidRPr="00944EE7" w14:paraId="5DAC4967" w14:textId="77777777" w:rsidTr="00B93956">
        <w:trPr>
          <w:trHeight w:val="179"/>
          <w:jc w:val="center"/>
        </w:trPr>
        <w:tc>
          <w:tcPr>
            <w:tcW w:w="5000" w:type="pct"/>
            <w:gridSpan w:val="7"/>
            <w:tcBorders>
              <w:top w:val="single" w:sz="4" w:space="0" w:color="auto"/>
              <w:left w:val="nil"/>
              <w:bottom w:val="nil"/>
              <w:right w:val="nil"/>
            </w:tcBorders>
            <w:tcMar>
              <w:top w:w="0" w:type="dxa"/>
              <w:left w:w="108" w:type="dxa"/>
              <w:bottom w:w="0" w:type="dxa"/>
              <w:right w:w="108" w:type="dxa"/>
            </w:tcMar>
            <w:vAlign w:val="center"/>
          </w:tcPr>
          <w:p w14:paraId="6F74DFD7" w14:textId="77777777" w:rsidR="00944EE7" w:rsidRPr="00944EE7" w:rsidRDefault="00944EE7" w:rsidP="00944EE7">
            <w:pPr>
              <w:spacing w:before="0"/>
              <w:rPr>
                <w:rFonts w:eastAsia="Times New Roman"/>
                <w:color w:val="auto"/>
                <w:sz w:val="16"/>
                <w:szCs w:val="16"/>
              </w:rPr>
            </w:pPr>
            <w:r w:rsidRPr="00944EE7">
              <w:rPr>
                <w:rFonts w:eastAsia="Times New Roman"/>
                <w:color w:val="auto"/>
                <w:sz w:val="16"/>
              </w:rPr>
              <w:t xml:space="preserve">* </w:t>
            </w:r>
            <w:r w:rsidRPr="00944EE7">
              <w:rPr>
                <w:rFonts w:eastAsia="Times New Roman"/>
                <w:color w:val="auto"/>
                <w:sz w:val="16"/>
                <w:szCs w:val="16"/>
              </w:rPr>
              <w:t>Includes any lab abnormalities that worsened by one or more grades. Grade 3-4 includes any lab abnormalities that worsened to Grade 3 or Grade 4.</w:t>
            </w:r>
          </w:p>
          <w:p w14:paraId="71BC3E3B" w14:textId="77777777" w:rsidR="00944EE7" w:rsidRPr="00944EE7" w:rsidRDefault="00944EE7" w:rsidP="00944EE7">
            <w:pPr>
              <w:spacing w:before="0"/>
              <w:rPr>
                <w:rFonts w:eastAsia="Times New Roman"/>
                <w:color w:val="auto"/>
              </w:rPr>
            </w:pPr>
            <w:r w:rsidRPr="00944EE7">
              <w:rPr>
                <w:rFonts w:eastAsia="Times New Roman"/>
                <w:b/>
                <w:bCs/>
                <w:iCs/>
                <w:color w:val="auto"/>
                <w:sz w:val="20"/>
                <w:szCs w:val="20"/>
                <w:vertAlign w:val="superscript"/>
              </w:rPr>
              <w:t>†</w:t>
            </w:r>
            <w:r w:rsidRPr="00944EE7">
              <w:rPr>
                <w:rFonts w:eastAsia="Times New Roman"/>
                <w:color w:val="auto"/>
                <w:sz w:val="16"/>
                <w:szCs w:val="16"/>
              </w:rPr>
              <w:t xml:space="preserve"> The denominator used to calculate the rate varied from 103 to 107 for INQOVI Cycle 1, from 102 to 106 for Intravenous Decitabine Cycle and from 203 to 208 for INQOVI All Cycles based on the number of patients with a baseline value and at least one post-treatment value.</w:t>
            </w:r>
            <w:r w:rsidRPr="00944EE7">
              <w:rPr>
                <w:rFonts w:eastAsia="Times New Roman"/>
                <w:color w:val="auto"/>
              </w:rPr>
              <w:t xml:space="preserve"> </w:t>
            </w:r>
          </w:p>
        </w:tc>
      </w:tr>
    </w:tbl>
    <w:bookmarkEnd w:id="27"/>
    <w:p w14:paraId="3ACDED31" w14:textId="41389ECE" w:rsidR="001E47C5" w:rsidRPr="001E47C5" w:rsidRDefault="001E47C5" w:rsidP="001E47C5">
      <w:pPr>
        <w:pStyle w:val="Heading3"/>
      </w:pPr>
      <w:r w:rsidRPr="001E47C5">
        <w:t>Post-marketing experience</w:t>
      </w:r>
    </w:p>
    <w:p w14:paraId="23B4B37F" w14:textId="5F3CCE94" w:rsidR="001E47C5" w:rsidRPr="00343383" w:rsidRDefault="001E47C5" w:rsidP="001E47C5">
      <w:r w:rsidRPr="00343383">
        <w:t>The following adverse reactions have been identified during post-approval use of decitabine administered intravenously. Because these reactions are reported voluntarily from a population of uncertain size, it is not always possible to reliably estimate their frequency or establish a causal relationship to drug exposure.</w:t>
      </w:r>
    </w:p>
    <w:p w14:paraId="6656D352" w14:textId="77777777" w:rsidR="001E47C5" w:rsidRPr="00343383" w:rsidRDefault="001E47C5" w:rsidP="00034389">
      <w:pPr>
        <w:keepNext/>
        <w:spacing w:after="200" w:line="276" w:lineRule="auto"/>
        <w:rPr>
          <w:sz w:val="22"/>
          <w:szCs w:val="22"/>
        </w:rPr>
      </w:pPr>
      <w:r w:rsidRPr="00343383">
        <w:rPr>
          <w:i/>
          <w:sz w:val="22"/>
          <w:szCs w:val="22"/>
        </w:rPr>
        <w:t xml:space="preserve">Blood and Lymphatic System Disorders: </w:t>
      </w:r>
      <w:r w:rsidRPr="00343383">
        <w:rPr>
          <w:sz w:val="22"/>
          <w:szCs w:val="22"/>
        </w:rPr>
        <w:t xml:space="preserve">Differentiation syndrome </w:t>
      </w:r>
    </w:p>
    <w:p w14:paraId="6D42E765" w14:textId="05D81C19" w:rsidR="001E47C5" w:rsidRPr="00343383" w:rsidRDefault="001E47C5" w:rsidP="001E47C5">
      <w:r w:rsidRPr="00343383">
        <w:rPr>
          <w:i/>
          <w:sz w:val="22"/>
          <w:szCs w:val="22"/>
        </w:rPr>
        <w:t xml:space="preserve">Respiratory Disorders: </w:t>
      </w:r>
      <w:r w:rsidRPr="00343383">
        <w:rPr>
          <w:sz w:val="22"/>
          <w:szCs w:val="22"/>
        </w:rPr>
        <w:t>Interstitial lung disease</w:t>
      </w:r>
      <w:r>
        <w:rPr>
          <w:sz w:val="22"/>
          <w:szCs w:val="22"/>
        </w:rPr>
        <w:t>.</w:t>
      </w:r>
      <w:r w:rsidR="007A7FCC" w:rsidDel="007A7FCC">
        <w:rPr>
          <w:rStyle w:val="CommentReference"/>
          <w:rFonts w:ascii="Cambria" w:hAnsi="Cambria"/>
        </w:rPr>
        <w:t xml:space="preserve"> </w:t>
      </w:r>
    </w:p>
    <w:p w14:paraId="101F93F9" w14:textId="77777777" w:rsidR="00861B9D" w:rsidRPr="002B424E" w:rsidRDefault="00861B9D" w:rsidP="007A7FCC">
      <w:r>
        <w:t>Reporting suspected adverse effects</w:t>
      </w:r>
    </w:p>
    <w:p w14:paraId="267C629E" w14:textId="77777777" w:rsidR="00861B9D" w:rsidRPr="001E47C5" w:rsidRDefault="00861B9D" w:rsidP="00861B9D">
      <w:pPr>
        <w:rPr>
          <w:lang w:val="en"/>
        </w:rPr>
      </w:pPr>
      <w:r w:rsidRPr="007E005C">
        <w:t>Reporting suspected adverse reactions after registration of the medicinal product is important. It allows continued monitoring of the benefit-risk balance of the medicinal product. Healthcare professionals are asked to report any suspected adverse reactions at</w:t>
      </w:r>
      <w:r w:rsidRPr="00497C85">
        <w:rPr>
          <w:lang w:val="en"/>
        </w:rPr>
        <w:t xml:space="preserve"> </w:t>
      </w:r>
      <w:hyperlink r:id="rId13" w:history="1">
        <w:r w:rsidRPr="001E47C5">
          <w:rPr>
            <w:rStyle w:val="Hyperlink"/>
            <w:lang w:val="en"/>
          </w:rPr>
          <w:t>www.tga.gov.au/reporting-problems</w:t>
        </w:r>
      </w:hyperlink>
      <w:r w:rsidRPr="001E47C5">
        <w:rPr>
          <w:lang w:val="en"/>
        </w:rPr>
        <w:t>.</w:t>
      </w:r>
    </w:p>
    <w:p w14:paraId="59CB3459" w14:textId="77777777" w:rsidR="001A3992" w:rsidRPr="00497C85" w:rsidRDefault="001A3992" w:rsidP="004D3A7C">
      <w:pPr>
        <w:pStyle w:val="Heading2"/>
      </w:pPr>
      <w:r w:rsidRPr="00497C85">
        <w:t>Overdose</w:t>
      </w:r>
    </w:p>
    <w:p w14:paraId="16A1D1D0" w14:textId="6A5B8EDC" w:rsidR="00CF2C2A" w:rsidRPr="00703488" w:rsidRDefault="00CF2C2A" w:rsidP="004D3A7C">
      <w:pPr>
        <w:rPr>
          <w:rFonts w:eastAsiaTheme="minorEastAsia"/>
        </w:rPr>
      </w:pPr>
      <w:r w:rsidRPr="00703488">
        <w:t xml:space="preserve">There is no known antidote for overdosage with </w:t>
      </w:r>
      <w:r w:rsidR="00C30787">
        <w:t xml:space="preserve">INQOVI </w:t>
      </w:r>
      <w:r w:rsidR="00E24D02">
        <w:t>35</w:t>
      </w:r>
      <w:r w:rsidR="00C30787">
        <w:t>/</w:t>
      </w:r>
      <w:r w:rsidR="00E24D02">
        <w:t>100</w:t>
      </w:r>
      <w:r w:rsidRPr="00703488">
        <w:t xml:space="preserve">. </w:t>
      </w:r>
      <w:bookmarkStart w:id="28" w:name="_Hlk24654427"/>
      <w:r w:rsidRPr="00703488">
        <w:t>Overdosage could cause increased myelosuppression</w:t>
      </w:r>
      <w:bookmarkStart w:id="29" w:name="_Hlk24654515"/>
      <w:r w:rsidRPr="00703488">
        <w:t>, and neutropenia-related infections such as pneumonia and sepsis.</w:t>
      </w:r>
      <w:bookmarkEnd w:id="28"/>
      <w:bookmarkEnd w:id="29"/>
      <w:r w:rsidRPr="00703488">
        <w:t xml:space="preserve"> For patients who experience overdose, closely monitor, and provide appropriate supportive treatment.</w:t>
      </w:r>
      <w:r w:rsidR="002D2E9D">
        <w:rPr>
          <w:rStyle w:val="CommentReference"/>
          <w:rFonts w:ascii="Cambria" w:hAnsi="Cambria"/>
        </w:rPr>
        <w:t xml:space="preserve"> </w:t>
      </w:r>
    </w:p>
    <w:p w14:paraId="63A42B66" w14:textId="4E810B49" w:rsidR="00497C85" w:rsidRPr="00703488" w:rsidRDefault="00497C85" w:rsidP="004D3A7C">
      <w:pPr>
        <w:rPr>
          <w:lang w:val="en"/>
        </w:rPr>
      </w:pPr>
      <w:r w:rsidRPr="00703488">
        <w:rPr>
          <w:lang w:val="en"/>
        </w:rPr>
        <w:t>For information on the management of overdose, contact the Poisons Information Centre on 13 11 26 (Australia).</w:t>
      </w:r>
    </w:p>
    <w:p w14:paraId="2C21C591" w14:textId="77777777" w:rsidR="001A3992" w:rsidRPr="00497C85" w:rsidRDefault="001A3992" w:rsidP="004D3A7C">
      <w:pPr>
        <w:pStyle w:val="Heading1"/>
      </w:pPr>
      <w:bookmarkStart w:id="30" w:name="_Ref26454688"/>
      <w:r w:rsidRPr="00497C85">
        <w:t>Pharmacological properties</w:t>
      </w:r>
      <w:bookmarkEnd w:id="30"/>
    </w:p>
    <w:p w14:paraId="26A51987" w14:textId="77777777" w:rsidR="001A3992" w:rsidRPr="00497C85" w:rsidRDefault="001A3992" w:rsidP="004D3A7C">
      <w:pPr>
        <w:pStyle w:val="Heading2"/>
      </w:pPr>
      <w:bookmarkStart w:id="31" w:name="_Ref26434282"/>
      <w:r w:rsidRPr="00497C85">
        <w:t>Pharmacodynamic properties</w:t>
      </w:r>
      <w:bookmarkEnd w:id="31"/>
      <w:r w:rsidRPr="00497C85">
        <w:t xml:space="preserve"> </w:t>
      </w:r>
    </w:p>
    <w:p w14:paraId="26D11F52" w14:textId="3075FD11" w:rsidR="001A3992" w:rsidRDefault="001A3992" w:rsidP="004D3A7C">
      <w:pPr>
        <w:pStyle w:val="Heading3"/>
      </w:pPr>
      <w:r w:rsidRPr="00497C85">
        <w:t>Mechanism of action</w:t>
      </w:r>
    </w:p>
    <w:p w14:paraId="68806DF9" w14:textId="2EBDC9B9" w:rsidR="008E6CF4" w:rsidRDefault="008E6CF4" w:rsidP="008E6CF4">
      <w:pPr>
        <w:pStyle w:val="Heading4"/>
      </w:pPr>
      <w:r w:rsidRPr="008E6CF4">
        <w:t>Decitabine</w:t>
      </w:r>
    </w:p>
    <w:p w14:paraId="21507F7E" w14:textId="071CE62C" w:rsidR="00021FA7" w:rsidRPr="00703488" w:rsidRDefault="00021FA7" w:rsidP="004D3A7C">
      <w:pPr>
        <w:rPr>
          <w:rFonts w:eastAsia="Calibri"/>
        </w:rPr>
      </w:pPr>
      <w:r w:rsidRPr="00703488">
        <w:t xml:space="preserve">Decitabine </w:t>
      </w:r>
      <w:bookmarkStart w:id="32" w:name="_Hlk21444371"/>
      <w:r w:rsidRPr="00703488">
        <w:t xml:space="preserve">is a nucleoside metabolic inhibitor that </w:t>
      </w:r>
      <w:bookmarkEnd w:id="32"/>
      <w:r w:rsidRPr="00703488">
        <w:t xml:space="preserve">is believed to exert its antineoplastic effects after phosphorylation and direct incorporation into DNA and inhibition of DNA methyltransferase, causing hypomethylation of DNA and cellular differentiation and/or apoptosis. Decitabine inhibits DNA methylation </w:t>
      </w:r>
      <w:r w:rsidRPr="00703488">
        <w:rPr>
          <w:rStyle w:val="italics"/>
          <w:i/>
        </w:rPr>
        <w:t>in vitro</w:t>
      </w:r>
      <w:r w:rsidRPr="00703488">
        <w:t>, which is achieved at concentrations that do not cause major suppression of DNA synthesis. Decitabine-induced hypomethylation in neoplastic cells may restore normal function to genes that are critical for the control of cellular differentiation, proliferation, and the immune system. In rapidly dividing cells, the cytotoxicity of decitabine may also be attributed to the formation of covalent adducts between DNA methyltransferase and decitabine incorporated into DNA. Non-proliferating cells are relatively insensitive to decitabine.</w:t>
      </w:r>
      <w:r w:rsidR="002D2E9D">
        <w:rPr>
          <w:rStyle w:val="CommentReference"/>
          <w:rFonts w:ascii="Cambria" w:hAnsi="Cambria"/>
        </w:rPr>
        <w:t xml:space="preserve"> </w:t>
      </w:r>
    </w:p>
    <w:p w14:paraId="636D4750" w14:textId="54063014" w:rsidR="008E6CF4" w:rsidRPr="00703488" w:rsidRDefault="008E6CF4" w:rsidP="008E6CF4">
      <w:r w:rsidRPr="00703488">
        <w:t>Decitabine has been shown to induce hypomethylation both </w:t>
      </w:r>
      <w:r w:rsidRPr="00703488">
        <w:rPr>
          <w:i/>
        </w:rPr>
        <w:t>in vitro</w:t>
      </w:r>
      <w:r w:rsidRPr="00703488">
        <w:t> and </w:t>
      </w:r>
      <w:r w:rsidRPr="00703488">
        <w:rPr>
          <w:i/>
        </w:rPr>
        <w:t>in vivo</w:t>
      </w:r>
      <w:r w:rsidRPr="00703488">
        <w:t>.</w:t>
      </w:r>
      <w:r w:rsidR="002D2E9D">
        <w:rPr>
          <w:rStyle w:val="CommentReference"/>
          <w:rFonts w:ascii="Cambria" w:hAnsi="Cambria"/>
        </w:rPr>
        <w:t xml:space="preserve"> </w:t>
      </w:r>
      <w:r w:rsidRPr="00703488">
        <w:t xml:space="preserve"> At the recommended </w:t>
      </w:r>
      <w:r w:rsidR="00C30787">
        <w:t xml:space="preserve">INQOVI </w:t>
      </w:r>
      <w:r w:rsidR="00E24D02">
        <w:t>35</w:t>
      </w:r>
      <w:r w:rsidR="00C30787">
        <w:t>/</w:t>
      </w:r>
      <w:r w:rsidR="00E24D02">
        <w:t>100</w:t>
      </w:r>
      <w:r w:rsidRPr="00703488">
        <w:t xml:space="preserve"> dose, maximal or near maximal pharmacodynamic effect of long interspersed nucleotide elements-1 (LINE-1) demethylation was observed over the range of decitabine systemic exposures based on modeling.</w:t>
      </w:r>
      <w:r w:rsidR="002D2E9D">
        <w:rPr>
          <w:rStyle w:val="CommentReference"/>
          <w:rFonts w:ascii="Cambria" w:hAnsi="Cambria"/>
        </w:rPr>
        <w:t xml:space="preserve"> </w:t>
      </w:r>
    </w:p>
    <w:p w14:paraId="73BC27E3" w14:textId="2C0BDAAC" w:rsidR="008E6CF4" w:rsidRDefault="008E6CF4" w:rsidP="008E6CF4">
      <w:pPr>
        <w:pStyle w:val="Heading4"/>
      </w:pPr>
      <w:r w:rsidRPr="008E6CF4">
        <w:t>Cedazuridine</w:t>
      </w:r>
    </w:p>
    <w:p w14:paraId="24E4093C" w14:textId="77777777" w:rsidR="00A04E3E" w:rsidRPr="00703488" w:rsidDel="00924E80" w:rsidRDefault="00A04E3E" w:rsidP="00A04E3E">
      <w:r w:rsidRPr="00703488">
        <w:t xml:space="preserve">Cedazuridine inhibits </w:t>
      </w:r>
      <w:r>
        <w:t>c</w:t>
      </w:r>
      <w:r w:rsidRPr="00A04E3E">
        <w:t xml:space="preserve">ytidine deaminase </w:t>
      </w:r>
      <w:r>
        <w:t>(</w:t>
      </w:r>
      <w:r w:rsidRPr="00703488">
        <w:t>CDA</w:t>
      </w:r>
      <w:r>
        <w:t>)</w:t>
      </w:r>
      <w:r w:rsidRPr="00703488">
        <w:t xml:space="preserve">. </w:t>
      </w:r>
      <w:r>
        <w:t xml:space="preserve">CDA </w:t>
      </w:r>
      <w:r w:rsidRPr="00703488" w:rsidDel="00924E80">
        <w:t xml:space="preserve">is an enzyme that is responsible for the degradation of nucleosides, including decitabine. High levels of CDA in the gastrointestinal tract and liver rapidly degrade these nucleosides and prohibit or limit their oral bioavailability. </w:t>
      </w:r>
    </w:p>
    <w:p w14:paraId="125E69C5" w14:textId="0C4E8886" w:rsidR="00A04E3E" w:rsidRPr="00703488" w:rsidRDefault="00A04E3E" w:rsidP="00A04E3E">
      <w:r w:rsidRPr="00703488">
        <w:t>Oral administration of cedazuridine with decitabine enhances the oral bioavailability of decitabine via inhibition of first pass metabolism of decitabine in the gut and liver by CDA.</w:t>
      </w:r>
      <w:r w:rsidR="002D2E9D">
        <w:rPr>
          <w:rStyle w:val="CommentReference"/>
          <w:rFonts w:ascii="Cambria" w:hAnsi="Cambria"/>
        </w:rPr>
        <w:t xml:space="preserve"> </w:t>
      </w:r>
    </w:p>
    <w:p w14:paraId="3FAB4702" w14:textId="157B8760" w:rsidR="001A3992" w:rsidRDefault="001A3992" w:rsidP="004D3A7C">
      <w:pPr>
        <w:pStyle w:val="Heading3"/>
      </w:pPr>
      <w:r w:rsidRPr="00497C85">
        <w:t>Clinical trials</w:t>
      </w:r>
    </w:p>
    <w:p w14:paraId="0C5EA64E" w14:textId="77777777" w:rsidR="00F127BB" w:rsidRPr="00703488" w:rsidRDefault="00F127BB" w:rsidP="008E6CF4">
      <w:pPr>
        <w:pStyle w:val="Heading4"/>
      </w:pPr>
      <w:r w:rsidRPr="00703488">
        <w:t>Study ASTX727-01-B (Phase 2)</w:t>
      </w:r>
    </w:p>
    <w:p w14:paraId="261EB8EF" w14:textId="42A88CC3" w:rsidR="00F127BB" w:rsidRPr="00703488" w:rsidRDefault="00F127BB" w:rsidP="004D3A7C">
      <w:r w:rsidRPr="00703488">
        <w:t xml:space="preserve">The efficacy of </w:t>
      </w:r>
      <w:r w:rsidR="00C30787">
        <w:t xml:space="preserve">INQOVI </w:t>
      </w:r>
      <w:r w:rsidR="00E24D02">
        <w:t>35</w:t>
      </w:r>
      <w:r w:rsidR="00C30787">
        <w:t>/</w:t>
      </w:r>
      <w:r w:rsidR="00E24D02">
        <w:t>100</w:t>
      </w:r>
      <w:r w:rsidRPr="00703488">
        <w:t xml:space="preserve"> was evaluated in an open-label, </w:t>
      </w:r>
      <w:proofErr w:type="spellStart"/>
      <w:r w:rsidR="00C30787">
        <w:t>randomised</w:t>
      </w:r>
      <w:proofErr w:type="spellEnd"/>
      <w:r w:rsidRPr="00703488">
        <w:t xml:space="preserve">, 2-cycle, 2-sequence crossover study with IV decitabine followed by a single-arm </w:t>
      </w:r>
      <w:r w:rsidR="00C30787">
        <w:t xml:space="preserve">INQOVI </w:t>
      </w:r>
      <w:r w:rsidR="00E24D02">
        <w:t>35</w:t>
      </w:r>
      <w:r w:rsidR="00C30787">
        <w:t>/</w:t>
      </w:r>
      <w:r w:rsidR="00E24D02">
        <w:t xml:space="preserve">100 </w:t>
      </w:r>
      <w:r w:rsidRPr="00703488">
        <w:t xml:space="preserve">treatment study. The study was conducted in 80 patients with MDS </w:t>
      </w:r>
      <w:bookmarkStart w:id="33" w:name="_Hlk20940917"/>
      <w:r w:rsidRPr="00703488">
        <w:t>(International Prognostic Scoring System intermediate [IPSS] Intermediate-1, Intermediate-2, or high-risk)</w:t>
      </w:r>
      <w:bookmarkEnd w:id="33"/>
      <w:r w:rsidRPr="00703488">
        <w:t xml:space="preserve"> and CMML, who were candidates for treatment with a hypomethylating (HMA) agent. Patients were </w:t>
      </w:r>
      <w:proofErr w:type="spellStart"/>
      <w:r w:rsidR="00C30787">
        <w:t>randomised</w:t>
      </w:r>
      <w:proofErr w:type="spellEnd"/>
      <w:r w:rsidRPr="00703488">
        <w:t xml:space="preserve"> to receive </w:t>
      </w:r>
      <w:r w:rsidR="00C30787">
        <w:t xml:space="preserve">INQOVI </w:t>
      </w:r>
      <w:r w:rsidR="00E24D02">
        <w:t>35</w:t>
      </w:r>
      <w:r w:rsidR="00C30787">
        <w:t>/</w:t>
      </w:r>
      <w:r w:rsidR="00E24D02">
        <w:t>100</w:t>
      </w:r>
      <w:r w:rsidRPr="00703488">
        <w:t xml:space="preserve"> in Cycle 1 and IV decitabine (20 mg/m</w:t>
      </w:r>
      <w:r w:rsidRPr="00703488">
        <w:rPr>
          <w:vertAlign w:val="superscript"/>
        </w:rPr>
        <w:t>2</w:t>
      </w:r>
      <w:r w:rsidRPr="00703488">
        <w:t xml:space="preserve">) in Cycle 2 or the reverse sequence. Both </w:t>
      </w:r>
      <w:r w:rsidR="00C30787">
        <w:t xml:space="preserve">INQOVI </w:t>
      </w:r>
      <w:r w:rsidR="00E24D02">
        <w:t>35</w:t>
      </w:r>
      <w:r w:rsidR="00C30787">
        <w:t>/</w:t>
      </w:r>
      <w:r w:rsidR="00E24D02">
        <w:t>100</w:t>
      </w:r>
      <w:r w:rsidRPr="00703488">
        <w:t xml:space="preserve"> and IV decitabine were dosed once daily for 5 days in 28</w:t>
      </w:r>
      <w:r w:rsidRPr="00703488">
        <w:noBreakHyphen/>
        <w:t xml:space="preserve">day cycles. All patients received </w:t>
      </w:r>
      <w:r w:rsidR="00C30787">
        <w:t xml:space="preserve">INQOVI </w:t>
      </w:r>
      <w:r w:rsidR="00E24D02">
        <w:t>35</w:t>
      </w:r>
      <w:r w:rsidR="00C30787">
        <w:t>/</w:t>
      </w:r>
      <w:r w:rsidR="00E24D02">
        <w:t>100</w:t>
      </w:r>
      <w:r w:rsidRPr="00703488">
        <w:t xml:space="preserve"> after Cycle 2 and treatment continued until disease progression, death, or unacceptable toxicity.</w:t>
      </w:r>
      <w:r w:rsidR="002D2E9D">
        <w:rPr>
          <w:rStyle w:val="CommentReference"/>
          <w:rFonts w:ascii="Cambria" w:hAnsi="Cambria"/>
        </w:rPr>
        <w:t xml:space="preserve"> </w:t>
      </w:r>
    </w:p>
    <w:p w14:paraId="03A95DF4" w14:textId="2D6AC80E" w:rsidR="00F127BB" w:rsidRPr="00703488" w:rsidRDefault="00F127BB" w:rsidP="004D3A7C">
      <w:bookmarkStart w:id="34" w:name="_Hlk21530573"/>
      <w:r w:rsidRPr="00703488">
        <w:t xml:space="preserve">The major efficacy outcome measure was response rate. Additional efficacy outcome measures included duration of response, rate of transfusion independence (no transfusions for at least 56-day consecutive period), time to acute myeloid </w:t>
      </w:r>
      <w:proofErr w:type="spellStart"/>
      <w:r w:rsidRPr="00703488">
        <w:t>leuk</w:t>
      </w:r>
      <w:r w:rsidR="00BD23C4">
        <w:t>a</w:t>
      </w:r>
      <w:r w:rsidRPr="00703488">
        <w:t>emia</w:t>
      </w:r>
      <w:proofErr w:type="spellEnd"/>
      <w:r w:rsidRPr="00703488">
        <w:t xml:space="preserve"> (AML), and overall survival (OS). </w:t>
      </w:r>
      <w:bookmarkEnd w:id="34"/>
    </w:p>
    <w:p w14:paraId="2DE88EF9" w14:textId="6FA293D7" w:rsidR="00CB54FD" w:rsidRDefault="00F127BB" w:rsidP="004D3A7C">
      <w:r w:rsidRPr="00703488">
        <w:t xml:space="preserve">The efficacy results are shown in </w:t>
      </w:r>
      <w:r w:rsidR="00087D58">
        <w:fldChar w:fldCharType="begin"/>
      </w:r>
      <w:r w:rsidR="00087D58">
        <w:instrText xml:space="preserve"> REF _Ref26945130 \h </w:instrText>
      </w:r>
      <w:r w:rsidR="00087D58">
        <w:fldChar w:fldCharType="separate"/>
      </w:r>
      <w:r w:rsidR="008D55DC">
        <w:t xml:space="preserve">Table </w:t>
      </w:r>
      <w:r w:rsidR="008D55DC">
        <w:rPr>
          <w:noProof/>
        </w:rPr>
        <w:t>1</w:t>
      </w:r>
      <w:r w:rsidR="00087D58">
        <w:fldChar w:fldCharType="end"/>
      </w:r>
      <w:r w:rsidRPr="00703488">
        <w:t>. The median duration of treatment was 7 cycles (range: 1 to 29) and the median follow-up time was 24 months (range: 12 to 29 months).</w:t>
      </w:r>
      <w:r w:rsidR="002D2E9D">
        <w:rPr>
          <w:rStyle w:val="CommentReference"/>
          <w:rFonts w:ascii="Cambria" w:hAnsi="Cambria"/>
        </w:rPr>
        <w:t xml:space="preserve"> </w:t>
      </w:r>
    </w:p>
    <w:p w14:paraId="2FADC421" w14:textId="4B0E9498" w:rsidR="00087D58" w:rsidRPr="00703488" w:rsidRDefault="00087D58" w:rsidP="00087D58">
      <w:pPr>
        <w:pStyle w:val="Caption"/>
      </w:pPr>
      <w:bookmarkStart w:id="35" w:name="_Ref26945130"/>
      <w:r>
        <w:t xml:space="preserve">Table </w:t>
      </w:r>
      <w:r>
        <w:fldChar w:fldCharType="begin"/>
      </w:r>
      <w:r>
        <w:instrText xml:space="preserve"> SEQ Table \* ARABIC </w:instrText>
      </w:r>
      <w:r>
        <w:fldChar w:fldCharType="separate"/>
      </w:r>
      <w:r w:rsidR="008D55DC">
        <w:rPr>
          <w:noProof/>
        </w:rPr>
        <w:t>1</w:t>
      </w:r>
      <w:r>
        <w:fldChar w:fldCharType="end"/>
      </w:r>
      <w:bookmarkEnd w:id="35"/>
      <w:r>
        <w:t xml:space="preserve">: </w:t>
      </w:r>
      <w:r w:rsidRPr="00087D58">
        <w:t xml:space="preserve">Efficacy </w:t>
      </w:r>
      <w:r>
        <w:t>R</w:t>
      </w:r>
      <w:r w:rsidRPr="00087D58">
        <w:t xml:space="preserve">esults from </w:t>
      </w:r>
      <w:r>
        <w:t>S</w:t>
      </w:r>
      <w:r w:rsidRPr="00087D58">
        <w:t>tudy ASTX727-01-B (Phase 2)</w:t>
      </w:r>
      <w:r w:rsidR="002D2E9D">
        <w:rPr>
          <w:rStyle w:val="CommentReference"/>
          <w:rFonts w:ascii="Cambria" w:eastAsia="MS Mincho" w:hAnsi="Cambria"/>
          <w:b w:val="0"/>
          <w:bCs w:val="0"/>
          <w:color w:val="00000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630"/>
        <w:gridCol w:w="1753"/>
        <w:gridCol w:w="2633"/>
      </w:tblGrid>
      <w:tr w:rsidR="00087D58" w:rsidRPr="00CC5C41" w14:paraId="5381BEAF" w14:textId="77777777" w:rsidTr="00087D58">
        <w:trPr>
          <w:cantSplit/>
          <w:tblHeader/>
        </w:trPr>
        <w:tc>
          <w:tcPr>
            <w:tcW w:w="2568" w:type="pct"/>
            <w:vMerge w:val="restart"/>
            <w:shd w:val="clear" w:color="auto" w:fill="FFFFFF"/>
            <w:tcMar>
              <w:left w:w="20" w:type="dxa"/>
              <w:right w:w="20" w:type="dxa"/>
            </w:tcMar>
            <w:vAlign w:val="center"/>
          </w:tcPr>
          <w:p w14:paraId="2F8E9B37" w14:textId="77777777" w:rsidR="00087D58" w:rsidRPr="00CC5C41" w:rsidRDefault="00087D58" w:rsidP="00087D58">
            <w:pPr>
              <w:pStyle w:val="TableCellLeft"/>
              <w:keepNext/>
              <w:spacing w:after="0"/>
              <w:ind w:left="57"/>
              <w:rPr>
                <w:b/>
                <w:szCs w:val="20"/>
              </w:rPr>
            </w:pPr>
            <w:r w:rsidRPr="00CC5C41">
              <w:rPr>
                <w:b/>
                <w:szCs w:val="20"/>
              </w:rPr>
              <w:t>Efficacy Endpoint</w:t>
            </w:r>
          </w:p>
        </w:tc>
        <w:tc>
          <w:tcPr>
            <w:tcW w:w="2432" w:type="pct"/>
            <w:gridSpan w:val="2"/>
            <w:shd w:val="clear" w:color="auto" w:fill="FFFFFF"/>
            <w:tcMar>
              <w:left w:w="20" w:type="dxa"/>
              <w:right w:w="20" w:type="dxa"/>
            </w:tcMar>
            <w:vAlign w:val="center"/>
          </w:tcPr>
          <w:p w14:paraId="0CE54B2D" w14:textId="77777777" w:rsidR="00087D58" w:rsidRPr="00CC5C41" w:rsidRDefault="00087D58" w:rsidP="00087D58">
            <w:pPr>
              <w:pStyle w:val="TableCellLeft"/>
              <w:keepNext/>
              <w:spacing w:after="0"/>
              <w:jc w:val="center"/>
              <w:rPr>
                <w:b/>
                <w:szCs w:val="20"/>
              </w:rPr>
            </w:pPr>
            <w:r w:rsidRPr="00CC5C41">
              <w:rPr>
                <w:b/>
                <w:szCs w:val="20"/>
              </w:rPr>
              <w:t>Phase 2 Overall</w:t>
            </w:r>
            <w:r w:rsidRPr="00CC5C41">
              <w:rPr>
                <w:b/>
                <w:szCs w:val="20"/>
              </w:rPr>
              <w:br/>
              <w:t>(N=80)</w:t>
            </w:r>
          </w:p>
        </w:tc>
      </w:tr>
      <w:tr w:rsidR="00087D58" w:rsidRPr="00CC5C41" w14:paraId="1176333A" w14:textId="77777777" w:rsidTr="00087D58">
        <w:trPr>
          <w:cantSplit/>
          <w:tblHeader/>
        </w:trPr>
        <w:tc>
          <w:tcPr>
            <w:tcW w:w="2568" w:type="pct"/>
            <w:vMerge/>
            <w:shd w:val="clear" w:color="auto" w:fill="FFFFFF"/>
            <w:tcMar>
              <w:left w:w="20" w:type="dxa"/>
              <w:right w:w="20" w:type="dxa"/>
            </w:tcMar>
            <w:vAlign w:val="center"/>
          </w:tcPr>
          <w:p w14:paraId="337D2866" w14:textId="77777777" w:rsidR="00087D58" w:rsidRPr="00CC5C41" w:rsidRDefault="00087D58" w:rsidP="00087D58">
            <w:pPr>
              <w:pStyle w:val="TableCellLeft"/>
              <w:keepNext/>
              <w:spacing w:after="0"/>
              <w:ind w:left="57"/>
              <w:rPr>
                <w:b/>
                <w:szCs w:val="20"/>
                <w:vertAlign w:val="superscript"/>
              </w:rPr>
            </w:pPr>
          </w:p>
        </w:tc>
        <w:tc>
          <w:tcPr>
            <w:tcW w:w="972" w:type="pct"/>
            <w:shd w:val="clear" w:color="auto" w:fill="FFFFFF"/>
            <w:tcMar>
              <w:left w:w="20" w:type="dxa"/>
              <w:right w:w="20" w:type="dxa"/>
            </w:tcMar>
            <w:vAlign w:val="center"/>
          </w:tcPr>
          <w:p w14:paraId="6383AF50" w14:textId="77777777" w:rsidR="00087D58" w:rsidRPr="00CC5C41" w:rsidRDefault="00087D58" w:rsidP="00087D58">
            <w:pPr>
              <w:pStyle w:val="TableCellLeft"/>
              <w:keepNext/>
              <w:spacing w:after="0"/>
              <w:jc w:val="center"/>
              <w:rPr>
                <w:b/>
                <w:szCs w:val="20"/>
              </w:rPr>
            </w:pPr>
            <w:r w:rsidRPr="00CC5C41">
              <w:rPr>
                <w:b/>
                <w:szCs w:val="20"/>
              </w:rPr>
              <w:t>n (%)</w:t>
            </w:r>
          </w:p>
        </w:tc>
        <w:tc>
          <w:tcPr>
            <w:tcW w:w="1460" w:type="pct"/>
            <w:shd w:val="clear" w:color="auto" w:fill="FFFFFF"/>
            <w:tcMar>
              <w:left w:w="20" w:type="dxa"/>
              <w:right w:w="20" w:type="dxa"/>
            </w:tcMar>
            <w:vAlign w:val="center"/>
          </w:tcPr>
          <w:p w14:paraId="4DE97D3C" w14:textId="77777777" w:rsidR="00087D58" w:rsidRPr="00CC5C41" w:rsidRDefault="00087D58" w:rsidP="00087D58">
            <w:pPr>
              <w:pStyle w:val="TableCellLeft"/>
              <w:keepNext/>
              <w:spacing w:after="0"/>
              <w:jc w:val="center"/>
              <w:rPr>
                <w:b/>
                <w:szCs w:val="20"/>
              </w:rPr>
            </w:pPr>
            <w:r w:rsidRPr="00CC5C41">
              <w:rPr>
                <w:b/>
                <w:szCs w:val="20"/>
              </w:rPr>
              <w:t>95%CI</w:t>
            </w:r>
          </w:p>
        </w:tc>
      </w:tr>
      <w:tr w:rsidR="00087D58" w:rsidRPr="00CC5C41" w14:paraId="014FD178" w14:textId="77777777" w:rsidTr="00087D58">
        <w:trPr>
          <w:cantSplit/>
        </w:trPr>
        <w:tc>
          <w:tcPr>
            <w:tcW w:w="2568" w:type="pct"/>
            <w:shd w:val="clear" w:color="auto" w:fill="FFFFFF"/>
            <w:tcMar>
              <w:left w:w="20" w:type="dxa"/>
              <w:right w:w="20" w:type="dxa"/>
            </w:tcMar>
            <w:vAlign w:val="center"/>
          </w:tcPr>
          <w:p w14:paraId="7E97F608" w14:textId="77777777" w:rsidR="00087D58" w:rsidRPr="00CC5C41" w:rsidRDefault="00087D58" w:rsidP="00087D58">
            <w:pPr>
              <w:pStyle w:val="TableCellLeft"/>
              <w:keepNext/>
              <w:ind w:left="57"/>
              <w:rPr>
                <w:szCs w:val="20"/>
              </w:rPr>
            </w:pPr>
            <w:r w:rsidRPr="00CC5C41">
              <w:rPr>
                <w:szCs w:val="20"/>
              </w:rPr>
              <w:t xml:space="preserve">Complete Response (CR) </w:t>
            </w:r>
          </w:p>
        </w:tc>
        <w:tc>
          <w:tcPr>
            <w:tcW w:w="972" w:type="pct"/>
            <w:shd w:val="clear" w:color="auto" w:fill="FFFFFF"/>
            <w:tcMar>
              <w:left w:w="20" w:type="dxa"/>
              <w:right w:w="20" w:type="dxa"/>
            </w:tcMar>
            <w:vAlign w:val="center"/>
          </w:tcPr>
          <w:p w14:paraId="26C6996D" w14:textId="77777777" w:rsidR="00087D58" w:rsidRPr="00CC5C41" w:rsidRDefault="00087D58" w:rsidP="00087D58">
            <w:pPr>
              <w:pStyle w:val="TableCellLeft"/>
              <w:keepNext/>
              <w:jc w:val="center"/>
              <w:rPr>
                <w:szCs w:val="20"/>
              </w:rPr>
            </w:pPr>
            <w:r w:rsidRPr="00CC5C41">
              <w:rPr>
                <w:szCs w:val="20"/>
              </w:rPr>
              <w:t>17 (21.3)</w:t>
            </w:r>
          </w:p>
        </w:tc>
        <w:tc>
          <w:tcPr>
            <w:tcW w:w="1460" w:type="pct"/>
            <w:shd w:val="clear" w:color="auto" w:fill="FFFFFF"/>
            <w:tcMar>
              <w:left w:w="20" w:type="dxa"/>
              <w:right w:w="20" w:type="dxa"/>
            </w:tcMar>
            <w:vAlign w:val="center"/>
          </w:tcPr>
          <w:p w14:paraId="2BF8C2A4" w14:textId="77777777" w:rsidR="00087D58" w:rsidRPr="00CC5C41" w:rsidRDefault="00087D58" w:rsidP="00087D58">
            <w:pPr>
              <w:pStyle w:val="TableCellLeft"/>
              <w:keepNext/>
              <w:jc w:val="center"/>
              <w:rPr>
                <w:szCs w:val="20"/>
              </w:rPr>
            </w:pPr>
            <w:r w:rsidRPr="00CC5C41">
              <w:rPr>
                <w:szCs w:val="20"/>
              </w:rPr>
              <w:t>(12.9, 31.8)</w:t>
            </w:r>
          </w:p>
        </w:tc>
      </w:tr>
      <w:tr w:rsidR="00087D58" w:rsidRPr="00CC5C41" w14:paraId="6F307705" w14:textId="77777777" w:rsidTr="00087D58">
        <w:trPr>
          <w:cantSplit/>
          <w:trHeight w:val="188"/>
        </w:trPr>
        <w:tc>
          <w:tcPr>
            <w:tcW w:w="2568" w:type="pct"/>
            <w:shd w:val="clear" w:color="auto" w:fill="FFFFFF"/>
            <w:tcMar>
              <w:left w:w="20" w:type="dxa"/>
              <w:right w:w="20" w:type="dxa"/>
            </w:tcMar>
            <w:vAlign w:val="center"/>
          </w:tcPr>
          <w:p w14:paraId="6E238B6F" w14:textId="77777777" w:rsidR="00087D58" w:rsidRPr="00CC5C41" w:rsidRDefault="00087D58" w:rsidP="00087D58">
            <w:pPr>
              <w:pStyle w:val="TableCellLeft"/>
              <w:keepNext/>
              <w:ind w:left="57"/>
              <w:rPr>
                <w:szCs w:val="20"/>
              </w:rPr>
            </w:pPr>
            <w:r w:rsidRPr="00CC5C41">
              <w:rPr>
                <w:szCs w:val="20"/>
              </w:rPr>
              <w:t>Median Duration of CR (months)</w:t>
            </w:r>
            <w:r w:rsidRPr="00CC5C41">
              <w:rPr>
                <w:szCs w:val="20"/>
                <w:vertAlign w:val="superscript"/>
              </w:rPr>
              <w:t>*</w:t>
            </w:r>
          </w:p>
        </w:tc>
        <w:tc>
          <w:tcPr>
            <w:tcW w:w="972" w:type="pct"/>
            <w:shd w:val="clear" w:color="auto" w:fill="FFFFFF"/>
            <w:tcMar>
              <w:left w:w="20" w:type="dxa"/>
              <w:right w:w="20" w:type="dxa"/>
            </w:tcMar>
            <w:vAlign w:val="center"/>
          </w:tcPr>
          <w:p w14:paraId="64A90CEC" w14:textId="77777777" w:rsidR="00087D58" w:rsidRPr="00CC5C41" w:rsidRDefault="00087D58" w:rsidP="00087D58">
            <w:pPr>
              <w:pStyle w:val="TableCellLeft"/>
              <w:keepNext/>
              <w:jc w:val="center"/>
              <w:rPr>
                <w:szCs w:val="20"/>
              </w:rPr>
            </w:pPr>
            <w:r w:rsidRPr="00CC5C41">
              <w:rPr>
                <w:szCs w:val="20"/>
              </w:rPr>
              <w:t>13.3</w:t>
            </w:r>
          </w:p>
        </w:tc>
        <w:tc>
          <w:tcPr>
            <w:tcW w:w="1460" w:type="pct"/>
            <w:shd w:val="clear" w:color="auto" w:fill="FFFFFF"/>
            <w:tcMar>
              <w:left w:w="20" w:type="dxa"/>
              <w:right w:w="20" w:type="dxa"/>
            </w:tcMar>
            <w:vAlign w:val="center"/>
          </w:tcPr>
          <w:p w14:paraId="446198D2" w14:textId="77777777" w:rsidR="00087D58" w:rsidRPr="00CC5C41" w:rsidRDefault="00087D58" w:rsidP="00087D58">
            <w:pPr>
              <w:pStyle w:val="TableCellLeft"/>
              <w:keepNext/>
              <w:jc w:val="center"/>
              <w:rPr>
                <w:szCs w:val="20"/>
              </w:rPr>
            </w:pPr>
            <w:r w:rsidRPr="00CC5C41">
              <w:rPr>
                <w:szCs w:val="20"/>
              </w:rPr>
              <w:t>(6.5, 13.8)</w:t>
            </w:r>
          </w:p>
        </w:tc>
      </w:tr>
      <w:tr w:rsidR="00087D58" w:rsidRPr="00CC5C41" w14:paraId="2F383D70" w14:textId="77777777" w:rsidTr="00087D58">
        <w:trPr>
          <w:cantSplit/>
        </w:trPr>
        <w:tc>
          <w:tcPr>
            <w:tcW w:w="2568" w:type="pct"/>
            <w:shd w:val="clear" w:color="auto" w:fill="FFFFFF"/>
            <w:tcMar>
              <w:left w:w="20" w:type="dxa"/>
              <w:right w:w="20" w:type="dxa"/>
            </w:tcMar>
            <w:vAlign w:val="center"/>
          </w:tcPr>
          <w:p w14:paraId="3152E6A4" w14:textId="517CF978" w:rsidR="00087D58" w:rsidRPr="00CC5C41" w:rsidRDefault="00087D58" w:rsidP="00087D58">
            <w:pPr>
              <w:pStyle w:val="TableCellLeft"/>
              <w:keepNext/>
              <w:ind w:left="57"/>
              <w:rPr>
                <w:szCs w:val="20"/>
              </w:rPr>
            </w:pPr>
            <w:r w:rsidRPr="00CC5C41">
              <w:rPr>
                <w:szCs w:val="20"/>
              </w:rPr>
              <w:t xml:space="preserve">Marrow CR with </w:t>
            </w:r>
            <w:proofErr w:type="spellStart"/>
            <w:r w:rsidRPr="00CC5C41">
              <w:rPr>
                <w:szCs w:val="20"/>
              </w:rPr>
              <w:t>H</w:t>
            </w:r>
            <w:r w:rsidR="00BD23C4">
              <w:rPr>
                <w:szCs w:val="20"/>
              </w:rPr>
              <w:t>a</w:t>
            </w:r>
            <w:r w:rsidRPr="00CC5C41">
              <w:rPr>
                <w:szCs w:val="20"/>
              </w:rPr>
              <w:t>ematologic</w:t>
            </w:r>
            <w:proofErr w:type="spellEnd"/>
            <w:r w:rsidRPr="00CC5C41">
              <w:rPr>
                <w:szCs w:val="20"/>
              </w:rPr>
              <w:t xml:space="preserve"> Improvement</w:t>
            </w:r>
            <w:r w:rsidRPr="00CC5C41">
              <w:rPr>
                <w:szCs w:val="20"/>
                <w:vertAlign w:val="superscript"/>
              </w:rPr>
              <w:t>†</w:t>
            </w:r>
          </w:p>
        </w:tc>
        <w:tc>
          <w:tcPr>
            <w:tcW w:w="972" w:type="pct"/>
            <w:shd w:val="clear" w:color="auto" w:fill="FFFFFF"/>
            <w:tcMar>
              <w:left w:w="20" w:type="dxa"/>
              <w:right w:w="20" w:type="dxa"/>
            </w:tcMar>
            <w:vAlign w:val="center"/>
          </w:tcPr>
          <w:p w14:paraId="5466E3BD" w14:textId="77777777" w:rsidR="00087D58" w:rsidRPr="00CC5C41" w:rsidRDefault="00087D58" w:rsidP="00087D58">
            <w:pPr>
              <w:pStyle w:val="TableCellLeft"/>
              <w:keepNext/>
              <w:jc w:val="center"/>
              <w:rPr>
                <w:szCs w:val="20"/>
              </w:rPr>
            </w:pPr>
            <w:r w:rsidRPr="00CC5C41">
              <w:rPr>
                <w:szCs w:val="20"/>
              </w:rPr>
              <w:t>6 (7.5)</w:t>
            </w:r>
          </w:p>
        </w:tc>
        <w:tc>
          <w:tcPr>
            <w:tcW w:w="1460" w:type="pct"/>
            <w:shd w:val="clear" w:color="auto" w:fill="FFFFFF"/>
            <w:tcMar>
              <w:left w:w="20" w:type="dxa"/>
              <w:right w:w="20" w:type="dxa"/>
            </w:tcMar>
            <w:vAlign w:val="center"/>
          </w:tcPr>
          <w:p w14:paraId="0A3BB26A" w14:textId="77777777" w:rsidR="00087D58" w:rsidRPr="00CC5C41" w:rsidRDefault="00087D58" w:rsidP="00087D58">
            <w:pPr>
              <w:pStyle w:val="TableCellLeft"/>
              <w:keepNext/>
              <w:jc w:val="center"/>
              <w:rPr>
                <w:szCs w:val="20"/>
              </w:rPr>
            </w:pPr>
            <w:r w:rsidRPr="00CC5C41">
              <w:rPr>
                <w:szCs w:val="20"/>
              </w:rPr>
              <w:t>(2.8, 15.6)</w:t>
            </w:r>
          </w:p>
        </w:tc>
      </w:tr>
      <w:tr w:rsidR="00087D58" w:rsidRPr="00CC5C41" w14:paraId="0B22550A" w14:textId="77777777" w:rsidTr="00087D58">
        <w:trPr>
          <w:cantSplit/>
        </w:trPr>
        <w:tc>
          <w:tcPr>
            <w:tcW w:w="2568" w:type="pct"/>
            <w:shd w:val="clear" w:color="auto" w:fill="FFFFFF"/>
            <w:tcMar>
              <w:left w:w="20" w:type="dxa"/>
              <w:right w:w="20" w:type="dxa"/>
            </w:tcMar>
            <w:vAlign w:val="center"/>
          </w:tcPr>
          <w:p w14:paraId="1B99BC9E" w14:textId="77777777" w:rsidR="00087D58" w:rsidRPr="00CC5C41" w:rsidRDefault="00087D58" w:rsidP="00087D58">
            <w:pPr>
              <w:pStyle w:val="TableCellLeft"/>
              <w:keepNext/>
              <w:ind w:left="57"/>
              <w:rPr>
                <w:szCs w:val="20"/>
              </w:rPr>
            </w:pPr>
            <w:r w:rsidRPr="00CC5C41">
              <w:rPr>
                <w:szCs w:val="20"/>
              </w:rPr>
              <w:t>Overall Response (OR)</w:t>
            </w:r>
            <w:r w:rsidRPr="00CC5C41">
              <w:rPr>
                <w:szCs w:val="20"/>
                <w:vertAlign w:val="superscript"/>
              </w:rPr>
              <w:t xml:space="preserve"> ‡</w:t>
            </w:r>
          </w:p>
        </w:tc>
        <w:tc>
          <w:tcPr>
            <w:tcW w:w="972" w:type="pct"/>
            <w:shd w:val="clear" w:color="auto" w:fill="FFFFFF"/>
            <w:tcMar>
              <w:left w:w="20" w:type="dxa"/>
              <w:right w:w="20" w:type="dxa"/>
            </w:tcMar>
            <w:vAlign w:val="center"/>
          </w:tcPr>
          <w:p w14:paraId="73E5C573" w14:textId="77777777" w:rsidR="00087D58" w:rsidRPr="00CC5C41" w:rsidRDefault="00087D58" w:rsidP="00087D58">
            <w:pPr>
              <w:pStyle w:val="TableCellLeft"/>
              <w:keepNext/>
              <w:jc w:val="center"/>
              <w:rPr>
                <w:szCs w:val="20"/>
              </w:rPr>
            </w:pPr>
            <w:r w:rsidRPr="00CC5C41">
              <w:rPr>
                <w:szCs w:val="20"/>
              </w:rPr>
              <w:t>48 (60.0)</w:t>
            </w:r>
          </w:p>
        </w:tc>
        <w:tc>
          <w:tcPr>
            <w:tcW w:w="1460" w:type="pct"/>
            <w:shd w:val="clear" w:color="auto" w:fill="FFFFFF"/>
            <w:tcMar>
              <w:left w:w="20" w:type="dxa"/>
              <w:right w:w="20" w:type="dxa"/>
            </w:tcMar>
            <w:vAlign w:val="center"/>
          </w:tcPr>
          <w:p w14:paraId="50D4B4A1" w14:textId="77777777" w:rsidR="00087D58" w:rsidRPr="00CC5C41" w:rsidRDefault="00087D58" w:rsidP="00087D58">
            <w:pPr>
              <w:pStyle w:val="TableCellLeft"/>
              <w:keepNext/>
              <w:jc w:val="center"/>
              <w:rPr>
                <w:szCs w:val="20"/>
              </w:rPr>
            </w:pPr>
            <w:r w:rsidRPr="00CC5C41">
              <w:rPr>
                <w:szCs w:val="20"/>
              </w:rPr>
              <w:t>(48.4, 70.8)</w:t>
            </w:r>
          </w:p>
        </w:tc>
      </w:tr>
      <w:tr w:rsidR="00087D58" w:rsidRPr="00CC5C41" w14:paraId="29EECB86" w14:textId="77777777" w:rsidTr="00087D58">
        <w:trPr>
          <w:cantSplit/>
        </w:trPr>
        <w:tc>
          <w:tcPr>
            <w:tcW w:w="2568" w:type="pct"/>
            <w:shd w:val="clear" w:color="auto" w:fill="FFFFFF"/>
            <w:tcMar>
              <w:left w:w="20" w:type="dxa"/>
              <w:right w:w="20" w:type="dxa"/>
            </w:tcMar>
            <w:vAlign w:val="center"/>
          </w:tcPr>
          <w:p w14:paraId="3F251E39" w14:textId="77777777" w:rsidR="00087D58" w:rsidRPr="00CC5C41" w:rsidRDefault="00087D58" w:rsidP="00087D58">
            <w:pPr>
              <w:pStyle w:val="TableCellLeft"/>
              <w:keepNext/>
              <w:ind w:left="57"/>
              <w:rPr>
                <w:szCs w:val="20"/>
              </w:rPr>
            </w:pPr>
            <w:r w:rsidRPr="00CC5C41">
              <w:rPr>
                <w:szCs w:val="20"/>
              </w:rPr>
              <w:t>Median time to AML or death (months)</w:t>
            </w:r>
          </w:p>
        </w:tc>
        <w:tc>
          <w:tcPr>
            <w:tcW w:w="972" w:type="pct"/>
            <w:shd w:val="clear" w:color="auto" w:fill="FFFFFF"/>
            <w:tcMar>
              <w:left w:w="20" w:type="dxa"/>
              <w:right w:w="20" w:type="dxa"/>
            </w:tcMar>
            <w:vAlign w:val="center"/>
          </w:tcPr>
          <w:p w14:paraId="0E055663" w14:textId="77777777" w:rsidR="00087D58" w:rsidRPr="00CC5C41" w:rsidRDefault="00087D58" w:rsidP="00087D58">
            <w:pPr>
              <w:pStyle w:val="TableCellLeft"/>
              <w:keepNext/>
              <w:jc w:val="center"/>
              <w:rPr>
                <w:szCs w:val="20"/>
              </w:rPr>
            </w:pPr>
            <w:r w:rsidRPr="00CC5C41">
              <w:rPr>
                <w:szCs w:val="20"/>
              </w:rPr>
              <w:t>12.1</w:t>
            </w:r>
          </w:p>
        </w:tc>
        <w:tc>
          <w:tcPr>
            <w:tcW w:w="1460" w:type="pct"/>
            <w:shd w:val="clear" w:color="auto" w:fill="FFFFFF"/>
            <w:tcMar>
              <w:left w:w="20" w:type="dxa"/>
              <w:right w:w="20" w:type="dxa"/>
            </w:tcMar>
            <w:vAlign w:val="center"/>
          </w:tcPr>
          <w:p w14:paraId="7DCFDA18" w14:textId="77777777" w:rsidR="00087D58" w:rsidRPr="00CC5C41" w:rsidRDefault="00087D58" w:rsidP="00087D58">
            <w:pPr>
              <w:pStyle w:val="TableCellLeft"/>
              <w:keepNext/>
              <w:jc w:val="center"/>
              <w:rPr>
                <w:szCs w:val="20"/>
              </w:rPr>
            </w:pPr>
            <w:r w:rsidRPr="00CC5C41">
              <w:rPr>
                <w:szCs w:val="20"/>
              </w:rPr>
              <w:t>(10.2, 21.5)</w:t>
            </w:r>
          </w:p>
        </w:tc>
      </w:tr>
      <w:tr w:rsidR="00087D58" w:rsidRPr="00CC5C41" w14:paraId="1BBFF888" w14:textId="77777777" w:rsidTr="00087D58">
        <w:trPr>
          <w:cantSplit/>
        </w:trPr>
        <w:tc>
          <w:tcPr>
            <w:tcW w:w="2568" w:type="pct"/>
            <w:shd w:val="clear" w:color="auto" w:fill="FFFFFF"/>
            <w:tcMar>
              <w:left w:w="20" w:type="dxa"/>
              <w:right w:w="20" w:type="dxa"/>
            </w:tcMar>
            <w:vAlign w:val="center"/>
          </w:tcPr>
          <w:p w14:paraId="49029072" w14:textId="77777777" w:rsidR="00087D58" w:rsidRPr="00CC5C41" w:rsidRDefault="00087D58" w:rsidP="00087D58">
            <w:pPr>
              <w:pStyle w:val="TableCellLeft"/>
              <w:keepNext/>
              <w:ind w:left="57"/>
              <w:rPr>
                <w:szCs w:val="20"/>
              </w:rPr>
            </w:pPr>
            <w:r w:rsidRPr="00CC5C41">
              <w:rPr>
                <w:szCs w:val="20"/>
              </w:rPr>
              <w:t>Median Overall Survival (OS) (months)</w:t>
            </w:r>
          </w:p>
        </w:tc>
        <w:tc>
          <w:tcPr>
            <w:tcW w:w="972" w:type="pct"/>
            <w:shd w:val="clear" w:color="auto" w:fill="FFFFFF"/>
            <w:tcMar>
              <w:left w:w="20" w:type="dxa"/>
              <w:right w:w="20" w:type="dxa"/>
            </w:tcMar>
            <w:vAlign w:val="center"/>
          </w:tcPr>
          <w:p w14:paraId="026C4B2C" w14:textId="77777777" w:rsidR="00087D58" w:rsidRPr="00CC5C41" w:rsidRDefault="00087D58" w:rsidP="00087D58">
            <w:pPr>
              <w:pStyle w:val="TableCellLeft"/>
              <w:keepNext/>
              <w:jc w:val="center"/>
              <w:rPr>
                <w:szCs w:val="20"/>
              </w:rPr>
            </w:pPr>
            <w:r w:rsidRPr="00CC5C41">
              <w:rPr>
                <w:szCs w:val="20"/>
              </w:rPr>
              <w:t>18.3</w:t>
            </w:r>
          </w:p>
        </w:tc>
        <w:tc>
          <w:tcPr>
            <w:tcW w:w="1460" w:type="pct"/>
            <w:shd w:val="clear" w:color="auto" w:fill="FFFFFF"/>
            <w:tcMar>
              <w:left w:w="20" w:type="dxa"/>
              <w:right w:w="20" w:type="dxa"/>
            </w:tcMar>
            <w:vAlign w:val="center"/>
          </w:tcPr>
          <w:p w14:paraId="0F8C7DBA" w14:textId="77777777" w:rsidR="00087D58" w:rsidRPr="00CC5C41" w:rsidRDefault="00087D58" w:rsidP="00087D58">
            <w:pPr>
              <w:pStyle w:val="TableCellLeft"/>
              <w:keepNext/>
              <w:jc w:val="center"/>
              <w:rPr>
                <w:szCs w:val="20"/>
              </w:rPr>
            </w:pPr>
            <w:r w:rsidRPr="00CC5C41">
              <w:rPr>
                <w:szCs w:val="20"/>
              </w:rPr>
              <w:t>(13.1, not estimable)</w:t>
            </w:r>
          </w:p>
        </w:tc>
      </w:tr>
      <w:tr w:rsidR="00087D58" w:rsidRPr="00CC5C41" w14:paraId="6AF68C66" w14:textId="77777777" w:rsidTr="00087D58">
        <w:trPr>
          <w:cantSplit/>
        </w:trPr>
        <w:tc>
          <w:tcPr>
            <w:tcW w:w="2568" w:type="pct"/>
            <w:tcBorders>
              <w:bottom w:val="single" w:sz="4" w:space="0" w:color="auto"/>
            </w:tcBorders>
            <w:shd w:val="clear" w:color="auto" w:fill="FFFFFF"/>
            <w:tcMar>
              <w:left w:w="20" w:type="dxa"/>
              <w:right w:w="20" w:type="dxa"/>
            </w:tcMar>
            <w:vAlign w:val="center"/>
          </w:tcPr>
          <w:p w14:paraId="2EAE271D" w14:textId="77777777" w:rsidR="00087D58" w:rsidRPr="00CC5C41" w:rsidRDefault="00087D58" w:rsidP="00087D58">
            <w:pPr>
              <w:pStyle w:val="TableCellLeft"/>
              <w:keepNext/>
              <w:ind w:left="57"/>
              <w:rPr>
                <w:szCs w:val="20"/>
              </w:rPr>
            </w:pPr>
            <w:r w:rsidRPr="00CC5C41">
              <w:rPr>
                <w:szCs w:val="20"/>
              </w:rPr>
              <w:t>Post-treatment RBC transfusion independence</w:t>
            </w:r>
            <w:r w:rsidRPr="00CC5C41">
              <w:rPr>
                <w:szCs w:val="20"/>
                <w:vertAlign w:val="superscript"/>
              </w:rPr>
              <w:t>§</w:t>
            </w:r>
          </w:p>
        </w:tc>
        <w:tc>
          <w:tcPr>
            <w:tcW w:w="972" w:type="pct"/>
            <w:tcBorders>
              <w:bottom w:val="single" w:sz="4" w:space="0" w:color="auto"/>
            </w:tcBorders>
            <w:shd w:val="clear" w:color="auto" w:fill="FFFFFF"/>
            <w:tcMar>
              <w:left w:w="20" w:type="dxa"/>
              <w:right w:w="20" w:type="dxa"/>
            </w:tcMar>
            <w:vAlign w:val="center"/>
          </w:tcPr>
          <w:p w14:paraId="6A1F55BB" w14:textId="77777777" w:rsidR="00087D58" w:rsidRPr="00CC5C41" w:rsidRDefault="00087D58" w:rsidP="00087D58">
            <w:pPr>
              <w:pStyle w:val="TableCellLeft"/>
              <w:keepNext/>
              <w:jc w:val="center"/>
              <w:rPr>
                <w:szCs w:val="20"/>
              </w:rPr>
            </w:pPr>
            <w:r w:rsidRPr="00CC5C41">
              <w:rPr>
                <w:szCs w:val="20"/>
              </w:rPr>
              <w:t>19/38 (50)</w:t>
            </w:r>
          </w:p>
        </w:tc>
        <w:tc>
          <w:tcPr>
            <w:tcW w:w="1460" w:type="pct"/>
            <w:tcBorders>
              <w:bottom w:val="single" w:sz="4" w:space="0" w:color="auto"/>
            </w:tcBorders>
            <w:shd w:val="clear" w:color="auto" w:fill="FFFFFF"/>
            <w:tcMar>
              <w:left w:w="20" w:type="dxa"/>
              <w:right w:w="20" w:type="dxa"/>
            </w:tcMar>
            <w:vAlign w:val="center"/>
          </w:tcPr>
          <w:p w14:paraId="4F28CABD" w14:textId="77777777" w:rsidR="00087D58" w:rsidRPr="00CC5C41" w:rsidRDefault="00087D58" w:rsidP="00087D58">
            <w:pPr>
              <w:pStyle w:val="TableCellLeft"/>
              <w:keepNext/>
              <w:jc w:val="center"/>
              <w:rPr>
                <w:szCs w:val="20"/>
              </w:rPr>
            </w:pPr>
            <w:r w:rsidRPr="00CC5C41">
              <w:rPr>
                <w:szCs w:val="20"/>
              </w:rPr>
              <w:t>(33.4, 66.6)</w:t>
            </w:r>
          </w:p>
        </w:tc>
      </w:tr>
      <w:tr w:rsidR="00087D58" w:rsidRPr="00CC5C41" w14:paraId="59E96AA5" w14:textId="77777777" w:rsidTr="00087D58">
        <w:trPr>
          <w:cantSplit/>
        </w:trPr>
        <w:tc>
          <w:tcPr>
            <w:tcW w:w="2568" w:type="pct"/>
            <w:tcBorders>
              <w:bottom w:val="single" w:sz="4" w:space="0" w:color="auto"/>
            </w:tcBorders>
            <w:shd w:val="clear" w:color="auto" w:fill="FFFFFF"/>
            <w:tcMar>
              <w:left w:w="20" w:type="dxa"/>
              <w:right w:w="20" w:type="dxa"/>
            </w:tcMar>
            <w:vAlign w:val="center"/>
          </w:tcPr>
          <w:p w14:paraId="0F7519CC" w14:textId="77777777" w:rsidR="00087D58" w:rsidRPr="00CC5C41" w:rsidRDefault="00087D58" w:rsidP="00087D58">
            <w:pPr>
              <w:pStyle w:val="TableCellLeft"/>
              <w:keepNext/>
              <w:ind w:left="57"/>
              <w:rPr>
                <w:szCs w:val="20"/>
              </w:rPr>
            </w:pPr>
            <w:r w:rsidRPr="00CC5C41">
              <w:rPr>
                <w:szCs w:val="20"/>
              </w:rPr>
              <w:t>Post-treatment platelet transfusion independence</w:t>
            </w:r>
            <w:r w:rsidRPr="00CC5C41">
              <w:rPr>
                <w:szCs w:val="20"/>
                <w:vertAlign w:val="superscript"/>
              </w:rPr>
              <w:t>§</w:t>
            </w:r>
          </w:p>
        </w:tc>
        <w:tc>
          <w:tcPr>
            <w:tcW w:w="972" w:type="pct"/>
            <w:tcBorders>
              <w:bottom w:val="single" w:sz="4" w:space="0" w:color="auto"/>
            </w:tcBorders>
            <w:shd w:val="clear" w:color="auto" w:fill="FFFFFF"/>
            <w:tcMar>
              <w:left w:w="20" w:type="dxa"/>
              <w:right w:w="20" w:type="dxa"/>
            </w:tcMar>
            <w:vAlign w:val="center"/>
          </w:tcPr>
          <w:p w14:paraId="1A6B5A96" w14:textId="77777777" w:rsidR="00087D58" w:rsidRPr="00CC5C41" w:rsidRDefault="00087D58" w:rsidP="00087D58">
            <w:pPr>
              <w:pStyle w:val="TableCellLeft"/>
              <w:keepNext/>
              <w:jc w:val="center"/>
              <w:rPr>
                <w:szCs w:val="20"/>
              </w:rPr>
            </w:pPr>
            <w:r w:rsidRPr="00CC5C41">
              <w:rPr>
                <w:szCs w:val="20"/>
              </w:rPr>
              <w:t>6/12 (50)</w:t>
            </w:r>
          </w:p>
        </w:tc>
        <w:tc>
          <w:tcPr>
            <w:tcW w:w="1460" w:type="pct"/>
            <w:tcBorders>
              <w:bottom w:val="single" w:sz="4" w:space="0" w:color="auto"/>
            </w:tcBorders>
            <w:shd w:val="clear" w:color="auto" w:fill="FFFFFF"/>
            <w:tcMar>
              <w:left w:w="20" w:type="dxa"/>
              <w:right w:w="20" w:type="dxa"/>
            </w:tcMar>
            <w:vAlign w:val="center"/>
          </w:tcPr>
          <w:p w14:paraId="237EFE2B" w14:textId="77777777" w:rsidR="00087D58" w:rsidRPr="00CC5C41" w:rsidRDefault="00087D58" w:rsidP="00087D58">
            <w:pPr>
              <w:pStyle w:val="TableCellLeft"/>
              <w:keepNext/>
              <w:jc w:val="center"/>
              <w:rPr>
                <w:szCs w:val="20"/>
              </w:rPr>
            </w:pPr>
            <w:r w:rsidRPr="00CC5C41">
              <w:rPr>
                <w:szCs w:val="20"/>
              </w:rPr>
              <w:t>(21.2, 78.9)</w:t>
            </w:r>
          </w:p>
        </w:tc>
      </w:tr>
      <w:tr w:rsidR="00087D58" w:rsidRPr="00CC5C41" w14:paraId="5138F9DF" w14:textId="77777777" w:rsidTr="00087D58">
        <w:trPr>
          <w:cantSplit/>
        </w:trPr>
        <w:tc>
          <w:tcPr>
            <w:tcW w:w="5000" w:type="pct"/>
            <w:gridSpan w:val="3"/>
            <w:tcBorders>
              <w:top w:val="single" w:sz="4" w:space="0" w:color="auto"/>
              <w:left w:val="nil"/>
              <w:bottom w:val="nil"/>
              <w:right w:val="nil"/>
            </w:tcBorders>
            <w:shd w:val="clear" w:color="auto" w:fill="FFFFFF"/>
            <w:tcMar>
              <w:left w:w="20" w:type="dxa"/>
              <w:right w:w="20" w:type="dxa"/>
            </w:tcMar>
            <w:vAlign w:val="center"/>
          </w:tcPr>
          <w:p w14:paraId="112B9D29" w14:textId="19EF73C1" w:rsidR="00087D58" w:rsidRPr="00087D58" w:rsidRDefault="00087D58" w:rsidP="00087D58">
            <w:pPr>
              <w:spacing w:before="120"/>
              <w:rPr>
                <w:sz w:val="20"/>
                <w:szCs w:val="20"/>
              </w:rPr>
            </w:pPr>
            <w:r w:rsidRPr="00F656BD">
              <w:rPr>
                <w:sz w:val="20"/>
                <w:vertAlign w:val="superscript"/>
              </w:rPr>
              <w:t>*</w:t>
            </w:r>
            <w:r w:rsidRPr="00CC5C41">
              <w:rPr>
                <w:sz w:val="20"/>
                <w:szCs w:val="20"/>
              </w:rPr>
              <w:t xml:space="preserve"> From start of CR until relapse, </w:t>
            </w:r>
            <w:r w:rsidRPr="00F656BD">
              <w:rPr>
                <w:sz w:val="20"/>
                <w:vertAlign w:val="superscript"/>
              </w:rPr>
              <w:t>†</w:t>
            </w:r>
            <w:r w:rsidRPr="00CC5C41">
              <w:rPr>
                <w:sz w:val="20"/>
                <w:szCs w:val="20"/>
              </w:rPr>
              <w:t xml:space="preserve"> Patients with Marrow CR who also achieved </w:t>
            </w:r>
            <w:proofErr w:type="spellStart"/>
            <w:r w:rsidRPr="00CC5C41">
              <w:rPr>
                <w:sz w:val="20"/>
                <w:szCs w:val="20"/>
              </w:rPr>
              <w:t>H</w:t>
            </w:r>
            <w:r w:rsidR="00BD23C4">
              <w:rPr>
                <w:sz w:val="20"/>
                <w:szCs w:val="20"/>
              </w:rPr>
              <w:t>a</w:t>
            </w:r>
            <w:r w:rsidRPr="00CC5C41">
              <w:rPr>
                <w:sz w:val="20"/>
                <w:szCs w:val="20"/>
              </w:rPr>
              <w:t>ematologic</w:t>
            </w:r>
            <w:proofErr w:type="spellEnd"/>
            <w:r w:rsidRPr="00CC5C41">
              <w:rPr>
                <w:sz w:val="20"/>
                <w:szCs w:val="20"/>
              </w:rPr>
              <w:t xml:space="preserve"> Improvement, </w:t>
            </w:r>
            <w:r w:rsidRPr="00F656BD">
              <w:rPr>
                <w:sz w:val="20"/>
                <w:vertAlign w:val="superscript"/>
              </w:rPr>
              <w:t>‡</w:t>
            </w:r>
            <w:r>
              <w:rPr>
                <w:sz w:val="20"/>
                <w:szCs w:val="20"/>
              </w:rPr>
              <w:t> </w:t>
            </w:r>
            <w:r w:rsidRPr="00CC5C41">
              <w:rPr>
                <w:sz w:val="20"/>
                <w:szCs w:val="20"/>
              </w:rPr>
              <w:t xml:space="preserve">OR included patients with a best response of CR, Partial Response (PR), Marrow CR, or </w:t>
            </w:r>
            <w:proofErr w:type="spellStart"/>
            <w:r w:rsidRPr="00CC5C41">
              <w:rPr>
                <w:sz w:val="20"/>
                <w:szCs w:val="20"/>
              </w:rPr>
              <w:t>H</w:t>
            </w:r>
            <w:r w:rsidR="00BD23C4">
              <w:rPr>
                <w:sz w:val="20"/>
                <w:szCs w:val="20"/>
              </w:rPr>
              <w:t>a</w:t>
            </w:r>
            <w:r w:rsidRPr="00CC5C41">
              <w:rPr>
                <w:sz w:val="20"/>
                <w:szCs w:val="20"/>
              </w:rPr>
              <w:t>ematologic</w:t>
            </w:r>
            <w:proofErr w:type="spellEnd"/>
            <w:r w:rsidRPr="00CC5C41">
              <w:rPr>
                <w:sz w:val="20"/>
                <w:szCs w:val="20"/>
              </w:rPr>
              <w:t xml:space="preserve"> Improvement, </w:t>
            </w:r>
            <w:r w:rsidRPr="00F656BD">
              <w:rPr>
                <w:sz w:val="20"/>
                <w:vertAlign w:val="superscript"/>
              </w:rPr>
              <w:t>§</w:t>
            </w:r>
            <w:r w:rsidRPr="00CC5C41">
              <w:rPr>
                <w:sz w:val="20"/>
                <w:szCs w:val="20"/>
              </w:rPr>
              <w:t xml:space="preserve"> No transfusion for at least 56 consecutive days post-treatment in patients who were transfusion-dependent at baseline. RBC = Red blood cell</w:t>
            </w:r>
          </w:p>
        </w:tc>
      </w:tr>
    </w:tbl>
    <w:p w14:paraId="54DCC36A" w14:textId="0D293608" w:rsidR="00F127BB" w:rsidRPr="00703488" w:rsidRDefault="00F127BB" w:rsidP="00CC5C41">
      <w:pPr>
        <w:pStyle w:val="Heading4"/>
      </w:pPr>
      <w:r w:rsidRPr="00703488">
        <w:t>Study ASTX727-02 (Phase 3)</w:t>
      </w:r>
    </w:p>
    <w:p w14:paraId="34419213" w14:textId="37AC87C4" w:rsidR="00F127BB" w:rsidRPr="00703488" w:rsidRDefault="00C30787" w:rsidP="004D3A7C">
      <w:r>
        <w:t xml:space="preserve">INQOVI </w:t>
      </w:r>
      <w:r w:rsidR="00E24D02">
        <w:t>35</w:t>
      </w:r>
      <w:r>
        <w:t>/</w:t>
      </w:r>
      <w:r w:rsidR="00E24D02">
        <w:t>100</w:t>
      </w:r>
      <w:r w:rsidR="00F127BB" w:rsidRPr="00703488">
        <w:t xml:space="preserve"> was evaluated in an open-label, </w:t>
      </w:r>
      <w:proofErr w:type="spellStart"/>
      <w:r>
        <w:t>randomised</w:t>
      </w:r>
      <w:proofErr w:type="spellEnd"/>
      <w:r w:rsidR="00F127BB" w:rsidRPr="00703488">
        <w:t>, 2-cycle, 2-sequence crossover with IV decitabine study f</w:t>
      </w:r>
      <w:r w:rsidR="00F127BB" w:rsidRPr="00703488">
        <w:rPr>
          <w:rFonts w:eastAsia="Calibri"/>
        </w:rPr>
        <w:t xml:space="preserve">ollowed by a single-arm </w:t>
      </w:r>
      <w:r>
        <w:rPr>
          <w:rFonts w:eastAsia="Calibri"/>
        </w:rPr>
        <w:t xml:space="preserve">INQOVI </w:t>
      </w:r>
      <w:r w:rsidR="00E24D02">
        <w:rPr>
          <w:rFonts w:eastAsia="Calibri"/>
        </w:rPr>
        <w:t>35</w:t>
      </w:r>
      <w:r>
        <w:rPr>
          <w:rFonts w:eastAsia="Calibri"/>
        </w:rPr>
        <w:t>/</w:t>
      </w:r>
      <w:r w:rsidR="00E24D02">
        <w:rPr>
          <w:rFonts w:eastAsia="Calibri"/>
        </w:rPr>
        <w:t>100</w:t>
      </w:r>
      <w:r w:rsidR="00F127BB" w:rsidRPr="00703488">
        <w:rPr>
          <w:rFonts w:eastAsia="Calibri"/>
        </w:rPr>
        <w:t xml:space="preserve"> treatment study</w:t>
      </w:r>
      <w:r w:rsidR="00F127BB" w:rsidRPr="00703488">
        <w:t xml:space="preserve">. The study was conducted </w:t>
      </w:r>
      <w:r w:rsidR="00F127BB" w:rsidRPr="00703488">
        <w:rPr>
          <w:rFonts w:eastAsia="Calibri"/>
        </w:rPr>
        <w:t>in 133 patients with MDS (</w:t>
      </w:r>
      <w:r w:rsidR="00F127BB" w:rsidRPr="00703488">
        <w:t xml:space="preserve">IPSS Intermediate-1, Intermediate-2, or high-risk), and </w:t>
      </w:r>
      <w:r w:rsidR="00F127BB" w:rsidRPr="00703488">
        <w:rPr>
          <w:rFonts w:eastAsia="Calibri"/>
        </w:rPr>
        <w:t>CMML.</w:t>
      </w:r>
      <w:r w:rsidR="002D2E9D">
        <w:rPr>
          <w:rStyle w:val="CommentReference"/>
          <w:rFonts w:ascii="Cambria" w:hAnsi="Cambria"/>
        </w:rPr>
        <w:t xml:space="preserve"> </w:t>
      </w:r>
      <w:r w:rsidR="00F127BB" w:rsidRPr="00703488">
        <w:rPr>
          <w:rFonts w:eastAsia="Calibri"/>
          <w:color w:val="0000FF"/>
        </w:rPr>
        <w:t xml:space="preserve"> </w:t>
      </w:r>
      <w:r w:rsidR="00F127BB" w:rsidRPr="00703488">
        <w:t xml:space="preserve">Patients were </w:t>
      </w:r>
      <w:proofErr w:type="spellStart"/>
      <w:r>
        <w:t>randomised</w:t>
      </w:r>
      <w:proofErr w:type="spellEnd"/>
      <w:r w:rsidR="00F127BB" w:rsidRPr="00703488">
        <w:t xml:space="preserve"> 1:1 to receive </w:t>
      </w:r>
      <w:r>
        <w:t xml:space="preserve">INQOVI </w:t>
      </w:r>
      <w:r w:rsidR="00E24D02">
        <w:t>35</w:t>
      </w:r>
      <w:r>
        <w:t>/</w:t>
      </w:r>
      <w:r w:rsidR="00E24D02">
        <w:t>100</w:t>
      </w:r>
      <w:r w:rsidR="00F127BB" w:rsidRPr="00703488">
        <w:t xml:space="preserve"> in Cycle 1 and IV decitabine (20</w:t>
      </w:r>
      <w:r w:rsidR="00087D58">
        <w:t> </w:t>
      </w:r>
      <w:r w:rsidR="00F127BB" w:rsidRPr="00703488">
        <w:t>mg/m</w:t>
      </w:r>
      <w:r w:rsidR="00F127BB" w:rsidRPr="00703488">
        <w:rPr>
          <w:vertAlign w:val="superscript"/>
        </w:rPr>
        <w:t>2</w:t>
      </w:r>
      <w:r w:rsidR="00F127BB" w:rsidRPr="00703488">
        <w:t>) in Cycle 2 or the reverse sequence.</w:t>
      </w:r>
      <w:r w:rsidR="002D2E9D">
        <w:rPr>
          <w:rStyle w:val="CommentReference"/>
          <w:rFonts w:ascii="Cambria" w:hAnsi="Cambria"/>
        </w:rPr>
        <w:t xml:space="preserve"> </w:t>
      </w:r>
      <w:r w:rsidR="00F127BB" w:rsidRPr="00703488">
        <w:t xml:space="preserve"> Both </w:t>
      </w:r>
      <w:r>
        <w:t xml:space="preserve">INQOVI </w:t>
      </w:r>
      <w:r w:rsidR="00E24D02">
        <w:t>35</w:t>
      </w:r>
      <w:r>
        <w:t>/</w:t>
      </w:r>
      <w:r w:rsidR="00E24D02">
        <w:t>100</w:t>
      </w:r>
      <w:r w:rsidR="00F127BB" w:rsidRPr="00703488">
        <w:t xml:space="preserve"> and IV decitabine were dosed once daily for 5 days in each 28-day cycle. All patients received </w:t>
      </w:r>
      <w:r>
        <w:t xml:space="preserve">INQOVI </w:t>
      </w:r>
      <w:r w:rsidR="00E24D02">
        <w:t>35</w:t>
      </w:r>
      <w:r>
        <w:t>/</w:t>
      </w:r>
      <w:r w:rsidR="00E24D02">
        <w:t>100</w:t>
      </w:r>
      <w:r w:rsidR="00F127BB" w:rsidRPr="00703488">
        <w:t xml:space="preserve"> after Cycle 2 and treatment continued until disease progression, death, or unacceptable toxicity.</w:t>
      </w:r>
      <w:r w:rsidR="002D2E9D">
        <w:rPr>
          <w:rStyle w:val="CommentReference"/>
          <w:rFonts w:ascii="Cambria" w:hAnsi="Cambria"/>
        </w:rPr>
        <w:t xml:space="preserve"> </w:t>
      </w:r>
    </w:p>
    <w:p w14:paraId="25625F5A" w14:textId="181C6D3C" w:rsidR="00F127BB" w:rsidRPr="004F293D" w:rsidRDefault="00F127BB" w:rsidP="004D3A7C">
      <w:r w:rsidRPr="004F293D">
        <w:t xml:space="preserve">The primary outcome measure of this study was decitabine 5-day AUC between </w:t>
      </w:r>
      <w:r w:rsidR="00C30787">
        <w:t xml:space="preserve">INQOVI </w:t>
      </w:r>
      <w:r w:rsidR="00E24D02">
        <w:t>35</w:t>
      </w:r>
      <w:r w:rsidR="00C30787">
        <w:t>/</w:t>
      </w:r>
      <w:r w:rsidR="00E24D02">
        <w:t>100</w:t>
      </w:r>
      <w:r w:rsidRPr="004F293D">
        <w:t xml:space="preserve"> and IV decitabine</w:t>
      </w:r>
      <w:r w:rsidRPr="004F293D">
        <w:rPr>
          <w:i/>
          <w:iCs/>
        </w:rPr>
        <w:t>.</w:t>
      </w:r>
      <w:bookmarkStart w:id="36" w:name="_Hlk21530445"/>
      <w:r w:rsidRPr="004F293D">
        <w:t xml:space="preserve"> </w:t>
      </w:r>
      <w:r w:rsidR="00C30787">
        <w:t xml:space="preserve">INQOVI </w:t>
      </w:r>
      <w:r w:rsidR="00E24D02">
        <w:t>35</w:t>
      </w:r>
      <w:r w:rsidR="00C30787">
        <w:t>/</w:t>
      </w:r>
      <w:r w:rsidR="00E24D02">
        <w:t>100</w:t>
      </w:r>
      <w:r w:rsidRPr="004F293D">
        <w:t xml:space="preserve"> achieved decitabine AUC exposures equivalent to IV infusion of decitabine at 20 mg/m</w:t>
      </w:r>
      <w:r w:rsidRPr="004F293D">
        <w:rPr>
          <w:vertAlign w:val="superscript"/>
        </w:rPr>
        <w:t xml:space="preserve">2 </w:t>
      </w:r>
      <w:r w:rsidRPr="004F293D">
        <w:t>(</w:t>
      </w:r>
      <w:r w:rsidR="00AC7F80">
        <w:fldChar w:fldCharType="begin"/>
      </w:r>
      <w:r w:rsidR="00AC7F80">
        <w:instrText xml:space="preserve"> REF _Ref26946024 \h </w:instrText>
      </w:r>
      <w:r w:rsidR="00AC7F80">
        <w:fldChar w:fldCharType="separate"/>
      </w:r>
      <w:r w:rsidR="008D55DC" w:rsidRPr="00087D58">
        <w:t xml:space="preserve">Table </w:t>
      </w:r>
      <w:r w:rsidR="008D55DC">
        <w:rPr>
          <w:noProof/>
        </w:rPr>
        <w:t>2</w:t>
      </w:r>
      <w:r w:rsidR="00AC7F80">
        <w:fldChar w:fldCharType="end"/>
      </w:r>
      <w:r w:rsidRPr="004F293D">
        <w:t xml:space="preserve">). </w:t>
      </w:r>
    </w:p>
    <w:p w14:paraId="49F0BE8F" w14:textId="15976211" w:rsidR="00F127BB" w:rsidRPr="00343383" w:rsidRDefault="00087D58" w:rsidP="00087D58">
      <w:pPr>
        <w:pStyle w:val="Caption"/>
      </w:pPr>
      <w:bookmarkStart w:id="37" w:name="_Ref26946024"/>
      <w:bookmarkEnd w:id="36"/>
      <w:r w:rsidRPr="00087D58">
        <w:t xml:space="preserve">Table </w:t>
      </w:r>
      <w:r w:rsidRPr="00087D58">
        <w:fldChar w:fldCharType="begin"/>
      </w:r>
      <w:r w:rsidRPr="00087D58">
        <w:instrText xml:space="preserve"> SEQ Table \* ARABIC </w:instrText>
      </w:r>
      <w:r w:rsidRPr="00087D58">
        <w:fldChar w:fldCharType="separate"/>
      </w:r>
      <w:r w:rsidR="008D55DC">
        <w:rPr>
          <w:noProof/>
        </w:rPr>
        <w:t>2</w:t>
      </w:r>
      <w:r w:rsidRPr="00087D58">
        <w:fldChar w:fldCharType="end"/>
      </w:r>
      <w:bookmarkEnd w:id="37"/>
      <w:r w:rsidRPr="00087D58">
        <w:t xml:space="preserve">: </w:t>
      </w:r>
      <w:r w:rsidR="00F127BB" w:rsidRPr="00087D58">
        <w:t>5-Day Decitabine AUC</w:t>
      </w:r>
      <w:r w:rsidR="00F127BB" w:rsidRPr="00087D58">
        <w:rPr>
          <w:vertAlign w:val="subscript"/>
        </w:rPr>
        <w:t>0-24</w:t>
      </w:r>
      <w:r w:rsidR="00F127BB" w:rsidRPr="00087D58">
        <w:t xml:space="preserve"> Equivalence Assessment</w:t>
      </w:r>
    </w:p>
    <w:tbl>
      <w:tblPr>
        <w:tblStyle w:val="TableGrid1"/>
        <w:tblW w:w="0" w:type="auto"/>
        <w:tblLook w:val="0000" w:firstRow="0" w:lastRow="0" w:firstColumn="0" w:lastColumn="0" w:noHBand="0" w:noVBand="0"/>
      </w:tblPr>
      <w:tblGrid>
        <w:gridCol w:w="2304"/>
        <w:gridCol w:w="1692"/>
        <w:gridCol w:w="1481"/>
        <w:gridCol w:w="1774"/>
        <w:gridCol w:w="1765"/>
      </w:tblGrid>
      <w:tr w:rsidR="00F127BB" w:rsidRPr="00343383" w14:paraId="5D6D596C" w14:textId="77777777" w:rsidTr="00703488">
        <w:trPr>
          <w:trHeight w:val="920"/>
        </w:trPr>
        <w:tc>
          <w:tcPr>
            <w:tcW w:w="2412" w:type="dxa"/>
            <w:vMerge w:val="restart"/>
            <w:vAlign w:val="center"/>
          </w:tcPr>
          <w:p w14:paraId="33CB5D00" w14:textId="77777777" w:rsidR="00F127BB" w:rsidRDefault="00F127BB" w:rsidP="00703488">
            <w:pPr>
              <w:pStyle w:val="TableCellLeft"/>
              <w:keepNext/>
              <w:keepLines/>
              <w:spacing w:after="0"/>
              <w:rPr>
                <w:b/>
                <w:color w:val="000000"/>
              </w:rPr>
            </w:pPr>
            <w:r w:rsidRPr="00473523">
              <w:rPr>
                <w:b/>
              </w:rPr>
              <w:t>5-day AUC</w:t>
            </w:r>
            <w:r w:rsidRPr="00473523">
              <w:rPr>
                <w:b/>
                <w:vertAlign w:val="subscript"/>
              </w:rPr>
              <w:t xml:space="preserve">0-24 </w:t>
            </w:r>
            <w:r w:rsidRPr="00473523">
              <w:rPr>
                <w:b/>
                <w:color w:val="000000"/>
              </w:rPr>
              <w:t>(h*ng/mL)</w:t>
            </w:r>
          </w:p>
          <w:p w14:paraId="1BBB95CE" w14:textId="77777777" w:rsidR="00F127BB" w:rsidRPr="00473523" w:rsidRDefault="00F127BB" w:rsidP="00703488">
            <w:pPr>
              <w:pStyle w:val="TableCellLeft"/>
              <w:keepNext/>
              <w:keepLines/>
              <w:spacing w:after="0"/>
              <w:rPr>
                <w:b/>
                <w:snapToGrid w:val="0"/>
              </w:rPr>
            </w:pPr>
            <w:r>
              <w:rPr>
                <w:b/>
                <w:snapToGrid w:val="0"/>
              </w:rPr>
              <w:t>(N=123)</w:t>
            </w:r>
          </w:p>
        </w:tc>
        <w:tc>
          <w:tcPr>
            <w:tcW w:w="1723" w:type="dxa"/>
            <w:tcBorders>
              <w:bottom w:val="single" w:sz="4" w:space="0" w:color="auto"/>
            </w:tcBorders>
            <w:vAlign w:val="center"/>
          </w:tcPr>
          <w:p w14:paraId="066EBA49" w14:textId="77777777" w:rsidR="00F127BB" w:rsidRPr="00343383" w:rsidRDefault="00F127BB" w:rsidP="00703488">
            <w:pPr>
              <w:pStyle w:val="TableCellCenter2"/>
              <w:keepNext/>
              <w:keepLines/>
              <w:spacing w:after="0"/>
            </w:pPr>
            <w:r w:rsidRPr="00343383">
              <w:t>IV Decitabine</w:t>
            </w:r>
          </w:p>
          <w:p w14:paraId="60ED29B5" w14:textId="77777777" w:rsidR="00F127BB" w:rsidRPr="00343383" w:rsidRDefault="00F127BB" w:rsidP="00703488">
            <w:pPr>
              <w:pStyle w:val="TableCellCenter2"/>
              <w:keepNext/>
              <w:keepLines/>
              <w:spacing w:after="0"/>
            </w:pPr>
            <w:r w:rsidRPr="00343383">
              <w:t>Geo. LSM</w:t>
            </w:r>
          </w:p>
        </w:tc>
        <w:tc>
          <w:tcPr>
            <w:tcW w:w="1510" w:type="dxa"/>
            <w:tcBorders>
              <w:bottom w:val="single" w:sz="4" w:space="0" w:color="auto"/>
            </w:tcBorders>
            <w:vAlign w:val="center"/>
          </w:tcPr>
          <w:p w14:paraId="0565DE86" w14:textId="0801E020" w:rsidR="00F127BB" w:rsidRPr="00343383" w:rsidRDefault="00F127BB" w:rsidP="00703488">
            <w:pPr>
              <w:pStyle w:val="TableCellCenter2"/>
              <w:keepNext/>
              <w:keepLines/>
              <w:spacing w:after="0"/>
            </w:pPr>
            <w:r w:rsidRPr="00343383">
              <w:t xml:space="preserve">Oral </w:t>
            </w:r>
            <w:r w:rsidR="00C30787">
              <w:t xml:space="preserve">INQOVI </w:t>
            </w:r>
            <w:r w:rsidR="00E24D02">
              <w:t>35</w:t>
            </w:r>
            <w:r w:rsidR="00C30787">
              <w:t>/</w:t>
            </w:r>
            <w:r w:rsidR="00E24D02">
              <w:t>100</w:t>
            </w:r>
          </w:p>
          <w:p w14:paraId="30165F05" w14:textId="77777777" w:rsidR="00F127BB" w:rsidRPr="00343383" w:rsidRDefault="00F127BB" w:rsidP="00703488">
            <w:pPr>
              <w:pStyle w:val="TableCellCenter2"/>
              <w:keepNext/>
              <w:keepLines/>
              <w:spacing w:after="0"/>
            </w:pPr>
            <w:r w:rsidRPr="00343383">
              <w:t>Geo. LSM</w:t>
            </w:r>
          </w:p>
        </w:tc>
        <w:tc>
          <w:tcPr>
            <w:tcW w:w="1855" w:type="dxa"/>
            <w:tcBorders>
              <w:bottom w:val="single" w:sz="4" w:space="0" w:color="auto"/>
            </w:tcBorders>
            <w:vAlign w:val="center"/>
          </w:tcPr>
          <w:p w14:paraId="65482053" w14:textId="77777777" w:rsidR="00F127BB" w:rsidRPr="00343383" w:rsidRDefault="00F127BB" w:rsidP="00703488">
            <w:pPr>
              <w:pStyle w:val="TableCellCenter2"/>
              <w:keepNext/>
              <w:keepLines/>
              <w:spacing w:after="0"/>
            </w:pPr>
            <w:r w:rsidRPr="00343383">
              <w:rPr>
                <w:snapToGrid w:val="0"/>
              </w:rPr>
              <w:t xml:space="preserve">Ratio as </w:t>
            </w:r>
            <w:r>
              <w:rPr>
                <w:snapToGrid w:val="0"/>
              </w:rPr>
              <w:t>O</w:t>
            </w:r>
            <w:r w:rsidRPr="00343383">
              <w:rPr>
                <w:snapToGrid w:val="0"/>
              </w:rPr>
              <w:t xml:space="preserve">ral/IV (%) of Geo. LSM </w:t>
            </w:r>
            <w:r w:rsidRPr="00343383">
              <w:rPr>
                <w:snapToGrid w:val="0"/>
              </w:rPr>
              <w:br/>
              <w:t>(90% CI)</w:t>
            </w:r>
          </w:p>
        </w:tc>
        <w:tc>
          <w:tcPr>
            <w:tcW w:w="1850" w:type="dxa"/>
            <w:tcBorders>
              <w:bottom w:val="single" w:sz="4" w:space="0" w:color="auto"/>
            </w:tcBorders>
            <w:vAlign w:val="center"/>
          </w:tcPr>
          <w:p w14:paraId="1B0D045E" w14:textId="77777777" w:rsidR="00F127BB" w:rsidRPr="00343383" w:rsidRDefault="00F127BB" w:rsidP="00703488">
            <w:pPr>
              <w:pStyle w:val="TableCellCenter2"/>
              <w:keepNext/>
              <w:keepLines/>
              <w:spacing w:after="0"/>
            </w:pPr>
            <w:r w:rsidRPr="00343383">
              <w:t>Intra-Subject (CV%)</w:t>
            </w:r>
          </w:p>
        </w:tc>
      </w:tr>
      <w:tr w:rsidR="00F127BB" w:rsidRPr="00343383" w14:paraId="70C2863F" w14:textId="77777777" w:rsidTr="00703488">
        <w:trPr>
          <w:trHeight w:val="288"/>
        </w:trPr>
        <w:tc>
          <w:tcPr>
            <w:tcW w:w="2412" w:type="dxa"/>
            <w:vMerge/>
            <w:tcBorders>
              <w:bottom w:val="single" w:sz="4" w:space="0" w:color="auto"/>
            </w:tcBorders>
            <w:vAlign w:val="center"/>
          </w:tcPr>
          <w:p w14:paraId="470C64D1" w14:textId="77777777" w:rsidR="00F127BB" w:rsidRPr="00343383" w:rsidRDefault="00F127BB" w:rsidP="00703488">
            <w:pPr>
              <w:pStyle w:val="TableCellLeft"/>
              <w:keepNext/>
              <w:keepLines/>
              <w:spacing w:after="0"/>
              <w:rPr>
                <w:b/>
                <w:bCs/>
              </w:rPr>
            </w:pPr>
          </w:p>
        </w:tc>
        <w:tc>
          <w:tcPr>
            <w:tcW w:w="1723" w:type="dxa"/>
            <w:tcBorders>
              <w:bottom w:val="single" w:sz="4" w:space="0" w:color="auto"/>
            </w:tcBorders>
            <w:vAlign w:val="center"/>
          </w:tcPr>
          <w:p w14:paraId="418484EF" w14:textId="77777777" w:rsidR="00F127BB" w:rsidRPr="00825EB2" w:rsidRDefault="00F127BB" w:rsidP="00703488">
            <w:pPr>
              <w:pStyle w:val="TableCellLeft"/>
              <w:keepNext/>
              <w:keepLines/>
              <w:spacing w:after="0"/>
              <w:jc w:val="center"/>
              <w:rPr>
                <w:bCs/>
              </w:rPr>
            </w:pPr>
            <w:r w:rsidRPr="00825EB2">
              <w:rPr>
                <w:bCs/>
              </w:rPr>
              <w:t>864.9</w:t>
            </w:r>
          </w:p>
        </w:tc>
        <w:tc>
          <w:tcPr>
            <w:tcW w:w="1510" w:type="dxa"/>
            <w:tcBorders>
              <w:bottom w:val="single" w:sz="4" w:space="0" w:color="auto"/>
            </w:tcBorders>
            <w:vAlign w:val="center"/>
          </w:tcPr>
          <w:p w14:paraId="13ECAAF4" w14:textId="77777777" w:rsidR="00F127BB" w:rsidRPr="00825EB2" w:rsidRDefault="00F127BB" w:rsidP="00703488">
            <w:pPr>
              <w:pStyle w:val="TableCellLeft"/>
              <w:keepNext/>
              <w:keepLines/>
              <w:spacing w:after="0"/>
              <w:jc w:val="center"/>
              <w:rPr>
                <w:bCs/>
              </w:rPr>
            </w:pPr>
            <w:r w:rsidRPr="00825EB2">
              <w:rPr>
                <w:bCs/>
              </w:rPr>
              <w:t>855.7</w:t>
            </w:r>
          </w:p>
        </w:tc>
        <w:tc>
          <w:tcPr>
            <w:tcW w:w="1855" w:type="dxa"/>
            <w:tcBorders>
              <w:bottom w:val="single" w:sz="4" w:space="0" w:color="auto"/>
            </w:tcBorders>
            <w:vAlign w:val="center"/>
          </w:tcPr>
          <w:p w14:paraId="79671C38" w14:textId="77777777" w:rsidR="00F127BB" w:rsidRPr="00825EB2" w:rsidRDefault="00F127BB" w:rsidP="00703488">
            <w:pPr>
              <w:pStyle w:val="TableCellLeft"/>
              <w:keepNext/>
              <w:keepLines/>
              <w:spacing w:after="0"/>
              <w:jc w:val="center"/>
              <w:rPr>
                <w:bCs/>
              </w:rPr>
            </w:pPr>
            <w:r w:rsidRPr="00825EB2">
              <w:rPr>
                <w:bCs/>
              </w:rPr>
              <w:t>98.9 (92.7, 105.6)</w:t>
            </w:r>
          </w:p>
        </w:tc>
        <w:tc>
          <w:tcPr>
            <w:tcW w:w="1850" w:type="dxa"/>
            <w:tcBorders>
              <w:bottom w:val="single" w:sz="4" w:space="0" w:color="auto"/>
            </w:tcBorders>
            <w:vAlign w:val="center"/>
          </w:tcPr>
          <w:p w14:paraId="03B2786C" w14:textId="77777777" w:rsidR="00F127BB" w:rsidRPr="00825EB2" w:rsidRDefault="00F127BB" w:rsidP="00703488">
            <w:pPr>
              <w:pStyle w:val="TableCellLeft"/>
              <w:keepNext/>
              <w:keepLines/>
              <w:spacing w:after="0"/>
              <w:jc w:val="center"/>
              <w:rPr>
                <w:bCs/>
              </w:rPr>
            </w:pPr>
            <w:r w:rsidRPr="00825EB2">
              <w:rPr>
                <w:bCs/>
              </w:rPr>
              <w:t>31.7</w:t>
            </w:r>
          </w:p>
        </w:tc>
      </w:tr>
      <w:tr w:rsidR="00F127BB" w:rsidRPr="00343383" w14:paraId="6544F6EF" w14:textId="77777777" w:rsidTr="00703488">
        <w:trPr>
          <w:trHeight w:val="288"/>
        </w:trPr>
        <w:tc>
          <w:tcPr>
            <w:tcW w:w="0" w:type="auto"/>
            <w:gridSpan w:val="5"/>
            <w:tcBorders>
              <w:top w:val="single" w:sz="4" w:space="0" w:color="auto"/>
              <w:left w:val="nil"/>
              <w:bottom w:val="nil"/>
              <w:right w:val="nil"/>
            </w:tcBorders>
            <w:vAlign w:val="center"/>
          </w:tcPr>
          <w:p w14:paraId="71A515DF" w14:textId="77777777" w:rsidR="00F127BB" w:rsidRPr="00343383" w:rsidRDefault="00F127BB" w:rsidP="00703488">
            <w:pPr>
              <w:pStyle w:val="ListFooter"/>
              <w:keepNext/>
              <w:spacing w:after="0"/>
              <w:ind w:left="0" w:firstLine="0"/>
              <w:rPr>
                <w:color w:val="000000"/>
              </w:rPr>
            </w:pPr>
            <w:r w:rsidRPr="00343383">
              <w:rPr>
                <w:color w:val="000000"/>
              </w:rPr>
              <w:t xml:space="preserve">CI = confidence interval; </w:t>
            </w:r>
            <w:r>
              <w:rPr>
                <w:color w:val="000000"/>
              </w:rPr>
              <w:t xml:space="preserve">CV = </w:t>
            </w:r>
            <w:r w:rsidRPr="005E4E39">
              <w:rPr>
                <w:color w:val="000000"/>
              </w:rPr>
              <w:t>coefficient of variation</w:t>
            </w:r>
            <w:r>
              <w:rPr>
                <w:color w:val="000000"/>
              </w:rPr>
              <w:t xml:space="preserve">; </w:t>
            </w:r>
            <w:r w:rsidRPr="00343383">
              <w:rPr>
                <w:color w:val="000000"/>
              </w:rPr>
              <w:t>Geo. LSM=Geometric Least Squares Means</w:t>
            </w:r>
            <w:r>
              <w:rPr>
                <w:color w:val="000000"/>
              </w:rPr>
              <w:t xml:space="preserve">; </w:t>
            </w:r>
            <w:r w:rsidRPr="00343383">
              <w:rPr>
                <w:color w:val="000000"/>
              </w:rPr>
              <w:t>IV = intravenous</w:t>
            </w:r>
          </w:p>
        </w:tc>
      </w:tr>
    </w:tbl>
    <w:p w14:paraId="2D03E0FB" w14:textId="7F0AE6EC" w:rsidR="00F127BB" w:rsidRPr="00703488" w:rsidRDefault="002672EE" w:rsidP="004D3A7C">
      <w:r>
        <w:t>T</w:t>
      </w:r>
      <w:r w:rsidR="00F127BB" w:rsidRPr="00703488">
        <w:t xml:space="preserve">he median duration of treatment for all treated subjects was </w:t>
      </w:r>
      <w:r>
        <w:t xml:space="preserve">8.2 months (range 0.2 to 19.7) with </w:t>
      </w:r>
      <w:r w:rsidR="00F127BB" w:rsidRPr="00703488">
        <w:t xml:space="preserve">a median follow-up time of </w:t>
      </w:r>
      <w:r>
        <w:t>12.6</w:t>
      </w:r>
      <w:r w:rsidR="00F127BB" w:rsidRPr="00703488">
        <w:t xml:space="preserve"> months (range: 9</w:t>
      </w:r>
      <w:r>
        <w:t>.3</w:t>
      </w:r>
      <w:r w:rsidR="00F127BB" w:rsidRPr="00703488">
        <w:t xml:space="preserve"> to </w:t>
      </w:r>
      <w:r>
        <w:t>20.5</w:t>
      </w:r>
      <w:r w:rsidR="00F127BB" w:rsidRPr="00703488">
        <w:t>).</w:t>
      </w:r>
      <w:r w:rsidR="002D2E9D">
        <w:rPr>
          <w:rStyle w:val="CommentReference"/>
          <w:rFonts w:ascii="Cambria" w:hAnsi="Cambria"/>
        </w:rPr>
        <w:t xml:space="preserve"> </w:t>
      </w:r>
      <w:r w:rsidR="00F127BB" w:rsidRPr="00703488">
        <w:rPr>
          <w:color w:val="0000FF"/>
        </w:rPr>
        <w:t xml:space="preserve"> </w:t>
      </w:r>
      <w:r w:rsidR="002F1BA4" w:rsidRPr="002F1BA4">
        <w:rPr>
          <w:color w:val="auto"/>
        </w:rPr>
        <w:t>Twenty-seven</w:t>
      </w:r>
      <w:r w:rsidRPr="002F1BA4">
        <w:rPr>
          <w:color w:val="auto"/>
        </w:rPr>
        <w:t xml:space="preserve"> (20%) of the 133 treated </w:t>
      </w:r>
      <w:r w:rsidR="00F127BB" w:rsidRPr="00703488">
        <w:t>patients went on to transplant.</w:t>
      </w:r>
      <w:r w:rsidR="002D2E9D">
        <w:rPr>
          <w:rStyle w:val="CommentReference"/>
          <w:rFonts w:ascii="Cambria" w:hAnsi="Cambria"/>
        </w:rPr>
        <w:t xml:space="preserve"> </w:t>
      </w:r>
      <w:r w:rsidR="00F127BB" w:rsidRPr="00703488">
        <w:t xml:space="preserve"> Clinical response data from </w:t>
      </w:r>
      <w:r>
        <w:t xml:space="preserve">all 133 treated </w:t>
      </w:r>
      <w:r w:rsidR="00F127BB" w:rsidRPr="00703488">
        <w:t xml:space="preserve"> patients are presented in </w:t>
      </w:r>
      <w:r w:rsidR="00087D58">
        <w:fldChar w:fldCharType="begin"/>
      </w:r>
      <w:r w:rsidR="00087D58">
        <w:instrText xml:space="preserve"> REF _Ref26945851 \h </w:instrText>
      </w:r>
      <w:r w:rsidR="00087D58">
        <w:fldChar w:fldCharType="separate"/>
      </w:r>
      <w:r w:rsidR="008D55DC">
        <w:t xml:space="preserve">Table </w:t>
      </w:r>
      <w:r w:rsidR="008D55DC">
        <w:rPr>
          <w:noProof/>
        </w:rPr>
        <w:t>3</w:t>
      </w:r>
      <w:r w:rsidR="00087D58">
        <w:fldChar w:fldCharType="end"/>
      </w:r>
      <w:r w:rsidR="00F127BB" w:rsidRPr="00703488">
        <w:t xml:space="preserve">. </w:t>
      </w:r>
    </w:p>
    <w:p w14:paraId="08DACC03" w14:textId="6E7563A7" w:rsidR="00F127BB" w:rsidRPr="00F127BB" w:rsidRDefault="00087D58" w:rsidP="00087D58">
      <w:pPr>
        <w:pStyle w:val="Caption"/>
      </w:pPr>
      <w:bookmarkStart w:id="38" w:name="_Ref26945851"/>
      <w:bookmarkStart w:id="39" w:name="_Ref8289923"/>
      <w:bookmarkStart w:id="40" w:name="_Ref9948080"/>
      <w:bookmarkStart w:id="41" w:name="_Toc18688814"/>
      <w:r>
        <w:t xml:space="preserve">Table </w:t>
      </w:r>
      <w:r>
        <w:fldChar w:fldCharType="begin"/>
      </w:r>
      <w:r>
        <w:instrText xml:space="preserve"> SEQ Table \* ARABIC </w:instrText>
      </w:r>
      <w:r>
        <w:fldChar w:fldCharType="separate"/>
      </w:r>
      <w:r w:rsidR="008D55DC">
        <w:rPr>
          <w:noProof/>
        </w:rPr>
        <w:t>3</w:t>
      </w:r>
      <w:r>
        <w:fldChar w:fldCharType="end"/>
      </w:r>
      <w:bookmarkEnd w:id="38"/>
      <w:r>
        <w:t xml:space="preserve">: </w:t>
      </w:r>
      <w:bookmarkEnd w:id="39"/>
      <w:bookmarkEnd w:id="40"/>
      <w:r w:rsidR="00F127BB" w:rsidRPr="00F127BB">
        <w:t xml:space="preserve"> </w:t>
      </w:r>
      <w:r w:rsidR="002672EE">
        <w:t xml:space="preserve">Efficacy Results in Patients with MDS or CMML </w:t>
      </w:r>
      <w:r w:rsidR="00F127BB" w:rsidRPr="00F127BB">
        <w:t>from Study ASTX727-02</w:t>
      </w:r>
      <w:bookmarkEnd w:id="41"/>
      <w:r w:rsidR="00F127BB" w:rsidRPr="00F127BB">
        <w:t xml:space="preserve"> (Phase 3)</w:t>
      </w:r>
      <w:r w:rsidR="002D2E9D">
        <w:rPr>
          <w:rStyle w:val="CommentReference"/>
          <w:rFonts w:ascii="Cambria" w:eastAsia="MS Mincho" w:hAnsi="Cambria"/>
          <w:b w:val="0"/>
          <w:bCs w:val="0"/>
          <w:color w:val="000000"/>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116"/>
        <w:gridCol w:w="1776"/>
        <w:gridCol w:w="2124"/>
      </w:tblGrid>
      <w:tr w:rsidR="00F127BB" w:rsidRPr="00343383" w14:paraId="179010EA" w14:textId="77777777" w:rsidTr="00703488">
        <w:trPr>
          <w:cantSplit/>
          <w:tblHeader/>
          <w:jc w:val="center"/>
        </w:trPr>
        <w:tc>
          <w:tcPr>
            <w:tcW w:w="2837" w:type="pct"/>
            <w:vMerge w:val="restart"/>
            <w:shd w:val="clear" w:color="auto" w:fill="FFFFFF"/>
            <w:tcMar>
              <w:left w:w="20" w:type="dxa"/>
              <w:right w:w="20" w:type="dxa"/>
            </w:tcMar>
            <w:vAlign w:val="center"/>
          </w:tcPr>
          <w:p w14:paraId="4CD145DD" w14:textId="77777777" w:rsidR="00F127BB" w:rsidRPr="00087D58" w:rsidRDefault="00F127BB" w:rsidP="00087D58">
            <w:pPr>
              <w:pStyle w:val="TableCellLeft"/>
              <w:keepNext/>
              <w:spacing w:after="0"/>
              <w:ind w:left="57"/>
              <w:rPr>
                <w:b/>
                <w:szCs w:val="20"/>
              </w:rPr>
            </w:pPr>
            <w:r w:rsidRPr="00087D58">
              <w:rPr>
                <w:b/>
                <w:szCs w:val="20"/>
              </w:rPr>
              <w:t>Efficacy Endpoints</w:t>
            </w:r>
          </w:p>
        </w:tc>
        <w:tc>
          <w:tcPr>
            <w:tcW w:w="2163" w:type="pct"/>
            <w:gridSpan w:val="2"/>
            <w:shd w:val="clear" w:color="auto" w:fill="FFFFFF"/>
            <w:tcMar>
              <w:left w:w="20" w:type="dxa"/>
              <w:right w:w="20" w:type="dxa"/>
            </w:tcMar>
            <w:vAlign w:val="center"/>
          </w:tcPr>
          <w:p w14:paraId="137200A9" w14:textId="12935A94" w:rsidR="00F127BB" w:rsidRPr="00343383" w:rsidRDefault="002672EE" w:rsidP="00703488">
            <w:pPr>
              <w:pStyle w:val="TableCellLeft"/>
              <w:keepNext/>
              <w:spacing w:after="0"/>
              <w:jc w:val="center"/>
              <w:rPr>
                <w:b/>
                <w:sz w:val="22"/>
                <w:szCs w:val="22"/>
              </w:rPr>
            </w:pPr>
            <w:r>
              <w:rPr>
                <w:b/>
                <w:sz w:val="22"/>
                <w:szCs w:val="22"/>
              </w:rPr>
              <w:t xml:space="preserve">INQOVI </w:t>
            </w:r>
            <w:r w:rsidR="00F127BB" w:rsidRPr="00343383">
              <w:rPr>
                <w:b/>
                <w:sz w:val="22"/>
                <w:szCs w:val="22"/>
              </w:rPr>
              <w:br/>
              <w:t>(N=</w:t>
            </w:r>
            <w:r w:rsidR="00F56760">
              <w:rPr>
                <w:b/>
                <w:sz w:val="22"/>
                <w:szCs w:val="22"/>
              </w:rPr>
              <w:t xml:space="preserve"> 133</w:t>
            </w:r>
            <w:r w:rsidR="00F127BB" w:rsidRPr="00343383">
              <w:rPr>
                <w:b/>
                <w:sz w:val="22"/>
                <w:szCs w:val="22"/>
              </w:rPr>
              <w:t>)</w:t>
            </w:r>
          </w:p>
        </w:tc>
      </w:tr>
      <w:tr w:rsidR="00F127BB" w:rsidRPr="00343383" w14:paraId="7B3E5F33" w14:textId="77777777" w:rsidTr="00703488">
        <w:trPr>
          <w:cantSplit/>
          <w:tblHeader/>
          <w:jc w:val="center"/>
        </w:trPr>
        <w:tc>
          <w:tcPr>
            <w:tcW w:w="2837" w:type="pct"/>
            <w:vMerge/>
            <w:shd w:val="clear" w:color="auto" w:fill="FFFFFF"/>
            <w:tcMar>
              <w:left w:w="20" w:type="dxa"/>
              <w:right w:w="20" w:type="dxa"/>
            </w:tcMar>
            <w:vAlign w:val="center"/>
          </w:tcPr>
          <w:p w14:paraId="0CE5995B" w14:textId="77777777" w:rsidR="00F127BB" w:rsidRPr="00087D58" w:rsidRDefault="00F127BB" w:rsidP="00087D58">
            <w:pPr>
              <w:pStyle w:val="TableCellLeft"/>
              <w:keepNext/>
              <w:spacing w:after="0"/>
              <w:ind w:left="57"/>
              <w:rPr>
                <w:b/>
                <w:szCs w:val="20"/>
                <w:vertAlign w:val="superscript"/>
              </w:rPr>
            </w:pPr>
          </w:p>
        </w:tc>
        <w:tc>
          <w:tcPr>
            <w:tcW w:w="985" w:type="pct"/>
            <w:shd w:val="clear" w:color="auto" w:fill="FFFFFF"/>
            <w:tcMar>
              <w:left w:w="20" w:type="dxa"/>
              <w:right w:w="20" w:type="dxa"/>
            </w:tcMar>
            <w:vAlign w:val="center"/>
          </w:tcPr>
          <w:p w14:paraId="5F390250" w14:textId="2C819E36" w:rsidR="00F127BB" w:rsidRPr="00343383" w:rsidRDefault="00F127BB" w:rsidP="00703488">
            <w:pPr>
              <w:pStyle w:val="TableCellLeft"/>
              <w:keepNext/>
              <w:spacing w:after="0"/>
              <w:jc w:val="center"/>
              <w:rPr>
                <w:b/>
                <w:sz w:val="22"/>
                <w:szCs w:val="22"/>
              </w:rPr>
            </w:pPr>
          </w:p>
        </w:tc>
        <w:tc>
          <w:tcPr>
            <w:tcW w:w="1178" w:type="pct"/>
            <w:shd w:val="clear" w:color="auto" w:fill="FFFFFF"/>
            <w:tcMar>
              <w:left w:w="20" w:type="dxa"/>
              <w:right w:w="20" w:type="dxa"/>
            </w:tcMar>
            <w:vAlign w:val="center"/>
          </w:tcPr>
          <w:p w14:paraId="291A9121" w14:textId="0EB225CE" w:rsidR="00F127BB" w:rsidRPr="00343383" w:rsidRDefault="00F127BB" w:rsidP="00F56760">
            <w:pPr>
              <w:pStyle w:val="TableCellLeft"/>
              <w:keepNext/>
              <w:spacing w:after="0"/>
              <w:rPr>
                <w:b/>
                <w:sz w:val="22"/>
                <w:szCs w:val="22"/>
              </w:rPr>
            </w:pPr>
          </w:p>
        </w:tc>
      </w:tr>
      <w:tr w:rsidR="00F127BB" w:rsidRPr="00343383" w14:paraId="6A928794" w14:textId="77777777" w:rsidTr="00703488">
        <w:trPr>
          <w:cantSplit/>
          <w:jc w:val="center"/>
        </w:trPr>
        <w:tc>
          <w:tcPr>
            <w:tcW w:w="2837" w:type="pct"/>
            <w:shd w:val="clear" w:color="auto" w:fill="FFFFFF"/>
            <w:tcMar>
              <w:left w:w="20" w:type="dxa"/>
              <w:right w:w="20" w:type="dxa"/>
            </w:tcMar>
            <w:vAlign w:val="center"/>
          </w:tcPr>
          <w:p w14:paraId="22D71AEB" w14:textId="05818FC4" w:rsidR="00F127BB" w:rsidRPr="00087D58" w:rsidRDefault="00F127BB" w:rsidP="00087D58">
            <w:pPr>
              <w:pStyle w:val="TableCellLeft"/>
              <w:keepNext/>
              <w:ind w:left="57"/>
              <w:rPr>
                <w:szCs w:val="20"/>
              </w:rPr>
            </w:pPr>
            <w:r w:rsidRPr="00087D58">
              <w:rPr>
                <w:szCs w:val="20"/>
              </w:rPr>
              <w:t>Complete Response (CR)</w:t>
            </w:r>
            <w:r w:rsidR="00782D7E">
              <w:rPr>
                <w:szCs w:val="20"/>
              </w:rPr>
              <w:t xml:space="preserve"> (%) (95% CI)</w:t>
            </w:r>
          </w:p>
        </w:tc>
        <w:tc>
          <w:tcPr>
            <w:tcW w:w="985" w:type="pct"/>
            <w:shd w:val="clear" w:color="auto" w:fill="FFFFFF"/>
            <w:tcMar>
              <w:left w:w="20" w:type="dxa"/>
              <w:right w:w="20" w:type="dxa"/>
            </w:tcMar>
            <w:vAlign w:val="center"/>
          </w:tcPr>
          <w:p w14:paraId="313078B9" w14:textId="0C6D9381" w:rsidR="00F127BB" w:rsidRPr="00343383" w:rsidRDefault="00F56760" w:rsidP="00703488">
            <w:pPr>
              <w:pStyle w:val="TableCellLeft"/>
              <w:keepNext/>
              <w:jc w:val="center"/>
              <w:rPr>
                <w:sz w:val="22"/>
                <w:szCs w:val="22"/>
              </w:rPr>
            </w:pPr>
            <w:r>
              <w:rPr>
                <w:rFonts w:ascii="Times" w:hAnsi="Times" w:cs="Times"/>
                <w:color w:val="000000"/>
                <w:sz w:val="22"/>
                <w:szCs w:val="22"/>
              </w:rPr>
              <w:t xml:space="preserve">21 (15, 29) </w:t>
            </w:r>
          </w:p>
        </w:tc>
        <w:tc>
          <w:tcPr>
            <w:tcW w:w="1178" w:type="pct"/>
            <w:shd w:val="clear" w:color="auto" w:fill="FFFFFF"/>
            <w:tcMar>
              <w:left w:w="20" w:type="dxa"/>
              <w:right w:w="20" w:type="dxa"/>
            </w:tcMar>
            <w:vAlign w:val="center"/>
          </w:tcPr>
          <w:p w14:paraId="2B941265" w14:textId="160F7EAB" w:rsidR="00F127BB" w:rsidRPr="00343383" w:rsidRDefault="00F127BB" w:rsidP="00703488">
            <w:pPr>
              <w:pStyle w:val="TableCellLeft"/>
              <w:keepNext/>
              <w:jc w:val="center"/>
              <w:rPr>
                <w:sz w:val="22"/>
                <w:szCs w:val="22"/>
              </w:rPr>
            </w:pPr>
          </w:p>
        </w:tc>
      </w:tr>
      <w:tr w:rsidR="00F127BB" w:rsidRPr="00343383" w14:paraId="47E0A2E5" w14:textId="77777777" w:rsidTr="00703488">
        <w:trPr>
          <w:cantSplit/>
          <w:jc w:val="center"/>
        </w:trPr>
        <w:tc>
          <w:tcPr>
            <w:tcW w:w="2837" w:type="pct"/>
            <w:shd w:val="clear" w:color="auto" w:fill="FFFFFF"/>
            <w:tcMar>
              <w:left w:w="20" w:type="dxa"/>
              <w:right w:w="20" w:type="dxa"/>
            </w:tcMar>
            <w:vAlign w:val="center"/>
          </w:tcPr>
          <w:p w14:paraId="12681F45" w14:textId="21DCF705" w:rsidR="00F127BB" w:rsidRPr="00087D58" w:rsidRDefault="00F56760" w:rsidP="00087D58">
            <w:pPr>
              <w:pStyle w:val="TableCellLeft"/>
              <w:keepNext/>
              <w:ind w:left="57"/>
              <w:rPr>
                <w:szCs w:val="20"/>
              </w:rPr>
            </w:pPr>
            <w:r>
              <w:rPr>
                <w:szCs w:val="20"/>
              </w:rPr>
              <w:t xml:space="preserve">Median duration of CR – months (range) * </w:t>
            </w:r>
          </w:p>
        </w:tc>
        <w:tc>
          <w:tcPr>
            <w:tcW w:w="985" w:type="pct"/>
            <w:shd w:val="clear" w:color="auto" w:fill="FFFFFF"/>
            <w:tcMar>
              <w:left w:w="20" w:type="dxa"/>
              <w:right w:w="20" w:type="dxa"/>
            </w:tcMar>
            <w:vAlign w:val="center"/>
          </w:tcPr>
          <w:p w14:paraId="3F846020" w14:textId="153E5ACB" w:rsidR="00F127BB" w:rsidRPr="00343383" w:rsidRDefault="00F56760" w:rsidP="00703488">
            <w:pPr>
              <w:pStyle w:val="TableCellLeft"/>
              <w:keepNext/>
              <w:jc w:val="center"/>
              <w:rPr>
                <w:rFonts w:ascii="Times" w:hAnsi="Times" w:cs="Times"/>
                <w:color w:val="000000"/>
                <w:sz w:val="22"/>
                <w:szCs w:val="22"/>
              </w:rPr>
            </w:pPr>
            <w:r>
              <w:rPr>
                <w:rFonts w:ascii="Times" w:hAnsi="Times" w:cs="Times"/>
                <w:color w:val="000000"/>
                <w:sz w:val="22"/>
                <w:szCs w:val="22"/>
              </w:rPr>
              <w:t xml:space="preserve">7.5 </w:t>
            </w:r>
            <w:r w:rsidR="00F127BB" w:rsidRPr="00343383">
              <w:rPr>
                <w:rFonts w:ascii="Times" w:hAnsi="Times" w:cs="Times"/>
                <w:color w:val="000000"/>
                <w:sz w:val="22"/>
                <w:szCs w:val="22"/>
              </w:rPr>
              <w:t>(</w:t>
            </w:r>
            <w:r>
              <w:rPr>
                <w:rFonts w:ascii="Times" w:hAnsi="Times" w:cs="Times"/>
                <w:color w:val="000000"/>
                <w:sz w:val="22"/>
                <w:szCs w:val="22"/>
              </w:rPr>
              <w:t>1.6, 17.5</w:t>
            </w:r>
            <w:r w:rsidR="00F127BB" w:rsidRPr="00343383">
              <w:rPr>
                <w:rFonts w:ascii="Times" w:hAnsi="Times" w:cs="Times"/>
                <w:color w:val="000000"/>
                <w:sz w:val="22"/>
                <w:szCs w:val="22"/>
              </w:rPr>
              <w:t>)</w:t>
            </w:r>
          </w:p>
        </w:tc>
        <w:tc>
          <w:tcPr>
            <w:tcW w:w="1178" w:type="pct"/>
            <w:shd w:val="clear" w:color="auto" w:fill="FFFFFF"/>
            <w:tcMar>
              <w:left w:w="20" w:type="dxa"/>
              <w:right w:w="20" w:type="dxa"/>
            </w:tcMar>
            <w:vAlign w:val="center"/>
          </w:tcPr>
          <w:p w14:paraId="54687F18" w14:textId="142DCDEE" w:rsidR="00F127BB" w:rsidRPr="00343383" w:rsidRDefault="00F127BB" w:rsidP="00703488">
            <w:pPr>
              <w:pStyle w:val="TableCellLeft"/>
              <w:keepNext/>
              <w:jc w:val="center"/>
              <w:rPr>
                <w:rFonts w:ascii="Times" w:hAnsi="Times" w:cs="Times"/>
                <w:color w:val="000000"/>
                <w:sz w:val="22"/>
                <w:szCs w:val="22"/>
              </w:rPr>
            </w:pPr>
          </w:p>
        </w:tc>
      </w:tr>
      <w:tr w:rsidR="00F127BB" w:rsidRPr="00343383" w14:paraId="2810B120" w14:textId="77777777" w:rsidTr="00703488">
        <w:trPr>
          <w:cantSplit/>
          <w:jc w:val="center"/>
        </w:trPr>
        <w:tc>
          <w:tcPr>
            <w:tcW w:w="2837" w:type="pct"/>
            <w:shd w:val="clear" w:color="auto" w:fill="FFFFFF"/>
            <w:tcMar>
              <w:left w:w="20" w:type="dxa"/>
              <w:right w:w="20" w:type="dxa"/>
            </w:tcMar>
            <w:vAlign w:val="center"/>
          </w:tcPr>
          <w:p w14:paraId="0FD6099B" w14:textId="43B1B470" w:rsidR="00F127BB" w:rsidRPr="00087D58" w:rsidRDefault="00F56760" w:rsidP="00087D58">
            <w:pPr>
              <w:pStyle w:val="TableCellLeft"/>
              <w:keepNext/>
              <w:ind w:left="57"/>
              <w:rPr>
                <w:b/>
                <w:szCs w:val="20"/>
              </w:rPr>
            </w:pPr>
            <w:r w:rsidRPr="00F56760">
              <w:rPr>
                <w:szCs w:val="20"/>
              </w:rPr>
              <w:t xml:space="preserve">Median </w:t>
            </w:r>
            <w:r>
              <w:rPr>
                <w:szCs w:val="20"/>
              </w:rPr>
              <w:t>Time to CR – months (range)</w:t>
            </w:r>
          </w:p>
        </w:tc>
        <w:tc>
          <w:tcPr>
            <w:tcW w:w="985" w:type="pct"/>
            <w:shd w:val="clear" w:color="auto" w:fill="FFFFFF"/>
            <w:tcMar>
              <w:left w:w="20" w:type="dxa"/>
              <w:right w:w="20" w:type="dxa"/>
            </w:tcMar>
            <w:vAlign w:val="center"/>
          </w:tcPr>
          <w:p w14:paraId="213B2DB1" w14:textId="00E50900" w:rsidR="00F127BB" w:rsidRPr="00473523" w:rsidRDefault="00F56760" w:rsidP="00703488">
            <w:pPr>
              <w:pStyle w:val="TableCellLeft"/>
              <w:keepNext/>
              <w:jc w:val="center"/>
              <w:rPr>
                <w:rFonts w:ascii="Times" w:hAnsi="Times" w:cs="Times"/>
                <w:b/>
                <w:color w:val="000000"/>
                <w:sz w:val="22"/>
                <w:szCs w:val="22"/>
              </w:rPr>
            </w:pPr>
            <w:r>
              <w:rPr>
                <w:rFonts w:ascii="Times" w:hAnsi="Times" w:cs="Times"/>
                <w:color w:val="000000"/>
                <w:sz w:val="22"/>
                <w:szCs w:val="22"/>
              </w:rPr>
              <w:t xml:space="preserve">4.3 </w:t>
            </w:r>
            <w:r w:rsidR="00F127BB" w:rsidRPr="00343383">
              <w:rPr>
                <w:rFonts w:ascii="Times" w:hAnsi="Times" w:cs="Times"/>
                <w:color w:val="000000"/>
                <w:sz w:val="22"/>
                <w:szCs w:val="22"/>
              </w:rPr>
              <w:t xml:space="preserve"> (</w:t>
            </w:r>
            <w:r>
              <w:rPr>
                <w:rFonts w:ascii="Times" w:hAnsi="Times" w:cs="Times"/>
                <w:color w:val="000000"/>
                <w:sz w:val="22"/>
                <w:szCs w:val="22"/>
              </w:rPr>
              <w:t xml:space="preserve">2.1, 15.2) </w:t>
            </w:r>
          </w:p>
        </w:tc>
        <w:tc>
          <w:tcPr>
            <w:tcW w:w="1178" w:type="pct"/>
            <w:shd w:val="clear" w:color="auto" w:fill="FFFFFF"/>
            <w:tcMar>
              <w:left w:w="20" w:type="dxa"/>
              <w:right w:w="20" w:type="dxa"/>
            </w:tcMar>
            <w:vAlign w:val="center"/>
          </w:tcPr>
          <w:p w14:paraId="7654A37C" w14:textId="6D9702E3" w:rsidR="00F127BB" w:rsidRPr="00473523" w:rsidRDefault="00F127BB" w:rsidP="00703488">
            <w:pPr>
              <w:pStyle w:val="TableCellLeft"/>
              <w:keepNext/>
              <w:jc w:val="center"/>
              <w:rPr>
                <w:rFonts w:ascii="Times" w:hAnsi="Times" w:cs="Times"/>
                <w:b/>
                <w:color w:val="000000"/>
                <w:sz w:val="22"/>
                <w:szCs w:val="22"/>
              </w:rPr>
            </w:pPr>
          </w:p>
        </w:tc>
      </w:tr>
      <w:tr w:rsidR="00F127BB" w:rsidRPr="00343383" w14:paraId="64149393" w14:textId="77777777" w:rsidTr="00703488">
        <w:trPr>
          <w:cantSplit/>
          <w:jc w:val="center"/>
        </w:trPr>
        <w:tc>
          <w:tcPr>
            <w:tcW w:w="2837" w:type="pct"/>
            <w:tcBorders>
              <w:bottom w:val="single" w:sz="4" w:space="0" w:color="auto"/>
            </w:tcBorders>
            <w:shd w:val="clear" w:color="auto" w:fill="FFFFFF"/>
            <w:tcMar>
              <w:left w:w="20" w:type="dxa"/>
              <w:right w:w="20" w:type="dxa"/>
            </w:tcMar>
            <w:vAlign w:val="center"/>
          </w:tcPr>
          <w:p w14:paraId="2367F3D1" w14:textId="70C54DCA" w:rsidR="00F127BB" w:rsidRPr="00087D58" w:rsidRDefault="00F127BB" w:rsidP="00087D58">
            <w:pPr>
              <w:pStyle w:val="TableCellLeft"/>
              <w:keepNext/>
              <w:ind w:left="57"/>
              <w:rPr>
                <w:szCs w:val="20"/>
              </w:rPr>
            </w:pPr>
          </w:p>
        </w:tc>
        <w:tc>
          <w:tcPr>
            <w:tcW w:w="985" w:type="pct"/>
            <w:tcBorders>
              <w:bottom w:val="single" w:sz="4" w:space="0" w:color="auto"/>
            </w:tcBorders>
            <w:shd w:val="clear" w:color="auto" w:fill="FFFFFF"/>
            <w:tcMar>
              <w:left w:w="20" w:type="dxa"/>
              <w:right w:w="20" w:type="dxa"/>
            </w:tcMar>
            <w:vAlign w:val="center"/>
          </w:tcPr>
          <w:p w14:paraId="66014E93" w14:textId="5C46391D" w:rsidR="00F127BB" w:rsidRPr="00343383" w:rsidRDefault="00F127BB" w:rsidP="00703488">
            <w:pPr>
              <w:pStyle w:val="TableCellLeft"/>
              <w:keepNext/>
              <w:jc w:val="center"/>
              <w:rPr>
                <w:rFonts w:ascii="Times" w:hAnsi="Times" w:cs="Times"/>
                <w:color w:val="000000"/>
                <w:sz w:val="22"/>
                <w:szCs w:val="22"/>
              </w:rPr>
            </w:pPr>
          </w:p>
        </w:tc>
        <w:tc>
          <w:tcPr>
            <w:tcW w:w="1178" w:type="pct"/>
            <w:tcBorders>
              <w:bottom w:val="single" w:sz="4" w:space="0" w:color="auto"/>
            </w:tcBorders>
            <w:shd w:val="clear" w:color="auto" w:fill="FFFFFF"/>
            <w:tcMar>
              <w:left w:w="20" w:type="dxa"/>
              <w:right w:w="20" w:type="dxa"/>
            </w:tcMar>
            <w:vAlign w:val="center"/>
          </w:tcPr>
          <w:p w14:paraId="5B303957" w14:textId="0D09FBC2" w:rsidR="00F127BB" w:rsidRPr="00343383" w:rsidRDefault="00F127BB" w:rsidP="00703488">
            <w:pPr>
              <w:pStyle w:val="TableCellLeft"/>
              <w:keepNext/>
              <w:jc w:val="center"/>
              <w:rPr>
                <w:rFonts w:ascii="Times" w:hAnsi="Times" w:cs="Times"/>
                <w:color w:val="000000"/>
                <w:sz w:val="22"/>
                <w:szCs w:val="22"/>
              </w:rPr>
            </w:pPr>
          </w:p>
        </w:tc>
      </w:tr>
      <w:tr w:rsidR="00F127BB" w:rsidRPr="00343383" w14:paraId="66E3F2C8" w14:textId="77777777" w:rsidTr="00703488">
        <w:trPr>
          <w:cantSplit/>
          <w:jc w:val="center"/>
        </w:trPr>
        <w:tc>
          <w:tcPr>
            <w:tcW w:w="2837" w:type="pct"/>
            <w:tcBorders>
              <w:bottom w:val="single" w:sz="4" w:space="0" w:color="auto"/>
            </w:tcBorders>
            <w:shd w:val="clear" w:color="auto" w:fill="FFFFFF"/>
            <w:tcMar>
              <w:left w:w="20" w:type="dxa"/>
              <w:right w:w="20" w:type="dxa"/>
            </w:tcMar>
            <w:vAlign w:val="center"/>
          </w:tcPr>
          <w:p w14:paraId="046E477F" w14:textId="0DDD9983" w:rsidR="00F127BB" w:rsidRPr="00087D58" w:rsidRDefault="00F127BB" w:rsidP="00087D58">
            <w:pPr>
              <w:pStyle w:val="TableCellLeft"/>
              <w:keepNext/>
              <w:ind w:left="57"/>
              <w:rPr>
                <w:szCs w:val="20"/>
              </w:rPr>
            </w:pPr>
          </w:p>
        </w:tc>
        <w:tc>
          <w:tcPr>
            <w:tcW w:w="985" w:type="pct"/>
            <w:tcBorders>
              <w:bottom w:val="single" w:sz="4" w:space="0" w:color="auto"/>
            </w:tcBorders>
            <w:shd w:val="clear" w:color="auto" w:fill="FFFFFF"/>
            <w:tcMar>
              <w:left w:w="20" w:type="dxa"/>
              <w:right w:w="20" w:type="dxa"/>
            </w:tcMar>
            <w:vAlign w:val="center"/>
          </w:tcPr>
          <w:p w14:paraId="15B9857E" w14:textId="0956F7A2" w:rsidR="00F127BB" w:rsidRPr="00343383" w:rsidRDefault="00F127BB" w:rsidP="00703488">
            <w:pPr>
              <w:pStyle w:val="TableCellLeft"/>
              <w:keepNext/>
              <w:jc w:val="center"/>
              <w:rPr>
                <w:rFonts w:ascii="Times" w:hAnsi="Times" w:cs="Times"/>
                <w:color w:val="000000"/>
                <w:sz w:val="22"/>
                <w:szCs w:val="22"/>
              </w:rPr>
            </w:pPr>
          </w:p>
        </w:tc>
        <w:tc>
          <w:tcPr>
            <w:tcW w:w="1178" w:type="pct"/>
            <w:tcBorders>
              <w:bottom w:val="single" w:sz="4" w:space="0" w:color="auto"/>
            </w:tcBorders>
            <w:shd w:val="clear" w:color="auto" w:fill="FFFFFF"/>
            <w:tcMar>
              <w:left w:w="20" w:type="dxa"/>
              <w:right w:w="20" w:type="dxa"/>
            </w:tcMar>
            <w:vAlign w:val="center"/>
          </w:tcPr>
          <w:p w14:paraId="0942E8A7" w14:textId="6866A870" w:rsidR="00F127BB" w:rsidRPr="00343383" w:rsidRDefault="00F127BB" w:rsidP="00703488">
            <w:pPr>
              <w:pStyle w:val="TableCellLeft"/>
              <w:keepNext/>
              <w:jc w:val="center"/>
              <w:rPr>
                <w:rFonts w:ascii="Times" w:hAnsi="Times" w:cs="Times"/>
                <w:color w:val="000000"/>
                <w:sz w:val="22"/>
                <w:szCs w:val="22"/>
              </w:rPr>
            </w:pPr>
          </w:p>
        </w:tc>
      </w:tr>
      <w:tr w:rsidR="00F127BB" w:rsidRPr="00343383" w14:paraId="71B6D815" w14:textId="77777777" w:rsidTr="00703488">
        <w:trPr>
          <w:cantSplit/>
          <w:jc w:val="center"/>
        </w:trPr>
        <w:tc>
          <w:tcPr>
            <w:tcW w:w="5000" w:type="pct"/>
            <w:gridSpan w:val="3"/>
            <w:tcBorders>
              <w:top w:val="single" w:sz="4" w:space="0" w:color="auto"/>
              <w:left w:val="nil"/>
              <w:bottom w:val="nil"/>
              <w:right w:val="nil"/>
            </w:tcBorders>
            <w:shd w:val="clear" w:color="auto" w:fill="FFFFFF"/>
            <w:tcMar>
              <w:left w:w="20" w:type="dxa"/>
              <w:right w:w="20" w:type="dxa"/>
            </w:tcMar>
            <w:vAlign w:val="bottom"/>
          </w:tcPr>
          <w:p w14:paraId="685F1FD6" w14:textId="577B5012" w:rsidR="00F127BB" w:rsidRDefault="00F127BB" w:rsidP="00087D58">
            <w:pPr>
              <w:pStyle w:val="FootnoteText"/>
              <w:spacing w:before="120" w:after="0"/>
              <w:ind w:left="57"/>
              <w:rPr>
                <w:rFonts w:ascii="Times New Roman" w:hAnsi="Times New Roman"/>
                <w:szCs w:val="20"/>
              </w:rPr>
            </w:pPr>
            <w:r w:rsidRPr="00087D58">
              <w:rPr>
                <w:rFonts w:ascii="Times New Roman" w:hAnsi="Times New Roman"/>
                <w:szCs w:val="20"/>
                <w:vertAlign w:val="superscript"/>
              </w:rPr>
              <w:t xml:space="preserve">*  </w:t>
            </w:r>
            <w:r w:rsidRPr="00087D58">
              <w:rPr>
                <w:rFonts w:ascii="Times New Roman" w:hAnsi="Times New Roman"/>
                <w:szCs w:val="20"/>
              </w:rPr>
              <w:t xml:space="preserve"> </w:t>
            </w:r>
            <w:r w:rsidR="00F56760">
              <w:rPr>
                <w:rFonts w:ascii="Times New Roman" w:hAnsi="Times New Roman"/>
                <w:szCs w:val="20"/>
              </w:rPr>
              <w:t xml:space="preserve">From start of CR until relapse or death  </w:t>
            </w:r>
          </w:p>
          <w:p w14:paraId="704A694E" w14:textId="2089A49F" w:rsidR="00F56760" w:rsidRPr="00F56760" w:rsidRDefault="00F56760" w:rsidP="00087D58">
            <w:pPr>
              <w:pStyle w:val="FootnoteText"/>
              <w:spacing w:before="120" w:after="0"/>
              <w:ind w:left="57"/>
              <w:rPr>
                <w:rFonts w:ascii="Times New Roman" w:eastAsiaTheme="minorEastAsia" w:hAnsi="Times New Roman"/>
                <w:sz w:val="24"/>
              </w:rPr>
            </w:pPr>
            <w:r w:rsidRPr="00F56760">
              <w:rPr>
                <w:rFonts w:ascii="Times New Roman" w:hAnsi="Times New Roman"/>
                <w:sz w:val="24"/>
              </w:rPr>
              <w:t>Among</w:t>
            </w:r>
            <w:r>
              <w:rPr>
                <w:rFonts w:ascii="Times New Roman" w:hAnsi="Times New Roman"/>
                <w:sz w:val="24"/>
              </w:rPr>
              <w:t xml:space="preserve"> the 57 patients who were dependent on RBC a</w:t>
            </w:r>
            <w:r w:rsidR="0054788E">
              <w:rPr>
                <w:rFonts w:ascii="Times New Roman" w:hAnsi="Times New Roman"/>
                <w:sz w:val="24"/>
              </w:rPr>
              <w:t>n</w:t>
            </w:r>
            <w:r>
              <w:rPr>
                <w:rFonts w:ascii="Times New Roman" w:hAnsi="Times New Roman"/>
                <w:sz w:val="24"/>
              </w:rPr>
              <w:t>d/or platelet transfusions at baseline, 30 (53%) became independent of RBC and platelet transfusions during any 56-day post-baseline period. Of the 76 patients who were independent of both</w:t>
            </w:r>
            <w:r w:rsidR="0054788E">
              <w:rPr>
                <w:rFonts w:ascii="Times New Roman" w:hAnsi="Times New Roman"/>
                <w:sz w:val="24"/>
              </w:rPr>
              <w:t xml:space="preserve"> of both RBC and platelet transfusions at baseline, 48 (63%) remained transfusion-independent during any 56-day post-baseline period.  </w:t>
            </w:r>
          </w:p>
        </w:tc>
      </w:tr>
    </w:tbl>
    <w:p w14:paraId="28CFF6BD" w14:textId="5AEE19F5" w:rsidR="001A3992" w:rsidRDefault="001A3992" w:rsidP="004D3A7C">
      <w:pPr>
        <w:pStyle w:val="Heading2"/>
      </w:pPr>
      <w:bookmarkStart w:id="42" w:name="_Ref26433559"/>
      <w:r w:rsidRPr="00497C85">
        <w:t>Pharmacokinetic properties</w:t>
      </w:r>
      <w:bookmarkEnd w:id="42"/>
      <w:r w:rsidRPr="00497C85">
        <w:t xml:space="preserve"> </w:t>
      </w:r>
    </w:p>
    <w:p w14:paraId="4D39706C" w14:textId="0444BC3F" w:rsidR="001A3992" w:rsidRDefault="001A3992" w:rsidP="004D3A7C">
      <w:pPr>
        <w:pStyle w:val="Heading3"/>
      </w:pPr>
      <w:r w:rsidRPr="00497C85">
        <w:t>Absorption</w:t>
      </w:r>
      <w:r w:rsidR="00677840">
        <w:t xml:space="preserve"> </w:t>
      </w:r>
    </w:p>
    <w:p w14:paraId="53477358" w14:textId="2925DE81" w:rsidR="005D632D" w:rsidRPr="00703488" w:rsidRDefault="005D632D" w:rsidP="004D3A7C">
      <w:r w:rsidRPr="00703488">
        <w:t xml:space="preserve">After oral administration of </w:t>
      </w:r>
      <w:r w:rsidR="00C30787">
        <w:t xml:space="preserve">INQOVI </w:t>
      </w:r>
      <w:r w:rsidR="00E24D02">
        <w:t>35</w:t>
      </w:r>
      <w:r w:rsidR="00C30787">
        <w:t>/</w:t>
      </w:r>
      <w:r w:rsidR="00E24D02">
        <w:t>100</w:t>
      </w:r>
      <w:r w:rsidRPr="00703488">
        <w:t xml:space="preserve">, the median </w:t>
      </w:r>
      <w:proofErr w:type="spellStart"/>
      <w:r w:rsidRPr="00703488">
        <w:t>T</w:t>
      </w:r>
      <w:r w:rsidRPr="00703488">
        <w:rPr>
          <w:vertAlign w:val="subscript"/>
        </w:rPr>
        <w:t>max</w:t>
      </w:r>
      <w:proofErr w:type="spellEnd"/>
      <w:r w:rsidRPr="00703488">
        <w:t xml:space="preserve"> was 3 hours (range: 0.52 to 7.9) for cedazuridine and 1 hour (range: 0.3 to 3) for decitabine. When co-administered with cedazuridine, decitabine oral relative bioavailability is enhanced to achieve systemic AUC exposures seen with IV decitabine. In</w:t>
      </w:r>
      <w:r w:rsidR="002222D8">
        <w:t xml:space="preserve"> a</w:t>
      </w:r>
      <w:r w:rsidRPr="00703488">
        <w:t xml:space="preserve"> </w:t>
      </w:r>
      <w:r w:rsidRPr="00703488">
        <w:rPr>
          <w:vertAlign w:val="superscript"/>
        </w:rPr>
        <w:t>14</w:t>
      </w:r>
      <w:r w:rsidRPr="00703488">
        <w:t>C</w:t>
      </w:r>
      <w:r w:rsidRPr="00703488">
        <w:noBreakHyphen/>
        <w:t>ADME study, approximately 47.5% of oral cedazuridine dose was absorbed and bioavailability was 20.7%.</w:t>
      </w:r>
    </w:p>
    <w:p w14:paraId="4570054F" w14:textId="22566EAD" w:rsidR="00085F56" w:rsidRPr="00703488" w:rsidRDefault="00085F56" w:rsidP="004D3A7C">
      <w:r w:rsidRPr="00703488">
        <w:t xml:space="preserve">Administration of </w:t>
      </w:r>
      <w:r w:rsidR="00C30787">
        <w:t xml:space="preserve">INQOVI </w:t>
      </w:r>
      <w:r w:rsidR="00E24D02">
        <w:t>35</w:t>
      </w:r>
      <w:r w:rsidR="00C30787">
        <w:t>/</w:t>
      </w:r>
      <w:r w:rsidR="00E24D02">
        <w:t>100</w:t>
      </w:r>
      <w:r w:rsidRPr="00703488">
        <w:t xml:space="preserve"> with a high-fat, high-calorie meal (comprised of approximately 800-1000 kilocalories (kcal), including approximately 500-600 kcal from fat) decreased the mean maximum decitabine concentration (</w:t>
      </w:r>
      <w:proofErr w:type="spellStart"/>
      <w:r w:rsidRPr="00703488">
        <w:t>C</w:t>
      </w:r>
      <w:r w:rsidRPr="00703488">
        <w:rPr>
          <w:vertAlign w:val="subscript"/>
        </w:rPr>
        <w:t>max</w:t>
      </w:r>
      <w:proofErr w:type="spellEnd"/>
      <w:r w:rsidRPr="00703488">
        <w:t>) by 54% and AUC by approximately 40%. Administration with food delayed cedazuridine time to maximum concentration (</w:t>
      </w:r>
      <w:proofErr w:type="spellStart"/>
      <w:r w:rsidRPr="00703488">
        <w:t>T</w:t>
      </w:r>
      <w:r w:rsidRPr="00703488">
        <w:rPr>
          <w:vertAlign w:val="subscript"/>
        </w:rPr>
        <w:t>max</w:t>
      </w:r>
      <w:proofErr w:type="spellEnd"/>
      <w:r w:rsidRPr="00703488">
        <w:t>) slightly but had little effect on systemic exposures.</w:t>
      </w:r>
      <w:r w:rsidR="002D2E9D">
        <w:rPr>
          <w:rStyle w:val="CommentReference"/>
          <w:rFonts w:ascii="Cambria" w:hAnsi="Cambria"/>
        </w:rPr>
        <w:t xml:space="preserve"> </w:t>
      </w:r>
    </w:p>
    <w:p w14:paraId="2F9ACF2E" w14:textId="163C08BD" w:rsidR="001A3992" w:rsidRDefault="001A3992" w:rsidP="004D3A7C">
      <w:pPr>
        <w:pStyle w:val="Heading3"/>
      </w:pPr>
      <w:r w:rsidRPr="00497C85">
        <w:t>Distribution</w:t>
      </w:r>
      <w:r w:rsidR="00677840">
        <w:t xml:space="preserve"> </w:t>
      </w:r>
    </w:p>
    <w:p w14:paraId="7E20267D" w14:textId="46B55D32" w:rsidR="005D632D" w:rsidRPr="00703488" w:rsidRDefault="005D632D" w:rsidP="004D3A7C">
      <w:pPr>
        <w:rPr>
          <w:iCs/>
        </w:rPr>
      </w:pPr>
      <w:r w:rsidRPr="00703488">
        <w:t xml:space="preserve">Cedazuridine is approximately 35% bound to human plasma proteins </w:t>
      </w:r>
      <w:r w:rsidRPr="00703488">
        <w:rPr>
          <w:i/>
        </w:rPr>
        <w:t>in vitro</w:t>
      </w:r>
      <w:r w:rsidRPr="00703488">
        <w:t xml:space="preserve">. The geometric mean (CV%) of apparent volume of distribution for cedazuridine is 296 L (51%). </w:t>
      </w:r>
    </w:p>
    <w:p w14:paraId="1F21F0CA" w14:textId="36C52E0B" w:rsidR="005D632D" w:rsidRPr="00703488" w:rsidRDefault="005D632D" w:rsidP="004D3A7C">
      <w:pPr>
        <w:rPr>
          <w:iCs/>
        </w:rPr>
      </w:pPr>
      <w:bookmarkStart w:id="43" w:name="_Hlk19002694"/>
      <w:r w:rsidRPr="00703488">
        <w:t xml:space="preserve">Decitabine is approximately 5% bound to human plasma proteins </w:t>
      </w:r>
      <w:r w:rsidRPr="00703488">
        <w:rPr>
          <w:i/>
        </w:rPr>
        <w:t>in vitro</w:t>
      </w:r>
      <w:r w:rsidRPr="00703488">
        <w:t xml:space="preserve">. The geometric mean (CV%) of apparent volume of distribution at steady state is 417 L (54%). </w:t>
      </w:r>
    </w:p>
    <w:bookmarkEnd w:id="43"/>
    <w:p w14:paraId="610AD96C" w14:textId="757878EE" w:rsidR="001A3992" w:rsidRDefault="001A3992" w:rsidP="004D3A7C">
      <w:pPr>
        <w:pStyle w:val="Heading3"/>
      </w:pPr>
      <w:r w:rsidRPr="00497C85">
        <w:t>Metabolism</w:t>
      </w:r>
      <w:r w:rsidR="00677840">
        <w:t xml:space="preserve"> </w:t>
      </w:r>
    </w:p>
    <w:p w14:paraId="1EEE2EA9" w14:textId="0EC7F3BA" w:rsidR="00704645" w:rsidRPr="00704645" w:rsidRDefault="005D632D" w:rsidP="004E702A">
      <w:pPr>
        <w:pStyle w:val="Default"/>
        <w:spacing w:before="240"/>
        <w:rPr>
          <w:rFonts w:ascii="Times New Roman" w:eastAsiaTheme="minorHAnsi" w:hAnsi="Times New Roman" w:cs="Times New Roman"/>
          <w:lang w:val="en-AU"/>
        </w:rPr>
      </w:pPr>
      <w:r w:rsidRPr="004E702A">
        <w:rPr>
          <w:rFonts w:ascii="Times New Roman" w:eastAsia="MS Mincho" w:hAnsi="Times New Roman" w:cs="Times New Roman"/>
        </w:rPr>
        <w:t>The primary metabolic pathway for cedazuridine is conversion to its epimer.</w:t>
      </w:r>
      <w:r w:rsidR="002D2E9D" w:rsidRPr="004E702A">
        <w:rPr>
          <w:rFonts w:eastAsia="MS Mincho"/>
        </w:rPr>
        <w:t xml:space="preserve"> </w:t>
      </w:r>
      <w:r w:rsidR="00704645" w:rsidRPr="004E702A">
        <w:rPr>
          <w:rFonts w:eastAsia="MS Mincho"/>
        </w:rPr>
        <w:t xml:space="preserve"> </w:t>
      </w:r>
      <w:r w:rsidR="00704645" w:rsidRPr="004E702A">
        <w:rPr>
          <w:rFonts w:ascii="Times New Roman" w:eastAsia="MS Mincho" w:hAnsi="Times New Roman" w:cs="Times New Roman"/>
        </w:rPr>
        <w:t>This occurs</w:t>
      </w:r>
      <w:r w:rsidR="00704645" w:rsidRPr="00704645">
        <w:rPr>
          <w:rFonts w:ascii="Times New Roman" w:eastAsiaTheme="minorHAnsi" w:hAnsi="Times New Roman" w:cs="Times New Roman"/>
          <w:lang w:val="en-AU"/>
        </w:rPr>
        <w:t xml:space="preserve"> non-enzymatically. The </w:t>
      </w:r>
      <w:proofErr w:type="spellStart"/>
      <w:r w:rsidR="00704645" w:rsidRPr="00704645">
        <w:rPr>
          <w:rFonts w:ascii="Times New Roman" w:eastAsiaTheme="minorHAnsi" w:hAnsi="Times New Roman" w:cs="Times New Roman"/>
          <w:lang w:val="en-AU"/>
        </w:rPr>
        <w:t>epimer</w:t>
      </w:r>
      <w:proofErr w:type="spellEnd"/>
      <w:r w:rsidR="00704645" w:rsidRPr="00704645">
        <w:rPr>
          <w:rFonts w:ascii="Times New Roman" w:eastAsiaTheme="minorHAnsi" w:hAnsi="Times New Roman" w:cs="Times New Roman"/>
          <w:lang w:val="en-AU"/>
        </w:rPr>
        <w:t xml:space="preserve"> of cedazuridine is a major circulating metabolite but possesses much weaker pharmacological activity than its parent. </w:t>
      </w:r>
    </w:p>
    <w:p w14:paraId="2D252972" w14:textId="2C494E4A" w:rsidR="005D632D" w:rsidRPr="00703488" w:rsidRDefault="005D632D" w:rsidP="00704645">
      <w:pPr>
        <w:pStyle w:val="Default"/>
      </w:pPr>
      <w:r w:rsidRPr="00704645">
        <w:rPr>
          <w:rFonts w:ascii="Times New Roman" w:hAnsi="Times New Roman" w:cs="Times New Roman"/>
        </w:rPr>
        <w:t xml:space="preserve">Decitabine is mainly </w:t>
      </w:r>
      <w:proofErr w:type="spellStart"/>
      <w:r w:rsidRPr="00704645">
        <w:rPr>
          <w:rFonts w:ascii="Times New Roman" w:hAnsi="Times New Roman" w:cs="Times New Roman"/>
        </w:rPr>
        <w:t>metaboli</w:t>
      </w:r>
      <w:r w:rsidR="002222D8" w:rsidRPr="00704645">
        <w:rPr>
          <w:rFonts w:ascii="Times New Roman" w:hAnsi="Times New Roman" w:cs="Times New Roman"/>
        </w:rPr>
        <w:t>s</w:t>
      </w:r>
      <w:r w:rsidRPr="00704645">
        <w:rPr>
          <w:rFonts w:ascii="Times New Roman" w:hAnsi="Times New Roman" w:cs="Times New Roman"/>
        </w:rPr>
        <w:t>ed</w:t>
      </w:r>
      <w:proofErr w:type="spellEnd"/>
      <w:r w:rsidRPr="00704645">
        <w:rPr>
          <w:rFonts w:ascii="Times New Roman" w:hAnsi="Times New Roman" w:cs="Times New Roman"/>
        </w:rPr>
        <w:t xml:space="preserve"> via deamination by cytidine deaminase</w:t>
      </w:r>
      <w:r w:rsidR="00704645" w:rsidRPr="00704645">
        <w:rPr>
          <w:rFonts w:ascii="Times New Roman" w:hAnsi="Times New Roman" w:cs="Times New Roman"/>
        </w:rPr>
        <w:t xml:space="preserve"> (CDA) </w:t>
      </w:r>
      <w:r w:rsidR="00704645" w:rsidRPr="00704645">
        <w:rPr>
          <w:rFonts w:ascii="Times New Roman" w:eastAsiaTheme="minorHAnsi" w:hAnsi="Times New Roman" w:cs="Times New Roman"/>
          <w:lang w:val="en-AU"/>
        </w:rPr>
        <w:t xml:space="preserve">Decitabine is also subject to chemical degradation, involving oxidation, ring opening and </w:t>
      </w:r>
      <w:proofErr w:type="spellStart"/>
      <w:r w:rsidR="00704645" w:rsidRPr="00704645">
        <w:rPr>
          <w:rFonts w:ascii="Times New Roman" w:eastAsiaTheme="minorHAnsi" w:hAnsi="Times New Roman" w:cs="Times New Roman"/>
          <w:lang w:val="en-AU"/>
        </w:rPr>
        <w:t>deformylation</w:t>
      </w:r>
      <w:proofErr w:type="spellEnd"/>
      <w:r w:rsidR="00704645" w:rsidRPr="00704645">
        <w:rPr>
          <w:rFonts w:ascii="Times New Roman" w:eastAsiaTheme="minorHAnsi" w:hAnsi="Times New Roman" w:cs="Times New Roman"/>
          <w:lang w:val="en-AU"/>
        </w:rPr>
        <w:t xml:space="preserve">. </w:t>
      </w:r>
    </w:p>
    <w:p w14:paraId="7843E989" w14:textId="04129C1F" w:rsidR="001A3992" w:rsidRDefault="001A3992" w:rsidP="004D3A7C">
      <w:pPr>
        <w:pStyle w:val="Heading3"/>
      </w:pPr>
      <w:r w:rsidRPr="00497C85">
        <w:t>Excretion</w:t>
      </w:r>
    </w:p>
    <w:p w14:paraId="30E1FC8C" w14:textId="13A81B06" w:rsidR="002222D8" w:rsidRPr="002222D8" w:rsidRDefault="005129EE" w:rsidP="0098600B">
      <w:pPr>
        <w:rPr>
          <w:bCs/>
        </w:rPr>
      </w:pPr>
      <w:r w:rsidRPr="00703488">
        <w:rPr>
          <w:iCs/>
        </w:rPr>
        <w:t xml:space="preserve">Following a single oral dose of </w:t>
      </w:r>
      <w:r w:rsidR="00C30787">
        <w:rPr>
          <w:iCs/>
        </w:rPr>
        <w:t xml:space="preserve">INQOVI </w:t>
      </w:r>
      <w:r w:rsidR="00E24D02">
        <w:rPr>
          <w:iCs/>
        </w:rPr>
        <w:t>35</w:t>
      </w:r>
      <w:r w:rsidR="00C30787">
        <w:rPr>
          <w:iCs/>
        </w:rPr>
        <w:t>/</w:t>
      </w:r>
      <w:r w:rsidR="00E24D02">
        <w:rPr>
          <w:iCs/>
        </w:rPr>
        <w:t>100</w:t>
      </w:r>
      <w:r w:rsidRPr="00703488">
        <w:rPr>
          <w:iCs/>
        </w:rPr>
        <w:t>, the mean (CV%) terminal elimination half-life (T</w:t>
      </w:r>
      <w:r w:rsidRPr="00703488">
        <w:rPr>
          <w:iCs/>
          <w:vertAlign w:val="subscript"/>
        </w:rPr>
        <w:t>1/2</w:t>
      </w:r>
      <w:r w:rsidRPr="00703488">
        <w:rPr>
          <w:iCs/>
        </w:rPr>
        <w:t>) of cedazuridine was 6.3 (18%) hours. The apparent clearance was 30.6 L/</w:t>
      </w:r>
      <w:proofErr w:type="spellStart"/>
      <w:r w:rsidRPr="00703488">
        <w:rPr>
          <w:iCs/>
        </w:rPr>
        <w:t>hr</w:t>
      </w:r>
      <w:proofErr w:type="spellEnd"/>
      <w:r w:rsidRPr="00703488">
        <w:rPr>
          <w:iCs/>
        </w:rPr>
        <w:t xml:space="preserve"> at Day 1 and 30.3</w:t>
      </w:r>
      <w:r>
        <w:rPr>
          <w:iCs/>
        </w:rPr>
        <w:t> </w:t>
      </w:r>
      <w:r w:rsidRPr="00703488">
        <w:rPr>
          <w:iCs/>
        </w:rPr>
        <w:t>L/</w:t>
      </w:r>
      <w:proofErr w:type="spellStart"/>
      <w:r w:rsidRPr="00703488">
        <w:rPr>
          <w:iCs/>
        </w:rPr>
        <w:t>hr</w:t>
      </w:r>
      <w:proofErr w:type="spellEnd"/>
      <w:r w:rsidRPr="00703488">
        <w:rPr>
          <w:iCs/>
        </w:rPr>
        <w:t xml:space="preserve"> at steady state.</w:t>
      </w:r>
      <w:r w:rsidR="002D2E9D">
        <w:rPr>
          <w:rStyle w:val="CommentReference"/>
          <w:rFonts w:ascii="Cambria" w:hAnsi="Cambria"/>
        </w:rPr>
        <w:t xml:space="preserve"> </w:t>
      </w:r>
      <w:r>
        <w:rPr>
          <w:iCs/>
        </w:rPr>
        <w:t xml:space="preserve"> </w:t>
      </w:r>
      <w:r w:rsidR="002222D8" w:rsidRPr="0098600B">
        <w:t>Following a single oral dose of 100 mg radiolabeled cedazuridine, 46% (17.1% unchanged) of the administered dose was recovered in urine and 51% (mostly unabsorbed drug) was recovered in the feces. Predominant elimination pathway of cedazuridine is renal, as parent</w:t>
      </w:r>
      <w:r w:rsidR="002222D8" w:rsidRPr="002222D8">
        <w:rPr>
          <w:bCs/>
        </w:rPr>
        <w:t xml:space="preserve"> and epimer.</w:t>
      </w:r>
      <w:r w:rsidR="002D2E9D">
        <w:rPr>
          <w:rStyle w:val="CommentReference"/>
          <w:rFonts w:ascii="Cambria" w:hAnsi="Cambria"/>
        </w:rPr>
        <w:t xml:space="preserve"> </w:t>
      </w:r>
    </w:p>
    <w:p w14:paraId="73761FBB" w14:textId="25B86FAF" w:rsidR="005D632D" w:rsidRPr="00703488" w:rsidRDefault="005129EE" w:rsidP="0098600B">
      <w:r w:rsidRPr="00703488">
        <w:rPr>
          <w:iCs/>
        </w:rPr>
        <w:t xml:space="preserve">Following a single oral dose of </w:t>
      </w:r>
      <w:r w:rsidR="00C30787">
        <w:rPr>
          <w:iCs/>
        </w:rPr>
        <w:t xml:space="preserve">INQOVI </w:t>
      </w:r>
      <w:r w:rsidR="00E52E5D">
        <w:rPr>
          <w:iCs/>
        </w:rPr>
        <w:t>35</w:t>
      </w:r>
      <w:r w:rsidR="00C30787">
        <w:rPr>
          <w:iCs/>
        </w:rPr>
        <w:t>/</w:t>
      </w:r>
      <w:r w:rsidR="00E52E5D">
        <w:rPr>
          <w:iCs/>
        </w:rPr>
        <w:t>100</w:t>
      </w:r>
      <w:r w:rsidRPr="00703488">
        <w:rPr>
          <w:iCs/>
        </w:rPr>
        <w:t>, the mean (CV%) terminal elimination half-life (T</w:t>
      </w:r>
      <w:r w:rsidRPr="00703488">
        <w:rPr>
          <w:iCs/>
          <w:vertAlign w:val="subscript"/>
        </w:rPr>
        <w:t>1/2</w:t>
      </w:r>
      <w:r w:rsidRPr="00703488">
        <w:rPr>
          <w:iCs/>
        </w:rPr>
        <w:t>) of decitabine was 1.2 (23%) hours. The apparent clearance was 342 L/</w:t>
      </w:r>
      <w:proofErr w:type="spellStart"/>
      <w:r w:rsidRPr="00703488">
        <w:rPr>
          <w:iCs/>
        </w:rPr>
        <w:t>hr</w:t>
      </w:r>
      <w:proofErr w:type="spellEnd"/>
      <w:r w:rsidRPr="00703488">
        <w:rPr>
          <w:iCs/>
        </w:rPr>
        <w:t xml:space="preserve"> at Day 1 and 197 L/</w:t>
      </w:r>
      <w:proofErr w:type="spellStart"/>
      <w:r w:rsidRPr="00703488">
        <w:rPr>
          <w:iCs/>
        </w:rPr>
        <w:t>hr</w:t>
      </w:r>
      <w:proofErr w:type="spellEnd"/>
      <w:r w:rsidRPr="00703488">
        <w:rPr>
          <w:iCs/>
        </w:rPr>
        <w:t xml:space="preserve"> at steady state.</w:t>
      </w:r>
      <w:r w:rsidR="002D2E9D">
        <w:rPr>
          <w:rStyle w:val="CommentReference"/>
          <w:rFonts w:ascii="Cambria" w:hAnsi="Cambria"/>
        </w:rPr>
        <w:t xml:space="preserve"> </w:t>
      </w:r>
      <w:r>
        <w:rPr>
          <w:iCs/>
        </w:rPr>
        <w:t xml:space="preserve"> </w:t>
      </w:r>
      <w:r w:rsidR="0098600B" w:rsidRPr="0098600B">
        <w:t xml:space="preserve">The </w:t>
      </w:r>
      <w:r w:rsidR="001606D7">
        <w:t>primary</w:t>
      </w:r>
      <w:r w:rsidR="001606D7" w:rsidRPr="0098600B">
        <w:t xml:space="preserve"> </w:t>
      </w:r>
      <w:r w:rsidR="002222D8" w:rsidRPr="0098600B">
        <w:t>elimination pathway for decitabine is metabolic, by cytidine deaminase and also physicochemical degradation at physiological conditions.</w:t>
      </w:r>
      <w:r w:rsidR="002D2E9D">
        <w:rPr>
          <w:rStyle w:val="CommentReference"/>
          <w:rFonts w:ascii="Cambria" w:hAnsi="Cambria"/>
        </w:rPr>
        <w:t xml:space="preserve"> </w:t>
      </w:r>
    </w:p>
    <w:p w14:paraId="11DB04A2" w14:textId="0F7A133A" w:rsidR="00085F56" w:rsidRPr="00085F56" w:rsidRDefault="00085F56" w:rsidP="004D3A7C">
      <w:pPr>
        <w:pStyle w:val="Heading3"/>
      </w:pPr>
      <w:r w:rsidRPr="00085F56">
        <w:t>Speci</w:t>
      </w:r>
      <w:r w:rsidR="005129EE">
        <w:t>al</w:t>
      </w:r>
      <w:r w:rsidRPr="00085F56">
        <w:t xml:space="preserve"> </w:t>
      </w:r>
      <w:r w:rsidR="0098600B">
        <w:t>p</w:t>
      </w:r>
      <w:r w:rsidRPr="00085F56">
        <w:t>opulations</w:t>
      </w:r>
    </w:p>
    <w:p w14:paraId="4705DFBE" w14:textId="1E486B70" w:rsidR="0098600B" w:rsidRDefault="00085F56" w:rsidP="004D3A7C">
      <w:pPr>
        <w:pStyle w:val="NormalWeb"/>
        <w:rPr>
          <w:rFonts w:eastAsia="MS Mincho"/>
        </w:rPr>
      </w:pPr>
      <w:r w:rsidRPr="00703488">
        <w:rPr>
          <w:rFonts w:eastAsia="MS Mincho"/>
        </w:rPr>
        <w:t>Age (32</w:t>
      </w:r>
      <w:r w:rsidR="0098600B">
        <w:rPr>
          <w:rFonts w:eastAsia="MS Mincho"/>
        </w:rPr>
        <w:t>-</w:t>
      </w:r>
      <w:r w:rsidRPr="00703488">
        <w:rPr>
          <w:rFonts w:eastAsia="MS Mincho"/>
        </w:rPr>
        <w:t>90 years), sex, body weight (41</w:t>
      </w:r>
      <w:r w:rsidR="0098600B">
        <w:rPr>
          <w:rFonts w:eastAsia="MS Mincho"/>
        </w:rPr>
        <w:t>-</w:t>
      </w:r>
      <w:r w:rsidRPr="00703488">
        <w:rPr>
          <w:rFonts w:eastAsia="MS Mincho"/>
        </w:rPr>
        <w:t xml:space="preserve">158 kg), or mild to moderate hepatic impairment (total bilirubin &gt; ULN to </w:t>
      </w:r>
      <w:r w:rsidR="00A97FD5">
        <w:rPr>
          <w:rFonts w:eastAsia="MS Mincho"/>
        </w:rPr>
        <w:sym w:font="Symbol" w:char="F0A3"/>
      </w:r>
      <w:r w:rsidRPr="00703488">
        <w:rPr>
          <w:rFonts w:eastAsia="MS Mincho"/>
        </w:rPr>
        <w:t xml:space="preserve"> 1.5 × ULN or &gt; 1.5 to </w:t>
      </w:r>
      <w:r w:rsidR="00E81E58">
        <w:rPr>
          <w:rFonts w:eastAsia="MS Mincho"/>
        </w:rPr>
        <w:sym w:font="Symbol" w:char="F0A3"/>
      </w:r>
      <w:r w:rsidRPr="00703488">
        <w:rPr>
          <w:rFonts w:eastAsia="MS Mincho"/>
        </w:rPr>
        <w:t xml:space="preserve"> 3 × ULN) do not have a clinically meaningful effect on the pharmacokinetics of decitabine or cedazuridine after dosing with </w:t>
      </w:r>
      <w:r w:rsidR="00C30787">
        <w:rPr>
          <w:rFonts w:eastAsia="MS Mincho"/>
        </w:rPr>
        <w:t xml:space="preserve">INQOVI </w:t>
      </w:r>
      <w:r w:rsidR="00E52E5D">
        <w:rPr>
          <w:rFonts w:eastAsia="MS Mincho"/>
        </w:rPr>
        <w:t>35</w:t>
      </w:r>
      <w:r w:rsidR="00C30787">
        <w:rPr>
          <w:rFonts w:eastAsia="MS Mincho"/>
        </w:rPr>
        <w:t>/</w:t>
      </w:r>
      <w:r w:rsidR="00E52E5D">
        <w:rPr>
          <w:rFonts w:eastAsia="MS Mincho"/>
        </w:rPr>
        <w:t>100</w:t>
      </w:r>
      <w:r w:rsidRPr="00703488">
        <w:rPr>
          <w:rFonts w:eastAsia="MS Mincho"/>
        </w:rPr>
        <w:t xml:space="preserve">. </w:t>
      </w:r>
    </w:p>
    <w:p w14:paraId="1A4D7E4B" w14:textId="12838C00" w:rsidR="00085F56" w:rsidRPr="00703488" w:rsidRDefault="00085F56" w:rsidP="004D3A7C">
      <w:pPr>
        <w:pStyle w:val="NormalWeb"/>
        <w:rPr>
          <w:rStyle w:val="italics"/>
        </w:rPr>
      </w:pPr>
      <w:r w:rsidRPr="00703488">
        <w:rPr>
          <w:rFonts w:eastAsia="MS Mincho"/>
        </w:rPr>
        <w:t>Mild or moderate renal impairment (</w:t>
      </w:r>
      <w:proofErr w:type="spellStart"/>
      <w:r w:rsidRPr="00703488">
        <w:rPr>
          <w:rFonts w:eastAsia="MS Mincho"/>
        </w:rPr>
        <w:t>CrCL</w:t>
      </w:r>
      <w:proofErr w:type="spellEnd"/>
      <w:r w:rsidRPr="00703488">
        <w:rPr>
          <w:rFonts w:eastAsia="MS Mincho"/>
        </w:rPr>
        <w:t xml:space="preserve"> </w:t>
      </w:r>
      <w:r w:rsidR="00E81E58">
        <w:rPr>
          <w:rFonts w:eastAsia="MS Mincho"/>
        </w:rPr>
        <w:sym w:font="Symbol" w:char="F0B3"/>
      </w:r>
      <w:r w:rsidRPr="00703488">
        <w:rPr>
          <w:rFonts w:eastAsia="MS Mincho"/>
        </w:rPr>
        <w:t xml:space="preserve"> 20 up to 59 mL/min/1.73</w:t>
      </w:r>
      <w:r w:rsidR="0098600B">
        <w:rPr>
          <w:rFonts w:eastAsia="MS Mincho"/>
        </w:rPr>
        <w:t> </w:t>
      </w:r>
      <w:r w:rsidRPr="00703488">
        <w:rPr>
          <w:rFonts w:eastAsia="MS Mincho"/>
        </w:rPr>
        <w:t>m</w:t>
      </w:r>
      <w:r w:rsidRPr="0098600B">
        <w:rPr>
          <w:rFonts w:eastAsia="MS Mincho"/>
          <w:vertAlign w:val="superscript"/>
        </w:rPr>
        <w:t>2</w:t>
      </w:r>
      <w:r w:rsidRPr="00703488">
        <w:rPr>
          <w:rFonts w:eastAsia="MS Mincho"/>
        </w:rPr>
        <w:t>) had an effect on cedazuridine exposures, but not considered to be clinically meaningful. The effects of severe hepatic impairment (total bilirubin &gt; 3 × ULN) or severe renal impairment (</w:t>
      </w:r>
      <w:proofErr w:type="spellStart"/>
      <w:r w:rsidRPr="00703488">
        <w:rPr>
          <w:rFonts w:eastAsia="MS Mincho"/>
        </w:rPr>
        <w:t>CrCL</w:t>
      </w:r>
      <w:proofErr w:type="spellEnd"/>
      <w:r w:rsidRPr="00703488">
        <w:rPr>
          <w:rFonts w:eastAsia="MS Mincho"/>
        </w:rPr>
        <w:t xml:space="preserve"> &lt;20</w:t>
      </w:r>
      <w:r w:rsidR="0098600B">
        <w:rPr>
          <w:rFonts w:eastAsia="MS Mincho"/>
        </w:rPr>
        <w:t> </w:t>
      </w:r>
      <w:r w:rsidRPr="00703488">
        <w:rPr>
          <w:rFonts w:eastAsia="MS Mincho"/>
        </w:rPr>
        <w:t>mL/min/1.73</w:t>
      </w:r>
      <w:r w:rsidR="0098600B">
        <w:rPr>
          <w:rFonts w:eastAsia="MS Mincho"/>
        </w:rPr>
        <w:t> </w:t>
      </w:r>
      <w:r w:rsidRPr="00703488">
        <w:rPr>
          <w:rFonts w:eastAsia="MS Mincho"/>
        </w:rPr>
        <w:t>m</w:t>
      </w:r>
      <w:r w:rsidRPr="0098600B">
        <w:rPr>
          <w:rFonts w:eastAsia="MS Mincho"/>
          <w:vertAlign w:val="superscript"/>
        </w:rPr>
        <w:t>2</w:t>
      </w:r>
      <w:r w:rsidRPr="00703488">
        <w:rPr>
          <w:rFonts w:eastAsia="MS Mincho"/>
        </w:rPr>
        <w:t>) on the pharmacokinetics of decitabine and cedazuridine is unknown</w:t>
      </w:r>
      <w:r w:rsidRPr="00703488">
        <w:t>.</w:t>
      </w:r>
      <w:r w:rsidR="002D2E9D">
        <w:rPr>
          <w:rStyle w:val="CommentReference"/>
          <w:rFonts w:ascii="Cambria" w:eastAsia="MS Mincho" w:hAnsi="Cambria"/>
          <w:color w:val="000000"/>
        </w:rPr>
        <w:t xml:space="preserve"> </w:t>
      </w:r>
    </w:p>
    <w:p w14:paraId="60631CC9" w14:textId="77777777" w:rsidR="001A3992" w:rsidRPr="00497C85" w:rsidRDefault="001A3992" w:rsidP="004D3A7C">
      <w:pPr>
        <w:pStyle w:val="Heading2"/>
      </w:pPr>
      <w:bookmarkStart w:id="44" w:name="_Ref26454349"/>
      <w:r w:rsidRPr="00497C85">
        <w:t>Preclinical safety data</w:t>
      </w:r>
      <w:bookmarkEnd w:id="44"/>
    </w:p>
    <w:p w14:paraId="55543A23" w14:textId="2562E11E" w:rsidR="001A3992" w:rsidRDefault="001A3992" w:rsidP="005129EE">
      <w:pPr>
        <w:pStyle w:val="Heading3"/>
      </w:pPr>
      <w:r w:rsidRPr="00497C85">
        <w:t>Genotoxicity</w:t>
      </w:r>
    </w:p>
    <w:p w14:paraId="3F343809" w14:textId="790C8E1A" w:rsidR="00704645" w:rsidRDefault="00704645" w:rsidP="004E702A">
      <w:pPr>
        <w:autoSpaceDE w:val="0"/>
        <w:autoSpaceDN w:val="0"/>
        <w:adjustRightInd w:val="0"/>
      </w:pPr>
      <w:r w:rsidRPr="00704645">
        <w:rPr>
          <w:rFonts w:eastAsiaTheme="minorHAnsi"/>
          <w:lang w:val="en-AU"/>
        </w:rPr>
        <w:t xml:space="preserve">Cedazuridine and decitabine are genotoxic. </w:t>
      </w:r>
    </w:p>
    <w:p w14:paraId="7EA39210" w14:textId="690CBA2C" w:rsidR="005129EE" w:rsidRDefault="005129EE" w:rsidP="005129EE">
      <w:pPr>
        <w:rPr>
          <w:rStyle w:val="CommentReference"/>
          <w:rFonts w:ascii="Cambria" w:hAnsi="Cambria"/>
        </w:rPr>
      </w:pPr>
      <w:r w:rsidRPr="00B250E7">
        <w:t xml:space="preserve">Decitabine increased mutation frequency in L5178Y mouse lymphoma cells, and mutations were produced in an </w:t>
      </w:r>
      <w:r w:rsidR="001606D7" w:rsidRPr="00D26301">
        <w:rPr>
          <w:i/>
          <w:iCs/>
        </w:rPr>
        <w:t>Escherichia</w:t>
      </w:r>
      <w:r w:rsidRPr="00B250E7">
        <w:rPr>
          <w:i/>
          <w:iCs/>
        </w:rPr>
        <w:t> coli</w:t>
      </w:r>
      <w:r w:rsidRPr="00B250E7">
        <w:t xml:space="preserve"> lac-I transgene in colonic DNA of decitabine-treated mice. Decitabine </w:t>
      </w:r>
      <w:r w:rsidR="00B77D64">
        <w:t xml:space="preserve">also </w:t>
      </w:r>
      <w:r w:rsidRPr="00B250E7">
        <w:t>caused chromosomal rearrangements in larvae of fruit flies.</w:t>
      </w:r>
      <w:r w:rsidR="002D2E9D">
        <w:rPr>
          <w:rStyle w:val="CommentReference"/>
          <w:rFonts w:ascii="Cambria" w:hAnsi="Cambria"/>
        </w:rPr>
        <w:t xml:space="preserve"> </w:t>
      </w:r>
    </w:p>
    <w:p w14:paraId="18DF478A" w14:textId="77777777" w:rsidR="00B77D64" w:rsidRDefault="00B77D64" w:rsidP="00B77D64">
      <w:pPr>
        <w:autoSpaceDE w:val="0"/>
        <w:autoSpaceDN w:val="0"/>
        <w:adjustRightInd w:val="0"/>
        <w:spacing w:before="0"/>
        <w:rPr>
          <w:rFonts w:eastAsiaTheme="minorHAnsi"/>
          <w:lang w:val="en-AU"/>
        </w:rPr>
      </w:pPr>
    </w:p>
    <w:p w14:paraId="628D1E19" w14:textId="284F0673" w:rsidR="00B77D64" w:rsidRPr="00B77D64" w:rsidRDefault="00B77D64" w:rsidP="00B77D64">
      <w:pPr>
        <w:autoSpaceDE w:val="0"/>
        <w:autoSpaceDN w:val="0"/>
        <w:adjustRightInd w:val="0"/>
        <w:spacing w:before="0"/>
        <w:rPr>
          <w:rFonts w:eastAsiaTheme="minorHAnsi"/>
          <w:lang w:val="en-AU"/>
        </w:rPr>
      </w:pPr>
      <w:r w:rsidRPr="00B77D64">
        <w:rPr>
          <w:rFonts w:eastAsiaTheme="minorHAnsi"/>
          <w:lang w:val="en-AU"/>
        </w:rPr>
        <w:t xml:space="preserve">Cedazuridine was genotoxic in a reverse bacterial mutation assay (Ames test) and in an </w:t>
      </w:r>
      <w:r w:rsidRPr="00B77D64">
        <w:rPr>
          <w:rFonts w:eastAsiaTheme="minorHAnsi"/>
          <w:i/>
          <w:iCs/>
          <w:lang w:val="en-AU"/>
        </w:rPr>
        <w:t>in</w:t>
      </w:r>
      <w:r w:rsidR="004E702A">
        <w:rPr>
          <w:rFonts w:eastAsiaTheme="minorHAnsi"/>
          <w:i/>
          <w:iCs/>
          <w:lang w:val="en-AU"/>
        </w:rPr>
        <w:t> </w:t>
      </w:r>
      <w:r w:rsidRPr="00B77D64">
        <w:rPr>
          <w:rFonts w:eastAsiaTheme="minorHAnsi"/>
          <w:i/>
          <w:iCs/>
          <w:lang w:val="en-AU"/>
        </w:rPr>
        <w:t xml:space="preserve">vitro </w:t>
      </w:r>
      <w:r w:rsidRPr="00B77D64">
        <w:rPr>
          <w:rFonts w:eastAsiaTheme="minorHAnsi"/>
          <w:lang w:val="en-AU"/>
        </w:rPr>
        <w:t xml:space="preserve">chromosomal aberration assay in human lymphocytes. Negative results were obtained for cedazuridine in an </w:t>
      </w:r>
      <w:r w:rsidRPr="00B77D64">
        <w:rPr>
          <w:rFonts w:eastAsiaTheme="minorHAnsi"/>
          <w:i/>
          <w:iCs/>
          <w:lang w:val="en-AU"/>
        </w:rPr>
        <w:t xml:space="preserve">in vivo </w:t>
      </w:r>
      <w:r w:rsidRPr="00B77D64">
        <w:rPr>
          <w:rFonts w:eastAsiaTheme="minorHAnsi"/>
          <w:lang w:val="en-AU"/>
        </w:rPr>
        <w:t xml:space="preserve">mouse bone marrow micronucleus test. </w:t>
      </w:r>
    </w:p>
    <w:p w14:paraId="2F59FFB8" w14:textId="77777777" w:rsidR="005A2B3D" w:rsidRDefault="005A2B3D" w:rsidP="004D3A7C">
      <w:pPr>
        <w:pStyle w:val="Heading3"/>
      </w:pPr>
      <w:r w:rsidRPr="00497C85">
        <w:t>Carcinogenicity</w:t>
      </w:r>
    </w:p>
    <w:p w14:paraId="6057FACB" w14:textId="15776710" w:rsidR="005129EE" w:rsidRDefault="00D26301" w:rsidP="004D3A7C">
      <w:r w:rsidRPr="00D26301">
        <w:t>Carcinogenicity studies with decitabine</w:t>
      </w:r>
      <w:r w:rsidR="00842813">
        <w:t>, cedazuridine or the two medicines in combination</w:t>
      </w:r>
      <w:r w:rsidRPr="00D26301">
        <w:t xml:space="preserve"> have not been conducted.</w:t>
      </w:r>
      <w:r w:rsidR="002D2E9D">
        <w:rPr>
          <w:rStyle w:val="CommentReference"/>
          <w:rFonts w:ascii="Cambria" w:hAnsi="Cambria"/>
        </w:rPr>
        <w:t xml:space="preserve"> </w:t>
      </w:r>
      <w:r w:rsidR="005129EE" w:rsidRPr="005129EE">
        <w:t xml:space="preserve"> </w:t>
      </w:r>
    </w:p>
    <w:p w14:paraId="165D628F" w14:textId="116EEE02" w:rsidR="001A3992" w:rsidRPr="00497C85" w:rsidRDefault="001A3992" w:rsidP="004D3A7C">
      <w:pPr>
        <w:pStyle w:val="Heading1"/>
      </w:pPr>
      <w:r w:rsidRPr="00497C85">
        <w:t>Pharmaceutical particulars</w:t>
      </w:r>
    </w:p>
    <w:p w14:paraId="179ACD7C" w14:textId="77777777" w:rsidR="001A3992" w:rsidRPr="00497C85" w:rsidRDefault="001A3992" w:rsidP="004D3A7C">
      <w:pPr>
        <w:pStyle w:val="Heading2"/>
      </w:pPr>
      <w:r w:rsidRPr="00497C85">
        <w:t xml:space="preserve">List of excipients </w:t>
      </w:r>
    </w:p>
    <w:p w14:paraId="7D6109AE" w14:textId="05A7CE8A" w:rsidR="005129EE" w:rsidRDefault="005006E9" w:rsidP="005129EE">
      <w:r w:rsidRPr="005006E9">
        <w:t xml:space="preserve">Each film-coated tablet of </w:t>
      </w:r>
      <w:r w:rsidR="00C30787">
        <w:t xml:space="preserve">INQOVI </w:t>
      </w:r>
      <w:r w:rsidR="008A698A">
        <w:t>35</w:t>
      </w:r>
      <w:r w:rsidR="00C30787">
        <w:t>/</w:t>
      </w:r>
      <w:r w:rsidR="008A698A">
        <w:t>100</w:t>
      </w:r>
      <w:r w:rsidRPr="005006E9">
        <w:t xml:space="preserve"> contains the following inactive ingredients: lactose monohydrate, </w:t>
      </w:r>
      <w:proofErr w:type="spellStart"/>
      <w:r w:rsidRPr="005006E9">
        <w:t>hypromellose</w:t>
      </w:r>
      <w:proofErr w:type="spellEnd"/>
      <w:r w:rsidRPr="005006E9">
        <w:t xml:space="preserve">, </w:t>
      </w:r>
      <w:proofErr w:type="spellStart"/>
      <w:r w:rsidRPr="005006E9">
        <w:t>croscarmellose</w:t>
      </w:r>
      <w:proofErr w:type="spellEnd"/>
      <w:r w:rsidRPr="005006E9">
        <w:t xml:space="preserve"> sodium, colloidal </w:t>
      </w:r>
      <w:r w:rsidR="00AE4DBD">
        <w:t>anhydrous silica</w:t>
      </w:r>
      <w:r w:rsidRPr="005006E9">
        <w:t>, and magnesium stearate. The film coating material contains</w:t>
      </w:r>
      <w:r w:rsidR="00176F9B">
        <w:t xml:space="preserve"> </w:t>
      </w:r>
      <w:r w:rsidR="00176F9B" w:rsidRPr="00176F9B">
        <w:t>OPADRY II complete film coating system 85F15458 RED</w:t>
      </w:r>
      <w:r w:rsidR="00176F9B">
        <w:t xml:space="preserve"> (PI </w:t>
      </w:r>
      <w:r w:rsidR="00176F9B" w:rsidRPr="00176F9B">
        <w:t>110931</w:t>
      </w:r>
      <w:r w:rsidR="00176F9B">
        <w:t>)</w:t>
      </w:r>
      <w:r w:rsidRPr="005006E9">
        <w:t>.</w:t>
      </w:r>
    </w:p>
    <w:p w14:paraId="624DDE1B" w14:textId="71081AEC" w:rsidR="001A3992" w:rsidRPr="00497C85" w:rsidRDefault="001A3992" w:rsidP="004D3A7C">
      <w:pPr>
        <w:pStyle w:val="Heading2"/>
      </w:pPr>
      <w:r w:rsidRPr="00497C85">
        <w:t xml:space="preserve">Incompatibilities </w:t>
      </w:r>
    </w:p>
    <w:p w14:paraId="604E8D98" w14:textId="2E97F0D8" w:rsidR="00497C85" w:rsidRPr="00497C85" w:rsidRDefault="00497C85" w:rsidP="004D3A7C">
      <w:r w:rsidRPr="00497C85">
        <w:rPr>
          <w:lang w:val="en"/>
        </w:rPr>
        <w:t xml:space="preserve">Incompatibilities were either not assessed or not identified as part of the registration of this medicine. </w:t>
      </w:r>
    </w:p>
    <w:p w14:paraId="409AED9D" w14:textId="77777777" w:rsidR="001A3992" w:rsidRPr="00497C85" w:rsidRDefault="001A3992" w:rsidP="004D3A7C">
      <w:pPr>
        <w:pStyle w:val="Heading2"/>
      </w:pPr>
      <w:r w:rsidRPr="00497C85">
        <w:t xml:space="preserve">Shelf life </w:t>
      </w:r>
    </w:p>
    <w:p w14:paraId="129A815F" w14:textId="15FF611E" w:rsidR="00497C85" w:rsidRPr="00497C85" w:rsidRDefault="00497C85" w:rsidP="004D3A7C">
      <w:r w:rsidRPr="00497C85">
        <w:rPr>
          <w:lang w:val="en"/>
        </w:rPr>
        <w:t xml:space="preserve">In Australia, information on the shelf life can be found on the public summary of the Australian Register of Therapeutic Goods (ARTG). The expiry date can be found on the packaging. </w:t>
      </w:r>
    </w:p>
    <w:p w14:paraId="4C61CB1D" w14:textId="482B912B" w:rsidR="001A3992" w:rsidRDefault="001A3992" w:rsidP="004D3A7C">
      <w:pPr>
        <w:pStyle w:val="Heading2"/>
      </w:pPr>
      <w:r w:rsidRPr="00497C85">
        <w:t xml:space="preserve">Special precautions for storage </w:t>
      </w:r>
    </w:p>
    <w:p w14:paraId="507664B2" w14:textId="0E2EACEF" w:rsidR="00B250E7" w:rsidRPr="00343383" w:rsidRDefault="00B250E7" w:rsidP="004D3A7C">
      <w:r w:rsidRPr="00343383">
        <w:t>Store</w:t>
      </w:r>
      <w:r w:rsidR="003B6810">
        <w:t xml:space="preserve"> below </w:t>
      </w:r>
      <w:r w:rsidR="00D6094D">
        <w:t>25°C.</w:t>
      </w:r>
      <w:r w:rsidR="002D2E9D">
        <w:rPr>
          <w:rStyle w:val="CommentReference"/>
          <w:rFonts w:ascii="Cambria" w:hAnsi="Cambria"/>
        </w:rPr>
        <w:t xml:space="preserve"> </w:t>
      </w:r>
    </w:p>
    <w:p w14:paraId="5EB9FAD0" w14:textId="3E5E1B8C" w:rsidR="001A3992" w:rsidRDefault="001A3992" w:rsidP="004D3A7C">
      <w:pPr>
        <w:pStyle w:val="Heading2"/>
      </w:pPr>
      <w:r w:rsidRPr="00497C85">
        <w:t xml:space="preserve">Nature and contents of container </w:t>
      </w:r>
    </w:p>
    <w:p w14:paraId="6DC2C4AA" w14:textId="3B55787B" w:rsidR="00C25643" w:rsidRPr="00343383" w:rsidRDefault="00C25643" w:rsidP="00C25643">
      <w:r>
        <w:t>H</w:t>
      </w:r>
      <w:r w:rsidRPr="00C25643">
        <w:t xml:space="preserve">igh-density polyethylene </w:t>
      </w:r>
      <w:r>
        <w:t>(</w:t>
      </w:r>
      <w:r w:rsidR="00B250E7" w:rsidRPr="00343383">
        <w:t>HDPE</w:t>
      </w:r>
      <w:r>
        <w:t>)</w:t>
      </w:r>
      <w:r w:rsidR="00B250E7" w:rsidRPr="00343383">
        <w:t xml:space="preserve"> bottle</w:t>
      </w:r>
      <w:r>
        <w:t>s</w:t>
      </w:r>
      <w:r w:rsidR="00B250E7" w:rsidRPr="00343383">
        <w:t xml:space="preserve"> with child resistant closure </w:t>
      </w:r>
      <w:r>
        <w:t>containing a silica gel desiccant. Pack size: 5 film-coated tablets.</w:t>
      </w:r>
    </w:p>
    <w:p w14:paraId="1FD7F141" w14:textId="143EE172" w:rsidR="001A3992" w:rsidRPr="00497C85" w:rsidRDefault="001A3992" w:rsidP="004D3A7C">
      <w:pPr>
        <w:pStyle w:val="Heading2"/>
      </w:pPr>
      <w:r w:rsidRPr="00497C85">
        <w:t xml:space="preserve">Special precautions for disposal </w:t>
      </w:r>
    </w:p>
    <w:p w14:paraId="3A4F0F79" w14:textId="4E4FC4D3" w:rsidR="00497C85" w:rsidRDefault="00497C85" w:rsidP="004D3A7C">
      <w:pPr>
        <w:rPr>
          <w:lang w:val="en"/>
        </w:rPr>
      </w:pPr>
      <w:r w:rsidRPr="00497C85">
        <w:rPr>
          <w:lang w:val="en"/>
        </w:rPr>
        <w:t xml:space="preserve">In Australia, any unused medicine or waste material should be disposed of by taking </w:t>
      </w:r>
      <w:r w:rsidR="001606D7">
        <w:rPr>
          <w:lang w:val="en"/>
        </w:rPr>
        <w:t xml:space="preserve">it </w:t>
      </w:r>
      <w:r w:rsidRPr="00497C85">
        <w:rPr>
          <w:lang w:val="en"/>
        </w:rPr>
        <w:t xml:space="preserve">to your local pharmacy. </w:t>
      </w:r>
    </w:p>
    <w:p w14:paraId="653EAEF6" w14:textId="378991E7" w:rsidR="000828D9" w:rsidRDefault="000828D9" w:rsidP="000828D9">
      <w:pPr>
        <w:pStyle w:val="Heading2"/>
        <w:rPr>
          <w:lang w:val="en"/>
        </w:rPr>
      </w:pPr>
      <w:r>
        <w:rPr>
          <w:lang w:val="en"/>
        </w:rPr>
        <w:t>Physicochemical properties</w:t>
      </w:r>
    </w:p>
    <w:p w14:paraId="33AF1BEB" w14:textId="19BF57E6" w:rsidR="000828D9" w:rsidRDefault="000828D9" w:rsidP="000828D9">
      <w:pPr>
        <w:pStyle w:val="Heading3"/>
        <w:rPr>
          <w:lang w:val="en"/>
        </w:rPr>
      </w:pPr>
      <w:r>
        <w:rPr>
          <w:lang w:val="en"/>
        </w:rPr>
        <w:t>Chemical Structure</w:t>
      </w:r>
    </w:p>
    <w:p w14:paraId="5C9BC3A2" w14:textId="1BD8DBCB" w:rsidR="000828D9" w:rsidRPr="000828D9" w:rsidRDefault="000828D9" w:rsidP="000828D9">
      <w:pPr>
        <w:pStyle w:val="Heading4"/>
        <w:rPr>
          <w:lang w:val="en"/>
        </w:rPr>
      </w:pPr>
      <w:r>
        <w:rPr>
          <w:lang w:val="en"/>
        </w:rPr>
        <w:t>Decitabine</w:t>
      </w:r>
    </w:p>
    <w:p w14:paraId="2DCC4B81" w14:textId="691FAB51" w:rsidR="00307503" w:rsidRPr="00E84644" w:rsidRDefault="00307503" w:rsidP="004D3A7C">
      <w:r w:rsidRPr="00E84644">
        <w:t>Decitabine is a nucleoside metabolic inhibitor. Decitabine is white to off-white solid with the molecular formula of C</w:t>
      </w:r>
      <w:r w:rsidRPr="00E84644">
        <w:rPr>
          <w:vertAlign w:val="subscript"/>
        </w:rPr>
        <w:t>8</w:t>
      </w:r>
      <w:r w:rsidRPr="00E84644">
        <w:t>H</w:t>
      </w:r>
      <w:r w:rsidRPr="00E84644">
        <w:rPr>
          <w:vertAlign w:val="subscript"/>
        </w:rPr>
        <w:t>12</w:t>
      </w:r>
      <w:r w:rsidRPr="00E84644">
        <w:t>N</w:t>
      </w:r>
      <w:r w:rsidRPr="00E84644">
        <w:rPr>
          <w:vertAlign w:val="subscript"/>
        </w:rPr>
        <w:t>4</w:t>
      </w:r>
      <w:r w:rsidRPr="00E84644">
        <w:t>O</w:t>
      </w:r>
      <w:r w:rsidRPr="00E84644">
        <w:rPr>
          <w:vertAlign w:val="subscript"/>
        </w:rPr>
        <w:t>4</w:t>
      </w:r>
      <w:r w:rsidRPr="00E84644">
        <w:t xml:space="preserve"> and a molecular weight of 228.21 </w:t>
      </w:r>
      <w:proofErr w:type="spellStart"/>
      <w:r w:rsidRPr="00E84644">
        <w:t>daltons</w:t>
      </w:r>
      <w:proofErr w:type="spellEnd"/>
      <w:r w:rsidRPr="00E84644">
        <w:t>. Its IUPAC chemical name is 4-amino-1-[(2</w:t>
      </w:r>
      <w:r w:rsidRPr="00E84644">
        <w:rPr>
          <w:i/>
          <w:iCs/>
        </w:rPr>
        <w:t>R</w:t>
      </w:r>
      <w:r w:rsidRPr="00E84644">
        <w:t>,4</w:t>
      </w:r>
      <w:r w:rsidRPr="00E84644">
        <w:rPr>
          <w:i/>
          <w:iCs/>
        </w:rPr>
        <w:t>S</w:t>
      </w:r>
      <w:r w:rsidRPr="00E84644">
        <w:t>,5</w:t>
      </w:r>
      <w:r w:rsidRPr="00E84644">
        <w:rPr>
          <w:i/>
          <w:iCs/>
        </w:rPr>
        <w:t>R</w:t>
      </w:r>
      <w:r w:rsidRPr="00E84644">
        <w:t>)-4-hydroxy-5-(hydroxymethyl)oxolan-2-yl]-1,3,5-triazin-2(1</w:t>
      </w:r>
      <w:r w:rsidRPr="00E84644">
        <w:rPr>
          <w:i/>
        </w:rPr>
        <w:t>H</w:t>
      </w:r>
      <w:r w:rsidRPr="00E84644">
        <w:t>)-one and it has the following structural formula:</w:t>
      </w:r>
      <w:r w:rsidR="002D2E9D">
        <w:rPr>
          <w:rStyle w:val="CommentReference"/>
          <w:rFonts w:ascii="Cambria" w:hAnsi="Cambria"/>
        </w:rPr>
        <w:t xml:space="preserve"> </w:t>
      </w:r>
    </w:p>
    <w:p w14:paraId="63B88E42" w14:textId="244EE1D3" w:rsidR="00307503" w:rsidRDefault="00E81E58" w:rsidP="004D3A7C">
      <w:r>
        <w:object w:dxaOrig="2690" w:dyaOrig="986" w14:anchorId="58D899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ecitabine structural formula&#10;" style="width:192.2pt;height:71.35pt" o:ole="">
            <v:imagedata r:id="rId14" o:title=""/>
          </v:shape>
          <o:OLEObject Type="Embed" ProgID="ChemDraw.Document.6.0" ShapeID="_x0000_i1025" DrawAspect="Content" ObjectID="_1674464611" r:id="rId15"/>
        </w:object>
      </w:r>
    </w:p>
    <w:p w14:paraId="7C4AA460" w14:textId="77777777" w:rsidR="005A6C7B" w:rsidRPr="005A6C7B" w:rsidRDefault="005A6C7B" w:rsidP="00E81E58">
      <w:pPr>
        <w:pageBreakBefore/>
        <w:rPr>
          <w:b/>
          <w:bCs/>
          <w:i/>
          <w:iCs/>
        </w:rPr>
      </w:pPr>
      <w:r w:rsidRPr="005A6C7B">
        <w:rPr>
          <w:b/>
          <w:bCs/>
          <w:i/>
          <w:iCs/>
        </w:rPr>
        <w:t>Cedazuridine</w:t>
      </w:r>
    </w:p>
    <w:p w14:paraId="5690F308" w14:textId="6FA1F01E" w:rsidR="005A6C7B" w:rsidRDefault="005A6C7B" w:rsidP="005A6C7B">
      <w:r w:rsidRPr="005A6C7B">
        <w:rPr>
          <w:lang w:val="en"/>
        </w:rPr>
        <w:t>Cedazuridine is a cytidine deaminase inhibitor.</w:t>
      </w:r>
      <w:r w:rsidRPr="005A6C7B">
        <w:t xml:space="preserve"> </w:t>
      </w:r>
      <w:r w:rsidRPr="005A6C7B">
        <w:rPr>
          <w:lang w:val="en"/>
        </w:rPr>
        <w:t>Cedazuridine is white to off-white solid with molecular formula of C</w:t>
      </w:r>
      <w:r w:rsidRPr="005A6C7B">
        <w:rPr>
          <w:vertAlign w:val="subscript"/>
          <w:lang w:val="en"/>
        </w:rPr>
        <w:t>9</w:t>
      </w:r>
      <w:r w:rsidRPr="005A6C7B">
        <w:rPr>
          <w:lang w:val="en"/>
        </w:rPr>
        <w:t>H</w:t>
      </w:r>
      <w:r w:rsidRPr="005A6C7B">
        <w:rPr>
          <w:vertAlign w:val="subscript"/>
          <w:lang w:val="en"/>
        </w:rPr>
        <w:t>14</w:t>
      </w:r>
      <w:r w:rsidRPr="005A6C7B">
        <w:rPr>
          <w:lang w:val="en"/>
        </w:rPr>
        <w:t>F</w:t>
      </w:r>
      <w:r w:rsidRPr="005A6C7B">
        <w:rPr>
          <w:vertAlign w:val="subscript"/>
          <w:lang w:val="en"/>
        </w:rPr>
        <w:t>2</w:t>
      </w:r>
      <w:r w:rsidRPr="005A6C7B">
        <w:rPr>
          <w:lang w:val="en"/>
        </w:rPr>
        <w:t>N</w:t>
      </w:r>
      <w:r w:rsidRPr="005A6C7B">
        <w:rPr>
          <w:vertAlign w:val="subscript"/>
          <w:lang w:val="en"/>
        </w:rPr>
        <w:t>2</w:t>
      </w:r>
      <w:r w:rsidRPr="005A6C7B">
        <w:rPr>
          <w:lang w:val="en"/>
        </w:rPr>
        <w:t>O</w:t>
      </w:r>
      <w:r w:rsidRPr="005A6C7B">
        <w:rPr>
          <w:vertAlign w:val="subscript"/>
          <w:lang w:val="en"/>
        </w:rPr>
        <w:t>5</w:t>
      </w:r>
      <w:r w:rsidRPr="005A6C7B">
        <w:rPr>
          <w:lang w:val="en"/>
        </w:rPr>
        <w:t xml:space="preserve"> and a molecular weight of 268.21 </w:t>
      </w:r>
      <w:proofErr w:type="spellStart"/>
      <w:r w:rsidRPr="005A6C7B">
        <w:rPr>
          <w:lang w:val="en"/>
        </w:rPr>
        <w:t>daltons</w:t>
      </w:r>
      <w:proofErr w:type="spellEnd"/>
      <w:r w:rsidRPr="005A6C7B">
        <w:rPr>
          <w:lang w:val="en"/>
        </w:rPr>
        <w:t>. Its international union of pure and applied chemistry (IUPAC) chemical name is (4</w:t>
      </w:r>
      <w:r w:rsidRPr="005A6C7B">
        <w:rPr>
          <w:i/>
          <w:lang w:val="en"/>
        </w:rPr>
        <w:t>R</w:t>
      </w:r>
      <w:r w:rsidRPr="005A6C7B">
        <w:rPr>
          <w:lang w:val="en"/>
        </w:rPr>
        <w:t>)-1-[(2</w:t>
      </w:r>
      <w:r w:rsidRPr="005A6C7B">
        <w:rPr>
          <w:i/>
          <w:lang w:val="en"/>
        </w:rPr>
        <w:t>R</w:t>
      </w:r>
      <w:r w:rsidRPr="005A6C7B">
        <w:rPr>
          <w:lang w:val="en"/>
        </w:rPr>
        <w:t>,4</w:t>
      </w:r>
      <w:r w:rsidRPr="005A6C7B">
        <w:rPr>
          <w:i/>
          <w:lang w:val="en"/>
        </w:rPr>
        <w:t>R</w:t>
      </w:r>
      <w:r w:rsidRPr="005A6C7B">
        <w:rPr>
          <w:lang w:val="en"/>
        </w:rPr>
        <w:t>,5</w:t>
      </w:r>
      <w:r w:rsidRPr="005A6C7B">
        <w:rPr>
          <w:i/>
          <w:lang w:val="en"/>
        </w:rPr>
        <w:t>R</w:t>
      </w:r>
      <w:r w:rsidRPr="005A6C7B">
        <w:rPr>
          <w:lang w:val="en"/>
        </w:rPr>
        <w:t>)-3,3-difluoro-4-hydroxy-5-(hydroxymethyl)oxolan-2-yl]-4-hydroxy-1,3-diazinan-2-one and has the following structural formula:</w:t>
      </w:r>
      <w:r w:rsidRPr="005A6C7B">
        <w:t xml:space="preserve"> </w:t>
      </w:r>
    </w:p>
    <w:p w14:paraId="70E7F63C" w14:textId="75349E0A" w:rsidR="00C97F07" w:rsidRDefault="00E81E58" w:rsidP="005A6C7B">
      <w:r>
        <w:object w:dxaOrig="2611" w:dyaOrig="981" w14:anchorId="2B6F6D06">
          <v:shape id="_x0000_i1026" type="#_x0000_t75" alt="cedazuridine structural formula" style="width:192.2pt;height:71.35pt;mso-position-vertical:absolute" o:ole="">
            <v:imagedata r:id="rId16" o:title=""/>
          </v:shape>
          <o:OLEObject Type="Embed" ProgID="ChemDraw.Document.6.0" ShapeID="_x0000_i1026" DrawAspect="Content" ObjectID="_1674464612" r:id="rId17"/>
        </w:object>
      </w:r>
    </w:p>
    <w:p w14:paraId="37D777E2" w14:textId="7380BAF2" w:rsidR="005A6C7B" w:rsidRPr="005A6C7B" w:rsidRDefault="005A6C7B" w:rsidP="005A6C7B">
      <w:pPr>
        <w:rPr>
          <w:lang w:val="en"/>
        </w:rPr>
      </w:pPr>
    </w:p>
    <w:p w14:paraId="7B302E14" w14:textId="5C23B53A" w:rsidR="001A3992" w:rsidRDefault="001A3992" w:rsidP="004D3A7C">
      <w:pPr>
        <w:pStyle w:val="Heading3"/>
      </w:pPr>
      <w:r w:rsidRPr="00497C85">
        <w:t>CAS number</w:t>
      </w:r>
      <w:r w:rsidR="00D6094D">
        <w:t>s</w:t>
      </w:r>
    </w:p>
    <w:p w14:paraId="60EC4829" w14:textId="2E3C1504" w:rsidR="0079101D" w:rsidRPr="0079101D" w:rsidRDefault="0079101D" w:rsidP="0079101D">
      <w:r w:rsidRPr="0079101D">
        <w:t>Decitabine:</w:t>
      </w:r>
      <w:r w:rsidRPr="0079101D">
        <w:tab/>
      </w:r>
      <w:r w:rsidRPr="0079101D">
        <w:tab/>
        <w:t>2353-33-5</w:t>
      </w:r>
    </w:p>
    <w:p w14:paraId="7B8C8FC1" w14:textId="7C98171D" w:rsidR="00307503" w:rsidRPr="00307503" w:rsidRDefault="00307503" w:rsidP="004D3A7C">
      <w:r w:rsidRPr="00307503">
        <w:t>Cedazuridine</w:t>
      </w:r>
      <w:r>
        <w:t>:</w:t>
      </w:r>
      <w:r>
        <w:tab/>
      </w:r>
      <w:r>
        <w:tab/>
      </w:r>
      <w:r w:rsidRPr="00307503">
        <w:t>1141397-80-9</w:t>
      </w:r>
    </w:p>
    <w:p w14:paraId="0264B699" w14:textId="1E9388CA" w:rsidR="001A3992" w:rsidRDefault="001A3992" w:rsidP="004D3A7C">
      <w:pPr>
        <w:pStyle w:val="Heading1"/>
      </w:pPr>
      <w:r w:rsidRPr="00497C85">
        <w:t>Medicine schedule (Poisons Standard)</w:t>
      </w:r>
    </w:p>
    <w:p w14:paraId="40E2FD91" w14:textId="77777777" w:rsidR="00307503" w:rsidRPr="0029588A" w:rsidRDefault="00307503" w:rsidP="004D3A7C">
      <w:r w:rsidRPr="00D132A5">
        <w:t>S4</w:t>
      </w:r>
      <w:r>
        <w:t xml:space="preserve"> – </w:t>
      </w:r>
      <w:r w:rsidRPr="00383BCD">
        <w:t>PRESCRIPTION ONLY MEDICINE</w:t>
      </w:r>
    </w:p>
    <w:p w14:paraId="6CBDAC79" w14:textId="40ED23A0" w:rsidR="001A3992" w:rsidRDefault="001A3992" w:rsidP="004D3A7C">
      <w:pPr>
        <w:pStyle w:val="Heading1"/>
      </w:pPr>
      <w:r w:rsidRPr="00497C85">
        <w:t>Sponsor</w:t>
      </w:r>
    </w:p>
    <w:p w14:paraId="103E48AD" w14:textId="77777777" w:rsidR="00911DB8" w:rsidRDefault="00911DB8" w:rsidP="004D3A7C">
      <w:pPr>
        <w:contextualSpacing/>
      </w:pPr>
      <w:r>
        <w:t>Otsuka Australia Pharmaceutical Pty Ltd</w:t>
      </w:r>
    </w:p>
    <w:p w14:paraId="4076C16E" w14:textId="77777777" w:rsidR="00911DB8" w:rsidRDefault="00911DB8" w:rsidP="004D3A7C">
      <w:pPr>
        <w:contextualSpacing/>
      </w:pPr>
      <w:r>
        <w:t>Suite 2.03, Level 2</w:t>
      </w:r>
    </w:p>
    <w:p w14:paraId="26E775B9" w14:textId="77777777" w:rsidR="00911DB8" w:rsidRDefault="00911DB8" w:rsidP="004D3A7C">
      <w:pPr>
        <w:contextualSpacing/>
      </w:pPr>
      <w:r>
        <w:t>9 Help Street</w:t>
      </w:r>
    </w:p>
    <w:p w14:paraId="189C0F1B" w14:textId="77777777" w:rsidR="00911DB8" w:rsidRDefault="00911DB8" w:rsidP="004D3A7C">
      <w:pPr>
        <w:contextualSpacing/>
      </w:pPr>
      <w:r>
        <w:t>Chatswood NSW 2067</w:t>
      </w:r>
    </w:p>
    <w:p w14:paraId="54AB6F30" w14:textId="040C31C4" w:rsidR="00E84644" w:rsidRDefault="00506F3D" w:rsidP="004D3A7C">
      <w:hyperlink r:id="rId18" w:history="1">
        <w:r w:rsidR="00F90621" w:rsidRPr="007126C8">
          <w:rPr>
            <w:rStyle w:val="Hyperlink"/>
          </w:rPr>
          <w:t>www.otsuka.com.au</w:t>
        </w:r>
      </w:hyperlink>
    </w:p>
    <w:p w14:paraId="62D76CB5" w14:textId="06958A7F" w:rsidR="00F90621" w:rsidRPr="00E84644" w:rsidRDefault="00F90621" w:rsidP="004D3A7C">
      <w:r w:rsidRPr="00F90621">
        <w:t>INQOVI</w:t>
      </w:r>
      <w:r w:rsidRPr="00F90621">
        <w:rPr>
          <w:vertAlign w:val="superscript"/>
        </w:rPr>
        <w:t>®</w:t>
      </w:r>
      <w:r w:rsidRPr="00F90621">
        <w:t xml:space="preserve"> is a registered trademark of Otsuka Pharmaceutical Co., Ltd.</w:t>
      </w:r>
    </w:p>
    <w:p w14:paraId="438E9432" w14:textId="475F9E74" w:rsidR="001A3992" w:rsidRDefault="001A3992" w:rsidP="004D3A7C">
      <w:pPr>
        <w:pStyle w:val="Heading1"/>
      </w:pPr>
      <w:r w:rsidRPr="00497C85">
        <w:t xml:space="preserve">Date of first approval  </w:t>
      </w:r>
    </w:p>
    <w:p w14:paraId="3A4E97A4" w14:textId="61476888" w:rsidR="00307503" w:rsidRPr="00307503" w:rsidRDefault="000F677F" w:rsidP="004D3A7C">
      <w:r>
        <w:t>29 October 2020</w:t>
      </w:r>
    </w:p>
    <w:p w14:paraId="4FD824D8" w14:textId="77777777" w:rsidR="001A3992" w:rsidRPr="00497C85" w:rsidRDefault="001A3992" w:rsidP="004D3A7C">
      <w:pPr>
        <w:pStyle w:val="Heading1"/>
      </w:pPr>
      <w:r w:rsidRPr="00497C85">
        <w:t xml:space="preserve">Date of revision </w:t>
      </w:r>
    </w:p>
    <w:p w14:paraId="7E2971FC" w14:textId="3CDB6FAF" w:rsidR="007D6BC7" w:rsidRDefault="007D6BC7" w:rsidP="004D3A7C"/>
    <w:sectPr w:rsidR="007D6BC7">
      <w:headerReference w:type="even" r:id="rId19"/>
      <w:headerReference w:type="default" r:id="rId20"/>
      <w:footerReference w:type="even" r:id="rId21"/>
      <w:footerReference w:type="default" r:id="rId22"/>
      <w:headerReference w:type="first" r:id="rId23"/>
      <w:footerReference w:type="first" r:id="rId24"/>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AF51C9" w14:textId="77777777" w:rsidR="00A97FD5" w:rsidRDefault="00A97FD5" w:rsidP="004D3A7C">
      <w:r>
        <w:separator/>
      </w:r>
    </w:p>
  </w:endnote>
  <w:endnote w:type="continuationSeparator" w:id="0">
    <w:p w14:paraId="4AEBD5B2" w14:textId="77777777" w:rsidR="00A97FD5" w:rsidRDefault="00A97FD5" w:rsidP="004D3A7C">
      <w:r>
        <w:continuationSeparator/>
      </w:r>
    </w:p>
  </w:endnote>
  <w:endnote w:type="continuationNotice" w:id="1">
    <w:p w14:paraId="3140EC3C" w14:textId="77777777" w:rsidR="00A97FD5" w:rsidRDefault="00A97FD5">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 Helvetica Bold">
    <w:altName w:val="Calibri"/>
    <w:panose1 w:val="00000000000000000000"/>
    <w:charset w:val="00"/>
    <w:family w:val="auto"/>
    <w:notTrueType/>
    <w:pitch w:val="default"/>
    <w:sig w:usb0="00000003" w:usb1="00000000" w:usb2="00000000" w:usb3="00000000" w:csb0="00000001" w:csb1="00000000"/>
  </w:font>
  <w:font w:name="Times New Roman Bold">
    <w:panose1 w:val="02020803070505020304"/>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Wingdings 3">
    <w:panose1 w:val="050401020108070707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A8387A" w14:textId="77777777" w:rsidR="00A97FD5" w:rsidRDefault="00A97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0"/>
        <w:szCs w:val="20"/>
        <w:highlight w:val="yellow"/>
      </w:rPr>
      <w:id w:val="-593163430"/>
      <w:docPartObj>
        <w:docPartGallery w:val="Page Numbers (Bottom of Page)"/>
        <w:docPartUnique/>
      </w:docPartObj>
    </w:sdtPr>
    <w:sdtEndPr>
      <w:rPr>
        <w:noProof/>
      </w:rPr>
    </w:sdtEndPr>
    <w:sdtContent>
      <w:p w14:paraId="0C66FE98" w14:textId="52D03DB8" w:rsidR="00A97FD5" w:rsidRPr="00034389" w:rsidRDefault="00A97FD5" w:rsidP="00034389">
        <w:pPr>
          <w:pStyle w:val="Footer"/>
          <w:jc w:val="right"/>
          <w:rPr>
            <w:rFonts w:ascii="Times New Roman" w:hAnsi="Times New Roman"/>
            <w:sz w:val="20"/>
            <w:szCs w:val="20"/>
          </w:rPr>
        </w:pPr>
        <w:r>
          <w:rPr>
            <w:rFonts w:ascii="Times New Roman" w:hAnsi="Times New Roman"/>
            <w:sz w:val="20"/>
            <w:szCs w:val="20"/>
          </w:rPr>
          <w:t>22 September 2020</w:t>
        </w:r>
        <w:r>
          <w:rPr>
            <w:rFonts w:ascii="Times New Roman" w:hAnsi="Times New Roman"/>
            <w:sz w:val="20"/>
            <w:szCs w:val="20"/>
          </w:rPr>
          <w:tab/>
        </w:r>
        <w:r>
          <w:rPr>
            <w:rFonts w:ascii="Times New Roman" w:hAnsi="Times New Roman"/>
            <w:sz w:val="20"/>
            <w:szCs w:val="20"/>
          </w:rPr>
          <w:tab/>
        </w:r>
        <w:r w:rsidRPr="00034389">
          <w:rPr>
            <w:rFonts w:ascii="Times New Roman" w:hAnsi="Times New Roman"/>
            <w:sz w:val="20"/>
            <w:szCs w:val="20"/>
          </w:rPr>
          <w:t xml:space="preserve">Page </w:t>
        </w:r>
        <w:r w:rsidRPr="00034389">
          <w:rPr>
            <w:rFonts w:ascii="Times New Roman" w:hAnsi="Times New Roman"/>
            <w:sz w:val="20"/>
            <w:szCs w:val="20"/>
          </w:rPr>
          <w:fldChar w:fldCharType="begin"/>
        </w:r>
        <w:r w:rsidRPr="00034389">
          <w:rPr>
            <w:rFonts w:ascii="Times New Roman" w:hAnsi="Times New Roman"/>
            <w:sz w:val="20"/>
            <w:szCs w:val="20"/>
          </w:rPr>
          <w:instrText xml:space="preserve"> PAGE </w:instrText>
        </w:r>
        <w:r w:rsidRPr="00034389">
          <w:rPr>
            <w:rFonts w:ascii="Times New Roman" w:hAnsi="Times New Roman"/>
            <w:sz w:val="20"/>
            <w:szCs w:val="20"/>
          </w:rPr>
          <w:fldChar w:fldCharType="separate"/>
        </w:r>
        <w:r w:rsidR="00506F3D">
          <w:rPr>
            <w:rFonts w:ascii="Times New Roman" w:hAnsi="Times New Roman"/>
            <w:noProof/>
            <w:sz w:val="20"/>
            <w:szCs w:val="20"/>
          </w:rPr>
          <w:t>8</w:t>
        </w:r>
        <w:r w:rsidRPr="00034389">
          <w:rPr>
            <w:rFonts w:ascii="Times New Roman" w:hAnsi="Times New Roman"/>
            <w:sz w:val="20"/>
            <w:szCs w:val="20"/>
          </w:rPr>
          <w:fldChar w:fldCharType="end"/>
        </w:r>
        <w:r w:rsidRPr="00034389">
          <w:rPr>
            <w:rFonts w:ascii="Times New Roman" w:hAnsi="Times New Roman"/>
            <w:sz w:val="20"/>
            <w:szCs w:val="20"/>
          </w:rPr>
          <w:t xml:space="preserve"> of </w:t>
        </w:r>
        <w:r w:rsidRPr="00034389">
          <w:rPr>
            <w:rFonts w:ascii="Times New Roman" w:hAnsi="Times New Roman"/>
            <w:sz w:val="20"/>
            <w:szCs w:val="20"/>
          </w:rPr>
          <w:fldChar w:fldCharType="begin"/>
        </w:r>
        <w:r w:rsidRPr="00034389">
          <w:rPr>
            <w:rFonts w:ascii="Times New Roman" w:hAnsi="Times New Roman"/>
            <w:sz w:val="20"/>
            <w:szCs w:val="20"/>
          </w:rPr>
          <w:instrText xml:space="preserve"> NUMPAGES  </w:instrText>
        </w:r>
        <w:r w:rsidRPr="00034389">
          <w:rPr>
            <w:rFonts w:ascii="Times New Roman" w:hAnsi="Times New Roman"/>
            <w:sz w:val="20"/>
            <w:szCs w:val="20"/>
          </w:rPr>
          <w:fldChar w:fldCharType="separate"/>
        </w:r>
        <w:r w:rsidR="00506F3D">
          <w:rPr>
            <w:rFonts w:ascii="Times New Roman" w:hAnsi="Times New Roman"/>
            <w:noProof/>
            <w:sz w:val="20"/>
            <w:szCs w:val="20"/>
          </w:rPr>
          <w:t>20</w:t>
        </w:r>
        <w:r w:rsidRPr="00034389">
          <w:rPr>
            <w:rFonts w:ascii="Times New Roman" w:hAnsi="Times New Roman"/>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4514C" w14:textId="77777777" w:rsidR="00A97FD5" w:rsidRDefault="00A97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A88F90" w14:textId="77777777" w:rsidR="00A97FD5" w:rsidRDefault="00A97FD5" w:rsidP="004D3A7C">
      <w:r>
        <w:separator/>
      </w:r>
    </w:p>
  </w:footnote>
  <w:footnote w:type="continuationSeparator" w:id="0">
    <w:p w14:paraId="521DCA14" w14:textId="77777777" w:rsidR="00A97FD5" w:rsidRDefault="00A97FD5" w:rsidP="004D3A7C">
      <w:r>
        <w:continuationSeparator/>
      </w:r>
    </w:p>
  </w:footnote>
  <w:footnote w:type="continuationNotice" w:id="1">
    <w:p w14:paraId="7626FCA5" w14:textId="77777777" w:rsidR="00A97FD5" w:rsidRDefault="00A97FD5">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F802F2" w14:textId="77777777" w:rsidR="00A97FD5" w:rsidRDefault="00A97F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shd w:val="clear" w:color="auto" w:fill="E4F2E0"/>
      <w:tblLook w:val="04A0" w:firstRow="1" w:lastRow="0" w:firstColumn="1" w:lastColumn="0" w:noHBand="0" w:noVBand="1"/>
    </w:tblPr>
    <w:tblGrid>
      <w:gridCol w:w="8897"/>
    </w:tblGrid>
    <w:tr w:rsidR="00A97FD5" w:rsidRPr="000B2145" w14:paraId="508BD9A5" w14:textId="77777777" w:rsidTr="00A97FD5">
      <w:trPr>
        <w:trHeight w:val="1012"/>
      </w:trPr>
      <w:tc>
        <w:tcPr>
          <w:tcW w:w="8897" w:type="dxa"/>
          <w:shd w:val="clear" w:color="auto" w:fill="E4F2E0"/>
        </w:tcPr>
        <w:p w14:paraId="3426D37B" w14:textId="77777777" w:rsidR="00A97FD5" w:rsidRPr="000B2145" w:rsidRDefault="00A97FD5" w:rsidP="008119C4">
          <w:pPr>
            <w:pStyle w:val="Footer"/>
            <w:rPr>
              <w:b/>
              <w:sz w:val="18"/>
              <w:szCs w:val="18"/>
            </w:rPr>
          </w:pPr>
          <w:r w:rsidRPr="00EA0C3C">
            <w:rPr>
              <w:b/>
              <w:sz w:val="18"/>
              <w:szCs w:val="18"/>
            </w:rPr>
            <w:t>Attachment 1:</w:t>
          </w:r>
          <w:r>
            <w:t xml:space="preserve"> </w:t>
          </w:r>
          <w:r w:rsidRPr="00B35DBC">
            <w:rPr>
              <w:b/>
              <w:sz w:val="18"/>
              <w:szCs w:val="18"/>
            </w:rPr>
            <w:t>AusPAR –Inqovi 35/100 – Decitabine and cedazuridine – Otsuka Australia Pharmaceutical Pty Ltd PM-2020-00088-1-6</w:t>
          </w:r>
          <w:r>
            <w:rPr>
              <w:b/>
              <w:sz w:val="18"/>
              <w:szCs w:val="18"/>
            </w:rPr>
            <w:t xml:space="preserve"> </w:t>
          </w:r>
          <w:r w:rsidRPr="00B35DBC">
            <w:rPr>
              <w:b/>
              <w:sz w:val="18"/>
              <w:szCs w:val="18"/>
            </w:rPr>
            <w:t>FINAL 28 January 2021</w:t>
          </w:r>
          <w:r>
            <w:rPr>
              <w:b/>
              <w:sz w:val="18"/>
              <w:szCs w:val="18"/>
            </w:rPr>
            <w:t xml:space="preserve">. </w:t>
          </w:r>
          <w:r w:rsidRPr="000B2145">
            <w:rPr>
              <w:b/>
              <w:sz w:val="18"/>
              <w:szCs w:val="18"/>
            </w:rPr>
            <w:t>This is the Product Information that was approved with the submission described in this AusPAR. It may have been superseded. For the most recent PI, please refer to the TGA website at &lt;</w:t>
          </w:r>
          <w:hyperlink r:id="rId1" w:history="1">
            <w:r w:rsidRPr="000B2145">
              <w:rPr>
                <w:rStyle w:val="Hyperlink"/>
                <w:b/>
                <w:sz w:val="18"/>
                <w:szCs w:val="18"/>
              </w:rPr>
              <w:t>https://www.tga.gov.au/product-information-pi</w:t>
            </w:r>
          </w:hyperlink>
          <w:r w:rsidRPr="000B2145">
            <w:rPr>
              <w:b/>
              <w:sz w:val="18"/>
              <w:szCs w:val="18"/>
              <w:u w:val="single"/>
            </w:rPr>
            <w:t>&gt;</w:t>
          </w:r>
        </w:p>
      </w:tc>
    </w:tr>
  </w:tbl>
  <w:p w14:paraId="06DD370B" w14:textId="77777777" w:rsidR="00A97FD5" w:rsidRDefault="00A97FD5" w:rsidP="008119C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C403B" w14:textId="77777777" w:rsidR="00A97FD5" w:rsidRDefault="00A97F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02C3F"/>
    <w:multiLevelType w:val="hybridMultilevel"/>
    <w:tmpl w:val="50DEBF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10C0631"/>
    <w:multiLevelType w:val="multilevel"/>
    <w:tmpl w:val="396420E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lvl>
    <w:lvl w:ilvl="2">
      <w:start w:val="1"/>
      <w:numFmt w:val="decimal"/>
      <w:lvlText w:val="%1.%2.%3"/>
      <w:lvlJc w:val="left"/>
      <w:pPr>
        <w:tabs>
          <w:tab w:val="num" w:pos="1080"/>
        </w:tabs>
        <w:ind w:left="1080" w:hanging="360"/>
      </w:pPr>
    </w:lvl>
    <w:lvl w:ilvl="3">
      <w:start w:val="1"/>
      <w:numFmt w:val="decimal"/>
      <w:lvlText w:val="%1.%2.%3.%4"/>
      <w:lvlJc w:val="left"/>
      <w:pPr>
        <w:tabs>
          <w:tab w:val="num" w:pos="1800"/>
        </w:tabs>
        <w:ind w:left="1800" w:hanging="720"/>
      </w:pPr>
    </w:lvl>
    <w:lvl w:ilvl="4">
      <w:start w:val="1"/>
      <w:numFmt w:val="decimal"/>
      <w:lvlText w:val="%1.%2.%3.%4.%5"/>
      <w:lvlJc w:val="left"/>
      <w:pPr>
        <w:tabs>
          <w:tab w:val="num" w:pos="2160"/>
        </w:tabs>
        <w:ind w:left="2160" w:hanging="720"/>
      </w:pPr>
    </w:lvl>
    <w:lvl w:ilvl="5">
      <w:start w:val="1"/>
      <w:numFmt w:val="decimal"/>
      <w:lvlText w:val="%1.%2.%3.%4.%5.%6"/>
      <w:lvlJc w:val="left"/>
      <w:pPr>
        <w:tabs>
          <w:tab w:val="num" w:pos="2520"/>
        </w:tabs>
        <w:ind w:left="2520" w:hanging="720"/>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600"/>
        </w:tabs>
        <w:ind w:left="3600" w:hanging="1080"/>
      </w:pPr>
    </w:lvl>
    <w:lvl w:ilvl="8">
      <w:start w:val="1"/>
      <w:numFmt w:val="decimal"/>
      <w:lvlText w:val="%1.%2.%3.%4.%5.%6.%7.%8.%9"/>
      <w:lvlJc w:val="left"/>
      <w:pPr>
        <w:tabs>
          <w:tab w:val="num" w:pos="3960"/>
        </w:tabs>
        <w:ind w:left="3960" w:hanging="1080"/>
      </w:pPr>
    </w:lvl>
  </w:abstractNum>
  <w:abstractNum w:abstractNumId="2" w15:restartNumberingAfterBreak="0">
    <w:nsid w:val="253A5D6F"/>
    <w:multiLevelType w:val="hybridMultilevel"/>
    <w:tmpl w:val="72802D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9E0585"/>
    <w:multiLevelType w:val="multilevel"/>
    <w:tmpl w:val="22F21FC2"/>
    <w:styleLink w:val="OmniListBullets"/>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4" w15:restartNumberingAfterBreak="0">
    <w:nsid w:val="3161A7C0"/>
    <w:multiLevelType w:val="hybridMultilevel"/>
    <w:tmpl w:val="D5E8C55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37E3815"/>
    <w:multiLevelType w:val="hybridMultilevel"/>
    <w:tmpl w:val="83920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045141"/>
    <w:multiLevelType w:val="hybridMultilevel"/>
    <w:tmpl w:val="F610750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B622939"/>
    <w:multiLevelType w:val="multilevel"/>
    <w:tmpl w:val="CC2A1848"/>
    <w:styleLink w:val="OmniFooterAlpha"/>
    <w:lvl w:ilvl="0">
      <w:start w:val="1"/>
      <w:numFmt w:val="lowerLetter"/>
      <w:pStyle w:val="ListFooterAlpha"/>
      <w:lvlText w:val="%1"/>
      <w:lvlJc w:val="left"/>
      <w:pPr>
        <w:ind w:left="360" w:hanging="360"/>
      </w:pPr>
      <w:rPr>
        <w:rFonts w:hint="default"/>
        <w:vertAlign w:val="superscript"/>
      </w:rPr>
    </w:lvl>
    <w:lvl w:ilvl="1">
      <w:start w:val="1"/>
      <w:numFmt w:val="none"/>
      <w:lvlText w:val=""/>
      <w:lvlJc w:val="left"/>
      <w:pPr>
        <w:ind w:left="720" w:hanging="360"/>
      </w:pPr>
      <w:rPr>
        <w:rFonts w:hint="default"/>
      </w:rPr>
    </w:lvl>
    <w:lvl w:ilvl="2">
      <w:start w:val="1"/>
      <w:numFmt w:val="none"/>
      <w:lvlText w:val=""/>
      <w:lvlJc w:val="lef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51724267"/>
    <w:multiLevelType w:val="hybridMultilevel"/>
    <w:tmpl w:val="D7C2BECA"/>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631E4592"/>
    <w:multiLevelType w:val="hybridMultilevel"/>
    <w:tmpl w:val="87D0D73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3422C07"/>
    <w:multiLevelType w:val="hybridMultilevel"/>
    <w:tmpl w:val="80081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8265413"/>
    <w:multiLevelType w:val="multilevel"/>
    <w:tmpl w:val="22F21FC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12" w15:restartNumberingAfterBreak="0">
    <w:nsid w:val="68573185"/>
    <w:multiLevelType w:val="hybridMultilevel"/>
    <w:tmpl w:val="E9FE3B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0332797"/>
    <w:multiLevelType w:val="multilevel"/>
    <w:tmpl w:val="A7B67B2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4DC5B05"/>
    <w:multiLevelType w:val="multilevel"/>
    <w:tmpl w:val="CC2A1848"/>
    <w:numStyleLink w:val="OmniFooterAlpha"/>
  </w:abstractNum>
  <w:num w:numId="1">
    <w:abstractNumId w:val="13"/>
  </w:num>
  <w:num w:numId="2">
    <w:abstractNumId w:val="9"/>
  </w:num>
  <w:num w:numId="3">
    <w:abstractNumId w:val="5"/>
  </w:num>
  <w:num w:numId="4">
    <w:abstractNumId w:val="3"/>
  </w:num>
  <w:num w:numId="5">
    <w:abstractNumId w:val="11"/>
  </w:num>
  <w:num w:numId="6">
    <w:abstractNumId w:val="7"/>
  </w:num>
  <w:num w:numId="7">
    <w:abstractNumId w:val="14"/>
  </w:num>
  <w:num w:numId="8">
    <w:abstractNumId w:val="12"/>
  </w:num>
  <w:num w:numId="9">
    <w:abstractNumId w:val="1"/>
  </w:num>
  <w:num w:numId="10">
    <w:abstractNumId w:val="10"/>
  </w:num>
  <w:num w:numId="11">
    <w:abstractNumId w:val="4"/>
  </w:num>
  <w:num w:numId="12">
    <w:abstractNumId w:val="6"/>
  </w:num>
  <w:num w:numId="13">
    <w:abstractNumId w:val="0"/>
  </w:num>
  <w:num w:numId="14">
    <w:abstractNumId w:val="2"/>
  </w:num>
  <w:num w:numId="15">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oNotTrackFormatting/>
  <w:defaultTabStop w:val="720"/>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D29"/>
    <w:rsid w:val="00011284"/>
    <w:rsid w:val="0001249A"/>
    <w:rsid w:val="00021FA7"/>
    <w:rsid w:val="00023376"/>
    <w:rsid w:val="0002353E"/>
    <w:rsid w:val="00030377"/>
    <w:rsid w:val="000337C5"/>
    <w:rsid w:val="00034389"/>
    <w:rsid w:val="00040865"/>
    <w:rsid w:val="00050B68"/>
    <w:rsid w:val="00053573"/>
    <w:rsid w:val="00062ADD"/>
    <w:rsid w:val="00062E12"/>
    <w:rsid w:val="0007741A"/>
    <w:rsid w:val="000774FC"/>
    <w:rsid w:val="000828D9"/>
    <w:rsid w:val="00084706"/>
    <w:rsid w:val="00085F56"/>
    <w:rsid w:val="00087D58"/>
    <w:rsid w:val="00093C20"/>
    <w:rsid w:val="00094A47"/>
    <w:rsid w:val="000A3D9C"/>
    <w:rsid w:val="000A794B"/>
    <w:rsid w:val="000F677F"/>
    <w:rsid w:val="0011300F"/>
    <w:rsid w:val="0011592D"/>
    <w:rsid w:val="00120AAC"/>
    <w:rsid w:val="00124100"/>
    <w:rsid w:val="0014044C"/>
    <w:rsid w:val="001606D7"/>
    <w:rsid w:val="0016688D"/>
    <w:rsid w:val="00176F9B"/>
    <w:rsid w:val="0017771F"/>
    <w:rsid w:val="001819A8"/>
    <w:rsid w:val="00196CF7"/>
    <w:rsid w:val="001A212B"/>
    <w:rsid w:val="001A3992"/>
    <w:rsid w:val="001A49A6"/>
    <w:rsid w:val="001C132A"/>
    <w:rsid w:val="001C14A8"/>
    <w:rsid w:val="001D15B1"/>
    <w:rsid w:val="001D7DD8"/>
    <w:rsid w:val="001E47C5"/>
    <w:rsid w:val="001E7015"/>
    <w:rsid w:val="0020291A"/>
    <w:rsid w:val="00206B7D"/>
    <w:rsid w:val="00213AC2"/>
    <w:rsid w:val="0021585B"/>
    <w:rsid w:val="002222D8"/>
    <w:rsid w:val="00240F1B"/>
    <w:rsid w:val="002528CD"/>
    <w:rsid w:val="00253402"/>
    <w:rsid w:val="00256154"/>
    <w:rsid w:val="002668ED"/>
    <w:rsid w:val="002672EE"/>
    <w:rsid w:val="00294F45"/>
    <w:rsid w:val="002A27F8"/>
    <w:rsid w:val="002A3C21"/>
    <w:rsid w:val="002A5096"/>
    <w:rsid w:val="002B424E"/>
    <w:rsid w:val="002B5B51"/>
    <w:rsid w:val="002B6CEB"/>
    <w:rsid w:val="002C1975"/>
    <w:rsid w:val="002C322E"/>
    <w:rsid w:val="002C51F8"/>
    <w:rsid w:val="002D2E9D"/>
    <w:rsid w:val="002E190A"/>
    <w:rsid w:val="002E277D"/>
    <w:rsid w:val="002F1BA4"/>
    <w:rsid w:val="002F3488"/>
    <w:rsid w:val="002F5A29"/>
    <w:rsid w:val="00304170"/>
    <w:rsid w:val="00307503"/>
    <w:rsid w:val="003277B4"/>
    <w:rsid w:val="00350485"/>
    <w:rsid w:val="00361AED"/>
    <w:rsid w:val="00365866"/>
    <w:rsid w:val="00374014"/>
    <w:rsid w:val="003803F8"/>
    <w:rsid w:val="00384C5F"/>
    <w:rsid w:val="00390DA6"/>
    <w:rsid w:val="00393059"/>
    <w:rsid w:val="003A0F33"/>
    <w:rsid w:val="003A109B"/>
    <w:rsid w:val="003B328B"/>
    <w:rsid w:val="003B6810"/>
    <w:rsid w:val="003B7FA8"/>
    <w:rsid w:val="003C6502"/>
    <w:rsid w:val="003D2B37"/>
    <w:rsid w:val="003F2D9D"/>
    <w:rsid w:val="004032BD"/>
    <w:rsid w:val="004113A7"/>
    <w:rsid w:val="00415104"/>
    <w:rsid w:val="004218A2"/>
    <w:rsid w:val="004253C8"/>
    <w:rsid w:val="004270CC"/>
    <w:rsid w:val="00431ACD"/>
    <w:rsid w:val="00443DB2"/>
    <w:rsid w:val="00447037"/>
    <w:rsid w:val="0046412F"/>
    <w:rsid w:val="00465D27"/>
    <w:rsid w:val="00480D81"/>
    <w:rsid w:val="00497C85"/>
    <w:rsid w:val="004A6BAE"/>
    <w:rsid w:val="004B000B"/>
    <w:rsid w:val="004C1B5C"/>
    <w:rsid w:val="004C73C8"/>
    <w:rsid w:val="004D001C"/>
    <w:rsid w:val="004D3194"/>
    <w:rsid w:val="004D3A7C"/>
    <w:rsid w:val="004D5FFB"/>
    <w:rsid w:val="004E702A"/>
    <w:rsid w:val="004F1BF8"/>
    <w:rsid w:val="004F293D"/>
    <w:rsid w:val="005006E9"/>
    <w:rsid w:val="00502028"/>
    <w:rsid w:val="005039A3"/>
    <w:rsid w:val="00506F3D"/>
    <w:rsid w:val="005129EE"/>
    <w:rsid w:val="00512BA0"/>
    <w:rsid w:val="00530414"/>
    <w:rsid w:val="0054788E"/>
    <w:rsid w:val="005533D5"/>
    <w:rsid w:val="00553FCA"/>
    <w:rsid w:val="00577142"/>
    <w:rsid w:val="005862DB"/>
    <w:rsid w:val="00586E34"/>
    <w:rsid w:val="005A11DC"/>
    <w:rsid w:val="005A2B3D"/>
    <w:rsid w:val="005A6C7B"/>
    <w:rsid w:val="005B6615"/>
    <w:rsid w:val="005B7B52"/>
    <w:rsid w:val="005C0AE3"/>
    <w:rsid w:val="005C0B98"/>
    <w:rsid w:val="005C48F0"/>
    <w:rsid w:val="005D4138"/>
    <w:rsid w:val="005D632D"/>
    <w:rsid w:val="005F4CCC"/>
    <w:rsid w:val="006015B4"/>
    <w:rsid w:val="00605033"/>
    <w:rsid w:val="0061408F"/>
    <w:rsid w:val="006175DE"/>
    <w:rsid w:val="00617B3C"/>
    <w:rsid w:val="00621ADB"/>
    <w:rsid w:val="006225E7"/>
    <w:rsid w:val="00625F6E"/>
    <w:rsid w:val="00644DBD"/>
    <w:rsid w:val="00644F92"/>
    <w:rsid w:val="00661664"/>
    <w:rsid w:val="00665E53"/>
    <w:rsid w:val="0067334A"/>
    <w:rsid w:val="00677840"/>
    <w:rsid w:val="00682620"/>
    <w:rsid w:val="00684C3B"/>
    <w:rsid w:val="00693929"/>
    <w:rsid w:val="006945DE"/>
    <w:rsid w:val="00695AA7"/>
    <w:rsid w:val="00696DE4"/>
    <w:rsid w:val="00696E9B"/>
    <w:rsid w:val="006C4242"/>
    <w:rsid w:val="006C53E2"/>
    <w:rsid w:val="006E137E"/>
    <w:rsid w:val="006F7657"/>
    <w:rsid w:val="00703488"/>
    <w:rsid w:val="007035B1"/>
    <w:rsid w:val="00704645"/>
    <w:rsid w:val="00711F82"/>
    <w:rsid w:val="007174D4"/>
    <w:rsid w:val="007317D5"/>
    <w:rsid w:val="00740AF4"/>
    <w:rsid w:val="00743B7D"/>
    <w:rsid w:val="00753F9F"/>
    <w:rsid w:val="00761FA2"/>
    <w:rsid w:val="00763CDE"/>
    <w:rsid w:val="00764AB6"/>
    <w:rsid w:val="00774388"/>
    <w:rsid w:val="007766E3"/>
    <w:rsid w:val="00782D7E"/>
    <w:rsid w:val="0079101D"/>
    <w:rsid w:val="00797CE0"/>
    <w:rsid w:val="007A1B96"/>
    <w:rsid w:val="007A5A5C"/>
    <w:rsid w:val="007A7FCC"/>
    <w:rsid w:val="007B0173"/>
    <w:rsid w:val="007B2ADA"/>
    <w:rsid w:val="007B5F75"/>
    <w:rsid w:val="007B75A3"/>
    <w:rsid w:val="007D0F48"/>
    <w:rsid w:val="007D144D"/>
    <w:rsid w:val="007D2209"/>
    <w:rsid w:val="007D4721"/>
    <w:rsid w:val="007D6BC7"/>
    <w:rsid w:val="007E005C"/>
    <w:rsid w:val="007E3C83"/>
    <w:rsid w:val="007E693C"/>
    <w:rsid w:val="007F38C1"/>
    <w:rsid w:val="007F4DD3"/>
    <w:rsid w:val="00803126"/>
    <w:rsid w:val="008119C4"/>
    <w:rsid w:val="00823810"/>
    <w:rsid w:val="0082566B"/>
    <w:rsid w:val="00842813"/>
    <w:rsid w:val="00843631"/>
    <w:rsid w:val="00861B9D"/>
    <w:rsid w:val="00862AA8"/>
    <w:rsid w:val="00881E61"/>
    <w:rsid w:val="008A698A"/>
    <w:rsid w:val="008B203B"/>
    <w:rsid w:val="008D3885"/>
    <w:rsid w:val="008D55DC"/>
    <w:rsid w:val="008D790F"/>
    <w:rsid w:val="008E6CF4"/>
    <w:rsid w:val="008F77AF"/>
    <w:rsid w:val="0090495A"/>
    <w:rsid w:val="00907AAD"/>
    <w:rsid w:val="00911DB8"/>
    <w:rsid w:val="00915C0E"/>
    <w:rsid w:val="00916F4E"/>
    <w:rsid w:val="0092304A"/>
    <w:rsid w:val="00923A00"/>
    <w:rsid w:val="00940CB2"/>
    <w:rsid w:val="00943F77"/>
    <w:rsid w:val="00944EE7"/>
    <w:rsid w:val="0094522A"/>
    <w:rsid w:val="009504A9"/>
    <w:rsid w:val="0095085C"/>
    <w:rsid w:val="009534C9"/>
    <w:rsid w:val="00960CD5"/>
    <w:rsid w:val="00960FF5"/>
    <w:rsid w:val="0096169C"/>
    <w:rsid w:val="009648FE"/>
    <w:rsid w:val="009705F0"/>
    <w:rsid w:val="00974228"/>
    <w:rsid w:val="00977262"/>
    <w:rsid w:val="009821AA"/>
    <w:rsid w:val="00982CA8"/>
    <w:rsid w:val="0098600B"/>
    <w:rsid w:val="009A1B89"/>
    <w:rsid w:val="009B290A"/>
    <w:rsid w:val="009B6A8D"/>
    <w:rsid w:val="009C6771"/>
    <w:rsid w:val="009E1C0A"/>
    <w:rsid w:val="009E259B"/>
    <w:rsid w:val="009E63BE"/>
    <w:rsid w:val="009F1F9C"/>
    <w:rsid w:val="00A04E3E"/>
    <w:rsid w:val="00A0764A"/>
    <w:rsid w:val="00A121EB"/>
    <w:rsid w:val="00A13501"/>
    <w:rsid w:val="00A312D7"/>
    <w:rsid w:val="00A3659E"/>
    <w:rsid w:val="00A41AFA"/>
    <w:rsid w:val="00A464CE"/>
    <w:rsid w:val="00A67DDA"/>
    <w:rsid w:val="00A70D2F"/>
    <w:rsid w:val="00A74390"/>
    <w:rsid w:val="00A82A95"/>
    <w:rsid w:val="00A834EB"/>
    <w:rsid w:val="00A9302A"/>
    <w:rsid w:val="00A97FD5"/>
    <w:rsid w:val="00AA1E81"/>
    <w:rsid w:val="00AB4E10"/>
    <w:rsid w:val="00AB7F77"/>
    <w:rsid w:val="00AC481E"/>
    <w:rsid w:val="00AC7F68"/>
    <w:rsid w:val="00AC7F80"/>
    <w:rsid w:val="00AD2463"/>
    <w:rsid w:val="00AE10EF"/>
    <w:rsid w:val="00AE1DA8"/>
    <w:rsid w:val="00AE2D89"/>
    <w:rsid w:val="00AE4DBD"/>
    <w:rsid w:val="00AE79EB"/>
    <w:rsid w:val="00B03D4A"/>
    <w:rsid w:val="00B069B1"/>
    <w:rsid w:val="00B10018"/>
    <w:rsid w:val="00B1441F"/>
    <w:rsid w:val="00B14972"/>
    <w:rsid w:val="00B17D96"/>
    <w:rsid w:val="00B250E7"/>
    <w:rsid w:val="00B26C5C"/>
    <w:rsid w:val="00B30632"/>
    <w:rsid w:val="00B30986"/>
    <w:rsid w:val="00B34269"/>
    <w:rsid w:val="00B401FE"/>
    <w:rsid w:val="00B50995"/>
    <w:rsid w:val="00B54744"/>
    <w:rsid w:val="00B6593B"/>
    <w:rsid w:val="00B7246F"/>
    <w:rsid w:val="00B72647"/>
    <w:rsid w:val="00B76A79"/>
    <w:rsid w:val="00B77D64"/>
    <w:rsid w:val="00B82013"/>
    <w:rsid w:val="00B82249"/>
    <w:rsid w:val="00B93956"/>
    <w:rsid w:val="00BA103F"/>
    <w:rsid w:val="00BD23C4"/>
    <w:rsid w:val="00BD4315"/>
    <w:rsid w:val="00BD566D"/>
    <w:rsid w:val="00BE2C3F"/>
    <w:rsid w:val="00BE442F"/>
    <w:rsid w:val="00BF761A"/>
    <w:rsid w:val="00C044F5"/>
    <w:rsid w:val="00C202C8"/>
    <w:rsid w:val="00C25643"/>
    <w:rsid w:val="00C30787"/>
    <w:rsid w:val="00C3519C"/>
    <w:rsid w:val="00C50DEB"/>
    <w:rsid w:val="00C64E24"/>
    <w:rsid w:val="00C665E2"/>
    <w:rsid w:val="00C735A6"/>
    <w:rsid w:val="00C7498A"/>
    <w:rsid w:val="00C80B1C"/>
    <w:rsid w:val="00C97F07"/>
    <w:rsid w:val="00CA1B14"/>
    <w:rsid w:val="00CA6CCF"/>
    <w:rsid w:val="00CA7EE9"/>
    <w:rsid w:val="00CB2495"/>
    <w:rsid w:val="00CB38CF"/>
    <w:rsid w:val="00CB3B96"/>
    <w:rsid w:val="00CB54FD"/>
    <w:rsid w:val="00CC2A95"/>
    <w:rsid w:val="00CC5C41"/>
    <w:rsid w:val="00CD57C6"/>
    <w:rsid w:val="00CE31B9"/>
    <w:rsid w:val="00CE475F"/>
    <w:rsid w:val="00CF2C2A"/>
    <w:rsid w:val="00CF3CA1"/>
    <w:rsid w:val="00D03CCC"/>
    <w:rsid w:val="00D0466C"/>
    <w:rsid w:val="00D134E0"/>
    <w:rsid w:val="00D26301"/>
    <w:rsid w:val="00D33CA9"/>
    <w:rsid w:val="00D34A6F"/>
    <w:rsid w:val="00D37CDA"/>
    <w:rsid w:val="00D44BA0"/>
    <w:rsid w:val="00D4521A"/>
    <w:rsid w:val="00D46921"/>
    <w:rsid w:val="00D53FD9"/>
    <w:rsid w:val="00D56BF5"/>
    <w:rsid w:val="00D6094D"/>
    <w:rsid w:val="00D61F5A"/>
    <w:rsid w:val="00D63C06"/>
    <w:rsid w:val="00D8028C"/>
    <w:rsid w:val="00D8135B"/>
    <w:rsid w:val="00D8235E"/>
    <w:rsid w:val="00D82F4E"/>
    <w:rsid w:val="00DA035A"/>
    <w:rsid w:val="00DA358F"/>
    <w:rsid w:val="00DA7137"/>
    <w:rsid w:val="00DC7E97"/>
    <w:rsid w:val="00DD64DF"/>
    <w:rsid w:val="00DF1643"/>
    <w:rsid w:val="00DF3958"/>
    <w:rsid w:val="00DF5E99"/>
    <w:rsid w:val="00E022A6"/>
    <w:rsid w:val="00E163D7"/>
    <w:rsid w:val="00E2310C"/>
    <w:rsid w:val="00E24D02"/>
    <w:rsid w:val="00E26F07"/>
    <w:rsid w:val="00E33C9A"/>
    <w:rsid w:val="00E40B52"/>
    <w:rsid w:val="00E42D68"/>
    <w:rsid w:val="00E4702F"/>
    <w:rsid w:val="00E506C2"/>
    <w:rsid w:val="00E52E5D"/>
    <w:rsid w:val="00E65905"/>
    <w:rsid w:val="00E74A56"/>
    <w:rsid w:val="00E81063"/>
    <w:rsid w:val="00E81E58"/>
    <w:rsid w:val="00E84644"/>
    <w:rsid w:val="00E96AD6"/>
    <w:rsid w:val="00EA0794"/>
    <w:rsid w:val="00EA4788"/>
    <w:rsid w:val="00EB5F78"/>
    <w:rsid w:val="00EC5D29"/>
    <w:rsid w:val="00EC76A2"/>
    <w:rsid w:val="00ED0937"/>
    <w:rsid w:val="00EE08D1"/>
    <w:rsid w:val="00EE08F4"/>
    <w:rsid w:val="00EF0ABB"/>
    <w:rsid w:val="00EF0ACC"/>
    <w:rsid w:val="00EF0D8A"/>
    <w:rsid w:val="00EF2D62"/>
    <w:rsid w:val="00EF3AAD"/>
    <w:rsid w:val="00EF7350"/>
    <w:rsid w:val="00F127BB"/>
    <w:rsid w:val="00F1412B"/>
    <w:rsid w:val="00F20BDC"/>
    <w:rsid w:val="00F241C4"/>
    <w:rsid w:val="00F27E59"/>
    <w:rsid w:val="00F53B5F"/>
    <w:rsid w:val="00F56760"/>
    <w:rsid w:val="00F656BD"/>
    <w:rsid w:val="00F86240"/>
    <w:rsid w:val="00F90621"/>
    <w:rsid w:val="00F90F6F"/>
    <w:rsid w:val="00FA00E5"/>
    <w:rsid w:val="00FB37DC"/>
    <w:rsid w:val="00FC15BA"/>
    <w:rsid w:val="00FE0D42"/>
    <w:rsid w:val="00FE4490"/>
    <w:rsid w:val="00FE51CB"/>
    <w:rsid w:val="00FE64B6"/>
    <w:rsid w:val="00FF3DCD"/>
    <w:rsid w:val="00FF3E83"/>
    <w:rsid w:val="00FF72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100926C"/>
  <w15:docId w15:val="{222FF901-4352-4B3E-AE70-7834AB11D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iPriority="0" w:unhideWhenUsed="1"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7F68"/>
    <w:pPr>
      <w:spacing w:before="240" w:after="0" w:line="240" w:lineRule="auto"/>
    </w:pPr>
    <w:rPr>
      <w:rFonts w:ascii="Times New Roman" w:eastAsia="MS Mincho" w:hAnsi="Times New Roman" w:cs="Times New Roman"/>
      <w:color w:val="000000"/>
      <w:sz w:val="24"/>
      <w:szCs w:val="24"/>
      <w:lang w:val="en-US"/>
    </w:rPr>
  </w:style>
  <w:style w:type="paragraph" w:styleId="Heading1">
    <w:name w:val="heading 1"/>
    <w:basedOn w:val="Normal"/>
    <w:next w:val="Normal"/>
    <w:link w:val="Heading1Char"/>
    <w:uiPriority w:val="9"/>
    <w:qFormat/>
    <w:rsid w:val="00CF3CA1"/>
    <w:pPr>
      <w:keepNext/>
      <w:numPr>
        <w:numId w:val="1"/>
      </w:numPr>
      <w:tabs>
        <w:tab w:val="num" w:pos="680"/>
      </w:tabs>
      <w:spacing w:before="480"/>
      <w:ind w:left="680" w:hanging="680"/>
      <w:outlineLvl w:val="0"/>
    </w:pPr>
    <w:rPr>
      <w:rFonts w:ascii="Arial" w:eastAsia="MS Gothic" w:hAnsi="Arial" w:cs="Arial"/>
      <w:b/>
      <w:bCs/>
      <w:caps/>
      <w:kern w:val="32"/>
      <w:sz w:val="28"/>
      <w:szCs w:val="32"/>
    </w:rPr>
  </w:style>
  <w:style w:type="paragraph" w:styleId="Heading2">
    <w:name w:val="heading 2"/>
    <w:basedOn w:val="Normal"/>
    <w:next w:val="Normal"/>
    <w:link w:val="Heading2Char"/>
    <w:uiPriority w:val="9"/>
    <w:unhideWhenUsed/>
    <w:qFormat/>
    <w:rsid w:val="00CF3CA1"/>
    <w:pPr>
      <w:keepNext/>
      <w:numPr>
        <w:ilvl w:val="1"/>
        <w:numId w:val="1"/>
      </w:numPr>
      <w:tabs>
        <w:tab w:val="num" w:pos="680"/>
      </w:tabs>
      <w:spacing w:before="480"/>
      <w:ind w:left="680" w:hanging="680"/>
      <w:outlineLvl w:val="1"/>
    </w:pPr>
    <w:rPr>
      <w:rFonts w:ascii="Arial" w:eastAsia="MS Gothic" w:hAnsi="Arial" w:cs="Arial"/>
      <w:b/>
      <w:iCs/>
      <w:caps/>
      <w:color w:val="auto"/>
      <w:kern w:val="32"/>
      <w:sz w:val="22"/>
      <w:szCs w:val="28"/>
    </w:rPr>
  </w:style>
  <w:style w:type="paragraph" w:styleId="Heading3">
    <w:name w:val="heading 3"/>
    <w:basedOn w:val="Normal"/>
    <w:next w:val="Normal"/>
    <w:link w:val="Heading3Char"/>
    <w:uiPriority w:val="9"/>
    <w:unhideWhenUsed/>
    <w:qFormat/>
    <w:rsid w:val="00034389"/>
    <w:pPr>
      <w:keepNext/>
      <w:spacing w:before="360"/>
      <w:outlineLvl w:val="2"/>
    </w:pPr>
    <w:rPr>
      <w:rFonts w:ascii="Arial" w:eastAsia="MS Gothic" w:hAnsi="Arial" w:cs="Arial"/>
      <w:b/>
      <w:color w:val="auto"/>
      <w:kern w:val="32"/>
      <w:sz w:val="22"/>
      <w:szCs w:val="26"/>
    </w:rPr>
  </w:style>
  <w:style w:type="paragraph" w:styleId="Heading4">
    <w:name w:val="heading 4"/>
    <w:basedOn w:val="Normal"/>
    <w:next w:val="Normal"/>
    <w:link w:val="Heading4Char"/>
    <w:unhideWhenUsed/>
    <w:qFormat/>
    <w:rsid w:val="00A82A95"/>
    <w:pPr>
      <w:keepNext/>
      <w:outlineLvl w:val="3"/>
    </w:pPr>
    <w:rPr>
      <w:b/>
      <w:bCs/>
      <w:i/>
      <w:iCs/>
    </w:rPr>
  </w:style>
  <w:style w:type="paragraph" w:styleId="Heading5">
    <w:name w:val="heading 5"/>
    <w:basedOn w:val="Normal"/>
    <w:next w:val="Normal"/>
    <w:link w:val="Heading5Char"/>
    <w:unhideWhenUsed/>
    <w:qFormat/>
    <w:rsid w:val="001A3992"/>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1A3992"/>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A3992"/>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A3992"/>
    <w:pPr>
      <w:keepNext/>
      <w:keepLines/>
      <w:numPr>
        <w:ilvl w:val="7"/>
        <w:numId w:val="1"/>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A3992"/>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F3CA1"/>
    <w:rPr>
      <w:rFonts w:ascii="Arial" w:eastAsia="MS Gothic" w:hAnsi="Arial" w:cs="Arial"/>
      <w:b/>
      <w:bCs/>
      <w:caps/>
      <w:color w:val="000000"/>
      <w:kern w:val="32"/>
      <w:sz w:val="28"/>
      <w:szCs w:val="32"/>
      <w:lang w:val="en-US"/>
    </w:rPr>
  </w:style>
  <w:style w:type="character" w:customStyle="1" w:styleId="Heading2Char">
    <w:name w:val="Heading 2 Char"/>
    <w:basedOn w:val="DefaultParagraphFont"/>
    <w:link w:val="Heading2"/>
    <w:uiPriority w:val="9"/>
    <w:rsid w:val="00CF3CA1"/>
    <w:rPr>
      <w:rFonts w:ascii="Arial" w:eastAsia="MS Gothic" w:hAnsi="Arial" w:cs="Arial"/>
      <w:b/>
      <w:iCs/>
      <w:caps/>
      <w:kern w:val="32"/>
      <w:szCs w:val="28"/>
      <w:lang w:val="en-US"/>
    </w:rPr>
  </w:style>
  <w:style w:type="character" w:customStyle="1" w:styleId="Heading3Char">
    <w:name w:val="Heading 3 Char"/>
    <w:basedOn w:val="DefaultParagraphFont"/>
    <w:link w:val="Heading3"/>
    <w:uiPriority w:val="9"/>
    <w:rsid w:val="00034389"/>
    <w:rPr>
      <w:rFonts w:ascii="Arial" w:eastAsia="MS Gothic" w:hAnsi="Arial" w:cs="Arial"/>
      <w:b/>
      <w:kern w:val="32"/>
      <w:szCs w:val="26"/>
      <w:lang w:val="en-US"/>
    </w:rPr>
  </w:style>
  <w:style w:type="character" w:customStyle="1" w:styleId="Heading4Char">
    <w:name w:val="Heading 4 Char"/>
    <w:basedOn w:val="DefaultParagraphFont"/>
    <w:link w:val="Heading4"/>
    <w:rsid w:val="00A82A95"/>
    <w:rPr>
      <w:rFonts w:ascii="Times New Roman" w:eastAsia="MS Mincho" w:hAnsi="Times New Roman" w:cs="Times New Roman"/>
      <w:b/>
      <w:bCs/>
      <w:i/>
      <w:iCs/>
      <w:color w:val="000000"/>
      <w:sz w:val="24"/>
      <w:szCs w:val="24"/>
      <w:lang w:val="en-US"/>
    </w:rPr>
  </w:style>
  <w:style w:type="character" w:customStyle="1" w:styleId="Heading5Char">
    <w:name w:val="Heading 5 Char"/>
    <w:basedOn w:val="DefaultParagraphFont"/>
    <w:link w:val="Heading5"/>
    <w:rsid w:val="001A3992"/>
    <w:rPr>
      <w:rFonts w:asciiTheme="majorHAnsi" w:eastAsiaTheme="majorEastAsia" w:hAnsiTheme="majorHAnsi" w:cstheme="majorBidi"/>
      <w:color w:val="243F60" w:themeColor="accent1" w:themeShade="7F"/>
      <w:sz w:val="24"/>
      <w:szCs w:val="24"/>
      <w:lang w:val="en-US"/>
    </w:rPr>
  </w:style>
  <w:style w:type="character" w:customStyle="1" w:styleId="Heading6Char">
    <w:name w:val="Heading 6 Char"/>
    <w:basedOn w:val="DefaultParagraphFont"/>
    <w:link w:val="Heading6"/>
    <w:rsid w:val="001A3992"/>
    <w:rPr>
      <w:rFonts w:asciiTheme="majorHAnsi" w:eastAsiaTheme="majorEastAsia" w:hAnsiTheme="majorHAnsi" w:cstheme="majorBidi"/>
      <w:i/>
      <w:iCs/>
      <w:color w:val="243F60" w:themeColor="accent1" w:themeShade="7F"/>
      <w:sz w:val="24"/>
      <w:szCs w:val="24"/>
      <w:lang w:val="en-US"/>
    </w:rPr>
  </w:style>
  <w:style w:type="character" w:customStyle="1" w:styleId="Heading7Char">
    <w:name w:val="Heading 7 Char"/>
    <w:basedOn w:val="DefaultParagraphFont"/>
    <w:link w:val="Heading7"/>
    <w:uiPriority w:val="9"/>
    <w:semiHidden/>
    <w:rsid w:val="001A3992"/>
    <w:rPr>
      <w:rFonts w:asciiTheme="majorHAnsi" w:eastAsiaTheme="majorEastAsia" w:hAnsiTheme="majorHAnsi" w:cstheme="majorBidi"/>
      <w:i/>
      <w:iCs/>
      <w:color w:val="404040" w:themeColor="text1" w:themeTint="BF"/>
      <w:sz w:val="24"/>
      <w:szCs w:val="24"/>
      <w:lang w:val="en-US"/>
    </w:rPr>
  </w:style>
  <w:style w:type="character" w:customStyle="1" w:styleId="Heading8Char">
    <w:name w:val="Heading 8 Char"/>
    <w:basedOn w:val="DefaultParagraphFont"/>
    <w:link w:val="Heading8"/>
    <w:uiPriority w:val="9"/>
    <w:semiHidden/>
    <w:rsid w:val="001A399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1A3992"/>
    <w:rPr>
      <w:rFonts w:asciiTheme="majorHAnsi" w:eastAsiaTheme="majorEastAsia" w:hAnsiTheme="majorHAnsi" w:cstheme="majorBidi"/>
      <w:i/>
      <w:iCs/>
      <w:color w:val="404040" w:themeColor="text1" w:themeTint="BF"/>
      <w:sz w:val="20"/>
      <w:szCs w:val="20"/>
      <w:lang w:val="en-US"/>
    </w:rPr>
  </w:style>
  <w:style w:type="paragraph" w:styleId="ListParagraph">
    <w:name w:val="List Paragraph"/>
    <w:basedOn w:val="Normal"/>
    <w:uiPriority w:val="34"/>
    <w:qFormat/>
    <w:rsid w:val="005006E9"/>
    <w:pPr>
      <w:spacing w:before="120"/>
      <w:ind w:left="720"/>
    </w:pPr>
  </w:style>
  <w:style w:type="character" w:styleId="CommentReference">
    <w:name w:val="annotation reference"/>
    <w:basedOn w:val="DefaultParagraphFont"/>
    <w:uiPriority w:val="99"/>
    <w:unhideWhenUsed/>
    <w:qFormat/>
    <w:rsid w:val="001A3992"/>
    <w:rPr>
      <w:sz w:val="16"/>
      <w:szCs w:val="16"/>
    </w:rPr>
  </w:style>
  <w:style w:type="paragraph" w:styleId="CommentText">
    <w:name w:val="annotation text"/>
    <w:aliases w:val="Annotationtext, Char,Char"/>
    <w:basedOn w:val="Normal"/>
    <w:link w:val="CommentTextChar"/>
    <w:uiPriority w:val="99"/>
    <w:unhideWhenUsed/>
    <w:qFormat/>
    <w:rsid w:val="001A3992"/>
    <w:rPr>
      <w:rFonts w:ascii="Cambria" w:hAnsi="Cambria"/>
      <w:sz w:val="20"/>
      <w:szCs w:val="20"/>
    </w:rPr>
  </w:style>
  <w:style w:type="character" w:customStyle="1" w:styleId="CommentTextChar">
    <w:name w:val="Comment Text Char"/>
    <w:aliases w:val="Annotationtext Char1, Char Char1,Char Char1"/>
    <w:basedOn w:val="DefaultParagraphFont"/>
    <w:link w:val="CommentText"/>
    <w:uiPriority w:val="99"/>
    <w:rsid w:val="001A3992"/>
    <w:rPr>
      <w:rFonts w:ascii="Cambria" w:hAnsi="Cambria"/>
      <w:sz w:val="20"/>
      <w:szCs w:val="20"/>
    </w:rPr>
  </w:style>
  <w:style w:type="paragraph" w:styleId="FootnoteText">
    <w:name w:val="footnote text"/>
    <w:basedOn w:val="Normal"/>
    <w:link w:val="FootnoteTextChar"/>
    <w:rsid w:val="001A3992"/>
    <w:pPr>
      <w:keepLines/>
      <w:spacing w:before="180" w:after="180"/>
    </w:pPr>
    <w:rPr>
      <w:rFonts w:ascii="Calibri" w:eastAsia="Calibri" w:hAnsi="Calibri"/>
      <w:sz w:val="20"/>
    </w:rPr>
  </w:style>
  <w:style w:type="character" w:customStyle="1" w:styleId="FootnoteTextChar">
    <w:name w:val="Footnote Text Char"/>
    <w:basedOn w:val="DefaultParagraphFont"/>
    <w:link w:val="FootnoteText"/>
    <w:rsid w:val="001A3992"/>
    <w:rPr>
      <w:rFonts w:ascii="Calibri" w:eastAsia="Calibri" w:hAnsi="Calibri" w:cs="Times New Roman"/>
      <w:sz w:val="20"/>
    </w:rPr>
  </w:style>
  <w:style w:type="character" w:styleId="FootnoteReference">
    <w:name w:val="footnote reference"/>
    <w:basedOn w:val="DefaultParagraphFont"/>
    <w:unhideWhenUsed/>
    <w:rsid w:val="001A3992"/>
    <w:rPr>
      <w:vertAlign w:val="superscript"/>
    </w:rPr>
  </w:style>
  <w:style w:type="paragraph" w:styleId="ListBullet">
    <w:name w:val="List Bullet"/>
    <w:basedOn w:val="Normal"/>
    <w:unhideWhenUsed/>
    <w:qFormat/>
    <w:rsid w:val="001A3992"/>
    <w:pPr>
      <w:ind w:left="425" w:hanging="425"/>
      <w:contextualSpacing/>
    </w:pPr>
    <w:rPr>
      <w:rFonts w:ascii="Cambria" w:hAnsi="Cambria"/>
    </w:rPr>
  </w:style>
  <w:style w:type="character" w:styleId="Hyperlink">
    <w:name w:val="Hyperlink"/>
    <w:basedOn w:val="DefaultParagraphFont"/>
    <w:uiPriority w:val="99"/>
    <w:unhideWhenUsed/>
    <w:rsid w:val="001A3992"/>
    <w:rPr>
      <w:color w:val="0000FF" w:themeColor="hyperlink"/>
      <w:u w:val="single"/>
    </w:rPr>
  </w:style>
  <w:style w:type="table" w:styleId="LightGrid">
    <w:name w:val="Light Grid"/>
    <w:basedOn w:val="TableNormal"/>
    <w:uiPriority w:val="62"/>
    <w:rsid w:val="001A399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styleId="Footer">
    <w:name w:val="footer"/>
    <w:basedOn w:val="Normal"/>
    <w:link w:val="FooterChar"/>
    <w:unhideWhenUsed/>
    <w:rsid w:val="001A3992"/>
    <w:pPr>
      <w:tabs>
        <w:tab w:val="center" w:pos="4513"/>
        <w:tab w:val="right" w:pos="9026"/>
      </w:tabs>
    </w:pPr>
    <w:rPr>
      <w:rFonts w:ascii="Cambria" w:hAnsi="Cambria"/>
    </w:rPr>
  </w:style>
  <w:style w:type="character" w:customStyle="1" w:styleId="FooterChar">
    <w:name w:val="Footer Char"/>
    <w:basedOn w:val="DefaultParagraphFont"/>
    <w:link w:val="Footer"/>
    <w:rsid w:val="001A3992"/>
    <w:rPr>
      <w:rFonts w:ascii="Cambria" w:hAnsi="Cambria"/>
    </w:rPr>
  </w:style>
  <w:style w:type="paragraph" w:styleId="BalloonText">
    <w:name w:val="Balloon Text"/>
    <w:basedOn w:val="Normal"/>
    <w:link w:val="BalloonTextChar"/>
    <w:unhideWhenUsed/>
    <w:rsid w:val="001A3992"/>
    <w:rPr>
      <w:rFonts w:ascii="Tahoma" w:hAnsi="Tahoma" w:cs="Tahoma"/>
      <w:sz w:val="16"/>
      <w:szCs w:val="16"/>
    </w:rPr>
  </w:style>
  <w:style w:type="character" w:customStyle="1" w:styleId="BalloonTextChar">
    <w:name w:val="Balloon Text Char"/>
    <w:basedOn w:val="DefaultParagraphFont"/>
    <w:link w:val="BalloonText"/>
    <w:rsid w:val="001A3992"/>
    <w:rPr>
      <w:rFonts w:ascii="Tahoma" w:hAnsi="Tahoma" w:cs="Tahoma"/>
      <w:sz w:val="16"/>
      <w:szCs w:val="16"/>
    </w:rPr>
  </w:style>
  <w:style w:type="paragraph" w:styleId="Header">
    <w:name w:val="header"/>
    <w:basedOn w:val="Normal"/>
    <w:link w:val="HeaderChar"/>
    <w:uiPriority w:val="99"/>
    <w:unhideWhenUsed/>
    <w:rsid w:val="00CA6CCF"/>
    <w:pPr>
      <w:tabs>
        <w:tab w:val="center" w:pos="4513"/>
        <w:tab w:val="right" w:pos="9026"/>
      </w:tabs>
    </w:pPr>
  </w:style>
  <w:style w:type="character" w:customStyle="1" w:styleId="HeaderChar">
    <w:name w:val="Header Char"/>
    <w:basedOn w:val="DefaultParagraphFont"/>
    <w:link w:val="Header"/>
    <w:uiPriority w:val="99"/>
    <w:rsid w:val="00CA6CCF"/>
  </w:style>
  <w:style w:type="paragraph" w:styleId="Title">
    <w:name w:val="Title"/>
    <w:basedOn w:val="Heading1"/>
    <w:next w:val="Normal"/>
    <w:link w:val="TitleChar"/>
    <w:qFormat/>
    <w:rsid w:val="00CF3CA1"/>
    <w:pPr>
      <w:numPr>
        <w:numId w:val="0"/>
      </w:numPr>
    </w:pPr>
  </w:style>
  <w:style w:type="character" w:customStyle="1" w:styleId="TitleChar">
    <w:name w:val="Title Char"/>
    <w:basedOn w:val="DefaultParagraphFont"/>
    <w:link w:val="Title"/>
    <w:rsid w:val="00CF3CA1"/>
    <w:rPr>
      <w:rFonts w:ascii="Arial" w:eastAsia="MS Gothic" w:hAnsi="Arial" w:cs="Arial"/>
      <w:b/>
      <w:bCs/>
      <w:caps/>
      <w:kern w:val="32"/>
      <w:sz w:val="28"/>
      <w:szCs w:val="32"/>
      <w:lang w:val="en-US"/>
    </w:rPr>
  </w:style>
  <w:style w:type="paragraph" w:styleId="EndnoteText">
    <w:name w:val="endnote text"/>
    <w:basedOn w:val="Normal"/>
    <w:link w:val="EndnoteTextChar"/>
    <w:uiPriority w:val="99"/>
    <w:unhideWhenUsed/>
    <w:rsid w:val="002C51F8"/>
    <w:pPr>
      <w:spacing w:before="0"/>
    </w:pPr>
    <w:rPr>
      <w:rFonts w:eastAsiaTheme="minorEastAsia"/>
      <w:color w:val="auto"/>
      <w:sz w:val="20"/>
      <w:szCs w:val="20"/>
    </w:rPr>
  </w:style>
  <w:style w:type="character" w:customStyle="1" w:styleId="EndnoteTextChar">
    <w:name w:val="Endnote Text Char"/>
    <w:basedOn w:val="DefaultParagraphFont"/>
    <w:link w:val="EndnoteText"/>
    <w:uiPriority w:val="99"/>
    <w:rsid w:val="002C51F8"/>
    <w:rPr>
      <w:rFonts w:ascii="Times New Roman" w:eastAsiaTheme="minorEastAsia" w:hAnsi="Times New Roman" w:cs="Times New Roman"/>
      <w:sz w:val="20"/>
      <w:szCs w:val="20"/>
      <w:lang w:val="en-US"/>
    </w:rPr>
  </w:style>
  <w:style w:type="character" w:styleId="EndnoteReference">
    <w:name w:val="endnote reference"/>
    <w:basedOn w:val="DefaultParagraphFont"/>
    <w:semiHidden/>
    <w:unhideWhenUsed/>
    <w:rsid w:val="002C51F8"/>
    <w:rPr>
      <w:vertAlign w:val="superscript"/>
    </w:rPr>
  </w:style>
  <w:style w:type="paragraph" w:styleId="CommentSubject">
    <w:name w:val="annotation subject"/>
    <w:basedOn w:val="CommentText"/>
    <w:next w:val="CommentText"/>
    <w:link w:val="CommentSubjectChar"/>
    <w:unhideWhenUsed/>
    <w:rsid w:val="00DA358F"/>
    <w:rPr>
      <w:rFonts w:ascii="Times New Roman" w:hAnsi="Times New Roman"/>
      <w:b/>
      <w:bCs/>
    </w:rPr>
  </w:style>
  <w:style w:type="character" w:customStyle="1" w:styleId="CommentSubjectChar">
    <w:name w:val="Comment Subject Char"/>
    <w:basedOn w:val="CommentTextChar"/>
    <w:link w:val="CommentSubject"/>
    <w:rsid w:val="00DA358F"/>
    <w:rPr>
      <w:rFonts w:ascii="Times New Roman" w:eastAsia="MS Mincho" w:hAnsi="Times New Roman" w:cs="Times New Roman"/>
      <w:b/>
      <w:bCs/>
      <w:color w:val="000000"/>
      <w:sz w:val="20"/>
      <w:szCs w:val="20"/>
      <w:lang w:val="en-US"/>
    </w:rPr>
  </w:style>
  <w:style w:type="character" w:customStyle="1" w:styleId="CommentTextChar1">
    <w:name w:val="Comment Text Char1"/>
    <w:aliases w:val="Annotationtext Char, Char Char,Char Char"/>
    <w:uiPriority w:val="99"/>
    <w:locked/>
    <w:rsid w:val="00974228"/>
  </w:style>
  <w:style w:type="character" w:styleId="FollowedHyperlink">
    <w:name w:val="FollowedHyperlink"/>
    <w:basedOn w:val="DefaultParagraphFont"/>
    <w:semiHidden/>
    <w:unhideWhenUsed/>
    <w:rsid w:val="00974228"/>
    <w:rPr>
      <w:color w:val="800080" w:themeColor="followedHyperlink"/>
      <w:u w:val="single"/>
    </w:rPr>
  </w:style>
  <w:style w:type="paragraph" w:styleId="NormalWeb">
    <w:name w:val="Normal (Web)"/>
    <w:basedOn w:val="Normal"/>
    <w:uiPriority w:val="99"/>
    <w:unhideWhenUsed/>
    <w:rsid w:val="002C1975"/>
    <w:pPr>
      <w:spacing w:before="100" w:beforeAutospacing="1" w:after="100" w:afterAutospacing="1"/>
    </w:pPr>
    <w:rPr>
      <w:rFonts w:eastAsia="Times New Roman"/>
      <w:color w:val="auto"/>
    </w:rPr>
  </w:style>
  <w:style w:type="character" w:customStyle="1" w:styleId="sup">
    <w:name w:val="sup"/>
    <w:basedOn w:val="DefaultParagraphFont"/>
    <w:rsid w:val="002C1975"/>
  </w:style>
  <w:style w:type="paragraph" w:styleId="ListBullet2">
    <w:name w:val="List Bullet 2"/>
    <w:qFormat/>
    <w:rsid w:val="007A1B96"/>
    <w:pPr>
      <w:keepLines/>
      <w:spacing w:before="120" w:after="120" w:line="300" w:lineRule="exact"/>
      <w:ind w:left="720" w:hanging="360"/>
      <w:jc w:val="both"/>
    </w:pPr>
    <w:rPr>
      <w:rFonts w:ascii="Times New Roman" w:eastAsiaTheme="minorEastAsia" w:hAnsi="Times New Roman"/>
      <w:sz w:val="24"/>
      <w:lang w:val="en-US"/>
    </w:rPr>
  </w:style>
  <w:style w:type="paragraph" w:styleId="ListBullet3">
    <w:name w:val="List Bullet 3"/>
    <w:qFormat/>
    <w:rsid w:val="007A1B96"/>
    <w:pPr>
      <w:keepLines/>
      <w:spacing w:before="120" w:after="120" w:line="300" w:lineRule="exact"/>
      <w:ind w:left="1080" w:hanging="360"/>
      <w:jc w:val="both"/>
    </w:pPr>
    <w:rPr>
      <w:rFonts w:ascii="Times New Roman" w:eastAsiaTheme="minorEastAsia" w:hAnsi="Times New Roman"/>
      <w:sz w:val="24"/>
      <w:lang w:val="en-US"/>
    </w:rPr>
  </w:style>
  <w:style w:type="paragraph" w:styleId="ListBullet4">
    <w:name w:val="List Bullet 4"/>
    <w:qFormat/>
    <w:rsid w:val="007A1B96"/>
    <w:pPr>
      <w:keepLines/>
      <w:spacing w:before="120" w:after="120" w:line="300" w:lineRule="exact"/>
      <w:ind w:left="1440" w:hanging="360"/>
      <w:jc w:val="both"/>
    </w:pPr>
    <w:rPr>
      <w:rFonts w:ascii="Times New Roman" w:eastAsiaTheme="minorEastAsia" w:hAnsi="Times New Roman"/>
      <w:sz w:val="24"/>
      <w:lang w:val="en-US"/>
    </w:rPr>
  </w:style>
  <w:style w:type="paragraph" w:styleId="ListBullet5">
    <w:name w:val="List Bullet 5"/>
    <w:qFormat/>
    <w:rsid w:val="007A1B96"/>
    <w:pPr>
      <w:keepLines/>
      <w:spacing w:before="120" w:after="120" w:line="300" w:lineRule="exact"/>
      <w:ind w:left="1800" w:hanging="360"/>
      <w:jc w:val="both"/>
    </w:pPr>
    <w:rPr>
      <w:rFonts w:ascii="Times New Roman" w:eastAsiaTheme="minorEastAsia" w:hAnsi="Times New Roman"/>
      <w:sz w:val="24"/>
      <w:lang w:val="en-US"/>
    </w:rPr>
  </w:style>
  <w:style w:type="numbering" w:customStyle="1" w:styleId="OmniListBullets">
    <w:name w:val="OmniListBullets"/>
    <w:uiPriority w:val="99"/>
    <w:rsid w:val="007A1B96"/>
    <w:pPr>
      <w:numPr>
        <w:numId w:val="4"/>
      </w:numPr>
    </w:pPr>
  </w:style>
  <w:style w:type="paragraph" w:styleId="BodyText">
    <w:name w:val="Body Text"/>
    <w:basedOn w:val="Normal"/>
    <w:link w:val="BodyTextChar"/>
    <w:rsid w:val="007A1B96"/>
    <w:pPr>
      <w:spacing w:before="0" w:after="240"/>
    </w:pPr>
    <w:rPr>
      <w:rFonts w:eastAsia="Times New Roman"/>
      <w:b/>
      <w:color w:val="auto"/>
      <w:sz w:val="16"/>
      <w:szCs w:val="20"/>
    </w:rPr>
  </w:style>
  <w:style w:type="character" w:customStyle="1" w:styleId="BodyTextChar">
    <w:name w:val="Body Text Char"/>
    <w:basedOn w:val="DefaultParagraphFont"/>
    <w:link w:val="BodyText"/>
    <w:rsid w:val="007A1B96"/>
    <w:rPr>
      <w:rFonts w:ascii="Times New Roman" w:eastAsia="Times New Roman" w:hAnsi="Times New Roman" w:cs="Times New Roman"/>
      <w:b/>
      <w:sz w:val="16"/>
      <w:szCs w:val="20"/>
      <w:lang w:val="en-US"/>
    </w:rPr>
  </w:style>
  <w:style w:type="paragraph" w:styleId="BodyText2">
    <w:name w:val="Body Text 2"/>
    <w:basedOn w:val="Normal"/>
    <w:link w:val="BodyText2Char"/>
    <w:rsid w:val="007A1B96"/>
    <w:pPr>
      <w:spacing w:before="0" w:after="240"/>
    </w:pPr>
    <w:rPr>
      <w:rFonts w:eastAsia="Times New Roman"/>
      <w:color w:val="auto"/>
      <w:sz w:val="16"/>
      <w:szCs w:val="20"/>
    </w:rPr>
  </w:style>
  <w:style w:type="character" w:customStyle="1" w:styleId="BodyText2Char">
    <w:name w:val="Body Text 2 Char"/>
    <w:basedOn w:val="DefaultParagraphFont"/>
    <w:link w:val="BodyText2"/>
    <w:rsid w:val="007A1B96"/>
    <w:rPr>
      <w:rFonts w:ascii="Times New Roman" w:eastAsia="Times New Roman" w:hAnsi="Times New Roman" w:cs="Times New Roman"/>
      <w:sz w:val="16"/>
      <w:szCs w:val="20"/>
      <w:lang w:val="en-US"/>
    </w:rPr>
  </w:style>
  <w:style w:type="paragraph" w:styleId="BodyText3">
    <w:name w:val="Body Text 3"/>
    <w:basedOn w:val="Normal"/>
    <w:link w:val="BodyText3Char"/>
    <w:rsid w:val="007A1B96"/>
    <w:pPr>
      <w:spacing w:before="0" w:after="240"/>
      <w:jc w:val="center"/>
    </w:pPr>
    <w:rPr>
      <w:rFonts w:eastAsia="Times New Roman"/>
      <w:b/>
      <w:i/>
      <w:color w:val="auto"/>
      <w:sz w:val="16"/>
      <w:szCs w:val="20"/>
    </w:rPr>
  </w:style>
  <w:style w:type="character" w:customStyle="1" w:styleId="BodyText3Char">
    <w:name w:val="Body Text 3 Char"/>
    <w:basedOn w:val="DefaultParagraphFont"/>
    <w:link w:val="BodyText3"/>
    <w:rsid w:val="007A1B96"/>
    <w:rPr>
      <w:rFonts w:ascii="Times New Roman" w:eastAsia="Times New Roman" w:hAnsi="Times New Roman" w:cs="Times New Roman"/>
      <w:b/>
      <w:i/>
      <w:sz w:val="16"/>
      <w:szCs w:val="20"/>
      <w:lang w:val="en-US"/>
    </w:rPr>
  </w:style>
  <w:style w:type="paragraph" w:customStyle="1" w:styleId="Body">
    <w:name w:val="Body"/>
    <w:basedOn w:val="Normal"/>
    <w:rsid w:val="007A1B96"/>
    <w:pPr>
      <w:spacing w:before="0" w:after="240"/>
      <w:ind w:firstLine="288"/>
      <w:jc w:val="both"/>
    </w:pPr>
    <w:rPr>
      <w:rFonts w:ascii="Arial" w:eastAsia="Times New Roman" w:hAnsi="Arial"/>
      <w:color w:val="auto"/>
      <w:sz w:val="20"/>
      <w:szCs w:val="20"/>
    </w:rPr>
  </w:style>
  <w:style w:type="paragraph" w:customStyle="1" w:styleId="SubSectionHeadings">
    <w:name w:val="Sub Section Headings"/>
    <w:basedOn w:val="Normal"/>
    <w:next w:val="Body"/>
    <w:rsid w:val="007A1B96"/>
    <w:pPr>
      <w:keepNext/>
      <w:keepLines/>
      <w:spacing w:before="0" w:after="240"/>
    </w:pPr>
    <w:rPr>
      <w:rFonts w:ascii="Arial" w:eastAsia="Times New Roman" w:hAnsi="Arial"/>
      <w:i/>
      <w:color w:val="auto"/>
      <w:sz w:val="20"/>
      <w:szCs w:val="20"/>
    </w:rPr>
  </w:style>
  <w:style w:type="paragraph" w:customStyle="1" w:styleId="SectionHeadings">
    <w:name w:val="Section Headings"/>
    <w:basedOn w:val="Normal"/>
    <w:next w:val="Body"/>
    <w:rsid w:val="007A1B96"/>
    <w:pPr>
      <w:keepNext/>
      <w:keepLines/>
      <w:spacing w:after="120"/>
    </w:pPr>
    <w:rPr>
      <w:rFonts w:ascii="Arial" w:eastAsia="Times New Roman" w:hAnsi="Arial"/>
      <w:b/>
      <w:caps/>
      <w:color w:val="auto"/>
      <w:sz w:val="20"/>
      <w:szCs w:val="20"/>
    </w:rPr>
  </w:style>
  <w:style w:type="paragraph" w:customStyle="1" w:styleId="Heads">
    <w:name w:val="Heads"/>
    <w:basedOn w:val="Normal"/>
    <w:rsid w:val="007A1B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0" w:after="60" w:line="120" w:lineRule="exact"/>
      <w:jc w:val="center"/>
    </w:pPr>
    <w:rPr>
      <w:rFonts w:ascii="B Helvetica Bold" w:eastAsia="Times New Roman" w:hAnsi="B Helvetica Bold"/>
      <w:color w:val="auto"/>
      <w:sz w:val="12"/>
      <w:szCs w:val="20"/>
    </w:rPr>
  </w:style>
  <w:style w:type="table" w:styleId="TableGrid">
    <w:name w:val="Table Grid"/>
    <w:aliases w:val="Header Table"/>
    <w:basedOn w:val="TableNormal"/>
    <w:uiPriority w:val="59"/>
    <w:rsid w:val="007A1B96"/>
    <w:pPr>
      <w:spacing w:after="24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Heading">
    <w:name w:val="Note Heading"/>
    <w:next w:val="Normal"/>
    <w:link w:val="NoteHeadingChar"/>
    <w:rsid w:val="007A1B96"/>
    <w:pPr>
      <w:spacing w:after="120" w:line="300" w:lineRule="exact"/>
    </w:pPr>
    <w:rPr>
      <w:rFonts w:ascii="Times New Roman" w:eastAsia="Times New Roman" w:hAnsi="Times New Roman" w:cs="Times New Roman"/>
      <w:i/>
      <w:sz w:val="24"/>
      <w:szCs w:val="24"/>
      <w:lang w:val="en-US"/>
    </w:rPr>
  </w:style>
  <w:style w:type="character" w:customStyle="1" w:styleId="NoteHeadingChar">
    <w:name w:val="Note Heading Char"/>
    <w:basedOn w:val="DefaultParagraphFont"/>
    <w:link w:val="NoteHeading"/>
    <w:rsid w:val="007A1B96"/>
    <w:rPr>
      <w:rFonts w:ascii="Times New Roman" w:eastAsia="Times New Roman" w:hAnsi="Times New Roman" w:cs="Times New Roman"/>
      <w:i/>
      <w:sz w:val="24"/>
      <w:szCs w:val="24"/>
      <w:lang w:val="en-US"/>
    </w:rPr>
  </w:style>
  <w:style w:type="paragraph" w:customStyle="1" w:styleId="Paragraph">
    <w:name w:val="Paragraph"/>
    <w:link w:val="ParagraphChar1"/>
    <w:qFormat/>
    <w:rsid w:val="007A1B96"/>
    <w:pPr>
      <w:spacing w:after="240" w:line="300" w:lineRule="exact"/>
      <w:jc w:val="both"/>
    </w:pPr>
    <w:rPr>
      <w:rFonts w:ascii="Times New Roman" w:eastAsia="Times New Roman" w:hAnsi="Times New Roman" w:cs="Times New Roman"/>
      <w:sz w:val="24"/>
      <w:szCs w:val="24"/>
      <w:lang w:val="en-US"/>
    </w:rPr>
  </w:style>
  <w:style w:type="character" w:customStyle="1" w:styleId="ParagraphChar1">
    <w:name w:val="Paragraph Char1"/>
    <w:link w:val="Paragraph"/>
    <w:rsid w:val="007A1B96"/>
    <w:rPr>
      <w:rFonts w:ascii="Times New Roman" w:eastAsia="Times New Roman" w:hAnsi="Times New Roman" w:cs="Times New Roman"/>
      <w:sz w:val="24"/>
      <w:szCs w:val="24"/>
      <w:lang w:val="en-US"/>
    </w:rPr>
  </w:style>
  <w:style w:type="paragraph" w:customStyle="1" w:styleId="FigureTitle">
    <w:name w:val="Figure Title"/>
    <w:next w:val="Normal"/>
    <w:link w:val="FigureTitleChar"/>
    <w:qFormat/>
    <w:rsid w:val="007A1B96"/>
    <w:pPr>
      <w:keepNext/>
      <w:keepLines/>
      <w:tabs>
        <w:tab w:val="left" w:pos="1440"/>
      </w:tabs>
      <w:spacing w:after="240" w:line="240" w:lineRule="auto"/>
      <w:ind w:left="1440" w:hanging="1440"/>
      <w:outlineLvl w:val="7"/>
    </w:pPr>
    <w:rPr>
      <w:rFonts w:ascii="Times New Roman Bold" w:eastAsia="Times New Roman" w:hAnsi="Times New Roman Bold" w:cs="Times New Roman"/>
      <w:b/>
      <w:sz w:val="24"/>
      <w:szCs w:val="24"/>
      <w:lang w:val="en-US"/>
    </w:rPr>
  </w:style>
  <w:style w:type="paragraph" w:customStyle="1" w:styleId="TableCellCenter">
    <w:name w:val="Table Cell Center"/>
    <w:rsid w:val="007A1B96"/>
    <w:pPr>
      <w:spacing w:after="40" w:line="240" w:lineRule="auto"/>
      <w:jc w:val="center"/>
    </w:pPr>
    <w:rPr>
      <w:rFonts w:ascii="Times New Roman" w:eastAsia="Times New Roman" w:hAnsi="Times New Roman" w:cs="Times New Roman"/>
      <w:sz w:val="20"/>
      <w:szCs w:val="24"/>
      <w:lang w:val="en-US"/>
    </w:rPr>
  </w:style>
  <w:style w:type="paragraph" w:customStyle="1" w:styleId="TableCellLeft">
    <w:name w:val="Table Cell Left"/>
    <w:link w:val="TableCellLeftChar"/>
    <w:qFormat/>
    <w:rsid w:val="007A1B96"/>
    <w:pPr>
      <w:spacing w:after="40" w:line="240" w:lineRule="auto"/>
    </w:pPr>
    <w:rPr>
      <w:rFonts w:ascii="Times New Roman" w:eastAsia="Times New Roman" w:hAnsi="Times New Roman" w:cs="Times New Roman"/>
      <w:sz w:val="20"/>
      <w:szCs w:val="24"/>
      <w:lang w:val="en-US"/>
    </w:rPr>
  </w:style>
  <w:style w:type="paragraph" w:customStyle="1" w:styleId="TableCellTitle">
    <w:name w:val="Table Cell Title"/>
    <w:qFormat/>
    <w:rsid w:val="007A1B96"/>
    <w:pPr>
      <w:spacing w:after="40" w:line="240" w:lineRule="auto"/>
      <w:jc w:val="center"/>
    </w:pPr>
    <w:rPr>
      <w:rFonts w:ascii="Times New Roman" w:eastAsia="Times New Roman" w:hAnsi="Times New Roman" w:cs="Times New Roman"/>
      <w:b/>
      <w:sz w:val="20"/>
      <w:szCs w:val="24"/>
      <w:lang w:val="en-US"/>
    </w:rPr>
  </w:style>
  <w:style w:type="paragraph" w:customStyle="1" w:styleId="TableSpace">
    <w:name w:val="Table Space"/>
    <w:next w:val="Normal"/>
    <w:qFormat/>
    <w:rsid w:val="007A1B96"/>
    <w:pPr>
      <w:spacing w:after="120" w:line="240" w:lineRule="exact"/>
    </w:pPr>
    <w:rPr>
      <w:rFonts w:ascii="Times New Roman" w:eastAsia="Times New Roman" w:hAnsi="Times New Roman" w:cs="Times New Roman"/>
      <w:sz w:val="24"/>
      <w:szCs w:val="24"/>
      <w:lang w:val="en-US"/>
    </w:rPr>
  </w:style>
  <w:style w:type="paragraph" w:customStyle="1" w:styleId="TableTitle">
    <w:name w:val="Table Title"/>
    <w:next w:val="Normal"/>
    <w:link w:val="TableTitleCharChar"/>
    <w:qFormat/>
    <w:rsid w:val="007A1B96"/>
    <w:pPr>
      <w:keepNext/>
      <w:keepLines/>
      <w:tabs>
        <w:tab w:val="left" w:pos="1440"/>
      </w:tabs>
      <w:spacing w:after="240" w:line="240" w:lineRule="auto"/>
      <w:ind w:left="1440" w:hanging="1440"/>
      <w:outlineLvl w:val="7"/>
    </w:pPr>
    <w:rPr>
      <w:rFonts w:ascii="Times New Roman" w:eastAsia="Times New Roman" w:hAnsi="Times New Roman" w:cs="Times New Roman"/>
      <w:b/>
      <w:sz w:val="24"/>
      <w:szCs w:val="24"/>
      <w:lang w:val="en-US"/>
    </w:rPr>
  </w:style>
  <w:style w:type="character" w:customStyle="1" w:styleId="paragraphcharchar">
    <w:name w:val="paragraphcharchar"/>
    <w:rsid w:val="007A1B96"/>
  </w:style>
  <w:style w:type="character" w:customStyle="1" w:styleId="TableCellLeftChar">
    <w:name w:val="Table Cell Left Char"/>
    <w:link w:val="TableCellLeft"/>
    <w:rsid w:val="007A1B96"/>
    <w:rPr>
      <w:rFonts w:ascii="Times New Roman" w:eastAsia="Times New Roman" w:hAnsi="Times New Roman" w:cs="Times New Roman"/>
      <w:sz w:val="20"/>
      <w:szCs w:val="24"/>
      <w:lang w:val="en-US"/>
    </w:rPr>
  </w:style>
  <w:style w:type="character" w:customStyle="1" w:styleId="FigureTitleChar">
    <w:name w:val="Figure Title Char"/>
    <w:link w:val="FigureTitle"/>
    <w:rsid w:val="007A1B96"/>
    <w:rPr>
      <w:rFonts w:ascii="Times New Roman Bold" w:eastAsia="Times New Roman" w:hAnsi="Times New Roman Bold" w:cs="Times New Roman"/>
      <w:b/>
      <w:sz w:val="24"/>
      <w:szCs w:val="24"/>
      <w:lang w:val="en-US"/>
    </w:rPr>
  </w:style>
  <w:style w:type="character" w:customStyle="1" w:styleId="TableTitleCharChar">
    <w:name w:val="Table Title Char Char"/>
    <w:link w:val="TableTitle"/>
    <w:rsid w:val="007A1B96"/>
    <w:rPr>
      <w:rFonts w:ascii="Times New Roman" w:eastAsia="Times New Roman" w:hAnsi="Times New Roman" w:cs="Times New Roman"/>
      <w:b/>
      <w:sz w:val="24"/>
      <w:szCs w:val="24"/>
      <w:lang w:val="en-US"/>
    </w:rPr>
  </w:style>
  <w:style w:type="paragraph" w:customStyle="1" w:styleId="ParagraphChar">
    <w:name w:val="Paragraph Char"/>
    <w:basedOn w:val="Normal"/>
    <w:link w:val="ParagraphCharChar0"/>
    <w:uiPriority w:val="99"/>
    <w:rsid w:val="007A1B96"/>
    <w:pPr>
      <w:spacing w:before="0" w:after="300" w:line="400" w:lineRule="exact"/>
    </w:pPr>
    <w:rPr>
      <w:rFonts w:ascii="Arial" w:eastAsia="Times New Roman" w:hAnsi="Arial"/>
      <w:color w:val="auto"/>
    </w:rPr>
  </w:style>
  <w:style w:type="character" w:customStyle="1" w:styleId="ParagraphCharChar0">
    <w:name w:val="Paragraph Char Char"/>
    <w:link w:val="ParagraphChar"/>
    <w:uiPriority w:val="99"/>
    <w:rsid w:val="007A1B96"/>
    <w:rPr>
      <w:rFonts w:ascii="Arial" w:eastAsia="Times New Roman" w:hAnsi="Arial" w:cs="Times New Roman"/>
      <w:sz w:val="24"/>
      <w:szCs w:val="24"/>
      <w:lang w:val="en-US"/>
    </w:rPr>
  </w:style>
  <w:style w:type="paragraph" w:customStyle="1" w:styleId="Default">
    <w:name w:val="Default"/>
    <w:rsid w:val="007A1B96"/>
    <w:pPr>
      <w:autoSpaceDE w:val="0"/>
      <w:autoSpaceDN w:val="0"/>
      <w:adjustRightInd w:val="0"/>
      <w:spacing w:after="240" w:line="240" w:lineRule="auto"/>
    </w:pPr>
    <w:rPr>
      <w:rFonts w:ascii="Arial" w:eastAsia="Times New Roman" w:hAnsi="Arial" w:cs="Arial"/>
      <w:color w:val="000000"/>
      <w:sz w:val="24"/>
      <w:szCs w:val="24"/>
      <w:lang w:val="en-US"/>
    </w:rPr>
  </w:style>
  <w:style w:type="paragraph" w:customStyle="1" w:styleId="TableText">
    <w:name w:val="Table Text"/>
    <w:basedOn w:val="Normal"/>
    <w:rsid w:val="007A1B96"/>
    <w:pPr>
      <w:spacing w:before="60" w:after="60"/>
    </w:pPr>
    <w:rPr>
      <w:rFonts w:eastAsia="Times New Roman"/>
      <w:color w:val="auto"/>
      <w:sz w:val="20"/>
    </w:rPr>
  </w:style>
  <w:style w:type="paragraph" w:customStyle="1" w:styleId="ColorfulShading-Accent11">
    <w:name w:val="Colorful Shading - Accent 11"/>
    <w:hidden/>
    <w:uiPriority w:val="99"/>
    <w:semiHidden/>
    <w:rsid w:val="007A1B96"/>
    <w:pPr>
      <w:spacing w:after="240" w:line="240" w:lineRule="auto"/>
    </w:pPr>
    <w:rPr>
      <w:rFonts w:ascii="Times New Roman" w:eastAsia="Times New Roman" w:hAnsi="Times New Roman" w:cs="Times New Roman"/>
      <w:sz w:val="20"/>
      <w:szCs w:val="20"/>
      <w:lang w:val="en-US"/>
    </w:rPr>
  </w:style>
  <w:style w:type="paragraph" w:styleId="Revision">
    <w:name w:val="Revision"/>
    <w:hidden/>
    <w:uiPriority w:val="99"/>
    <w:semiHidden/>
    <w:rsid w:val="007A1B96"/>
    <w:pPr>
      <w:spacing w:after="240" w:line="240" w:lineRule="auto"/>
    </w:pPr>
    <w:rPr>
      <w:rFonts w:ascii="Times New Roman" w:eastAsia="Times New Roman" w:hAnsi="Times New Roman" w:cs="Times New Roman"/>
      <w:sz w:val="20"/>
      <w:szCs w:val="20"/>
      <w:lang w:val="en-US"/>
    </w:rPr>
  </w:style>
  <w:style w:type="paragraph" w:customStyle="1" w:styleId="TableLeft">
    <w:name w:val="Table Left"/>
    <w:basedOn w:val="Normal"/>
    <w:semiHidden/>
    <w:rsid w:val="007A1B96"/>
    <w:pPr>
      <w:spacing w:before="0" w:after="60"/>
    </w:pPr>
    <w:rPr>
      <w:rFonts w:eastAsia="Times New Roman"/>
      <w:color w:val="auto"/>
      <w:sz w:val="22"/>
      <w:szCs w:val="22"/>
    </w:rPr>
  </w:style>
  <w:style w:type="character" w:customStyle="1" w:styleId="bold">
    <w:name w:val="bold"/>
    <w:basedOn w:val="DefaultParagraphFont"/>
    <w:rsid w:val="007A1B96"/>
  </w:style>
  <w:style w:type="character" w:customStyle="1" w:styleId="italics">
    <w:name w:val="italics"/>
    <w:basedOn w:val="DefaultParagraphFont"/>
    <w:rsid w:val="007A1B96"/>
  </w:style>
  <w:style w:type="paragraph" w:customStyle="1" w:styleId="first">
    <w:name w:val="first"/>
    <w:basedOn w:val="Normal"/>
    <w:rsid w:val="007A1B96"/>
    <w:pPr>
      <w:spacing w:before="100" w:beforeAutospacing="1" w:after="100" w:afterAutospacing="1"/>
    </w:pPr>
    <w:rPr>
      <w:rFonts w:eastAsia="Times New Roman"/>
      <w:color w:val="auto"/>
    </w:rPr>
  </w:style>
  <w:style w:type="paragraph" w:customStyle="1" w:styleId="FigureHolder">
    <w:name w:val="Figure Holder"/>
    <w:next w:val="Normal"/>
    <w:qFormat/>
    <w:rsid w:val="007A1B96"/>
    <w:pPr>
      <w:keepLines/>
      <w:spacing w:before="240" w:after="240" w:line="300" w:lineRule="atLeast"/>
      <w:jc w:val="center"/>
    </w:pPr>
    <w:rPr>
      <w:rFonts w:ascii="Times New Roman" w:eastAsiaTheme="minorEastAsia" w:hAnsi="Times New Roman"/>
      <w:sz w:val="24"/>
      <w:lang w:val="en-US"/>
    </w:rPr>
  </w:style>
  <w:style w:type="character" w:customStyle="1" w:styleId="InternetLink">
    <w:name w:val="Internet Link"/>
    <w:basedOn w:val="DefaultParagraphFont"/>
    <w:rsid w:val="007A1B96"/>
    <w:rPr>
      <w:color w:val="0000FF"/>
      <w:u w:val="single"/>
    </w:rPr>
  </w:style>
  <w:style w:type="paragraph" w:styleId="NoSpacing">
    <w:name w:val="No Spacing"/>
    <w:uiPriority w:val="1"/>
    <w:qFormat/>
    <w:rsid w:val="007A1B96"/>
    <w:pPr>
      <w:suppressAutoHyphens/>
      <w:spacing w:after="0" w:line="240" w:lineRule="auto"/>
    </w:pPr>
    <w:rPr>
      <w:rFonts w:ascii="Calibri" w:eastAsia="Arial Unicode MS" w:hAnsi="Calibri" w:cs="Calibri"/>
      <w:color w:val="00000A"/>
      <w:lang w:val="en-US"/>
    </w:rPr>
  </w:style>
  <w:style w:type="character" w:customStyle="1" w:styleId="underline">
    <w:name w:val="underline"/>
    <w:basedOn w:val="DefaultParagraphFont"/>
    <w:rsid w:val="007A1B96"/>
  </w:style>
  <w:style w:type="table" w:customStyle="1" w:styleId="TableGrid1">
    <w:name w:val="Table Grid1"/>
    <w:basedOn w:val="TableNormal"/>
    <w:next w:val="TableGrid"/>
    <w:rsid w:val="007A1B96"/>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
    <w:name w:val="sub"/>
    <w:basedOn w:val="DefaultParagraphFont"/>
    <w:rsid w:val="007A1B96"/>
  </w:style>
  <w:style w:type="character" w:customStyle="1" w:styleId="UnresolvedMention1">
    <w:name w:val="Unresolved Mention1"/>
    <w:basedOn w:val="DefaultParagraphFont"/>
    <w:uiPriority w:val="99"/>
    <w:semiHidden/>
    <w:unhideWhenUsed/>
    <w:rsid w:val="007A1B96"/>
    <w:rPr>
      <w:color w:val="605E5C"/>
      <w:shd w:val="clear" w:color="auto" w:fill="E1DFDD"/>
    </w:rPr>
  </w:style>
  <w:style w:type="table" w:styleId="GridTable1Light">
    <w:name w:val="Grid Table 1 Light"/>
    <w:basedOn w:val="TableNormal"/>
    <w:uiPriority w:val="46"/>
    <w:rsid w:val="007A1B96"/>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UnresolvedMention2">
    <w:name w:val="Unresolved Mention2"/>
    <w:basedOn w:val="DefaultParagraphFont"/>
    <w:uiPriority w:val="99"/>
    <w:semiHidden/>
    <w:unhideWhenUsed/>
    <w:rsid w:val="007A1B96"/>
    <w:rPr>
      <w:color w:val="605E5C"/>
      <w:shd w:val="clear" w:color="auto" w:fill="E1DFDD"/>
    </w:rPr>
  </w:style>
  <w:style w:type="paragraph" w:styleId="Caption">
    <w:name w:val="caption"/>
    <w:basedOn w:val="Normal"/>
    <w:next w:val="Normal"/>
    <w:unhideWhenUsed/>
    <w:rsid w:val="00087D58"/>
    <w:pPr>
      <w:keepNext/>
      <w:spacing w:after="120"/>
      <w:jc w:val="center"/>
    </w:pPr>
    <w:rPr>
      <w:rFonts w:eastAsia="Times New Roman"/>
      <w:b/>
      <w:bCs/>
      <w:color w:val="auto"/>
      <w:szCs w:val="22"/>
    </w:rPr>
  </w:style>
  <w:style w:type="paragraph" w:customStyle="1" w:styleId="ListFooter">
    <w:name w:val="List Footer"/>
    <w:qFormat/>
    <w:rsid w:val="007A1B96"/>
    <w:pPr>
      <w:keepLines/>
      <w:spacing w:after="60" w:line="240" w:lineRule="auto"/>
      <w:ind w:left="360" w:hanging="360"/>
    </w:pPr>
    <w:rPr>
      <w:rFonts w:ascii="Times New Roman" w:eastAsiaTheme="minorEastAsia" w:hAnsi="Times New Roman"/>
      <w:sz w:val="20"/>
      <w:lang w:val="en-US"/>
    </w:rPr>
  </w:style>
  <w:style w:type="paragraph" w:customStyle="1" w:styleId="TableCellCenter2">
    <w:name w:val="Table Cell Center 2"/>
    <w:qFormat/>
    <w:rsid w:val="007A1B96"/>
    <w:pPr>
      <w:spacing w:after="60" w:line="240" w:lineRule="auto"/>
      <w:jc w:val="center"/>
    </w:pPr>
    <w:rPr>
      <w:rFonts w:ascii="Times New Roman" w:eastAsiaTheme="minorEastAsia" w:hAnsi="Times New Roman"/>
      <w:b/>
      <w:sz w:val="20"/>
      <w:lang w:val="en-US"/>
    </w:rPr>
  </w:style>
  <w:style w:type="paragraph" w:customStyle="1" w:styleId="ListFooterAlpha">
    <w:name w:val="List Footer Alpha"/>
    <w:qFormat/>
    <w:rsid w:val="007A1B96"/>
    <w:pPr>
      <w:keepLines/>
      <w:numPr>
        <w:numId w:val="7"/>
      </w:numPr>
      <w:spacing w:after="60" w:line="240" w:lineRule="auto"/>
    </w:pPr>
    <w:rPr>
      <w:rFonts w:ascii="Times New Roman" w:eastAsiaTheme="minorEastAsia" w:hAnsi="Times New Roman"/>
      <w:sz w:val="20"/>
      <w:lang w:val="en-US"/>
    </w:rPr>
  </w:style>
  <w:style w:type="numbering" w:customStyle="1" w:styleId="OmniFooterAlpha">
    <w:name w:val="OmniFooterAlpha"/>
    <w:uiPriority w:val="99"/>
    <w:rsid w:val="007A1B96"/>
    <w:pPr>
      <w:numPr>
        <w:numId w:val="6"/>
      </w:numPr>
    </w:pPr>
  </w:style>
  <w:style w:type="paragraph" w:customStyle="1" w:styleId="GatheredHighlight">
    <w:name w:val="Gathered Highlight"/>
    <w:basedOn w:val="Heading1"/>
    <w:rsid w:val="007A1B96"/>
    <w:pPr>
      <w:keepLines/>
      <w:numPr>
        <w:numId w:val="0"/>
      </w:numPr>
      <w:tabs>
        <w:tab w:val="center" w:leader="hyphen" w:pos="2520"/>
        <w:tab w:val="left" w:leader="hyphen" w:pos="5040"/>
      </w:tabs>
      <w:spacing w:before="160"/>
      <w:jc w:val="center"/>
      <w:outlineLvl w:val="9"/>
    </w:pPr>
    <w:rPr>
      <w:rFonts w:ascii="Times New Roman Bold" w:eastAsia="SimSun" w:hAnsi="Times New Roman Bold" w:cs="Times New Roman"/>
      <w:color w:val="auto"/>
      <w:kern w:val="0"/>
      <w:sz w:val="16"/>
      <w:szCs w:val="28"/>
    </w:rPr>
  </w:style>
  <w:style w:type="character" w:customStyle="1" w:styleId="UnresolvedMention3">
    <w:name w:val="Unresolved Mention3"/>
    <w:basedOn w:val="DefaultParagraphFont"/>
    <w:uiPriority w:val="99"/>
    <w:semiHidden/>
    <w:unhideWhenUsed/>
    <w:rsid w:val="007A1B96"/>
    <w:rPr>
      <w:color w:val="605E5C"/>
      <w:shd w:val="clear" w:color="auto" w:fill="E1DFDD"/>
    </w:rPr>
  </w:style>
  <w:style w:type="character" w:customStyle="1" w:styleId="UnresolvedMention4">
    <w:name w:val="Unresolved Mention4"/>
    <w:basedOn w:val="DefaultParagraphFont"/>
    <w:uiPriority w:val="99"/>
    <w:semiHidden/>
    <w:unhideWhenUsed/>
    <w:rsid w:val="00390DA6"/>
    <w:rPr>
      <w:color w:val="605E5C"/>
      <w:shd w:val="clear" w:color="auto" w:fill="E1DFDD"/>
    </w:rPr>
  </w:style>
  <w:style w:type="character" w:customStyle="1" w:styleId="UnresolvedMention5">
    <w:name w:val="Unresolved Mention5"/>
    <w:basedOn w:val="DefaultParagraphFont"/>
    <w:uiPriority w:val="99"/>
    <w:semiHidden/>
    <w:unhideWhenUsed/>
    <w:rsid w:val="00F906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8189895">
      <w:bodyDiv w:val="1"/>
      <w:marLeft w:val="0"/>
      <w:marRight w:val="0"/>
      <w:marTop w:val="0"/>
      <w:marBottom w:val="0"/>
      <w:divBdr>
        <w:top w:val="none" w:sz="0" w:space="0" w:color="auto"/>
        <w:left w:val="none" w:sz="0" w:space="0" w:color="auto"/>
        <w:bottom w:val="none" w:sz="0" w:space="0" w:color="auto"/>
        <w:right w:val="none" w:sz="0" w:space="0" w:color="auto"/>
      </w:divBdr>
    </w:div>
    <w:div w:id="1565942961">
      <w:bodyDiv w:val="1"/>
      <w:marLeft w:val="0"/>
      <w:marRight w:val="0"/>
      <w:marTop w:val="0"/>
      <w:marBottom w:val="0"/>
      <w:divBdr>
        <w:top w:val="none" w:sz="0" w:space="0" w:color="auto"/>
        <w:left w:val="none" w:sz="0" w:space="0" w:color="auto"/>
        <w:bottom w:val="none" w:sz="0" w:space="0" w:color="auto"/>
        <w:right w:val="none" w:sz="0" w:space="0" w:color="auto"/>
      </w:divBdr>
    </w:div>
    <w:div w:id="2068216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tga.gov.au/reporting-problems" TargetMode="External"/><Relationship Id="rId18" Type="http://schemas.openxmlformats.org/officeDocument/2006/relationships/hyperlink" Target="http://www.otsuka.com.au"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tga.gov.au/reporting-problems" TargetMode="External"/><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2.emf"/><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oleObject" Target="embeddings/oleObject1.bin"/><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hyperlink" Target="https://www.tga.gov.au/product-information-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340E763AB2564EB3C2E51B6B341A8E" ma:contentTypeVersion="11" ma:contentTypeDescription="Create a new document." ma:contentTypeScope="" ma:versionID="87588c07a1728c6bec53179195b4eba4">
  <xsd:schema xmlns:xsd="http://www.w3.org/2001/XMLSchema" xmlns:xs="http://www.w3.org/2001/XMLSchema" xmlns:p="http://schemas.microsoft.com/office/2006/metadata/properties" xmlns:ns2="d359beb6-62a6-4b86-b31c-97f65bfe3e2f" targetNamespace="http://schemas.microsoft.com/office/2006/metadata/properties" ma:root="true" ma:fieldsID="5296a30b9e060249ddae02814df599f2" ns2:_="">
    <xsd:import namespace="d359beb6-62a6-4b86-b31c-97f65bfe3e2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59beb6-62a6-4b86-b31c-97f65bfe3e2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2F6D45-4F3B-44A4-AD0C-875D9CE9C42F}">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d359beb6-62a6-4b86-b31c-97f65bfe3e2f"/>
    <ds:schemaRef ds:uri="http://www.w3.org/XML/1998/namespace"/>
  </ds:schemaRefs>
</ds:datastoreItem>
</file>

<file path=customXml/itemProps2.xml><?xml version="1.0" encoding="utf-8"?>
<ds:datastoreItem xmlns:ds="http://schemas.openxmlformats.org/officeDocument/2006/customXml" ds:itemID="{EA31B913-42ED-4EC2-BCE3-F1118591C1BB}">
  <ds:schemaRefs>
    <ds:schemaRef ds:uri="http://schemas.microsoft.com/sharepoint/v3/contenttype/forms"/>
  </ds:schemaRefs>
</ds:datastoreItem>
</file>

<file path=customXml/itemProps3.xml><?xml version="1.0" encoding="utf-8"?>
<ds:datastoreItem xmlns:ds="http://schemas.openxmlformats.org/officeDocument/2006/customXml" ds:itemID="{2A05879C-AF94-40CA-B332-EA2E3D2CDC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59beb6-62a6-4b86-b31c-97f65bfe3e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CF15C4-F76D-4324-8DCC-96637A07EAD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D1EB72CF-F76C-4C55-83D3-90EB79751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20</Pages>
  <Words>6058</Words>
  <Characters>34835</Characters>
  <Application>Microsoft Office Word</Application>
  <DocSecurity>0</DocSecurity>
  <Lines>1024</Lines>
  <Paragraphs>743</Paragraphs>
  <ScaleCrop>false</ScaleCrop>
  <HeadingPairs>
    <vt:vector size="2" baseType="variant">
      <vt:variant>
        <vt:lpstr>Title</vt:lpstr>
      </vt:variant>
      <vt:variant>
        <vt:i4>1</vt:i4>
      </vt:variant>
    </vt:vector>
  </HeadingPairs>
  <TitlesOfParts>
    <vt:vector size="1" baseType="lpstr">
      <vt:lpstr>Attachment: Product Information for Decitabine and cedazuridine</vt:lpstr>
    </vt:vector>
  </TitlesOfParts>
  <Company>Otsuka Australia Pharmaceutical Pty Ltd</Company>
  <LinksUpToDate>false</LinksUpToDate>
  <CharactersWithSpaces>40150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Product Information for Decitabine and cedazuridine</dc:title>
  <dc:subject>prescription medicines</dc:subject>
  <dc:creator>Otsuka Australia Pharmaceutical Pty Ltd</dc:creator>
  <cp:lastPrinted>2020-09-17T22:42:00Z</cp:lastPrinted>
  <dcterms:created xsi:type="dcterms:W3CDTF">2021-02-10T00:48:00Z</dcterms:created>
  <dcterms:modified xsi:type="dcterms:W3CDTF">2021-02-10T01:17:00Z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0x010100CA340E763AB2564EB3C2E51B6B341A8E</vt:lpwstr>
  </property>
</Properties>
</file>