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003" w:rsidRDefault="00AD7003" w:rsidP="00AD7003">
      <w:pPr>
        <w:pStyle w:val="Heading1"/>
        <w:keepNext w:val="0"/>
        <w:spacing w:before="0" w:after="0"/>
      </w:pPr>
    </w:p>
    <w:p w:rsidR="00AD7003" w:rsidRPr="00236317" w:rsidRDefault="00AD7003" w:rsidP="00AD7003">
      <w:pPr>
        <w:pStyle w:val="Heading1"/>
        <w:keepNext w:val="0"/>
        <w:spacing w:before="0" w:after="0"/>
      </w:pPr>
      <w:r w:rsidRPr="00236317">
        <w:t>NAME OF THE MEDICINE</w:t>
      </w:r>
    </w:p>
    <w:p w:rsidR="00AD7003" w:rsidRDefault="00AD7003" w:rsidP="00AD7003">
      <w:proofErr w:type="spellStart"/>
      <w:r w:rsidRPr="00DF3E07">
        <w:t>Prolia</w:t>
      </w:r>
      <w:proofErr w:type="spellEnd"/>
      <w:r w:rsidRPr="00FC08C0">
        <w:rPr>
          <w:rFonts w:cs="Arial"/>
          <w:vertAlign w:val="superscript"/>
        </w:rPr>
        <w:t>®</w:t>
      </w:r>
      <w:r>
        <w:t xml:space="preserve"> is the Amgen Inc. tradema</w:t>
      </w:r>
      <w:r w:rsidRPr="00B93EDB">
        <w:t xml:space="preserve">rk for </w:t>
      </w:r>
      <w:proofErr w:type="spellStart"/>
      <w:r>
        <w:t>denosumab</w:t>
      </w:r>
      <w:proofErr w:type="spellEnd"/>
      <w:r>
        <w:t xml:space="preserve"> (</w:t>
      </w:r>
      <w:proofErr w:type="spellStart"/>
      <w:r>
        <w:t>rch</w:t>
      </w:r>
      <w:proofErr w:type="spellEnd"/>
      <w:r w:rsidRPr="00B93EDB">
        <w:t>).</w:t>
      </w:r>
    </w:p>
    <w:p w:rsidR="00AD7003" w:rsidRDefault="00AD7003" w:rsidP="00AD7003"/>
    <w:p w:rsidR="00EC2F2C" w:rsidRDefault="00AD7003" w:rsidP="009D3DD9">
      <w:bookmarkStart w:id="0" w:name="OLE_LINK3"/>
      <w:bookmarkStart w:id="1" w:name="OLE_LINK4"/>
      <w:r>
        <w:rPr>
          <w:noProof/>
          <w:lang w:val="en-AU" w:eastAsia="en-AU"/>
        </w:rPr>
        <w:drawing>
          <wp:inline distT="0" distB="0" distL="0" distR="0" wp14:anchorId="56A8EA15" wp14:editId="292907C3">
            <wp:extent cx="2858770" cy="2761615"/>
            <wp:effectExtent l="0" t="0" r="0" b="635"/>
            <wp:docPr id="1" name="Picture 1" descr="structure of denosum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8770" cy="2761615"/>
                    </a:xfrm>
                    <a:prstGeom prst="rect">
                      <a:avLst/>
                    </a:prstGeom>
                    <a:noFill/>
                    <a:ln>
                      <a:noFill/>
                    </a:ln>
                  </pic:spPr>
                </pic:pic>
              </a:graphicData>
            </a:graphic>
          </wp:inline>
        </w:drawing>
      </w:r>
      <w:bookmarkStart w:id="2" w:name="_GoBack"/>
      <w:bookmarkEnd w:id="0"/>
      <w:bookmarkEnd w:id="1"/>
      <w:bookmarkEnd w:id="2"/>
    </w:p>
    <w:p w:rsidR="00AD7003" w:rsidRDefault="00AD7003" w:rsidP="009D3DD9"/>
    <w:p w:rsidR="00AD7003" w:rsidRPr="00B93EDB" w:rsidRDefault="00AD7003" w:rsidP="00AD7003">
      <w:pPr>
        <w:pStyle w:val="Heading1"/>
        <w:keepNext w:val="0"/>
        <w:spacing w:before="0" w:after="0"/>
      </w:pPr>
      <w:r w:rsidRPr="00B93EDB">
        <w:t>DESCRIPTION</w:t>
      </w:r>
    </w:p>
    <w:p w:rsidR="00AD7003" w:rsidRPr="00FC08C0" w:rsidRDefault="00AD7003" w:rsidP="00AD7003">
      <w:pPr>
        <w:rPr>
          <w:rFonts w:cs="Arial"/>
          <w:szCs w:val="22"/>
        </w:rPr>
      </w:pPr>
    </w:p>
    <w:p w:rsidR="00AD7003" w:rsidRPr="00FC08C0" w:rsidRDefault="00AD7003" w:rsidP="00AD7003">
      <w:pPr>
        <w:rPr>
          <w:rFonts w:cs="Arial"/>
          <w:szCs w:val="22"/>
        </w:rPr>
      </w:pPr>
      <w:proofErr w:type="spellStart"/>
      <w:r w:rsidRPr="00FC08C0">
        <w:rPr>
          <w:rFonts w:cs="Arial"/>
          <w:szCs w:val="22"/>
        </w:rPr>
        <w:t>Denosumab</w:t>
      </w:r>
      <w:proofErr w:type="spellEnd"/>
      <w:r w:rsidRPr="00FC08C0">
        <w:rPr>
          <w:rFonts w:cs="Arial"/>
          <w:szCs w:val="22"/>
        </w:rPr>
        <w:t xml:space="preserve"> is a fully human IgG2 monoclonal antibody with high affinity and specificity for RANK ligand (RANKL).  </w:t>
      </w:r>
      <w:proofErr w:type="spellStart"/>
      <w:r w:rsidRPr="00FC08C0">
        <w:rPr>
          <w:rFonts w:cs="Arial"/>
          <w:szCs w:val="22"/>
        </w:rPr>
        <w:t>Denosumab</w:t>
      </w:r>
      <w:proofErr w:type="spellEnd"/>
      <w:r w:rsidRPr="00FC08C0">
        <w:rPr>
          <w:rFonts w:cs="Arial"/>
          <w:szCs w:val="22"/>
        </w:rPr>
        <w:t xml:space="preserve"> has an approximate molecular weight of 147</w:t>
      </w:r>
      <w:r w:rsidRPr="00FC08C0">
        <w:rPr>
          <w:rFonts w:cs="Arial"/>
          <w:noProof/>
          <w:color w:val="000000"/>
        </w:rPr>
        <w:t> </w:t>
      </w:r>
      <w:proofErr w:type="spellStart"/>
      <w:r w:rsidRPr="00FC08C0">
        <w:rPr>
          <w:rFonts w:cs="Arial"/>
          <w:szCs w:val="22"/>
        </w:rPr>
        <w:t>kDa</w:t>
      </w:r>
      <w:proofErr w:type="spellEnd"/>
      <w:r w:rsidRPr="00FC08C0">
        <w:rPr>
          <w:rFonts w:cs="Arial"/>
          <w:szCs w:val="22"/>
        </w:rPr>
        <w:t xml:space="preserve"> and is produced in genetically engineered mammalian (Chinese Hamster Ovary, CHO) cells.</w:t>
      </w:r>
    </w:p>
    <w:p w:rsidR="00AD7003" w:rsidRPr="00FC08C0" w:rsidRDefault="00AD7003" w:rsidP="00AD7003">
      <w:pPr>
        <w:rPr>
          <w:rFonts w:cs="Arial"/>
          <w:szCs w:val="22"/>
        </w:rPr>
      </w:pPr>
    </w:p>
    <w:p w:rsidR="00AD7003" w:rsidRPr="00FC08C0" w:rsidRDefault="00AD7003" w:rsidP="00AD7003">
      <w:pPr>
        <w:rPr>
          <w:rFonts w:cs="Arial"/>
          <w:szCs w:val="22"/>
        </w:rPr>
      </w:pPr>
      <w:r w:rsidRPr="00FC08C0">
        <w:rPr>
          <w:rFonts w:cs="Arial"/>
          <w:szCs w:val="22"/>
        </w:rPr>
        <w:t>CAS number: 615258-40-7</w:t>
      </w:r>
    </w:p>
    <w:p w:rsidR="00AD7003" w:rsidRPr="00FC08C0" w:rsidRDefault="00AD7003" w:rsidP="00AD7003">
      <w:pPr>
        <w:rPr>
          <w:rFonts w:cs="Arial"/>
          <w:szCs w:val="22"/>
        </w:rPr>
      </w:pPr>
    </w:p>
    <w:p w:rsidR="00AD7003" w:rsidRPr="00FC08C0" w:rsidRDefault="00AD7003" w:rsidP="00AD7003">
      <w:pPr>
        <w:rPr>
          <w:b/>
          <w:szCs w:val="22"/>
        </w:rPr>
      </w:pPr>
      <w:proofErr w:type="spellStart"/>
      <w:r>
        <w:t>Prolia</w:t>
      </w:r>
      <w:proofErr w:type="spellEnd"/>
      <w:r w:rsidRPr="00FC08C0">
        <w:rPr>
          <w:rFonts w:cs="Arial"/>
          <w:vertAlign w:val="superscript"/>
        </w:rPr>
        <w:t>®</w:t>
      </w:r>
      <w:r w:rsidRPr="00261823">
        <w:t xml:space="preserve"> is a sterile, preservative-free, clear, </w:t>
      </w:r>
      <w:proofErr w:type="spellStart"/>
      <w:proofErr w:type="gramStart"/>
      <w:r w:rsidRPr="00261823">
        <w:t>colourless</w:t>
      </w:r>
      <w:proofErr w:type="spellEnd"/>
      <w:proofErr w:type="gramEnd"/>
      <w:r w:rsidRPr="00261823">
        <w:t xml:space="preserve"> to slightly yellow solution for injection.  The solution may contain trace amounts of translucent to white </w:t>
      </w:r>
      <w:proofErr w:type="spellStart"/>
      <w:r w:rsidRPr="00261823">
        <w:t>proteinaceous</w:t>
      </w:r>
      <w:proofErr w:type="spellEnd"/>
      <w:r w:rsidRPr="00261823">
        <w:t xml:space="preserve"> particles.</w:t>
      </w:r>
      <w:r w:rsidRPr="00FC08C0">
        <w:rPr>
          <w:szCs w:val="22"/>
        </w:rPr>
        <w:t xml:space="preserve">  </w:t>
      </w:r>
      <w:r w:rsidRPr="00FC08C0">
        <w:rPr>
          <w:rFonts w:cs="Arial"/>
          <w:szCs w:val="22"/>
        </w:rPr>
        <w:t xml:space="preserve">Each 1 mL single-use pre-filled syringe contains: 60 mg </w:t>
      </w:r>
      <w:proofErr w:type="spellStart"/>
      <w:r w:rsidRPr="00FC08C0">
        <w:rPr>
          <w:rFonts w:cs="Arial"/>
          <w:szCs w:val="22"/>
        </w:rPr>
        <w:t>denosumab</w:t>
      </w:r>
      <w:proofErr w:type="spellEnd"/>
      <w:r w:rsidRPr="00FC08C0">
        <w:rPr>
          <w:rFonts w:cs="Arial"/>
          <w:szCs w:val="22"/>
        </w:rPr>
        <w:t xml:space="preserve">, 47 mg sorbitol, 1 mg acetate, 0.1 mg </w:t>
      </w:r>
      <w:proofErr w:type="spellStart"/>
      <w:r w:rsidRPr="00FC08C0">
        <w:rPr>
          <w:rFonts w:cs="Arial"/>
          <w:szCs w:val="22"/>
        </w:rPr>
        <w:t>polysorbate</w:t>
      </w:r>
      <w:proofErr w:type="spellEnd"/>
      <w:r w:rsidRPr="00FC08C0">
        <w:rPr>
          <w:rFonts w:cs="Arial"/>
          <w:szCs w:val="22"/>
        </w:rPr>
        <w:t xml:space="preserve"> 20, sodium hydroxide for adjusting to pH 5.2, in Water for Injection, (USP). </w:t>
      </w:r>
      <w:r w:rsidRPr="00FC08C0">
        <w:rPr>
          <w:szCs w:val="22"/>
        </w:rPr>
        <w:t xml:space="preserve"> </w:t>
      </w:r>
      <w:r w:rsidRPr="00FC08C0">
        <w:rPr>
          <w:rFonts w:cs="Arial"/>
          <w:szCs w:val="22"/>
        </w:rPr>
        <w:t xml:space="preserve">Each 1 mL single-use vial contains 60 mg </w:t>
      </w:r>
      <w:proofErr w:type="spellStart"/>
      <w:r w:rsidRPr="00FC08C0">
        <w:rPr>
          <w:rFonts w:cs="Arial"/>
          <w:szCs w:val="22"/>
        </w:rPr>
        <w:t>denosumab</w:t>
      </w:r>
      <w:proofErr w:type="spellEnd"/>
      <w:r w:rsidRPr="00FC08C0">
        <w:rPr>
          <w:rFonts w:cs="Arial"/>
          <w:szCs w:val="22"/>
        </w:rPr>
        <w:t>, 47 mg sorbitol, 1 mg acetate, sodium hydroxide for adjusting to pH 5.2, in Water for Injection, (USP).</w:t>
      </w:r>
    </w:p>
    <w:p w:rsidR="00AD7003" w:rsidRDefault="00AD7003" w:rsidP="009D3DD9"/>
    <w:p w:rsidR="00AD7003" w:rsidRPr="00FC08C0" w:rsidRDefault="00AD7003" w:rsidP="00AD7003">
      <w:pPr>
        <w:pStyle w:val="Heading1"/>
        <w:keepNext w:val="0"/>
        <w:spacing w:before="0" w:after="0"/>
        <w:rPr>
          <w:lang w:val="en-AU"/>
        </w:rPr>
      </w:pPr>
      <w:r w:rsidRPr="00FC08C0">
        <w:rPr>
          <w:lang w:val="en-AU"/>
        </w:rPr>
        <w:t>PHARMACOLOGY</w:t>
      </w:r>
    </w:p>
    <w:p w:rsidR="00AD7003" w:rsidRPr="00FC08C0" w:rsidRDefault="00AD7003" w:rsidP="00AD7003">
      <w:pPr>
        <w:rPr>
          <w:lang w:val="en-AU"/>
        </w:rPr>
      </w:pPr>
    </w:p>
    <w:p w:rsidR="00AD7003" w:rsidRPr="00FC08C0" w:rsidRDefault="00AD7003" w:rsidP="00AD7003">
      <w:pPr>
        <w:rPr>
          <w:b/>
          <w:szCs w:val="22"/>
          <w:lang w:val="en-AU"/>
        </w:rPr>
      </w:pPr>
      <w:r w:rsidRPr="00FC08C0">
        <w:rPr>
          <w:b/>
          <w:szCs w:val="22"/>
          <w:lang w:val="en-AU"/>
        </w:rPr>
        <w:t>Mechanism of Action</w:t>
      </w:r>
    </w:p>
    <w:p w:rsidR="00AD7003" w:rsidRPr="00261823" w:rsidRDefault="00AD7003" w:rsidP="00AD7003">
      <w:r w:rsidRPr="00261823">
        <w:t>RANK</w:t>
      </w:r>
      <w:r>
        <w:t>L</w:t>
      </w:r>
      <w:r w:rsidRPr="00261823">
        <w:t xml:space="preserve"> exists as a transmembrane or soluble protein.  RANK</w:t>
      </w:r>
      <w:r>
        <w:t>L</w:t>
      </w:r>
      <w:r w:rsidRPr="00261823">
        <w:t xml:space="preserve"> is essential for the formation, function and survival of osteoclasts, the sole cell type responsible for bone </w:t>
      </w:r>
      <w:proofErr w:type="spellStart"/>
      <w:r w:rsidRPr="00261823">
        <w:t>resorption</w:t>
      </w:r>
      <w:proofErr w:type="spellEnd"/>
      <w:r w:rsidRPr="00261823">
        <w:t>.  Osteoclasts play an important role in bone loss associated with postmenopausal osteoporosis and hormone</w:t>
      </w:r>
      <w:r>
        <w:t xml:space="preserve"> </w:t>
      </w:r>
      <w:r w:rsidRPr="00261823">
        <w:t xml:space="preserve">ablation.  </w:t>
      </w:r>
      <w:proofErr w:type="spellStart"/>
      <w:r w:rsidRPr="00261823">
        <w:t>Denosumab</w:t>
      </w:r>
      <w:proofErr w:type="spellEnd"/>
      <w:r w:rsidRPr="00261823">
        <w:t xml:space="preserve"> binds with high affinity and specificity to RANK</w:t>
      </w:r>
      <w:r>
        <w:t>L</w:t>
      </w:r>
      <w:r w:rsidRPr="00261823">
        <w:t>, preventing RANK</w:t>
      </w:r>
      <w:r>
        <w:t>L</w:t>
      </w:r>
      <w:r w:rsidRPr="00261823">
        <w:t xml:space="preserve"> from activating its only receptor, RANK, on the surface of osteoclasts and their precursors, independent of bone surface. </w:t>
      </w:r>
      <w:r>
        <w:t xml:space="preserve"> </w:t>
      </w:r>
      <w:r w:rsidRPr="00261823">
        <w:t>Prevention of RANK</w:t>
      </w:r>
      <w:r>
        <w:t>L/</w:t>
      </w:r>
      <w:r w:rsidRPr="00261823">
        <w:t xml:space="preserve">RANK interaction inhibits osteoclast formation, function </w:t>
      </w:r>
      <w:r>
        <w:t>and survival, thereby decreasing</w:t>
      </w:r>
      <w:r w:rsidRPr="00261823">
        <w:t xml:space="preserve"> bone </w:t>
      </w:r>
      <w:proofErr w:type="spellStart"/>
      <w:r w:rsidRPr="00261823">
        <w:t>resorption</w:t>
      </w:r>
      <w:proofErr w:type="spellEnd"/>
      <w:r w:rsidRPr="00261823">
        <w:t xml:space="preserve"> and increasing bone mass and strength in both cortical and trabecular bone.</w:t>
      </w:r>
    </w:p>
    <w:p w:rsidR="00AD7003" w:rsidRDefault="00AD7003" w:rsidP="009D3DD9"/>
    <w:p w:rsidR="00AD7003" w:rsidRPr="00FC08C0" w:rsidRDefault="00AD7003" w:rsidP="00AD7003">
      <w:pPr>
        <w:pStyle w:val="Heading2"/>
        <w:keepNext w:val="0"/>
        <w:spacing w:before="0" w:after="0"/>
        <w:rPr>
          <w:lang w:val="en-AU"/>
        </w:rPr>
      </w:pPr>
      <w:r w:rsidRPr="00FC08C0">
        <w:rPr>
          <w:lang w:val="en-AU"/>
        </w:rPr>
        <w:lastRenderedPageBreak/>
        <w:t>Pharmacodynamics</w:t>
      </w:r>
    </w:p>
    <w:p w:rsidR="00AD7003" w:rsidRPr="00FC08C0" w:rsidRDefault="00AD7003" w:rsidP="00AD7003">
      <w:pPr>
        <w:numPr>
          <w:ilvl w:val="1"/>
          <w:numId w:val="0"/>
        </w:numPr>
        <w:tabs>
          <w:tab w:val="num" w:pos="0"/>
        </w:tabs>
        <w:rPr>
          <w:rFonts w:cs="Arial"/>
          <w:szCs w:val="22"/>
        </w:rPr>
      </w:pPr>
    </w:p>
    <w:p w:rsidR="00AD7003" w:rsidRPr="00FC08C0" w:rsidRDefault="00AD7003" w:rsidP="00AD7003">
      <w:pPr>
        <w:numPr>
          <w:ilvl w:val="1"/>
          <w:numId w:val="0"/>
        </w:numPr>
        <w:tabs>
          <w:tab w:val="num" w:pos="0"/>
        </w:tabs>
        <w:rPr>
          <w:rFonts w:cs="Arial"/>
          <w:szCs w:val="22"/>
        </w:rPr>
      </w:pPr>
      <w:r w:rsidRPr="00FC08C0">
        <w:rPr>
          <w:rFonts w:cs="Arial"/>
          <w:szCs w:val="22"/>
        </w:rPr>
        <w:t>In clinical studies, treatment with 60 mg of</w:t>
      </w:r>
      <w:r w:rsidRPr="00261823">
        <w:t xml:space="preserve"> </w:t>
      </w:r>
      <w:proofErr w:type="spellStart"/>
      <w:r>
        <w:t>Prolia</w:t>
      </w:r>
      <w:proofErr w:type="spellEnd"/>
      <w:r w:rsidRPr="00FC08C0">
        <w:rPr>
          <w:rFonts w:cs="Arial"/>
          <w:vertAlign w:val="superscript"/>
        </w:rPr>
        <w:t>®</w:t>
      </w:r>
      <w:r w:rsidRPr="00261823">
        <w:t xml:space="preserve"> </w:t>
      </w:r>
      <w:r w:rsidRPr="00FC08C0">
        <w:rPr>
          <w:rFonts w:cs="Arial"/>
          <w:szCs w:val="22"/>
        </w:rPr>
        <w:t xml:space="preserve">resulted in rapid reduction in the bone </w:t>
      </w:r>
      <w:proofErr w:type="spellStart"/>
      <w:r w:rsidRPr="00FC08C0">
        <w:rPr>
          <w:rFonts w:cs="Arial"/>
          <w:szCs w:val="22"/>
        </w:rPr>
        <w:t>resorption</w:t>
      </w:r>
      <w:proofErr w:type="spellEnd"/>
      <w:r w:rsidRPr="00FC08C0">
        <w:rPr>
          <w:rFonts w:cs="Arial"/>
          <w:szCs w:val="22"/>
        </w:rPr>
        <w:t xml:space="preserve"> marker serum type 1 C-</w:t>
      </w:r>
      <w:proofErr w:type="spellStart"/>
      <w:r w:rsidRPr="00FC08C0">
        <w:rPr>
          <w:rFonts w:cs="Arial"/>
          <w:szCs w:val="22"/>
        </w:rPr>
        <w:t>telopeptides</w:t>
      </w:r>
      <w:proofErr w:type="spellEnd"/>
      <w:r w:rsidRPr="00FC08C0">
        <w:rPr>
          <w:rFonts w:cs="Arial"/>
          <w:szCs w:val="22"/>
        </w:rPr>
        <w:t xml:space="preserve"> (CTX) within 6 hours of SC administration by approximately 70%, with reductions of approximately 85% occurring by 3 days.  CTX reductions were maintained over the 6-month dosing interval.  </w:t>
      </w:r>
      <w:r w:rsidRPr="00FC08C0">
        <w:rPr>
          <w:rFonts w:eastAsia="MS Mincho" w:cs="Arial"/>
          <w:szCs w:val="22"/>
          <w:lang w:eastAsia="ja-JP"/>
        </w:rPr>
        <w:t xml:space="preserve">At the end of each dosing interval, CTX reductions were partially attenuated from maximal reduction of </w:t>
      </w:r>
      <w:r w:rsidRPr="00FC08C0">
        <w:rPr>
          <w:rFonts w:cs="Arial"/>
          <w:szCs w:val="22"/>
        </w:rPr>
        <w:t>≥</w:t>
      </w:r>
      <w:r w:rsidRPr="00967DD2">
        <w:rPr>
          <w:noProof/>
        </w:rPr>
        <w:t> </w:t>
      </w:r>
      <w:r w:rsidRPr="00FC08C0">
        <w:rPr>
          <w:rFonts w:eastAsia="MS Mincho" w:cs="Arial"/>
          <w:szCs w:val="22"/>
          <w:lang w:eastAsia="ja-JP"/>
        </w:rPr>
        <w:t xml:space="preserve">87% to </w:t>
      </w:r>
      <w:r w:rsidRPr="00FC08C0">
        <w:rPr>
          <w:rFonts w:cs="Arial"/>
          <w:szCs w:val="22"/>
        </w:rPr>
        <w:t>≥</w:t>
      </w:r>
      <w:r w:rsidRPr="00967DD2">
        <w:rPr>
          <w:noProof/>
        </w:rPr>
        <w:t> </w:t>
      </w:r>
      <w:r w:rsidRPr="00FC08C0">
        <w:rPr>
          <w:rFonts w:eastAsia="MS Mincho" w:cs="Arial"/>
          <w:szCs w:val="22"/>
          <w:lang w:eastAsia="ja-JP"/>
        </w:rPr>
        <w:t xml:space="preserve">45% (range 45% to 80%), reflecting the reversibility of the effects of </w:t>
      </w:r>
      <w:proofErr w:type="spellStart"/>
      <w:r>
        <w:t>Prolia</w:t>
      </w:r>
      <w:proofErr w:type="spellEnd"/>
      <w:r w:rsidRPr="00FC08C0">
        <w:rPr>
          <w:rFonts w:cs="Arial"/>
          <w:vertAlign w:val="superscript"/>
        </w:rPr>
        <w:t>®</w:t>
      </w:r>
      <w:r w:rsidRPr="00FC08C0">
        <w:rPr>
          <w:rFonts w:eastAsia="MS Mincho" w:cs="Arial"/>
          <w:szCs w:val="22"/>
          <w:lang w:eastAsia="ja-JP"/>
        </w:rPr>
        <w:t xml:space="preserve"> on bone </w:t>
      </w:r>
      <w:proofErr w:type="spellStart"/>
      <w:r w:rsidRPr="00FC08C0">
        <w:rPr>
          <w:rFonts w:eastAsia="MS Mincho" w:cs="Arial"/>
          <w:szCs w:val="22"/>
          <w:lang w:eastAsia="ja-JP"/>
        </w:rPr>
        <w:t>remodelling</w:t>
      </w:r>
      <w:proofErr w:type="spellEnd"/>
      <w:r w:rsidRPr="00FC08C0">
        <w:rPr>
          <w:rFonts w:eastAsia="MS Mincho" w:cs="Arial"/>
          <w:szCs w:val="22"/>
          <w:lang w:eastAsia="ja-JP"/>
        </w:rPr>
        <w:t xml:space="preserve"> once serum </w:t>
      </w:r>
      <w:proofErr w:type="spellStart"/>
      <w:r w:rsidRPr="00FC08C0">
        <w:rPr>
          <w:rFonts w:eastAsia="MS Mincho" w:cs="Arial"/>
          <w:szCs w:val="22"/>
          <w:lang w:eastAsia="ja-JP"/>
        </w:rPr>
        <w:t>denosumab</w:t>
      </w:r>
      <w:proofErr w:type="spellEnd"/>
      <w:r w:rsidRPr="00FC08C0">
        <w:rPr>
          <w:rFonts w:eastAsia="MS Mincho" w:cs="Arial"/>
          <w:szCs w:val="22"/>
          <w:lang w:eastAsia="ja-JP"/>
        </w:rPr>
        <w:t xml:space="preserve"> levels diminish.  </w:t>
      </w:r>
      <w:r w:rsidRPr="00FC08C0">
        <w:rPr>
          <w:rFonts w:cs="Arial"/>
          <w:szCs w:val="22"/>
        </w:rPr>
        <w:t>These effects were s</w:t>
      </w:r>
      <w:r w:rsidRPr="00FC08C0">
        <w:rPr>
          <w:rFonts w:eastAsia="MS Mincho" w:cs="Arial"/>
          <w:szCs w:val="22"/>
          <w:lang w:eastAsia="ja-JP"/>
        </w:rPr>
        <w:t xml:space="preserve">ustained with continued treatment.  </w:t>
      </w:r>
      <w:r w:rsidRPr="00FC08C0">
        <w:rPr>
          <w:rFonts w:cs="Arial"/>
          <w:szCs w:val="22"/>
        </w:rPr>
        <w:t xml:space="preserve">Consistent with the physiological coupling of bone formation and </w:t>
      </w:r>
      <w:proofErr w:type="spellStart"/>
      <w:r w:rsidRPr="00FC08C0">
        <w:rPr>
          <w:rFonts w:cs="Arial"/>
          <w:szCs w:val="22"/>
        </w:rPr>
        <w:t>resorption</w:t>
      </w:r>
      <w:proofErr w:type="spellEnd"/>
      <w:r w:rsidRPr="00FC08C0">
        <w:rPr>
          <w:rFonts w:cs="Arial"/>
          <w:szCs w:val="22"/>
        </w:rPr>
        <w:t xml:space="preserve"> in skeletal remodeling, subsequent reductions in bone formation markers (</w:t>
      </w:r>
      <w:r w:rsidRPr="00261823">
        <w:rPr>
          <w:noProof/>
        </w:rPr>
        <w:t>e.g. bone specific alkaline phosphatase [BSAP] and serum N-ter</w:t>
      </w:r>
      <w:smartTag w:uri="urn:schemas-microsoft-com:office:smarttags" w:element="PersonName">
        <w:r w:rsidRPr="00261823">
          <w:rPr>
            <w:noProof/>
          </w:rPr>
          <w:t>mina</w:t>
        </w:r>
      </w:smartTag>
      <w:r w:rsidRPr="00261823">
        <w:rPr>
          <w:noProof/>
        </w:rPr>
        <w:t xml:space="preserve">l propeptide of type </w:t>
      </w:r>
      <w:r>
        <w:rPr>
          <w:noProof/>
        </w:rPr>
        <w:t>1</w:t>
      </w:r>
      <w:r w:rsidRPr="00261823">
        <w:rPr>
          <w:noProof/>
        </w:rPr>
        <w:t xml:space="preserve"> collagen [P1NP]</w:t>
      </w:r>
      <w:r w:rsidRPr="00FC08C0">
        <w:rPr>
          <w:rFonts w:cs="Arial"/>
          <w:szCs w:val="22"/>
        </w:rPr>
        <w:t xml:space="preserve">) were observed beginning 1 month after the first dose of </w:t>
      </w:r>
      <w:proofErr w:type="spellStart"/>
      <w:r>
        <w:t>Prolia</w:t>
      </w:r>
      <w:proofErr w:type="spellEnd"/>
      <w:r w:rsidRPr="00FC08C0">
        <w:rPr>
          <w:rFonts w:cs="Arial"/>
          <w:vertAlign w:val="superscript"/>
        </w:rPr>
        <w:t>®</w:t>
      </w:r>
      <w:r w:rsidRPr="00FC08C0">
        <w:rPr>
          <w:rFonts w:cs="Arial"/>
          <w:szCs w:val="22"/>
        </w:rPr>
        <w:t>.</w:t>
      </w:r>
    </w:p>
    <w:p w:rsidR="00AD7003" w:rsidRPr="00FC08C0" w:rsidRDefault="00AD7003" w:rsidP="00AD7003">
      <w:pPr>
        <w:numPr>
          <w:ilvl w:val="1"/>
          <w:numId w:val="0"/>
        </w:numPr>
        <w:tabs>
          <w:tab w:val="num" w:pos="0"/>
        </w:tabs>
        <w:rPr>
          <w:rFonts w:cs="Arial"/>
          <w:szCs w:val="22"/>
        </w:rPr>
      </w:pPr>
    </w:p>
    <w:p w:rsidR="00AD7003" w:rsidRPr="00FC08C0" w:rsidRDefault="00AD7003" w:rsidP="00AD7003">
      <w:pPr>
        <w:numPr>
          <w:ilvl w:val="1"/>
          <w:numId w:val="0"/>
        </w:numPr>
        <w:tabs>
          <w:tab w:val="num" w:pos="0"/>
        </w:tabs>
        <w:rPr>
          <w:rFonts w:cs="Arial"/>
          <w:szCs w:val="22"/>
        </w:rPr>
      </w:pPr>
      <w:r w:rsidRPr="00FC08C0">
        <w:rPr>
          <w:rFonts w:cs="Arial"/>
          <w:szCs w:val="22"/>
        </w:rPr>
        <w:t>Bone turnover markers (</w:t>
      </w:r>
      <w:r w:rsidRPr="00FC08C0">
        <w:rPr>
          <w:noProof/>
          <w:szCs w:val="22"/>
        </w:rPr>
        <w:t>bone resorption and formation markers</w:t>
      </w:r>
      <w:r w:rsidRPr="00FC08C0">
        <w:rPr>
          <w:rFonts w:cs="Arial"/>
          <w:szCs w:val="22"/>
        </w:rPr>
        <w:t xml:space="preserve">) generally reached pretreatment levels within 9 months after the last 60 mg subcutaneous dose.  Upon re-initiation, the degree of inhibition of CTX by </w:t>
      </w:r>
      <w:proofErr w:type="spellStart"/>
      <w:r>
        <w:t>Prolia</w:t>
      </w:r>
      <w:proofErr w:type="spellEnd"/>
      <w:r w:rsidRPr="00FC08C0">
        <w:rPr>
          <w:rFonts w:cs="Arial"/>
          <w:vertAlign w:val="superscript"/>
        </w:rPr>
        <w:t>®</w:t>
      </w:r>
      <w:r w:rsidRPr="00FC08C0">
        <w:rPr>
          <w:rFonts w:cs="Arial"/>
          <w:szCs w:val="22"/>
        </w:rPr>
        <w:t xml:space="preserve"> was similar to those observed in patients initiating </w:t>
      </w:r>
      <w:proofErr w:type="spellStart"/>
      <w:r>
        <w:t>Prolia</w:t>
      </w:r>
      <w:proofErr w:type="spellEnd"/>
      <w:r w:rsidRPr="00FC08C0">
        <w:rPr>
          <w:rFonts w:cs="Arial"/>
          <w:vertAlign w:val="superscript"/>
        </w:rPr>
        <w:t>®</w:t>
      </w:r>
      <w:r w:rsidRPr="00FC08C0">
        <w:rPr>
          <w:rFonts w:cs="Arial"/>
          <w:szCs w:val="22"/>
        </w:rPr>
        <w:t>.</w:t>
      </w:r>
    </w:p>
    <w:p w:rsidR="00AD7003" w:rsidRPr="00FC08C0" w:rsidRDefault="00AD7003" w:rsidP="00AD7003">
      <w:pPr>
        <w:numPr>
          <w:ilvl w:val="1"/>
          <w:numId w:val="0"/>
        </w:numPr>
        <w:tabs>
          <w:tab w:val="num" w:pos="0"/>
        </w:tabs>
        <w:rPr>
          <w:rFonts w:cs="Arial"/>
          <w:color w:val="000000"/>
          <w:szCs w:val="22"/>
        </w:rPr>
      </w:pPr>
    </w:p>
    <w:p w:rsidR="00AD7003" w:rsidRDefault="00AD7003" w:rsidP="00AD7003">
      <w:r w:rsidRPr="00FC08C0">
        <w:rPr>
          <w:rFonts w:cs="Arial"/>
          <w:color w:val="000000"/>
          <w:szCs w:val="22"/>
        </w:rPr>
        <w:t>In a clinical study of postmenopausal women with low bone mass (n</w:t>
      </w:r>
      <w:r w:rsidRPr="00FC08C0">
        <w:rPr>
          <w:rFonts w:cs="Arial"/>
          <w:szCs w:val="22"/>
        </w:rPr>
        <w:t> </w:t>
      </w:r>
      <w:r w:rsidRPr="00FC08C0">
        <w:rPr>
          <w:rFonts w:cs="Arial"/>
          <w:color w:val="000000"/>
          <w:szCs w:val="22"/>
        </w:rPr>
        <w:t>=</w:t>
      </w:r>
      <w:r w:rsidRPr="00FC08C0">
        <w:rPr>
          <w:rFonts w:cs="Arial"/>
          <w:szCs w:val="22"/>
        </w:rPr>
        <w:t> </w:t>
      </w:r>
      <w:r w:rsidRPr="00FC08C0">
        <w:rPr>
          <w:rFonts w:cs="Arial"/>
          <w:color w:val="000000"/>
          <w:szCs w:val="22"/>
        </w:rPr>
        <w:t xml:space="preserve">504) who were previously treated with alendronate for a median of 3 years, those transitioning to receive </w:t>
      </w:r>
      <w:proofErr w:type="spellStart"/>
      <w:r>
        <w:t>Prolia</w:t>
      </w:r>
      <w:proofErr w:type="spellEnd"/>
      <w:r w:rsidRPr="00FC08C0">
        <w:rPr>
          <w:rFonts w:cs="Arial"/>
          <w:vertAlign w:val="superscript"/>
        </w:rPr>
        <w:t>®</w:t>
      </w:r>
      <w:r w:rsidRPr="00FC08C0">
        <w:rPr>
          <w:rFonts w:cs="Arial"/>
          <w:color w:val="000000"/>
          <w:szCs w:val="22"/>
        </w:rPr>
        <w:t xml:space="preserve"> experienced additional reductions in </w:t>
      </w:r>
      <w:r w:rsidRPr="00FC08C0">
        <w:rPr>
          <w:rFonts w:cs="Arial"/>
          <w:szCs w:val="22"/>
        </w:rPr>
        <w:t>serum CTX, compared with women who remained on alendronate.  In this study, the changes in serum calcium were similar between the two groups.</w:t>
      </w:r>
    </w:p>
    <w:p w:rsidR="00AD7003" w:rsidRDefault="00AD7003" w:rsidP="009D3DD9"/>
    <w:p w:rsidR="00AD7003" w:rsidRDefault="00AD7003" w:rsidP="00AD7003">
      <w:pPr>
        <w:pStyle w:val="Heading2"/>
        <w:keepNext w:val="0"/>
        <w:spacing w:before="0" w:after="0"/>
      </w:pPr>
      <w:r w:rsidRPr="00236317">
        <w:t>Pharmacokinetics</w:t>
      </w:r>
    </w:p>
    <w:p w:rsidR="00AD7003" w:rsidRPr="00FC08C0" w:rsidRDefault="00AD7003" w:rsidP="00AD7003">
      <w:pPr>
        <w:rPr>
          <w:bCs/>
          <w:color w:val="000000"/>
          <w:szCs w:val="22"/>
        </w:rPr>
      </w:pPr>
    </w:p>
    <w:p w:rsidR="00AD7003" w:rsidRPr="00FC08C0" w:rsidRDefault="00AD7003" w:rsidP="00AD7003">
      <w:pPr>
        <w:rPr>
          <w:rFonts w:cs="Arial"/>
          <w:noProof/>
          <w:color w:val="000000"/>
          <w:szCs w:val="22"/>
          <w:lang w:val="en-GB"/>
        </w:rPr>
      </w:pPr>
      <w:r w:rsidRPr="00FC08C0">
        <w:rPr>
          <w:rFonts w:cs="Arial"/>
          <w:noProof/>
          <w:color w:val="000000"/>
          <w:szCs w:val="22"/>
          <w:lang w:val="en-GB"/>
        </w:rPr>
        <w:t>Following a 60</w:t>
      </w:r>
      <w:r w:rsidRPr="00967DD2">
        <w:rPr>
          <w:noProof/>
        </w:rPr>
        <w:t> </w:t>
      </w:r>
      <w:r w:rsidRPr="00FC08C0">
        <w:rPr>
          <w:rFonts w:cs="Arial"/>
          <w:noProof/>
          <w:color w:val="000000"/>
          <w:szCs w:val="22"/>
          <w:lang w:val="en-GB"/>
        </w:rPr>
        <w:t>mg subcutaneous dose of denosumab, bioavailability was 61% and maximum serum denosumab concentrations (C</w:t>
      </w:r>
      <w:r w:rsidRPr="00FC08C0">
        <w:rPr>
          <w:rFonts w:cs="Arial"/>
          <w:noProof/>
          <w:color w:val="000000"/>
          <w:szCs w:val="22"/>
          <w:vertAlign w:val="subscript"/>
          <w:lang w:val="en-GB"/>
        </w:rPr>
        <w:t>max</w:t>
      </w:r>
      <w:r w:rsidRPr="00FC08C0">
        <w:rPr>
          <w:rFonts w:cs="Arial"/>
          <w:noProof/>
          <w:color w:val="000000"/>
          <w:szCs w:val="22"/>
          <w:lang w:val="en-GB"/>
        </w:rPr>
        <w:t>) of 6</w:t>
      </w:r>
      <w:r w:rsidRPr="00FC08C0">
        <w:rPr>
          <w:rFonts w:cs="Arial"/>
          <w:szCs w:val="22"/>
        </w:rPr>
        <w:t> </w:t>
      </w:r>
      <w:r w:rsidRPr="00FC08C0">
        <w:rPr>
          <w:rFonts w:cs="Arial"/>
          <w:noProof/>
          <w:color w:val="000000"/>
          <w:szCs w:val="22"/>
          <w:lang w:val="en-GB"/>
        </w:rPr>
        <w:t>μg/mL (range 1-17</w:t>
      </w:r>
      <w:r w:rsidRPr="00967DD2">
        <w:rPr>
          <w:noProof/>
        </w:rPr>
        <w:t> </w:t>
      </w:r>
      <w:r w:rsidRPr="00FC08C0">
        <w:rPr>
          <w:rFonts w:cs="Arial"/>
          <w:noProof/>
          <w:color w:val="000000"/>
          <w:szCs w:val="22"/>
          <w:lang w:val="en-GB"/>
        </w:rPr>
        <w:t>μg/mL) occurred in 10 days (range 2-28 days).  After C</w:t>
      </w:r>
      <w:r w:rsidRPr="00FC08C0">
        <w:rPr>
          <w:rFonts w:cs="Arial"/>
          <w:noProof/>
          <w:color w:val="000000"/>
          <w:szCs w:val="22"/>
          <w:vertAlign w:val="subscript"/>
          <w:lang w:val="en-GB"/>
        </w:rPr>
        <w:t>max</w:t>
      </w:r>
      <w:r w:rsidRPr="00FC08C0">
        <w:rPr>
          <w:rFonts w:cs="Arial"/>
          <w:noProof/>
          <w:color w:val="000000"/>
          <w:szCs w:val="22"/>
          <w:lang w:val="en-GB"/>
        </w:rPr>
        <w:t>, serum levels declined with a half-life of 26 days (range 6-52 days) over a period of 3</w:t>
      </w:r>
      <w:r w:rsidRPr="00FC08C0">
        <w:rPr>
          <w:rFonts w:cs="Arial"/>
          <w:szCs w:val="22"/>
        </w:rPr>
        <w:t> </w:t>
      </w:r>
      <w:r w:rsidRPr="00FC08C0">
        <w:rPr>
          <w:rFonts w:cs="Arial"/>
          <w:noProof/>
          <w:color w:val="000000"/>
          <w:szCs w:val="22"/>
          <w:lang w:val="en-GB"/>
        </w:rPr>
        <w:t>months (range 1.5-4.5</w:t>
      </w:r>
      <w:r w:rsidRPr="00967DD2">
        <w:rPr>
          <w:noProof/>
        </w:rPr>
        <w:t> </w:t>
      </w:r>
      <w:r w:rsidRPr="00FC08C0">
        <w:rPr>
          <w:rFonts w:cs="Arial"/>
          <w:noProof/>
          <w:color w:val="000000"/>
          <w:szCs w:val="22"/>
          <w:lang w:val="en-GB"/>
        </w:rPr>
        <w:t>months).  Fifty-three percent of patients had no measurable amounts of denosumab detected at 6</w:t>
      </w:r>
      <w:r w:rsidRPr="00FC08C0">
        <w:rPr>
          <w:rFonts w:cs="Arial"/>
          <w:szCs w:val="22"/>
        </w:rPr>
        <w:t> </w:t>
      </w:r>
      <w:r w:rsidRPr="00FC08C0">
        <w:rPr>
          <w:rFonts w:cs="Arial"/>
          <w:noProof/>
          <w:color w:val="000000"/>
          <w:szCs w:val="22"/>
          <w:lang w:val="en-GB"/>
        </w:rPr>
        <w:t>months post-dose.</w:t>
      </w:r>
    </w:p>
    <w:p w:rsidR="00AD7003" w:rsidRPr="00FC08C0" w:rsidRDefault="00AD7003" w:rsidP="00AD7003">
      <w:pPr>
        <w:rPr>
          <w:rFonts w:cs="Arial"/>
          <w:szCs w:val="22"/>
        </w:rPr>
      </w:pPr>
    </w:p>
    <w:p w:rsidR="00AD7003" w:rsidRPr="00FC08C0" w:rsidRDefault="00AD7003" w:rsidP="00AD7003">
      <w:pPr>
        <w:pStyle w:val="Text"/>
        <w:tabs>
          <w:tab w:val="left" w:pos="567"/>
        </w:tabs>
        <w:spacing w:before="0" w:after="0"/>
        <w:rPr>
          <w:rFonts w:ascii="Arial" w:hAnsi="Arial" w:cs="Arial"/>
          <w:noProof/>
          <w:color w:val="000000"/>
          <w:sz w:val="22"/>
          <w:szCs w:val="22"/>
          <w:lang w:val="en-GB"/>
        </w:rPr>
      </w:pPr>
      <w:r w:rsidRPr="00FC08C0">
        <w:rPr>
          <w:rFonts w:ascii="Arial" w:hAnsi="Arial" w:cs="Arial"/>
          <w:noProof/>
          <w:color w:val="000000"/>
          <w:sz w:val="22"/>
          <w:szCs w:val="22"/>
          <w:lang w:val="en-GB"/>
        </w:rPr>
        <w:t>No accumulation or change in denosumab pharmacokinetics over time was observed upon subcutaneous multiple-dosing of 60</w:t>
      </w:r>
      <w:r w:rsidRPr="00967DD2">
        <w:rPr>
          <w:noProof/>
        </w:rPr>
        <w:t> </w:t>
      </w:r>
      <w:r w:rsidRPr="00FC08C0">
        <w:rPr>
          <w:rFonts w:ascii="Arial" w:hAnsi="Arial" w:cs="Arial"/>
          <w:noProof/>
          <w:color w:val="000000"/>
          <w:sz w:val="22"/>
          <w:szCs w:val="22"/>
          <w:lang w:val="en-GB"/>
        </w:rPr>
        <w:t>mg once every 6</w:t>
      </w:r>
      <w:r w:rsidRPr="00FC08C0">
        <w:rPr>
          <w:rFonts w:cs="Arial"/>
          <w:szCs w:val="22"/>
        </w:rPr>
        <w:t> </w:t>
      </w:r>
      <w:r w:rsidRPr="00FC08C0">
        <w:rPr>
          <w:rFonts w:ascii="Arial" w:hAnsi="Arial" w:cs="Arial"/>
          <w:noProof/>
          <w:color w:val="000000"/>
          <w:sz w:val="22"/>
          <w:szCs w:val="22"/>
          <w:lang w:val="en-GB"/>
        </w:rPr>
        <w:t>months.  Denosumab pharmacokinetics was not affected by the formation of binding antibodies to denosumab and was similar in men and women.</w:t>
      </w:r>
    </w:p>
    <w:p w:rsidR="00AD7003" w:rsidRPr="00FC08C0" w:rsidRDefault="00AD7003" w:rsidP="00AD7003">
      <w:pPr>
        <w:pStyle w:val="Text"/>
        <w:tabs>
          <w:tab w:val="left" w:pos="567"/>
        </w:tabs>
        <w:spacing w:before="0" w:after="0"/>
        <w:rPr>
          <w:rFonts w:ascii="Arial" w:hAnsi="Arial" w:cs="Arial"/>
          <w:noProof/>
          <w:color w:val="000000"/>
          <w:sz w:val="22"/>
          <w:szCs w:val="22"/>
          <w:lang w:val="en-GB"/>
        </w:rPr>
      </w:pPr>
    </w:p>
    <w:p w:rsidR="00AD7003" w:rsidRPr="00FC08C0" w:rsidRDefault="00AD7003" w:rsidP="00AD7003">
      <w:pPr>
        <w:autoSpaceDE w:val="0"/>
        <w:autoSpaceDN w:val="0"/>
        <w:adjustRightInd w:val="0"/>
        <w:rPr>
          <w:rFonts w:cs="Arial"/>
          <w:noProof/>
          <w:szCs w:val="22"/>
        </w:rPr>
      </w:pPr>
      <w:r w:rsidRPr="00FC08C0">
        <w:rPr>
          <w:rFonts w:cs="Arial"/>
          <w:noProof/>
          <w:szCs w:val="22"/>
        </w:rPr>
        <w:t>Pharmacokinetic analysis was performed to evaluate the effects of demographic characteristics.  This analysis showed no notable difference in pharmacokinetics with age (28 to 87 years), race or body weight (36 to140 kg</w:t>
      </w:r>
      <w:r w:rsidRPr="001603CD">
        <w:rPr>
          <w:rFonts w:cs="Arial"/>
          <w:noProof/>
          <w:szCs w:val="22"/>
        </w:rPr>
        <w:t>), or disease state (low bone mass or osteoporosis; prostate cancer).</w:t>
      </w:r>
    </w:p>
    <w:p w:rsidR="00AD7003" w:rsidRPr="00FC08C0" w:rsidRDefault="00AD7003" w:rsidP="00AD7003">
      <w:pPr>
        <w:pStyle w:val="Text"/>
        <w:tabs>
          <w:tab w:val="left" w:pos="567"/>
        </w:tabs>
        <w:spacing w:before="0" w:after="0"/>
        <w:rPr>
          <w:rFonts w:ascii="Arial" w:hAnsi="Arial" w:cs="Arial"/>
          <w:noProof/>
          <w:color w:val="000000"/>
          <w:sz w:val="22"/>
          <w:szCs w:val="22"/>
          <w:u w:val="single"/>
          <w:lang w:val="en-GB"/>
        </w:rPr>
      </w:pPr>
    </w:p>
    <w:p w:rsidR="00AD7003" w:rsidRDefault="00AD7003" w:rsidP="00AD7003">
      <w:r w:rsidRPr="00FC08C0">
        <w:rPr>
          <w:rFonts w:cs="Arial"/>
          <w:noProof/>
          <w:szCs w:val="22"/>
          <w:lang w:val="en-GB"/>
        </w:rPr>
        <w:t>Denosumab is composed solely of amino acids and carbohydrates as native immunoglobulin and is unlikely to be eli</w:t>
      </w:r>
      <w:smartTag w:uri="urn:schemas-microsoft-com:office:smarttags" w:element="PersonName">
        <w:r w:rsidRPr="00FC08C0">
          <w:rPr>
            <w:rFonts w:cs="Arial"/>
            <w:noProof/>
            <w:szCs w:val="22"/>
            <w:lang w:val="en-GB"/>
          </w:rPr>
          <w:t>mina</w:t>
        </w:r>
      </w:smartTag>
      <w:r w:rsidRPr="00FC08C0">
        <w:rPr>
          <w:rFonts w:cs="Arial"/>
          <w:noProof/>
          <w:szCs w:val="22"/>
          <w:lang w:val="en-GB"/>
        </w:rPr>
        <w:t>ted via hepatic metabolic mechanisms.  Based on nonclinical data, its metabolism and eli</w:t>
      </w:r>
      <w:smartTag w:uri="urn:schemas-microsoft-com:office:smarttags" w:element="PersonName">
        <w:r w:rsidRPr="00FC08C0">
          <w:rPr>
            <w:rFonts w:cs="Arial"/>
            <w:noProof/>
            <w:szCs w:val="22"/>
            <w:lang w:val="en-GB"/>
          </w:rPr>
          <w:t>mina</w:t>
        </w:r>
      </w:smartTag>
      <w:r w:rsidRPr="00FC08C0">
        <w:rPr>
          <w:rFonts w:cs="Arial"/>
          <w:noProof/>
          <w:szCs w:val="22"/>
          <w:lang w:val="en-GB"/>
        </w:rPr>
        <w:t>tion are expected to follow the immunoglobulin clearance pathways, resulting in degradation to small peptides and individual amino acids.</w:t>
      </w:r>
    </w:p>
    <w:p w:rsidR="00AC31A8" w:rsidRDefault="00AC31A8"/>
    <w:p w:rsidR="00AD7003" w:rsidRDefault="00AD7003"/>
    <w:p w:rsidR="00AD7003" w:rsidRPr="00FC08C0" w:rsidRDefault="00AD7003" w:rsidP="00AD7003">
      <w:pPr>
        <w:pStyle w:val="Heading2"/>
        <w:keepNext w:val="0"/>
        <w:spacing w:before="0" w:after="0"/>
        <w:rPr>
          <w:lang w:val="en-AU"/>
        </w:rPr>
      </w:pPr>
      <w:r w:rsidRPr="00FC08C0">
        <w:rPr>
          <w:lang w:val="en-AU"/>
        </w:rPr>
        <w:t>Special populations</w:t>
      </w:r>
    </w:p>
    <w:p w:rsidR="00AD7003" w:rsidRPr="00FC08C0" w:rsidRDefault="00AD7003" w:rsidP="00AD7003">
      <w:pPr>
        <w:pStyle w:val="Heading3"/>
        <w:keepNext w:val="0"/>
        <w:spacing w:before="0" w:after="0"/>
        <w:rPr>
          <w:lang w:val="en-AU"/>
        </w:rPr>
      </w:pPr>
    </w:p>
    <w:p w:rsidR="00AD7003" w:rsidRPr="00FC08C0" w:rsidRDefault="00AD7003" w:rsidP="00AD7003">
      <w:pPr>
        <w:pStyle w:val="Heading3"/>
        <w:keepNext w:val="0"/>
        <w:spacing w:before="0" w:after="0"/>
        <w:rPr>
          <w:lang w:val="en-AU"/>
        </w:rPr>
      </w:pPr>
      <w:r w:rsidRPr="00FC08C0">
        <w:rPr>
          <w:lang w:val="en-AU"/>
        </w:rPr>
        <w:t>Elderly</w:t>
      </w:r>
    </w:p>
    <w:p w:rsidR="00AD7003" w:rsidRPr="00FC08C0" w:rsidRDefault="00AD7003" w:rsidP="00AD7003">
      <w:pPr>
        <w:rPr>
          <w:rFonts w:cs="Arial"/>
          <w:szCs w:val="22"/>
        </w:rPr>
      </w:pPr>
      <w:r w:rsidRPr="00FC08C0">
        <w:rPr>
          <w:rFonts w:cs="Arial"/>
          <w:szCs w:val="22"/>
        </w:rPr>
        <w:t xml:space="preserve">The pharmacokinetics of </w:t>
      </w:r>
      <w:proofErr w:type="spellStart"/>
      <w:r w:rsidRPr="00FC08C0">
        <w:rPr>
          <w:rFonts w:cs="Arial"/>
          <w:szCs w:val="22"/>
        </w:rPr>
        <w:t>denosumab</w:t>
      </w:r>
      <w:proofErr w:type="spellEnd"/>
      <w:r w:rsidRPr="00FC08C0">
        <w:rPr>
          <w:rFonts w:cs="Arial"/>
          <w:szCs w:val="22"/>
        </w:rPr>
        <w:t xml:space="preserve"> was not affected by age (28 to 87 years).</w:t>
      </w:r>
    </w:p>
    <w:p w:rsidR="00AD7003" w:rsidRDefault="00AD7003"/>
    <w:p w:rsidR="00AD7003" w:rsidRPr="00FC08C0" w:rsidRDefault="00AD7003" w:rsidP="00AD7003">
      <w:pPr>
        <w:pStyle w:val="Heading3"/>
        <w:keepNext w:val="0"/>
        <w:spacing w:before="0" w:after="0"/>
        <w:rPr>
          <w:lang w:val="en-AU"/>
        </w:rPr>
      </w:pPr>
      <w:r w:rsidRPr="00FC08C0">
        <w:rPr>
          <w:lang w:val="en-AU"/>
        </w:rPr>
        <w:lastRenderedPageBreak/>
        <w:t>Paediatric</w:t>
      </w:r>
    </w:p>
    <w:p w:rsidR="00AD7003" w:rsidRPr="008A232C" w:rsidRDefault="00AD7003" w:rsidP="00AD7003">
      <w:r w:rsidRPr="00261823">
        <w:t xml:space="preserve">The pharmacokinetic profile has not been assessed in those </w:t>
      </w:r>
      <w:r w:rsidRPr="00FC08C0">
        <w:rPr>
          <w:rFonts w:cs="Arial"/>
        </w:rPr>
        <w:t>≤</w:t>
      </w:r>
      <w:r w:rsidRPr="00967DD2">
        <w:rPr>
          <w:noProof/>
        </w:rPr>
        <w:t> </w:t>
      </w:r>
      <w:r w:rsidRPr="00261823">
        <w:t>18 years.</w:t>
      </w:r>
    </w:p>
    <w:p w:rsidR="00AD7003" w:rsidRDefault="00AD7003"/>
    <w:p w:rsidR="00AD7003" w:rsidRPr="00FC08C0" w:rsidRDefault="00AD7003" w:rsidP="00AD7003">
      <w:pPr>
        <w:pStyle w:val="Heading3"/>
        <w:keepNext w:val="0"/>
        <w:spacing w:before="0" w:after="0"/>
        <w:rPr>
          <w:lang w:val="en-AU"/>
        </w:rPr>
      </w:pPr>
      <w:r w:rsidRPr="00FC08C0">
        <w:rPr>
          <w:lang w:val="en-AU"/>
        </w:rPr>
        <w:t>Impaired hepatic function</w:t>
      </w:r>
    </w:p>
    <w:p w:rsidR="00AD7003" w:rsidRPr="00261823" w:rsidRDefault="00AD7003" w:rsidP="00AD7003">
      <w:r w:rsidRPr="00261823">
        <w:t>The pharmacokinetic profile has not been assessed in patients with impaired hepatic function.</w:t>
      </w:r>
    </w:p>
    <w:p w:rsidR="00AD7003" w:rsidRDefault="00AD7003" w:rsidP="00AD7003">
      <w:pPr>
        <w:pStyle w:val="Heading3"/>
        <w:keepNext w:val="0"/>
        <w:spacing w:before="0" w:after="0"/>
        <w:rPr>
          <w:lang w:val="en-AU"/>
        </w:rPr>
      </w:pPr>
    </w:p>
    <w:p w:rsidR="00AD7003" w:rsidRPr="00FC08C0" w:rsidRDefault="00AD7003" w:rsidP="00AD7003">
      <w:pPr>
        <w:pStyle w:val="Heading3"/>
        <w:keepNext w:val="0"/>
        <w:spacing w:before="0" w:after="0"/>
        <w:rPr>
          <w:lang w:val="en-AU"/>
        </w:rPr>
      </w:pPr>
      <w:r w:rsidRPr="00FC08C0">
        <w:rPr>
          <w:lang w:val="en-AU"/>
        </w:rPr>
        <w:t>Impaired renal function</w:t>
      </w:r>
    </w:p>
    <w:p w:rsidR="00AD7003" w:rsidRPr="00FC08C0" w:rsidRDefault="00AD7003" w:rsidP="00AD7003">
      <w:pPr>
        <w:pStyle w:val="Heading2"/>
        <w:keepNext w:val="0"/>
        <w:spacing w:before="0" w:after="0"/>
        <w:rPr>
          <w:b w:val="0"/>
          <w:szCs w:val="22"/>
          <w:u w:val="none"/>
        </w:rPr>
      </w:pPr>
      <w:r w:rsidRPr="00FC08C0">
        <w:rPr>
          <w:b w:val="0"/>
          <w:szCs w:val="22"/>
          <w:u w:val="none"/>
        </w:rPr>
        <w:t xml:space="preserve">In a study of 55 patients with varying degrees of renal function, including patients on dialysis, the degree of renal impairment had no effect on the pharmacokinetics of </w:t>
      </w:r>
      <w:proofErr w:type="spellStart"/>
      <w:r w:rsidRPr="00FC08C0">
        <w:rPr>
          <w:b w:val="0"/>
          <w:szCs w:val="22"/>
          <w:u w:val="none"/>
        </w:rPr>
        <w:t>denosumab</w:t>
      </w:r>
      <w:proofErr w:type="spellEnd"/>
      <w:r w:rsidRPr="00FC08C0">
        <w:rPr>
          <w:b w:val="0"/>
          <w:szCs w:val="22"/>
          <w:u w:val="none"/>
        </w:rPr>
        <w:t>.</w:t>
      </w:r>
    </w:p>
    <w:p w:rsidR="00AD7003" w:rsidRDefault="00AD7003"/>
    <w:p w:rsidR="00AD7003" w:rsidRPr="00FC08C0" w:rsidRDefault="00AD7003" w:rsidP="00AD7003">
      <w:pPr>
        <w:pStyle w:val="Heading2"/>
        <w:keepNext w:val="0"/>
        <w:spacing w:before="0" w:after="0"/>
        <w:rPr>
          <w:lang w:val="en-AU"/>
        </w:rPr>
      </w:pPr>
      <w:r w:rsidRPr="00FC08C0">
        <w:rPr>
          <w:lang w:val="en-AU"/>
        </w:rPr>
        <w:t>Immunogenicity</w:t>
      </w:r>
    </w:p>
    <w:p w:rsidR="00AD7003" w:rsidRPr="00FC08C0" w:rsidRDefault="00AD7003" w:rsidP="00AD7003">
      <w:pPr>
        <w:rPr>
          <w:rFonts w:cs="Arial"/>
          <w:szCs w:val="22"/>
        </w:rPr>
      </w:pPr>
    </w:p>
    <w:p w:rsidR="00AD7003" w:rsidRDefault="00AD7003" w:rsidP="00AD7003">
      <w:r w:rsidRPr="00FC08C0">
        <w:rPr>
          <w:bCs/>
          <w:noProof/>
          <w:color w:val="000000"/>
        </w:rPr>
        <w:t xml:space="preserve">In clinical studies, no </w:t>
      </w:r>
      <w:r w:rsidRPr="00FC08C0">
        <w:rPr>
          <w:noProof/>
          <w:color w:val="000000"/>
          <w:szCs w:val="22"/>
        </w:rPr>
        <w:t xml:space="preserve">neutralising antibodies for </w:t>
      </w:r>
      <w:proofErr w:type="spellStart"/>
      <w:r w:rsidRPr="00FC08C0">
        <w:rPr>
          <w:rFonts w:cs="Arial"/>
          <w:szCs w:val="22"/>
        </w:rPr>
        <w:t>denosumab</w:t>
      </w:r>
      <w:proofErr w:type="spellEnd"/>
      <w:r w:rsidRPr="00FC08C0">
        <w:rPr>
          <w:noProof/>
          <w:color w:val="000000"/>
          <w:szCs w:val="22"/>
        </w:rPr>
        <w:t xml:space="preserve"> have been observed.  </w:t>
      </w:r>
      <w:r w:rsidRPr="00FC08C0">
        <w:rPr>
          <w:noProof/>
          <w:szCs w:val="22"/>
        </w:rPr>
        <w:t xml:space="preserve">Using a </w:t>
      </w:r>
      <w:r w:rsidRPr="00967DD2">
        <w:rPr>
          <w:noProof/>
        </w:rPr>
        <w:t>sensitive immunoassay &lt; 1% of patients treated with denosumab for up to 5 years tested positive for non neutralising binding antibodies with no evidence of altered pharmacokinetics, toxicity, or clinical response.</w:t>
      </w:r>
    </w:p>
    <w:p w:rsidR="00AD7003" w:rsidRDefault="00AD7003"/>
    <w:p w:rsidR="00AD7003" w:rsidRPr="008F5BA6" w:rsidRDefault="00AD7003" w:rsidP="00AD7003">
      <w:pPr>
        <w:pStyle w:val="Heading1"/>
        <w:keepNext w:val="0"/>
        <w:widowControl w:val="0"/>
        <w:spacing w:before="0" w:after="0"/>
      </w:pPr>
      <w:r w:rsidRPr="008F5BA6">
        <w:t>CLINICAL TRIALS</w:t>
      </w:r>
    </w:p>
    <w:p w:rsidR="00AD7003" w:rsidRPr="008F5BA6" w:rsidRDefault="00AD7003" w:rsidP="00AD7003"/>
    <w:p w:rsidR="00AD7003" w:rsidRPr="00FC08C0" w:rsidRDefault="00AD7003" w:rsidP="00AD7003">
      <w:pPr>
        <w:rPr>
          <w:u w:val="single"/>
        </w:rPr>
      </w:pPr>
      <w:r w:rsidRPr="00FC08C0">
        <w:rPr>
          <w:rFonts w:cs="Arial"/>
          <w:b/>
          <w:color w:val="000000"/>
          <w:szCs w:val="22"/>
          <w:u w:val="single"/>
          <w:lang w:val="en-GB"/>
        </w:rPr>
        <w:t>Treatment of osteoporosis in postmenopausal women</w:t>
      </w:r>
    </w:p>
    <w:p w:rsidR="00AD7003" w:rsidRPr="00FC08C0" w:rsidRDefault="00AD7003" w:rsidP="00AD7003">
      <w:pPr>
        <w:pStyle w:val="Text"/>
        <w:keepNext/>
        <w:tabs>
          <w:tab w:val="left" w:pos="567"/>
        </w:tabs>
        <w:spacing w:before="0" w:after="0"/>
        <w:rPr>
          <w:rFonts w:ascii="Arial" w:hAnsi="Arial" w:cs="Arial"/>
          <w:noProof/>
          <w:color w:val="000000"/>
          <w:sz w:val="22"/>
          <w:szCs w:val="22"/>
          <w:u w:val="single"/>
          <w:lang w:val="en-GB"/>
        </w:rPr>
      </w:pPr>
    </w:p>
    <w:p w:rsidR="00AD7003" w:rsidRPr="00FC08C0" w:rsidRDefault="00AD7003" w:rsidP="00AD7003">
      <w:pPr>
        <w:pStyle w:val="Text"/>
        <w:tabs>
          <w:tab w:val="left" w:pos="567"/>
        </w:tabs>
        <w:spacing w:before="0" w:after="0"/>
        <w:rPr>
          <w:rFonts w:ascii="Arial" w:hAnsi="Arial" w:cs="Arial"/>
          <w:noProof/>
          <w:color w:val="000000"/>
          <w:sz w:val="22"/>
          <w:szCs w:val="22"/>
          <w:lang w:val="en-GB"/>
        </w:rPr>
      </w:pPr>
      <w:r w:rsidRPr="00FC08C0">
        <w:rPr>
          <w:rFonts w:ascii="Arial" w:hAnsi="Arial" w:cs="Arial"/>
          <w:noProof/>
          <w:color w:val="000000"/>
          <w:sz w:val="22"/>
          <w:szCs w:val="22"/>
          <w:lang w:val="en-GB"/>
        </w:rPr>
        <w:t>Independent risk factors, for example, low bone mineral density (BMD), age, the existence of previous fracture, family history of hip fractures, high bone turnover and low body mass index (BMI) should be considered in order to identify women at increased risk of osteoporotic fractures who could benefit from treatment.</w:t>
      </w:r>
    </w:p>
    <w:p w:rsidR="00AD7003" w:rsidRPr="00FC08C0" w:rsidRDefault="00AD7003" w:rsidP="00AD7003">
      <w:pPr>
        <w:pStyle w:val="Text"/>
        <w:tabs>
          <w:tab w:val="left" w:pos="567"/>
        </w:tabs>
        <w:spacing w:before="0" w:after="0"/>
        <w:rPr>
          <w:rFonts w:ascii="Arial" w:hAnsi="Arial" w:cs="Arial"/>
          <w:noProof/>
          <w:color w:val="000000"/>
          <w:sz w:val="22"/>
          <w:szCs w:val="22"/>
          <w:u w:val="single"/>
          <w:lang w:val="en-GB"/>
        </w:rPr>
      </w:pPr>
    </w:p>
    <w:p w:rsidR="00AD7003" w:rsidRPr="00FC08C0" w:rsidRDefault="00AD7003" w:rsidP="00AD7003">
      <w:pPr>
        <w:pStyle w:val="Text"/>
        <w:tabs>
          <w:tab w:val="left" w:pos="567"/>
        </w:tabs>
        <w:spacing w:before="0" w:after="0"/>
        <w:rPr>
          <w:rFonts w:ascii="Arial" w:hAnsi="Arial" w:cs="Arial"/>
          <w:noProof/>
          <w:color w:val="000000"/>
          <w:sz w:val="22"/>
          <w:szCs w:val="22"/>
          <w:lang w:val="en-GB"/>
        </w:rPr>
      </w:pPr>
      <w:r w:rsidRPr="00FC08C0">
        <w:rPr>
          <w:rFonts w:ascii="Arial" w:hAnsi="Arial" w:cs="Arial"/>
          <w:noProof/>
          <w:color w:val="000000"/>
          <w:sz w:val="22"/>
          <w:szCs w:val="22"/>
          <w:u w:val="single"/>
          <w:lang w:val="en-GB"/>
        </w:rPr>
        <w:t>F</w:t>
      </w:r>
      <w:r w:rsidRPr="00727888">
        <w:rPr>
          <w:rFonts w:ascii="Arial" w:hAnsi="Arial" w:cs="Arial"/>
          <w:noProof/>
          <w:color w:val="000000"/>
          <w:sz w:val="22"/>
          <w:szCs w:val="22"/>
          <w:lang w:val="en-GB"/>
        </w:rPr>
        <w:t>r</w:t>
      </w:r>
      <w:r w:rsidRPr="00FC08C0">
        <w:rPr>
          <w:rFonts w:ascii="Arial" w:hAnsi="Arial" w:cs="Arial"/>
          <w:noProof/>
          <w:color w:val="000000"/>
          <w:sz w:val="22"/>
          <w:szCs w:val="22"/>
          <w:lang w:val="en-GB"/>
        </w:rPr>
        <w:t xml:space="preserve">acture </w:t>
      </w:r>
      <w:r w:rsidRPr="00FC08C0">
        <w:rPr>
          <w:rFonts w:ascii="Arial" w:hAnsi="Arial" w:cs="Arial"/>
          <w:noProof/>
          <w:color w:val="000000"/>
          <w:sz w:val="22"/>
          <w:szCs w:val="22"/>
          <w:u w:val="single"/>
          <w:lang w:val="en-GB"/>
        </w:rPr>
        <w:t>R</w:t>
      </w:r>
      <w:r w:rsidRPr="00727888">
        <w:rPr>
          <w:rFonts w:ascii="Arial" w:hAnsi="Arial" w:cs="Arial"/>
          <w:noProof/>
          <w:color w:val="000000"/>
          <w:sz w:val="22"/>
          <w:szCs w:val="22"/>
          <w:u w:val="single"/>
          <w:lang w:val="en-GB"/>
        </w:rPr>
        <w:t>e</w:t>
      </w:r>
      <w:r w:rsidRPr="00FC08C0">
        <w:rPr>
          <w:rFonts w:ascii="Arial" w:hAnsi="Arial" w:cs="Arial"/>
          <w:noProof/>
          <w:color w:val="000000"/>
          <w:sz w:val="22"/>
          <w:szCs w:val="22"/>
          <w:lang w:val="en-GB"/>
        </w:rPr>
        <w:t xml:space="preserve">duction </w:t>
      </w:r>
      <w:r w:rsidRPr="00FC08C0">
        <w:rPr>
          <w:rFonts w:ascii="Arial" w:hAnsi="Arial" w:cs="Arial"/>
          <w:noProof/>
          <w:color w:val="000000"/>
          <w:sz w:val="22"/>
          <w:szCs w:val="22"/>
          <w:u w:val="single"/>
          <w:lang w:val="en-GB"/>
        </w:rPr>
        <w:t>E</w:t>
      </w:r>
      <w:r w:rsidRPr="00FC08C0">
        <w:rPr>
          <w:rFonts w:ascii="Arial" w:hAnsi="Arial" w:cs="Arial"/>
          <w:noProof/>
          <w:color w:val="000000"/>
          <w:sz w:val="22"/>
          <w:szCs w:val="22"/>
          <w:lang w:val="en-GB"/>
        </w:rPr>
        <w:t xml:space="preserve">valuation of </w:t>
      </w:r>
      <w:r w:rsidRPr="00FC08C0">
        <w:rPr>
          <w:rFonts w:ascii="Arial" w:hAnsi="Arial" w:cs="Arial"/>
          <w:noProof/>
          <w:color w:val="000000"/>
          <w:sz w:val="22"/>
          <w:szCs w:val="22"/>
          <w:u w:val="single"/>
          <w:lang w:val="en-GB"/>
        </w:rPr>
        <w:t>D</w:t>
      </w:r>
      <w:r w:rsidRPr="00FC08C0">
        <w:rPr>
          <w:rFonts w:ascii="Arial" w:hAnsi="Arial" w:cs="Arial"/>
          <w:noProof/>
          <w:color w:val="000000"/>
          <w:sz w:val="22"/>
          <w:szCs w:val="22"/>
          <w:lang w:val="en-GB"/>
        </w:rPr>
        <w:t xml:space="preserve">enosumab in </w:t>
      </w:r>
      <w:r w:rsidRPr="00FC08C0">
        <w:rPr>
          <w:rFonts w:ascii="Arial" w:hAnsi="Arial" w:cs="Arial"/>
          <w:noProof/>
          <w:color w:val="000000"/>
          <w:sz w:val="22"/>
          <w:szCs w:val="22"/>
          <w:u w:val="single"/>
          <w:lang w:val="en-GB"/>
        </w:rPr>
        <w:t>O</w:t>
      </w:r>
      <w:r w:rsidRPr="00FC08C0">
        <w:rPr>
          <w:rFonts w:ascii="Arial" w:hAnsi="Arial" w:cs="Arial"/>
          <w:noProof/>
          <w:color w:val="000000"/>
          <w:sz w:val="22"/>
          <w:szCs w:val="22"/>
          <w:lang w:val="en-GB"/>
        </w:rPr>
        <w:t xml:space="preserve">steoporosis </w:t>
      </w:r>
      <w:r w:rsidRPr="00727888">
        <w:rPr>
          <w:rFonts w:ascii="Arial" w:hAnsi="Arial" w:cs="Arial"/>
          <w:noProof/>
          <w:color w:val="000000"/>
          <w:sz w:val="22"/>
          <w:szCs w:val="22"/>
          <w:lang w:val="en-GB"/>
        </w:rPr>
        <w:t>E</w:t>
      </w:r>
      <w:r w:rsidRPr="00FC08C0">
        <w:rPr>
          <w:rFonts w:ascii="Arial" w:hAnsi="Arial" w:cs="Arial"/>
          <w:noProof/>
          <w:color w:val="000000"/>
          <w:sz w:val="22"/>
          <w:szCs w:val="22"/>
          <w:lang w:val="en-GB"/>
        </w:rPr>
        <w:t xml:space="preserve">very 6 </w:t>
      </w:r>
      <w:r w:rsidRPr="00FC08C0">
        <w:rPr>
          <w:rFonts w:ascii="Arial" w:hAnsi="Arial" w:cs="Arial"/>
          <w:noProof/>
          <w:color w:val="000000"/>
          <w:sz w:val="22"/>
          <w:szCs w:val="22"/>
          <w:u w:val="single"/>
          <w:lang w:val="en-GB"/>
        </w:rPr>
        <w:t>M</w:t>
      </w:r>
      <w:r w:rsidRPr="00FC08C0">
        <w:rPr>
          <w:rFonts w:ascii="Arial" w:hAnsi="Arial" w:cs="Arial"/>
          <w:noProof/>
          <w:color w:val="000000"/>
          <w:sz w:val="22"/>
          <w:szCs w:val="22"/>
          <w:lang w:val="en-GB"/>
        </w:rPr>
        <w:t>onths (FREEDOM):</w:t>
      </w:r>
    </w:p>
    <w:p w:rsidR="00AD7003" w:rsidRPr="00FC08C0" w:rsidRDefault="00AD7003" w:rsidP="00AD7003">
      <w:pPr>
        <w:pStyle w:val="Text"/>
        <w:tabs>
          <w:tab w:val="left" w:pos="567"/>
        </w:tabs>
        <w:spacing w:before="0" w:after="0"/>
        <w:rPr>
          <w:rFonts w:ascii="Arial" w:hAnsi="Arial" w:cs="Arial"/>
          <w:noProof/>
          <w:color w:val="000000"/>
          <w:sz w:val="22"/>
          <w:szCs w:val="22"/>
          <w:lang w:val="en-GB"/>
        </w:rPr>
      </w:pPr>
      <w:r w:rsidRPr="00FC08C0">
        <w:rPr>
          <w:rFonts w:ascii="Arial" w:hAnsi="Arial" w:cs="Arial"/>
          <w:noProof/>
          <w:color w:val="000000"/>
          <w:sz w:val="22"/>
          <w:szCs w:val="22"/>
          <w:lang w:val="en-GB"/>
        </w:rPr>
        <w:t xml:space="preserve">The efficacy and safety of </w:t>
      </w:r>
      <w:bookmarkStart w:id="3" w:name="OLE_LINK1"/>
      <w:bookmarkStart w:id="4" w:name="OLE_LINK2"/>
      <w:proofErr w:type="spellStart"/>
      <w:r w:rsidRPr="00FC08C0">
        <w:rPr>
          <w:rFonts w:ascii="Arial" w:hAnsi="Arial" w:cs="Arial"/>
          <w:sz w:val="22"/>
          <w:szCs w:val="22"/>
        </w:rPr>
        <w:t>Prolia</w:t>
      </w:r>
      <w:proofErr w:type="spellEnd"/>
      <w:r w:rsidRPr="00FC08C0">
        <w:rPr>
          <w:rFonts w:ascii="Arial" w:hAnsi="Arial" w:cs="Arial"/>
          <w:sz w:val="22"/>
          <w:szCs w:val="22"/>
          <w:vertAlign w:val="superscript"/>
        </w:rPr>
        <w:t>®</w:t>
      </w:r>
      <w:r w:rsidRPr="00FC08C0">
        <w:rPr>
          <w:color w:val="000000"/>
          <w:szCs w:val="22"/>
        </w:rPr>
        <w:t xml:space="preserve"> </w:t>
      </w:r>
      <w:bookmarkEnd w:id="3"/>
      <w:bookmarkEnd w:id="4"/>
      <w:r w:rsidRPr="00FC08C0">
        <w:rPr>
          <w:rFonts w:ascii="Arial" w:hAnsi="Arial" w:cs="Arial"/>
          <w:noProof/>
          <w:color w:val="000000"/>
          <w:sz w:val="22"/>
          <w:szCs w:val="22"/>
          <w:lang w:val="en-GB"/>
        </w:rPr>
        <w:t>in the treatment of postmenopausal osteoporosis was demonstrated in FREEDOM (Study 20030216), a 3-year, randomised, double-blind, placebo-controlled, multinational study of women with baseline BMD T-scores at the lumbar spine or total hip between -2.5 and -4.0.  7,808 women aged 60 to 91 years were enrolled of whom 23.6% had prevalent vertebral fractures.  Women with other diseases or on therapies that may affect bone (e.g. rheumatoid arthritis, osteogenesis imperfecta and Paget’s disease) were excluded from this study.</w:t>
      </w:r>
    </w:p>
    <w:p w:rsidR="00AD7003" w:rsidRPr="00FC08C0" w:rsidRDefault="00AD7003" w:rsidP="00AD7003">
      <w:pPr>
        <w:pStyle w:val="Text"/>
        <w:tabs>
          <w:tab w:val="left" w:pos="567"/>
        </w:tabs>
        <w:spacing w:before="0" w:after="0"/>
        <w:rPr>
          <w:rFonts w:ascii="Arial" w:hAnsi="Arial" w:cs="Arial"/>
          <w:noProof/>
          <w:color w:val="000000"/>
          <w:sz w:val="22"/>
          <w:szCs w:val="22"/>
          <w:lang w:val="en-GB"/>
        </w:rPr>
      </w:pPr>
    </w:p>
    <w:p w:rsidR="00AD7003" w:rsidRPr="00FC08C0" w:rsidRDefault="00AD7003" w:rsidP="00AD7003">
      <w:pPr>
        <w:pStyle w:val="text0"/>
        <w:tabs>
          <w:tab w:val="left" w:pos="567"/>
        </w:tabs>
        <w:spacing w:before="0" w:beforeAutospacing="0" w:after="0" w:afterAutospacing="0" w:line="240" w:lineRule="auto"/>
        <w:ind w:left="0"/>
        <w:rPr>
          <w:noProof/>
          <w:color w:val="000000"/>
          <w:sz w:val="22"/>
          <w:szCs w:val="22"/>
          <w:lang w:val="en-GB"/>
        </w:rPr>
      </w:pPr>
      <w:r w:rsidRPr="00FC08C0">
        <w:rPr>
          <w:noProof/>
          <w:color w:val="000000"/>
          <w:sz w:val="22"/>
          <w:szCs w:val="22"/>
          <w:lang w:val="en-GB"/>
        </w:rPr>
        <w:t xml:space="preserve">BMD and other individual risk factors were collected for women enrolled in the FREEDOM study.  The mean absolute 10-year fracture probability for women enrolled was 18.60% </w:t>
      </w:r>
      <w:r w:rsidRPr="00FC08C0">
        <w:rPr>
          <w:noProof/>
          <w:color w:val="000000"/>
          <w:sz w:val="22"/>
          <w:szCs w:val="22"/>
          <w:lang w:val="en-GB"/>
        </w:rPr>
        <w:br/>
        <w:t>(deciles: 7.9-32.4%) for major osteoporotic fracture and 7.22% (deciles: 1.4-14.9%) for hip fracture, as derived from FRAX</w:t>
      </w:r>
      <w:r w:rsidRPr="00FC08C0">
        <w:rPr>
          <w:noProof/>
          <w:color w:val="000000"/>
          <w:sz w:val="22"/>
          <w:szCs w:val="22"/>
          <w:vertAlign w:val="superscript"/>
          <w:lang w:val="en-GB"/>
        </w:rPr>
        <w:t>®</w:t>
      </w:r>
      <w:r w:rsidRPr="00FC08C0">
        <w:rPr>
          <w:noProof/>
          <w:color w:val="000000"/>
          <w:sz w:val="22"/>
          <w:szCs w:val="22"/>
          <w:lang w:val="en-GB"/>
        </w:rPr>
        <w:t>, the WHO Fracture Risk Assessment Tool algorithm.</w:t>
      </w:r>
    </w:p>
    <w:p w:rsidR="00AD7003" w:rsidRPr="00FC08C0" w:rsidRDefault="00AD7003" w:rsidP="00AD7003">
      <w:pPr>
        <w:autoSpaceDE w:val="0"/>
        <w:autoSpaceDN w:val="0"/>
        <w:adjustRightInd w:val="0"/>
        <w:rPr>
          <w:rFonts w:cs="Arial"/>
          <w:noProof/>
          <w:szCs w:val="22"/>
        </w:rPr>
      </w:pPr>
    </w:p>
    <w:p w:rsidR="00AD7003" w:rsidRPr="00FC08C0" w:rsidRDefault="00AD7003" w:rsidP="00AD7003">
      <w:pPr>
        <w:autoSpaceDE w:val="0"/>
        <w:autoSpaceDN w:val="0"/>
        <w:adjustRightInd w:val="0"/>
        <w:rPr>
          <w:rFonts w:cs="Arial"/>
          <w:noProof/>
          <w:szCs w:val="22"/>
        </w:rPr>
      </w:pPr>
      <w:r w:rsidRPr="00FC08C0">
        <w:rPr>
          <w:rFonts w:cs="Arial"/>
          <w:noProof/>
          <w:szCs w:val="22"/>
        </w:rPr>
        <w:t xml:space="preserve">Women were randomised to receive subcutaneous injections of either </w:t>
      </w:r>
      <w:proofErr w:type="spellStart"/>
      <w:r w:rsidRPr="00FC08C0">
        <w:rPr>
          <w:rFonts w:cs="Arial"/>
          <w:szCs w:val="22"/>
        </w:rPr>
        <w:t>Prolia</w:t>
      </w:r>
      <w:proofErr w:type="spellEnd"/>
      <w:r w:rsidRPr="00FC08C0">
        <w:rPr>
          <w:rFonts w:cs="Arial"/>
          <w:szCs w:val="22"/>
          <w:vertAlign w:val="superscript"/>
        </w:rPr>
        <w:t>®</w:t>
      </w:r>
      <w:r w:rsidRPr="00FC08C0">
        <w:rPr>
          <w:color w:val="000000"/>
          <w:szCs w:val="22"/>
        </w:rPr>
        <w:t xml:space="preserve"> </w:t>
      </w:r>
      <w:r w:rsidRPr="00FC08C0">
        <w:rPr>
          <w:rFonts w:cs="Arial"/>
          <w:noProof/>
          <w:szCs w:val="22"/>
        </w:rPr>
        <w:t>60</w:t>
      </w:r>
      <w:r w:rsidRPr="00FC08C0">
        <w:rPr>
          <w:rFonts w:cs="Arial"/>
          <w:szCs w:val="22"/>
        </w:rPr>
        <w:t> </w:t>
      </w:r>
      <w:r w:rsidRPr="00FC08C0">
        <w:rPr>
          <w:rFonts w:cs="Arial"/>
          <w:noProof/>
          <w:szCs w:val="22"/>
        </w:rPr>
        <w:t>mg (n = 3,902) or placebo (n</w:t>
      </w:r>
      <w:r w:rsidRPr="00FC08C0">
        <w:rPr>
          <w:rFonts w:cs="Arial"/>
          <w:szCs w:val="22"/>
        </w:rPr>
        <w:t> </w:t>
      </w:r>
      <w:r w:rsidRPr="00FC08C0">
        <w:rPr>
          <w:rFonts w:cs="Arial"/>
          <w:noProof/>
          <w:szCs w:val="22"/>
        </w:rPr>
        <w:t>=</w:t>
      </w:r>
      <w:r w:rsidRPr="00FC08C0">
        <w:rPr>
          <w:rFonts w:cs="Arial"/>
          <w:szCs w:val="22"/>
        </w:rPr>
        <w:t> </w:t>
      </w:r>
      <w:r w:rsidRPr="00FC08C0">
        <w:rPr>
          <w:rFonts w:cs="Arial"/>
          <w:noProof/>
          <w:szCs w:val="22"/>
        </w:rPr>
        <w:t>3,906) once every 6</w:t>
      </w:r>
      <w:r w:rsidRPr="00FC08C0">
        <w:rPr>
          <w:rFonts w:cs="Arial"/>
          <w:szCs w:val="22"/>
        </w:rPr>
        <w:t> </w:t>
      </w:r>
      <w:r w:rsidRPr="00FC08C0">
        <w:rPr>
          <w:rFonts w:cs="Arial"/>
          <w:noProof/>
          <w:szCs w:val="22"/>
        </w:rPr>
        <w:t>months.  Women received calcium (at least 1,000 mg) and vitamin D (at least 400</w:t>
      </w:r>
      <w:r w:rsidRPr="00967DD2">
        <w:rPr>
          <w:noProof/>
        </w:rPr>
        <w:t> </w:t>
      </w:r>
      <w:r w:rsidRPr="00FC08C0">
        <w:rPr>
          <w:rFonts w:cs="Arial"/>
          <w:noProof/>
          <w:szCs w:val="22"/>
        </w:rPr>
        <w:t>IU) supplementation daily.  The primary efficacy variable was the incidence of new vertebral fractures.  Secondary efficacy variables included the incidence of non-vertebral fractures and hip fractures, assessed at 3 years.</w:t>
      </w:r>
    </w:p>
    <w:p w:rsidR="00AD7003" w:rsidRDefault="00AD7003"/>
    <w:p w:rsidR="00AD7003" w:rsidRPr="00FC08C0" w:rsidRDefault="00AD7003" w:rsidP="00AD7003">
      <w:pPr>
        <w:pStyle w:val="Text"/>
        <w:spacing w:before="0" w:after="0"/>
        <w:rPr>
          <w:rFonts w:ascii="Arial" w:hAnsi="Arial" w:cs="Arial"/>
          <w:b/>
          <w:color w:val="000000"/>
          <w:sz w:val="22"/>
          <w:szCs w:val="22"/>
          <w:lang w:val="en-GB"/>
        </w:rPr>
      </w:pPr>
      <w:r w:rsidRPr="00FC08C0">
        <w:rPr>
          <w:rFonts w:ascii="Arial" w:hAnsi="Arial" w:cs="Arial"/>
          <w:b/>
          <w:color w:val="000000"/>
          <w:sz w:val="22"/>
          <w:szCs w:val="22"/>
          <w:lang w:val="en-GB"/>
        </w:rPr>
        <w:t>Effect on vertebral fractures</w:t>
      </w:r>
    </w:p>
    <w:p w:rsidR="00AD7003" w:rsidRDefault="00AD7003" w:rsidP="00AD7003">
      <w:proofErr w:type="spellStart"/>
      <w:r w:rsidRPr="00FC08C0">
        <w:rPr>
          <w:rFonts w:cs="Arial"/>
          <w:szCs w:val="22"/>
        </w:rPr>
        <w:t>Prolia</w:t>
      </w:r>
      <w:proofErr w:type="spellEnd"/>
      <w:r w:rsidRPr="00FC08C0">
        <w:rPr>
          <w:rFonts w:cs="Arial"/>
          <w:szCs w:val="22"/>
          <w:vertAlign w:val="superscript"/>
        </w:rPr>
        <w:t>®</w:t>
      </w:r>
      <w:r w:rsidRPr="00FC08C0">
        <w:rPr>
          <w:b/>
          <w:color w:val="000000"/>
          <w:szCs w:val="22"/>
        </w:rPr>
        <w:t xml:space="preserve"> </w:t>
      </w:r>
      <w:r w:rsidRPr="002735F9">
        <w:rPr>
          <w:noProof/>
        </w:rPr>
        <w:t>significantly reduced the risk of new vertebral f</w:t>
      </w:r>
      <w:r>
        <w:rPr>
          <w:noProof/>
        </w:rPr>
        <w:t xml:space="preserve">ractures at 1, 2 and 3 years (p &lt; 0.0001) </w:t>
      </w:r>
      <w:r w:rsidRPr="00A07EB1">
        <w:t>(see Table 1).</w:t>
      </w:r>
    </w:p>
    <w:p w:rsidR="00542607" w:rsidRDefault="005426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8"/>
        <w:gridCol w:w="1883"/>
        <w:gridCol w:w="1883"/>
        <w:gridCol w:w="1800"/>
        <w:gridCol w:w="1800"/>
      </w:tblGrid>
      <w:tr w:rsidR="00AD7003" w:rsidRPr="00087F22" w:rsidTr="00AD7003">
        <w:trPr>
          <w:trHeight w:val="89"/>
        </w:trPr>
        <w:tc>
          <w:tcPr>
            <w:tcW w:w="8554" w:type="dxa"/>
            <w:gridSpan w:val="5"/>
            <w:tcBorders>
              <w:top w:val="nil"/>
              <w:left w:val="nil"/>
              <w:right w:val="nil"/>
            </w:tcBorders>
          </w:tcPr>
          <w:p w:rsidR="00AD7003" w:rsidRPr="00492EE4" w:rsidRDefault="00AD7003" w:rsidP="00AD7003">
            <w:pPr>
              <w:jc w:val="center"/>
              <w:rPr>
                <w:b/>
              </w:rPr>
            </w:pPr>
            <w:r w:rsidRPr="00492EE4">
              <w:rPr>
                <w:b/>
              </w:rPr>
              <w:lastRenderedPageBreak/>
              <w:t xml:space="preserve">Table </w:t>
            </w:r>
            <w:r>
              <w:rPr>
                <w:b/>
              </w:rPr>
              <w:t>1.</w:t>
            </w:r>
            <w:r w:rsidRPr="00492EE4">
              <w:rPr>
                <w:b/>
              </w:rPr>
              <w:t xml:space="preserve"> The effect of </w:t>
            </w:r>
            <w:proofErr w:type="spellStart"/>
            <w:r>
              <w:rPr>
                <w:rFonts w:cs="Arial"/>
                <w:b/>
                <w:szCs w:val="22"/>
              </w:rPr>
              <w:t>Prolia</w:t>
            </w:r>
            <w:proofErr w:type="spellEnd"/>
            <w:r>
              <w:rPr>
                <w:rFonts w:cs="Arial"/>
                <w:b/>
                <w:szCs w:val="22"/>
                <w:vertAlign w:val="superscript"/>
              </w:rPr>
              <w:t>®</w:t>
            </w:r>
            <w:r w:rsidRPr="00492EE4">
              <w:rPr>
                <w:b/>
              </w:rPr>
              <w:t xml:space="preserve"> on the </w:t>
            </w:r>
            <w:r w:rsidRPr="006F053B">
              <w:rPr>
                <w:b/>
              </w:rPr>
              <w:t>risk</w:t>
            </w:r>
            <w:r w:rsidRPr="00492EE4">
              <w:rPr>
                <w:b/>
              </w:rPr>
              <w:t xml:space="preserve"> of new vertebral fractures</w:t>
            </w:r>
          </w:p>
        </w:tc>
      </w:tr>
      <w:tr w:rsidR="00AD7003" w:rsidRPr="00087F22" w:rsidTr="00AD7003">
        <w:trPr>
          <w:trHeight w:val="89"/>
        </w:trPr>
        <w:tc>
          <w:tcPr>
            <w:tcW w:w="1188" w:type="dxa"/>
            <w:vMerge w:val="restart"/>
          </w:tcPr>
          <w:p w:rsidR="00AD7003" w:rsidRPr="00087F22" w:rsidRDefault="00AD7003" w:rsidP="00AD7003"/>
        </w:tc>
        <w:tc>
          <w:tcPr>
            <w:tcW w:w="3766" w:type="dxa"/>
            <w:gridSpan w:val="2"/>
          </w:tcPr>
          <w:p w:rsidR="00AD7003" w:rsidRPr="00087F22" w:rsidRDefault="00AD7003" w:rsidP="00AD7003">
            <w:pPr>
              <w:jc w:val="center"/>
            </w:pPr>
            <w:r w:rsidRPr="00087F22">
              <w:t xml:space="preserve">Proportion of </w:t>
            </w:r>
            <w:r>
              <w:t>women</w:t>
            </w:r>
            <w:r w:rsidRPr="00087F22">
              <w:t xml:space="preserve"> with </w:t>
            </w:r>
            <w:r>
              <w:t>f</w:t>
            </w:r>
            <w:r w:rsidRPr="00087F22">
              <w:t>racture (%)</w:t>
            </w:r>
          </w:p>
        </w:tc>
        <w:tc>
          <w:tcPr>
            <w:tcW w:w="1800" w:type="dxa"/>
            <w:vMerge w:val="restart"/>
          </w:tcPr>
          <w:p w:rsidR="00AD7003" w:rsidRPr="00087F22" w:rsidRDefault="00AD7003" w:rsidP="00AD7003">
            <w:r w:rsidRPr="00087F22">
              <w:t xml:space="preserve">Absolute </w:t>
            </w:r>
            <w:r>
              <w:t>r</w:t>
            </w:r>
            <w:r w:rsidRPr="00087F22">
              <w:t xml:space="preserve">isk </w:t>
            </w:r>
            <w:r>
              <w:t>r</w:t>
            </w:r>
            <w:r w:rsidRPr="00087F22">
              <w:t>eduction (%)</w:t>
            </w:r>
          </w:p>
          <w:p w:rsidR="00AD7003" w:rsidRPr="00087F22" w:rsidRDefault="00AD7003" w:rsidP="00AD7003">
            <w:r w:rsidRPr="00087F22">
              <w:t>(95% CI)</w:t>
            </w:r>
          </w:p>
        </w:tc>
        <w:tc>
          <w:tcPr>
            <w:tcW w:w="1800" w:type="dxa"/>
            <w:vMerge w:val="restart"/>
          </w:tcPr>
          <w:p w:rsidR="00AD7003" w:rsidRPr="00087F22" w:rsidRDefault="00AD7003" w:rsidP="00AD7003">
            <w:r w:rsidRPr="00087F22">
              <w:t xml:space="preserve">Relative </w:t>
            </w:r>
            <w:r>
              <w:t>r</w:t>
            </w:r>
            <w:r w:rsidRPr="00087F22">
              <w:t xml:space="preserve">isk </w:t>
            </w:r>
            <w:r>
              <w:t>r</w:t>
            </w:r>
            <w:r w:rsidRPr="00087F22">
              <w:t>eduction (%)</w:t>
            </w:r>
          </w:p>
          <w:p w:rsidR="00AD7003" w:rsidRPr="00087F22" w:rsidRDefault="00AD7003" w:rsidP="00AD7003">
            <w:r w:rsidRPr="00087F22">
              <w:t>(95% CI)</w:t>
            </w:r>
          </w:p>
        </w:tc>
      </w:tr>
      <w:tr w:rsidR="00AD7003" w:rsidRPr="00087F22" w:rsidTr="00AD7003">
        <w:trPr>
          <w:trHeight w:val="269"/>
        </w:trPr>
        <w:tc>
          <w:tcPr>
            <w:tcW w:w="1188" w:type="dxa"/>
            <w:vMerge/>
          </w:tcPr>
          <w:p w:rsidR="00AD7003" w:rsidRPr="00087F22" w:rsidRDefault="00AD7003" w:rsidP="00AD7003"/>
        </w:tc>
        <w:tc>
          <w:tcPr>
            <w:tcW w:w="1883" w:type="dxa"/>
          </w:tcPr>
          <w:p w:rsidR="00AD7003" w:rsidRDefault="00AD7003" w:rsidP="00AD7003">
            <w:pPr>
              <w:rPr>
                <w:color w:val="000000"/>
                <w:szCs w:val="22"/>
              </w:rPr>
            </w:pPr>
            <w:proofErr w:type="spellStart"/>
            <w:r>
              <w:rPr>
                <w:rFonts w:cs="Arial"/>
                <w:szCs w:val="22"/>
              </w:rPr>
              <w:t>Prolia</w:t>
            </w:r>
            <w:proofErr w:type="spellEnd"/>
            <w:r>
              <w:rPr>
                <w:rFonts w:cs="Arial"/>
                <w:szCs w:val="22"/>
                <w:vertAlign w:val="superscript"/>
              </w:rPr>
              <w:t>®</w:t>
            </w:r>
          </w:p>
          <w:p w:rsidR="00AD7003" w:rsidRPr="00087F22" w:rsidRDefault="00AD7003" w:rsidP="00AD7003">
            <w:r>
              <w:t>n</w:t>
            </w:r>
            <w:r>
              <w:rPr>
                <w:rFonts w:cs="Arial"/>
                <w:szCs w:val="22"/>
              </w:rPr>
              <w:t> </w:t>
            </w:r>
            <w:r w:rsidRPr="00087F22">
              <w:t>=</w:t>
            </w:r>
            <w:r>
              <w:rPr>
                <w:rFonts w:cs="Arial"/>
                <w:szCs w:val="22"/>
              </w:rPr>
              <w:t> </w:t>
            </w:r>
            <w:r w:rsidRPr="00087F22">
              <w:t>3</w:t>
            </w:r>
            <w:r>
              <w:t>,9</w:t>
            </w:r>
            <w:r w:rsidRPr="00087F22">
              <w:t>0</w:t>
            </w:r>
            <w:r>
              <w:t>2</w:t>
            </w:r>
          </w:p>
          <w:p w:rsidR="00AD7003" w:rsidRPr="00087F22" w:rsidRDefault="00AD7003" w:rsidP="00AD7003">
            <w:r w:rsidRPr="00087F22">
              <w:t>(%)</w:t>
            </w:r>
          </w:p>
        </w:tc>
        <w:tc>
          <w:tcPr>
            <w:tcW w:w="1883" w:type="dxa"/>
          </w:tcPr>
          <w:p w:rsidR="00AD7003" w:rsidRDefault="00AD7003" w:rsidP="00AD7003">
            <w:r>
              <w:t>Placebo</w:t>
            </w:r>
          </w:p>
          <w:p w:rsidR="00AD7003" w:rsidRPr="00087F22" w:rsidRDefault="00AD7003" w:rsidP="00AD7003">
            <w:r>
              <w:t>n</w:t>
            </w:r>
            <w:r>
              <w:rPr>
                <w:rFonts w:cs="Arial"/>
                <w:szCs w:val="22"/>
              </w:rPr>
              <w:t> </w:t>
            </w:r>
            <w:r w:rsidRPr="00087F22">
              <w:t>=</w:t>
            </w:r>
            <w:r>
              <w:rPr>
                <w:rFonts w:cs="Arial"/>
                <w:szCs w:val="22"/>
              </w:rPr>
              <w:t> </w:t>
            </w:r>
            <w:r w:rsidRPr="00087F22">
              <w:t>3</w:t>
            </w:r>
            <w:r>
              <w:t>,9</w:t>
            </w:r>
            <w:r w:rsidRPr="00087F22">
              <w:t>0</w:t>
            </w:r>
            <w:r>
              <w:t>6</w:t>
            </w:r>
          </w:p>
          <w:p w:rsidR="00AD7003" w:rsidRPr="00087F22" w:rsidRDefault="00AD7003" w:rsidP="00AD7003">
            <w:r w:rsidRPr="00087F22">
              <w:t>(%)</w:t>
            </w:r>
          </w:p>
        </w:tc>
        <w:tc>
          <w:tcPr>
            <w:tcW w:w="1800" w:type="dxa"/>
            <w:vMerge/>
          </w:tcPr>
          <w:p w:rsidR="00AD7003" w:rsidRPr="00087F22" w:rsidRDefault="00AD7003" w:rsidP="00AD7003"/>
        </w:tc>
        <w:tc>
          <w:tcPr>
            <w:tcW w:w="1800" w:type="dxa"/>
            <w:vMerge/>
          </w:tcPr>
          <w:p w:rsidR="00AD7003" w:rsidRPr="00087F22" w:rsidRDefault="00AD7003" w:rsidP="00AD7003"/>
        </w:tc>
      </w:tr>
      <w:tr w:rsidR="00AD7003" w:rsidRPr="00087F22" w:rsidTr="00AD7003">
        <w:trPr>
          <w:trHeight w:val="50"/>
        </w:trPr>
        <w:tc>
          <w:tcPr>
            <w:tcW w:w="1188" w:type="dxa"/>
          </w:tcPr>
          <w:p w:rsidR="00AD7003" w:rsidRPr="00087F22" w:rsidRDefault="00AD7003" w:rsidP="00AD7003">
            <w:r w:rsidRPr="00087F22">
              <w:t>0-1 Year</w:t>
            </w:r>
          </w:p>
        </w:tc>
        <w:tc>
          <w:tcPr>
            <w:tcW w:w="1883" w:type="dxa"/>
          </w:tcPr>
          <w:p w:rsidR="00AD7003" w:rsidRPr="00087F22" w:rsidRDefault="00AD7003" w:rsidP="00AD7003">
            <w:r>
              <w:t>0.9</w:t>
            </w:r>
          </w:p>
        </w:tc>
        <w:tc>
          <w:tcPr>
            <w:tcW w:w="1883" w:type="dxa"/>
          </w:tcPr>
          <w:p w:rsidR="00AD7003" w:rsidRPr="00087F22" w:rsidRDefault="00AD7003" w:rsidP="00AD7003">
            <w:r>
              <w:t>2.2</w:t>
            </w:r>
          </w:p>
        </w:tc>
        <w:tc>
          <w:tcPr>
            <w:tcW w:w="1800" w:type="dxa"/>
          </w:tcPr>
          <w:p w:rsidR="00AD7003" w:rsidRPr="00087F22" w:rsidRDefault="00AD7003" w:rsidP="00AD7003">
            <w:r w:rsidRPr="00087F22">
              <w:t>1.4 (0.8, 1.9)</w:t>
            </w:r>
          </w:p>
        </w:tc>
        <w:tc>
          <w:tcPr>
            <w:tcW w:w="1800" w:type="dxa"/>
          </w:tcPr>
          <w:p w:rsidR="00AD7003" w:rsidRPr="00087F22" w:rsidRDefault="00AD7003" w:rsidP="00AD7003">
            <w:r>
              <w:t>61</w:t>
            </w:r>
            <w:r w:rsidRPr="00087F22">
              <w:t xml:space="preserve"> (42, 74)</w:t>
            </w:r>
            <w:r>
              <w:t>*</w:t>
            </w:r>
          </w:p>
        </w:tc>
      </w:tr>
      <w:tr w:rsidR="00AD7003" w:rsidRPr="00087F22" w:rsidTr="00AD7003">
        <w:trPr>
          <w:trHeight w:val="50"/>
        </w:trPr>
        <w:tc>
          <w:tcPr>
            <w:tcW w:w="1188" w:type="dxa"/>
          </w:tcPr>
          <w:p w:rsidR="00AD7003" w:rsidRPr="00087F22" w:rsidRDefault="00AD7003" w:rsidP="00AD7003">
            <w:r w:rsidRPr="00087F22">
              <w:t>0-2 Years</w:t>
            </w:r>
          </w:p>
        </w:tc>
        <w:tc>
          <w:tcPr>
            <w:tcW w:w="1883" w:type="dxa"/>
          </w:tcPr>
          <w:p w:rsidR="00AD7003" w:rsidRPr="00087F22" w:rsidRDefault="00AD7003" w:rsidP="00AD7003">
            <w:r>
              <w:t>1.4</w:t>
            </w:r>
          </w:p>
        </w:tc>
        <w:tc>
          <w:tcPr>
            <w:tcW w:w="1883" w:type="dxa"/>
          </w:tcPr>
          <w:p w:rsidR="00AD7003" w:rsidRPr="00087F22" w:rsidRDefault="00AD7003" w:rsidP="00AD7003">
            <w:r>
              <w:t>5.0</w:t>
            </w:r>
          </w:p>
        </w:tc>
        <w:tc>
          <w:tcPr>
            <w:tcW w:w="1800" w:type="dxa"/>
          </w:tcPr>
          <w:p w:rsidR="00AD7003" w:rsidRPr="00087F22" w:rsidRDefault="00AD7003" w:rsidP="00AD7003">
            <w:r w:rsidRPr="00087F22">
              <w:t>3.5 (2.7, 4.3)</w:t>
            </w:r>
          </w:p>
        </w:tc>
        <w:tc>
          <w:tcPr>
            <w:tcW w:w="1800" w:type="dxa"/>
          </w:tcPr>
          <w:p w:rsidR="00AD7003" w:rsidRPr="00087F22" w:rsidRDefault="00AD7003" w:rsidP="00AD7003">
            <w:r w:rsidRPr="00087F22">
              <w:t>71 (61,79)</w:t>
            </w:r>
            <w:r>
              <w:t>*</w:t>
            </w:r>
          </w:p>
        </w:tc>
      </w:tr>
      <w:tr w:rsidR="00AD7003" w:rsidRPr="00087F22" w:rsidTr="00AD7003">
        <w:trPr>
          <w:trHeight w:val="50"/>
        </w:trPr>
        <w:tc>
          <w:tcPr>
            <w:tcW w:w="1188" w:type="dxa"/>
          </w:tcPr>
          <w:p w:rsidR="00AD7003" w:rsidRPr="00087F22" w:rsidRDefault="00AD7003" w:rsidP="00AD7003">
            <w:r w:rsidRPr="00087F22">
              <w:t>0-3 Years</w:t>
            </w:r>
          </w:p>
        </w:tc>
        <w:tc>
          <w:tcPr>
            <w:tcW w:w="1883" w:type="dxa"/>
          </w:tcPr>
          <w:p w:rsidR="00AD7003" w:rsidRPr="00087F22" w:rsidRDefault="00AD7003" w:rsidP="00AD7003">
            <w:r>
              <w:t>2.3</w:t>
            </w:r>
          </w:p>
        </w:tc>
        <w:tc>
          <w:tcPr>
            <w:tcW w:w="1883" w:type="dxa"/>
          </w:tcPr>
          <w:p w:rsidR="00AD7003" w:rsidRPr="00087F22" w:rsidRDefault="00AD7003" w:rsidP="00AD7003">
            <w:r>
              <w:t>7.2</w:t>
            </w:r>
          </w:p>
        </w:tc>
        <w:tc>
          <w:tcPr>
            <w:tcW w:w="1800" w:type="dxa"/>
          </w:tcPr>
          <w:p w:rsidR="00AD7003" w:rsidRPr="00087F22" w:rsidRDefault="00AD7003" w:rsidP="00AD7003">
            <w:r w:rsidRPr="00087F22">
              <w:t>4.8 (3.9, 5.8)</w:t>
            </w:r>
          </w:p>
        </w:tc>
        <w:tc>
          <w:tcPr>
            <w:tcW w:w="1800" w:type="dxa"/>
          </w:tcPr>
          <w:p w:rsidR="00AD7003" w:rsidRPr="00087F22" w:rsidRDefault="00AD7003" w:rsidP="00AD7003">
            <w:r w:rsidRPr="00087F22">
              <w:t>68 (59, 74)</w:t>
            </w:r>
            <w:r>
              <w:t>*</w:t>
            </w:r>
          </w:p>
        </w:tc>
      </w:tr>
    </w:tbl>
    <w:p w:rsidR="00AD7003" w:rsidRPr="00FC08C0" w:rsidRDefault="00AD7003" w:rsidP="00AD7003">
      <w:pPr>
        <w:rPr>
          <w:sz w:val="16"/>
          <w:szCs w:val="16"/>
        </w:rPr>
      </w:pPr>
      <w:r w:rsidRPr="00FC08C0">
        <w:rPr>
          <w:sz w:val="16"/>
          <w:szCs w:val="16"/>
        </w:rPr>
        <w:t>*p &lt; 0.0001</w:t>
      </w:r>
    </w:p>
    <w:p w:rsidR="00AD7003" w:rsidRPr="00FC08C0" w:rsidRDefault="00AD7003" w:rsidP="00AD7003">
      <w:pPr>
        <w:rPr>
          <w:sz w:val="16"/>
          <w:szCs w:val="16"/>
        </w:rPr>
      </w:pPr>
    </w:p>
    <w:p w:rsidR="00AD7003" w:rsidRDefault="00AD7003"/>
    <w:p w:rsidR="00AD7003" w:rsidRPr="00FC08C0" w:rsidRDefault="00AD7003" w:rsidP="00AD7003">
      <w:pPr>
        <w:rPr>
          <w:rFonts w:cs="Arial"/>
          <w:noProof/>
        </w:rPr>
      </w:pPr>
      <w:r w:rsidRPr="00FC08C0">
        <w:rPr>
          <w:rFonts w:cs="Arial"/>
          <w:noProof/>
        </w:rPr>
        <w:t xml:space="preserve">The reductions in the risk of new vertebral fractures by </w:t>
      </w:r>
      <w:proofErr w:type="spellStart"/>
      <w:r w:rsidRPr="00FC08C0">
        <w:rPr>
          <w:rFonts w:cs="Arial"/>
          <w:szCs w:val="22"/>
        </w:rPr>
        <w:t>Prolia</w:t>
      </w:r>
      <w:proofErr w:type="spellEnd"/>
      <w:r w:rsidRPr="00FC08C0">
        <w:rPr>
          <w:rFonts w:cs="Arial"/>
          <w:szCs w:val="22"/>
          <w:vertAlign w:val="superscript"/>
        </w:rPr>
        <w:t>®</w:t>
      </w:r>
      <w:r w:rsidRPr="00FC08C0">
        <w:rPr>
          <w:rFonts w:cs="Arial"/>
          <w:noProof/>
          <w:color w:val="000000"/>
          <w:szCs w:val="22"/>
        </w:rPr>
        <w:t xml:space="preserve"> </w:t>
      </w:r>
      <w:r w:rsidRPr="00FC08C0">
        <w:rPr>
          <w:rFonts w:cs="Arial"/>
          <w:noProof/>
        </w:rPr>
        <w:t>over 3 years were consistent and significant regardless of whether or not women had a prevalent vertebral fracture or history of a non-vertebral fracture, and regardless of baseline age, BMD, bone turnover level and prior use of a medicinal product for osteoporosis.</w:t>
      </w:r>
    </w:p>
    <w:p w:rsidR="00AD7003" w:rsidRPr="00FC08C0" w:rsidRDefault="00AD7003" w:rsidP="00AD7003">
      <w:pPr>
        <w:rPr>
          <w:rFonts w:cs="Arial"/>
          <w:noProof/>
        </w:rPr>
      </w:pPr>
    </w:p>
    <w:p w:rsidR="00AD7003" w:rsidRPr="00FC08C0" w:rsidRDefault="00AD7003" w:rsidP="00AD7003">
      <w:pPr>
        <w:pStyle w:val="CommentText"/>
        <w:spacing w:line="240" w:lineRule="auto"/>
        <w:rPr>
          <w:rFonts w:ascii="Arial" w:eastAsia="MS Mincho" w:hAnsi="Arial" w:cs="Arial"/>
          <w:noProof/>
          <w:sz w:val="22"/>
          <w:szCs w:val="22"/>
          <w:lang w:eastAsia="ja-JP"/>
        </w:rPr>
      </w:pPr>
      <w:proofErr w:type="spellStart"/>
      <w:r w:rsidRPr="00FC08C0">
        <w:rPr>
          <w:rFonts w:ascii="Arial" w:hAnsi="Arial" w:cs="Arial"/>
          <w:sz w:val="22"/>
          <w:szCs w:val="22"/>
        </w:rPr>
        <w:t>Prolia</w:t>
      </w:r>
      <w:proofErr w:type="spellEnd"/>
      <w:r w:rsidRPr="00FC08C0">
        <w:rPr>
          <w:rFonts w:ascii="Arial" w:hAnsi="Arial" w:cs="Arial"/>
          <w:sz w:val="22"/>
          <w:szCs w:val="22"/>
          <w:vertAlign w:val="superscript"/>
        </w:rPr>
        <w:t>®</w:t>
      </w:r>
      <w:r w:rsidRPr="00FC08C0">
        <w:rPr>
          <w:rFonts w:ascii="Arial" w:hAnsi="Arial" w:cs="Arial"/>
          <w:noProof/>
          <w:sz w:val="22"/>
          <w:szCs w:val="22"/>
        </w:rPr>
        <w:t xml:space="preserve"> also reduced the risk of new vertebral fracture by 65% (6.5% absolute risk reduction,</w:t>
      </w:r>
      <w:r w:rsidRPr="00FC08C0">
        <w:rPr>
          <w:rFonts w:ascii="Arial" w:hAnsi="Arial" w:cs="Arial"/>
          <w:noProof/>
          <w:sz w:val="22"/>
          <w:szCs w:val="22"/>
        </w:rPr>
        <w:br/>
        <w:t>p</w:t>
      </w:r>
      <w:r w:rsidRPr="00967DD2">
        <w:rPr>
          <w:noProof/>
        </w:rPr>
        <w:t> </w:t>
      </w:r>
      <w:r w:rsidRPr="00FC08C0">
        <w:rPr>
          <w:rFonts w:ascii="Arial" w:hAnsi="Arial" w:cs="Arial"/>
          <w:noProof/>
          <w:sz w:val="22"/>
          <w:szCs w:val="22"/>
        </w:rPr>
        <w:t>&lt;</w:t>
      </w:r>
      <w:r w:rsidRPr="00967DD2">
        <w:rPr>
          <w:noProof/>
        </w:rPr>
        <w:t> </w:t>
      </w:r>
      <w:r w:rsidRPr="00FC08C0">
        <w:rPr>
          <w:rFonts w:ascii="Arial" w:hAnsi="Arial" w:cs="Arial"/>
          <w:noProof/>
          <w:sz w:val="22"/>
          <w:szCs w:val="22"/>
        </w:rPr>
        <w:t xml:space="preserve">0.0001) in patients at high risk of fractures (defined as women </w:t>
      </w:r>
      <w:r w:rsidRPr="00FC08C0">
        <w:rPr>
          <w:rFonts w:ascii="Arial" w:eastAsia="MS Mincho" w:hAnsi="Arial" w:cs="Arial"/>
          <w:noProof/>
          <w:sz w:val="22"/>
          <w:szCs w:val="22"/>
          <w:lang w:eastAsia="ja-JP"/>
        </w:rPr>
        <w:t>who met ≥</w:t>
      </w:r>
      <w:r w:rsidRPr="00967DD2">
        <w:rPr>
          <w:noProof/>
        </w:rPr>
        <w:t> </w:t>
      </w:r>
      <w:r w:rsidRPr="00FC08C0">
        <w:rPr>
          <w:rFonts w:ascii="Arial" w:eastAsia="MS Mincho" w:hAnsi="Arial" w:cs="Arial"/>
          <w:noProof/>
          <w:sz w:val="22"/>
          <w:szCs w:val="22"/>
          <w:lang w:eastAsia="ja-JP"/>
        </w:rPr>
        <w:t>2 of the 3 following criteria at baseline</w:t>
      </w:r>
      <w:r w:rsidRPr="00FC08C0">
        <w:rPr>
          <w:rFonts w:ascii="Arial" w:hAnsi="Arial" w:cs="Arial"/>
          <w:noProof/>
          <w:sz w:val="22"/>
          <w:szCs w:val="22"/>
        </w:rPr>
        <w:t xml:space="preserve">: </w:t>
      </w:r>
      <w:r w:rsidRPr="00FC08C0">
        <w:rPr>
          <w:rFonts w:ascii="Arial" w:eastAsia="MS Mincho" w:hAnsi="Arial" w:cs="Arial"/>
          <w:noProof/>
          <w:sz w:val="22"/>
          <w:szCs w:val="22"/>
          <w:lang w:eastAsia="ja-JP"/>
        </w:rPr>
        <w:t>age ≥</w:t>
      </w:r>
      <w:r w:rsidRPr="00967DD2">
        <w:rPr>
          <w:noProof/>
        </w:rPr>
        <w:t> </w:t>
      </w:r>
      <w:r w:rsidRPr="00FC08C0">
        <w:rPr>
          <w:rFonts w:ascii="Arial" w:eastAsia="MS Mincho" w:hAnsi="Arial" w:cs="Arial"/>
          <w:noProof/>
          <w:sz w:val="22"/>
          <w:szCs w:val="22"/>
          <w:lang w:eastAsia="ja-JP"/>
        </w:rPr>
        <w:t>70 years, BMD T-score ≤</w:t>
      </w:r>
      <w:r w:rsidRPr="00967DD2">
        <w:rPr>
          <w:noProof/>
        </w:rPr>
        <w:t> </w:t>
      </w:r>
      <w:r w:rsidRPr="00FC08C0">
        <w:rPr>
          <w:rFonts w:ascii="Arial" w:eastAsia="MS Mincho" w:hAnsi="Arial" w:cs="Arial"/>
          <w:noProof/>
          <w:sz w:val="22"/>
          <w:szCs w:val="22"/>
          <w:lang w:eastAsia="ja-JP"/>
        </w:rPr>
        <w:t>-3.0 [at lumbar spine, total hip, or femoral neck] or prevalent vertebral fracture).</w:t>
      </w:r>
    </w:p>
    <w:p w:rsidR="00AD7003" w:rsidRPr="00FC08C0" w:rsidRDefault="00AD7003" w:rsidP="00AD7003">
      <w:pPr>
        <w:rPr>
          <w:rFonts w:cs="Arial"/>
          <w:dstrike/>
          <w:noProof/>
          <w:lang w:val="en-GB"/>
        </w:rPr>
      </w:pPr>
    </w:p>
    <w:p w:rsidR="00AD7003" w:rsidRPr="00FC08C0" w:rsidRDefault="00AD7003" w:rsidP="00AD7003">
      <w:pPr>
        <w:rPr>
          <w:rFonts w:cs="Arial"/>
          <w:noProof/>
        </w:rPr>
      </w:pPr>
      <w:proofErr w:type="spellStart"/>
      <w:r w:rsidRPr="00FC08C0">
        <w:rPr>
          <w:rFonts w:cs="Arial"/>
          <w:szCs w:val="22"/>
        </w:rPr>
        <w:t>Prolia</w:t>
      </w:r>
      <w:proofErr w:type="spellEnd"/>
      <w:r w:rsidRPr="00FC08C0">
        <w:rPr>
          <w:rFonts w:cs="Arial"/>
          <w:szCs w:val="22"/>
          <w:vertAlign w:val="superscript"/>
        </w:rPr>
        <w:t>®</w:t>
      </w:r>
      <w:r w:rsidRPr="00FC08C0">
        <w:rPr>
          <w:rFonts w:cs="Arial"/>
          <w:color w:val="000000"/>
          <w:szCs w:val="22"/>
        </w:rPr>
        <w:t xml:space="preserve"> </w:t>
      </w:r>
      <w:r w:rsidRPr="00FC08C0">
        <w:rPr>
          <w:rFonts w:cs="Arial"/>
          <w:noProof/>
        </w:rPr>
        <w:t>also reduced the risk of new and worsening vertebral fractures (67% relative risk, reduction, 4.8% absolute risk reduction) as well as multiple vertebral fractures (</w:t>
      </w:r>
      <w:r w:rsidRPr="0006750D">
        <w:rPr>
          <w:rFonts w:cs="Arial"/>
          <w:noProof/>
          <w:color w:val="000000"/>
        </w:rPr>
        <w:t>61</w:t>
      </w:r>
      <w:r w:rsidRPr="00FC08C0">
        <w:rPr>
          <w:rFonts w:cs="Arial"/>
          <w:noProof/>
        </w:rPr>
        <w:t xml:space="preserve">% relative risk reduction, 1.0% absolute risk reduction) at 3 years, when </w:t>
      </w:r>
      <w:r w:rsidRPr="00FC08C0">
        <w:rPr>
          <w:rFonts w:cs="Arial"/>
          <w:noProof/>
          <w:color w:val="000000"/>
        </w:rPr>
        <w:t>compared to</w:t>
      </w:r>
      <w:r w:rsidRPr="00FC08C0">
        <w:rPr>
          <w:rFonts w:cs="Arial"/>
          <w:noProof/>
        </w:rPr>
        <w:t xml:space="preserve"> placebo (all p &lt; 0.0001).</w:t>
      </w:r>
    </w:p>
    <w:p w:rsidR="00AD7003" w:rsidRDefault="00AD7003"/>
    <w:p w:rsidR="00AD7003" w:rsidRPr="00FC08C0" w:rsidRDefault="00AD7003" w:rsidP="00AD7003">
      <w:pPr>
        <w:pStyle w:val="Text"/>
        <w:keepNext/>
        <w:spacing w:after="0"/>
        <w:jc w:val="center"/>
        <w:outlineLvl w:val="0"/>
        <w:rPr>
          <w:rFonts w:ascii="Arial" w:hAnsi="Arial" w:cs="Arial"/>
          <w:b/>
          <w:color w:val="000000"/>
          <w:sz w:val="22"/>
          <w:szCs w:val="22"/>
        </w:rPr>
      </w:pPr>
      <w:r w:rsidRPr="00FC08C0">
        <w:rPr>
          <w:rFonts w:ascii="Arial" w:hAnsi="Arial" w:cs="Arial"/>
          <w:b/>
          <w:color w:val="000000"/>
          <w:sz w:val="22"/>
          <w:szCs w:val="22"/>
        </w:rPr>
        <w:t>Figure 1 Cumulative incidence of hip fractures over 3 years</w:t>
      </w:r>
    </w:p>
    <w:p w:rsidR="00542607" w:rsidRDefault="00542607"/>
    <w:p w:rsidR="00AD7003" w:rsidRDefault="00AD7003" w:rsidP="00AD7003">
      <w:pPr>
        <w:jc w:val="center"/>
      </w:pPr>
      <w:r>
        <w:rPr>
          <w:noProof/>
          <w:lang w:val="en-AU" w:eastAsia="en-AU"/>
        </w:rPr>
        <w:drawing>
          <wp:inline distT="0" distB="0" distL="0" distR="0" wp14:anchorId="5A1630C7" wp14:editId="205A3529">
            <wp:extent cx="2715260" cy="2378075"/>
            <wp:effectExtent l="0" t="0" r="8890" b="0"/>
            <wp:docPr id="2" name="Picture 2" descr="Figure 1 Cumulative incidence of hip fractures over 3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1-01_time2fx_tfhpfxd_216"/>
                    <pic:cNvPicPr>
                      <a:picLocks noChangeAspect="1" noChangeArrowheads="1"/>
                    </pic:cNvPicPr>
                  </pic:nvPicPr>
                  <pic:blipFill>
                    <a:blip r:embed="rId10" cstate="print">
                      <a:extLst>
                        <a:ext uri="{28A0092B-C50C-407E-A947-70E740481C1C}">
                          <a14:useLocalDpi xmlns:a14="http://schemas.microsoft.com/office/drawing/2010/main" val="0"/>
                        </a:ext>
                      </a:extLst>
                    </a:blip>
                    <a:srcRect t="8115" r="9166" b="8115"/>
                    <a:stretch>
                      <a:fillRect/>
                    </a:stretch>
                  </pic:blipFill>
                  <pic:spPr bwMode="auto">
                    <a:xfrm>
                      <a:off x="0" y="0"/>
                      <a:ext cx="2715260" cy="2378075"/>
                    </a:xfrm>
                    <a:prstGeom prst="rect">
                      <a:avLst/>
                    </a:prstGeom>
                    <a:noFill/>
                    <a:ln>
                      <a:noFill/>
                    </a:ln>
                  </pic:spPr>
                </pic:pic>
              </a:graphicData>
            </a:graphic>
          </wp:inline>
        </w:drawing>
      </w:r>
    </w:p>
    <w:p w:rsidR="00AD7003" w:rsidRDefault="00AD7003" w:rsidP="00AD7003"/>
    <w:p w:rsidR="00AD7003" w:rsidRPr="002735F9" w:rsidRDefault="00AD7003" w:rsidP="00AD7003">
      <w:pPr>
        <w:rPr>
          <w:noProof/>
        </w:rPr>
      </w:pPr>
      <w:r w:rsidRPr="002735F9">
        <w:rPr>
          <w:noProof/>
        </w:rPr>
        <w:t>In women with high fracture risk as defined above by baseline age, BMD and prevalent vertebral fracture, a 48</w:t>
      </w:r>
      <w:r>
        <w:rPr>
          <w:noProof/>
        </w:rPr>
        <w:t>%</w:t>
      </w:r>
      <w:r w:rsidRPr="002735F9">
        <w:rPr>
          <w:noProof/>
        </w:rPr>
        <w:t xml:space="preserve"> relative risk reduction was observed with </w:t>
      </w:r>
      <w:proofErr w:type="spellStart"/>
      <w:r w:rsidRPr="00FC08C0">
        <w:rPr>
          <w:rFonts w:cs="Arial"/>
          <w:szCs w:val="22"/>
        </w:rPr>
        <w:t>Prolia</w:t>
      </w:r>
      <w:proofErr w:type="spellEnd"/>
      <w:r w:rsidRPr="00FC08C0">
        <w:rPr>
          <w:rFonts w:cs="Arial"/>
          <w:szCs w:val="22"/>
          <w:vertAlign w:val="superscript"/>
        </w:rPr>
        <w:t>®</w:t>
      </w:r>
      <w:r w:rsidRPr="002735F9">
        <w:rPr>
          <w:noProof/>
        </w:rPr>
        <w:t xml:space="preserve"> (1.1</w:t>
      </w:r>
      <w:r>
        <w:rPr>
          <w:noProof/>
        </w:rPr>
        <w:t>%</w:t>
      </w:r>
      <w:r w:rsidRPr="002735F9">
        <w:rPr>
          <w:noProof/>
        </w:rPr>
        <w:t xml:space="preserve"> absolute risk reduction, p &lt; 0.05).</w:t>
      </w:r>
    </w:p>
    <w:p w:rsidR="00AD7003" w:rsidRDefault="00AD7003" w:rsidP="00AD7003"/>
    <w:p w:rsidR="00AD7003" w:rsidRDefault="00AD7003" w:rsidP="00AD7003"/>
    <w:p w:rsidR="00AD7003" w:rsidRPr="00FC08C0" w:rsidRDefault="00AD7003" w:rsidP="00AD7003">
      <w:pPr>
        <w:pStyle w:val="Text"/>
        <w:spacing w:before="0" w:after="0"/>
        <w:rPr>
          <w:rFonts w:ascii="Arial" w:hAnsi="Arial" w:cs="Arial"/>
          <w:b/>
          <w:color w:val="000000"/>
          <w:sz w:val="22"/>
          <w:szCs w:val="22"/>
          <w:lang w:val="en-GB"/>
        </w:rPr>
      </w:pPr>
      <w:r w:rsidRPr="00FC08C0">
        <w:rPr>
          <w:rFonts w:ascii="Arial" w:hAnsi="Arial" w:cs="Arial"/>
          <w:b/>
          <w:color w:val="000000"/>
          <w:sz w:val="22"/>
          <w:szCs w:val="22"/>
          <w:lang w:val="en-GB"/>
        </w:rPr>
        <w:lastRenderedPageBreak/>
        <w:t>Effect on all clinical fractures</w:t>
      </w:r>
    </w:p>
    <w:p w:rsidR="00AD7003" w:rsidRDefault="00AD7003" w:rsidP="00AD7003">
      <w:pPr>
        <w:autoSpaceDE w:val="0"/>
        <w:autoSpaceDN w:val="0"/>
        <w:adjustRightInd w:val="0"/>
        <w:rPr>
          <w:rFonts w:cs="Arial"/>
        </w:rPr>
      </w:pPr>
      <w:proofErr w:type="spellStart"/>
      <w:r w:rsidRPr="00FC08C0">
        <w:rPr>
          <w:rFonts w:cs="Arial"/>
          <w:szCs w:val="22"/>
        </w:rPr>
        <w:t>Prolia</w:t>
      </w:r>
      <w:proofErr w:type="spellEnd"/>
      <w:r w:rsidRPr="00FC08C0">
        <w:rPr>
          <w:rFonts w:cs="Arial"/>
          <w:szCs w:val="22"/>
          <w:vertAlign w:val="superscript"/>
        </w:rPr>
        <w:t>®</w:t>
      </w:r>
      <w:r w:rsidRPr="00FC08C0">
        <w:rPr>
          <w:rFonts w:cs="Arial"/>
          <w:color w:val="000000"/>
        </w:rPr>
        <w:t xml:space="preserve"> </w:t>
      </w:r>
      <w:r w:rsidRPr="00FC08C0">
        <w:rPr>
          <w:rFonts w:cs="Arial"/>
        </w:rPr>
        <w:t>demonstrated superiority to placebo in reducing the risk of any clinical fractures, clinical (symptomatic) vertebral fractures, non-vertebral fractures (including hip), major non-vertebral fractures and major osteoporotic fractures (see Table 2).</w:t>
      </w:r>
    </w:p>
    <w:p w:rsidR="00AD7003" w:rsidRPr="00FC08C0" w:rsidRDefault="00AD7003" w:rsidP="00AD7003">
      <w:pPr>
        <w:autoSpaceDE w:val="0"/>
        <w:autoSpaceDN w:val="0"/>
        <w:adjustRightInd w:val="0"/>
        <w:rPr>
          <w:rFonts w:cs="Arial"/>
        </w:rPr>
      </w:pPr>
    </w:p>
    <w:p w:rsidR="00AD7003" w:rsidRDefault="00AD7003" w:rsidP="00AD7003">
      <w:pPr>
        <w:jc w:val="center"/>
      </w:pPr>
      <w:proofErr w:type="gramStart"/>
      <w:r w:rsidRPr="00F0596A">
        <w:rPr>
          <w:b/>
        </w:rPr>
        <w:t>Table 2.</w:t>
      </w:r>
      <w:proofErr w:type="gramEnd"/>
      <w:r w:rsidRPr="00F0596A">
        <w:rPr>
          <w:b/>
        </w:rPr>
        <w:t xml:space="preserve"> The effect of </w:t>
      </w:r>
      <w:proofErr w:type="spellStart"/>
      <w:r>
        <w:rPr>
          <w:rFonts w:cs="Arial"/>
          <w:b/>
          <w:szCs w:val="22"/>
        </w:rPr>
        <w:t>Prolia</w:t>
      </w:r>
      <w:proofErr w:type="spellEnd"/>
      <w:r>
        <w:rPr>
          <w:rFonts w:cs="Arial"/>
          <w:b/>
          <w:szCs w:val="22"/>
          <w:vertAlign w:val="superscript"/>
        </w:rPr>
        <w:t>®</w:t>
      </w:r>
      <w:r w:rsidRPr="00F0596A">
        <w:rPr>
          <w:b/>
        </w:rPr>
        <w:t xml:space="preserve"> on the risk of clinical fractures over 3 years</w:t>
      </w:r>
    </w:p>
    <w:p w:rsidR="00AD7003" w:rsidRDefault="00AD7003" w:rsidP="00AD7003"/>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93"/>
        <w:gridCol w:w="1632"/>
        <w:gridCol w:w="1883"/>
        <w:gridCol w:w="1709"/>
        <w:gridCol w:w="1709"/>
      </w:tblGrid>
      <w:tr w:rsidR="00AD7003" w:rsidTr="00AD7003">
        <w:trPr>
          <w:trHeight w:val="89"/>
        </w:trPr>
        <w:tc>
          <w:tcPr>
            <w:tcW w:w="2593" w:type="dxa"/>
            <w:vMerge w:val="restart"/>
            <w:tcBorders>
              <w:top w:val="single" w:sz="4" w:space="0" w:color="auto"/>
              <w:left w:val="single" w:sz="4" w:space="0" w:color="auto"/>
              <w:right w:val="single" w:sz="4" w:space="0" w:color="auto"/>
            </w:tcBorders>
          </w:tcPr>
          <w:p w:rsidR="00AD7003" w:rsidRDefault="00AD7003" w:rsidP="00AD7003"/>
        </w:tc>
        <w:tc>
          <w:tcPr>
            <w:tcW w:w="3515" w:type="dxa"/>
            <w:gridSpan w:val="2"/>
            <w:tcBorders>
              <w:top w:val="single" w:sz="4" w:space="0" w:color="auto"/>
              <w:left w:val="single" w:sz="4" w:space="0" w:color="auto"/>
              <w:bottom w:val="single" w:sz="4" w:space="0" w:color="auto"/>
              <w:right w:val="single" w:sz="4" w:space="0" w:color="auto"/>
            </w:tcBorders>
          </w:tcPr>
          <w:p w:rsidR="00AD7003" w:rsidRPr="0088675C" w:rsidRDefault="00AD7003" w:rsidP="00AD7003">
            <w:pPr>
              <w:jc w:val="center"/>
            </w:pPr>
            <w:r w:rsidRPr="0088675C">
              <w:t>Proportion of women with fracture (%)</w:t>
            </w:r>
            <w:r w:rsidRPr="0088675C">
              <w:rPr>
                <w:vertAlign w:val="superscript"/>
              </w:rPr>
              <w:t>+</w:t>
            </w:r>
          </w:p>
        </w:tc>
        <w:tc>
          <w:tcPr>
            <w:tcW w:w="1709" w:type="dxa"/>
            <w:vMerge w:val="restart"/>
            <w:tcBorders>
              <w:top w:val="single" w:sz="4" w:space="0" w:color="auto"/>
              <w:left w:val="single" w:sz="4" w:space="0" w:color="auto"/>
              <w:bottom w:val="single" w:sz="4" w:space="0" w:color="auto"/>
              <w:right w:val="single" w:sz="4" w:space="0" w:color="auto"/>
            </w:tcBorders>
          </w:tcPr>
          <w:p w:rsidR="00AD7003" w:rsidRPr="0088675C" w:rsidRDefault="00AD7003" w:rsidP="00AD7003">
            <w:r w:rsidRPr="0088675C">
              <w:t>Absolute risk reduction (%)</w:t>
            </w:r>
          </w:p>
          <w:p w:rsidR="00AD7003" w:rsidRPr="0088675C" w:rsidRDefault="00AD7003" w:rsidP="00AD7003">
            <w:r w:rsidRPr="0088675C">
              <w:t>(95% CI)</w:t>
            </w:r>
          </w:p>
        </w:tc>
        <w:tc>
          <w:tcPr>
            <w:tcW w:w="1709" w:type="dxa"/>
            <w:vMerge w:val="restart"/>
            <w:tcBorders>
              <w:top w:val="single" w:sz="4" w:space="0" w:color="auto"/>
              <w:left w:val="single" w:sz="4" w:space="0" w:color="auto"/>
              <w:bottom w:val="single" w:sz="4" w:space="0" w:color="auto"/>
              <w:right w:val="single" w:sz="4" w:space="0" w:color="auto"/>
            </w:tcBorders>
          </w:tcPr>
          <w:p w:rsidR="00AD7003" w:rsidRPr="0088675C" w:rsidRDefault="00AD7003" w:rsidP="00AD7003">
            <w:r w:rsidRPr="0088675C">
              <w:t>Relative risk reduction (%)</w:t>
            </w:r>
          </w:p>
          <w:p w:rsidR="00AD7003" w:rsidRPr="0088675C" w:rsidRDefault="00AD7003" w:rsidP="00AD7003">
            <w:r w:rsidRPr="0088675C">
              <w:t>(95% CI)</w:t>
            </w:r>
          </w:p>
        </w:tc>
      </w:tr>
      <w:tr w:rsidR="00AD7003" w:rsidTr="00AD7003">
        <w:trPr>
          <w:trHeight w:val="269"/>
        </w:trPr>
        <w:tc>
          <w:tcPr>
            <w:tcW w:w="2593" w:type="dxa"/>
            <w:vMerge/>
            <w:tcBorders>
              <w:left w:val="single" w:sz="4" w:space="0" w:color="auto"/>
              <w:bottom w:val="single" w:sz="4" w:space="0" w:color="auto"/>
              <w:right w:val="single" w:sz="4" w:space="0" w:color="auto"/>
            </w:tcBorders>
          </w:tcPr>
          <w:p w:rsidR="00AD7003" w:rsidRDefault="00AD7003" w:rsidP="00AD7003"/>
        </w:tc>
        <w:tc>
          <w:tcPr>
            <w:tcW w:w="1632" w:type="dxa"/>
            <w:tcBorders>
              <w:top w:val="single" w:sz="4" w:space="0" w:color="auto"/>
              <w:left w:val="single" w:sz="4" w:space="0" w:color="auto"/>
              <w:bottom w:val="single" w:sz="4" w:space="0" w:color="auto"/>
              <w:right w:val="single" w:sz="4" w:space="0" w:color="auto"/>
            </w:tcBorders>
          </w:tcPr>
          <w:p w:rsidR="00AD7003" w:rsidRPr="0088675C" w:rsidRDefault="00AD7003" w:rsidP="00AD7003">
            <w:proofErr w:type="spellStart"/>
            <w:r>
              <w:t>Prolia</w:t>
            </w:r>
            <w:proofErr w:type="spellEnd"/>
            <w:r>
              <w:rPr>
                <w:rFonts w:cs="Arial"/>
                <w:b/>
                <w:szCs w:val="22"/>
                <w:vertAlign w:val="superscript"/>
              </w:rPr>
              <w:t>®</w:t>
            </w:r>
          </w:p>
          <w:p w:rsidR="00AD7003" w:rsidRPr="0088675C" w:rsidRDefault="00AD7003" w:rsidP="00AD7003">
            <w:r>
              <w:t>n</w:t>
            </w:r>
            <w:r>
              <w:rPr>
                <w:rFonts w:cs="Arial"/>
                <w:szCs w:val="22"/>
              </w:rPr>
              <w:t> </w:t>
            </w:r>
            <w:r w:rsidRPr="0088675C">
              <w:t>=</w:t>
            </w:r>
            <w:r>
              <w:rPr>
                <w:rFonts w:cs="Arial"/>
                <w:szCs w:val="22"/>
              </w:rPr>
              <w:t> </w:t>
            </w:r>
            <w:r w:rsidRPr="0088675C">
              <w:t>3</w:t>
            </w:r>
            <w:r>
              <w:t>,9</w:t>
            </w:r>
            <w:r w:rsidRPr="0088675C">
              <w:t>02</w:t>
            </w:r>
          </w:p>
          <w:p w:rsidR="00AD7003" w:rsidRPr="0088675C" w:rsidRDefault="00AD7003" w:rsidP="00AD7003">
            <w:r w:rsidRPr="0088675C">
              <w:t>(%)</w:t>
            </w:r>
          </w:p>
        </w:tc>
        <w:tc>
          <w:tcPr>
            <w:tcW w:w="1883" w:type="dxa"/>
            <w:tcBorders>
              <w:top w:val="single" w:sz="4" w:space="0" w:color="auto"/>
              <w:left w:val="single" w:sz="4" w:space="0" w:color="auto"/>
              <w:bottom w:val="single" w:sz="4" w:space="0" w:color="auto"/>
              <w:right w:val="single" w:sz="4" w:space="0" w:color="auto"/>
            </w:tcBorders>
          </w:tcPr>
          <w:p w:rsidR="00AD7003" w:rsidRDefault="00AD7003" w:rsidP="00AD7003">
            <w:r>
              <w:t>Placebo</w:t>
            </w:r>
          </w:p>
          <w:p w:rsidR="00AD7003" w:rsidRPr="0088675C" w:rsidRDefault="00AD7003" w:rsidP="00AD7003">
            <w:r>
              <w:t>n</w:t>
            </w:r>
            <w:r>
              <w:rPr>
                <w:rFonts w:cs="Arial"/>
                <w:szCs w:val="22"/>
              </w:rPr>
              <w:t> </w:t>
            </w:r>
            <w:r>
              <w:t>=</w:t>
            </w:r>
            <w:r>
              <w:rPr>
                <w:rFonts w:cs="Arial"/>
                <w:szCs w:val="22"/>
              </w:rPr>
              <w:t> </w:t>
            </w:r>
            <w:r>
              <w:t>3,906</w:t>
            </w:r>
          </w:p>
        </w:tc>
        <w:tc>
          <w:tcPr>
            <w:tcW w:w="1709" w:type="dxa"/>
            <w:vMerge/>
            <w:tcBorders>
              <w:top w:val="single" w:sz="4" w:space="0" w:color="auto"/>
              <w:left w:val="single" w:sz="4" w:space="0" w:color="auto"/>
              <w:bottom w:val="single" w:sz="4" w:space="0" w:color="auto"/>
              <w:right w:val="single" w:sz="4" w:space="0" w:color="auto"/>
            </w:tcBorders>
            <w:vAlign w:val="center"/>
          </w:tcPr>
          <w:p w:rsidR="00AD7003" w:rsidRPr="0088675C" w:rsidRDefault="00AD7003" w:rsidP="00AD7003"/>
        </w:tc>
        <w:tc>
          <w:tcPr>
            <w:tcW w:w="1709" w:type="dxa"/>
            <w:vMerge/>
            <w:tcBorders>
              <w:top w:val="single" w:sz="4" w:space="0" w:color="auto"/>
              <w:left w:val="single" w:sz="4" w:space="0" w:color="auto"/>
              <w:bottom w:val="single" w:sz="4" w:space="0" w:color="auto"/>
              <w:right w:val="single" w:sz="4" w:space="0" w:color="auto"/>
            </w:tcBorders>
            <w:vAlign w:val="center"/>
          </w:tcPr>
          <w:p w:rsidR="00AD7003" w:rsidRPr="0088675C" w:rsidRDefault="00AD7003" w:rsidP="00AD7003"/>
        </w:tc>
      </w:tr>
      <w:tr w:rsidR="00AD7003" w:rsidTr="00AD7003">
        <w:trPr>
          <w:trHeight w:val="50"/>
        </w:trPr>
        <w:tc>
          <w:tcPr>
            <w:tcW w:w="2593" w:type="dxa"/>
            <w:tcBorders>
              <w:top w:val="single" w:sz="4" w:space="0" w:color="auto"/>
              <w:left w:val="single" w:sz="4" w:space="0" w:color="auto"/>
              <w:bottom w:val="single" w:sz="4" w:space="0" w:color="auto"/>
              <w:right w:val="single" w:sz="4" w:space="0" w:color="auto"/>
            </w:tcBorders>
          </w:tcPr>
          <w:p w:rsidR="00AD7003" w:rsidRDefault="00AD7003" w:rsidP="00AD7003">
            <w:r>
              <w:t>Any clinical fracture</w:t>
            </w:r>
            <w:r w:rsidRPr="00035319">
              <w:rPr>
                <w:vertAlign w:val="superscript"/>
              </w:rPr>
              <w:t>1</w:t>
            </w:r>
          </w:p>
        </w:tc>
        <w:tc>
          <w:tcPr>
            <w:tcW w:w="1632" w:type="dxa"/>
            <w:tcBorders>
              <w:top w:val="single" w:sz="4" w:space="0" w:color="auto"/>
              <w:left w:val="single" w:sz="4" w:space="0" w:color="auto"/>
              <w:bottom w:val="single" w:sz="4" w:space="0" w:color="auto"/>
              <w:right w:val="single" w:sz="4" w:space="0" w:color="auto"/>
            </w:tcBorders>
          </w:tcPr>
          <w:p w:rsidR="00AD7003" w:rsidRPr="0088675C" w:rsidRDefault="00AD7003" w:rsidP="00AD7003">
            <w:r>
              <w:t>7.2</w:t>
            </w:r>
          </w:p>
        </w:tc>
        <w:tc>
          <w:tcPr>
            <w:tcW w:w="1883" w:type="dxa"/>
            <w:tcBorders>
              <w:top w:val="single" w:sz="4" w:space="0" w:color="auto"/>
              <w:left w:val="single" w:sz="4" w:space="0" w:color="auto"/>
              <w:bottom w:val="single" w:sz="4" w:space="0" w:color="auto"/>
              <w:right w:val="single" w:sz="4" w:space="0" w:color="auto"/>
            </w:tcBorders>
          </w:tcPr>
          <w:p w:rsidR="00AD7003" w:rsidRPr="0088675C" w:rsidRDefault="00AD7003" w:rsidP="00AD7003">
            <w:r>
              <w:t>10.2</w:t>
            </w:r>
          </w:p>
        </w:tc>
        <w:tc>
          <w:tcPr>
            <w:tcW w:w="1709" w:type="dxa"/>
            <w:tcBorders>
              <w:top w:val="single" w:sz="4" w:space="0" w:color="auto"/>
              <w:left w:val="single" w:sz="4" w:space="0" w:color="auto"/>
              <w:bottom w:val="single" w:sz="4" w:space="0" w:color="auto"/>
              <w:right w:val="single" w:sz="4" w:space="0" w:color="auto"/>
            </w:tcBorders>
          </w:tcPr>
          <w:p w:rsidR="00AD7003" w:rsidRPr="0088675C" w:rsidRDefault="00AD7003" w:rsidP="00AD7003">
            <w:r w:rsidRPr="0088675C">
              <w:t>2.9 (1.6, 4.2)</w:t>
            </w:r>
          </w:p>
        </w:tc>
        <w:tc>
          <w:tcPr>
            <w:tcW w:w="1709" w:type="dxa"/>
            <w:tcBorders>
              <w:top w:val="single" w:sz="4" w:space="0" w:color="auto"/>
              <w:left w:val="single" w:sz="4" w:space="0" w:color="auto"/>
              <w:bottom w:val="single" w:sz="4" w:space="0" w:color="auto"/>
              <w:right w:val="single" w:sz="4" w:space="0" w:color="auto"/>
            </w:tcBorders>
          </w:tcPr>
          <w:p w:rsidR="00AD7003" w:rsidRPr="0088675C" w:rsidRDefault="00AD7003" w:rsidP="00AD7003">
            <w:r w:rsidRPr="0088675C">
              <w:t>30 (19, 41)**</w:t>
            </w:r>
            <w:r>
              <w:t>*</w:t>
            </w:r>
          </w:p>
        </w:tc>
      </w:tr>
      <w:tr w:rsidR="00AD7003" w:rsidTr="00AD7003">
        <w:trPr>
          <w:trHeight w:val="50"/>
        </w:trPr>
        <w:tc>
          <w:tcPr>
            <w:tcW w:w="2593" w:type="dxa"/>
            <w:tcBorders>
              <w:top w:val="single" w:sz="4" w:space="0" w:color="auto"/>
              <w:left w:val="single" w:sz="4" w:space="0" w:color="auto"/>
              <w:bottom w:val="single" w:sz="4" w:space="0" w:color="auto"/>
              <w:right w:val="single" w:sz="4" w:space="0" w:color="auto"/>
            </w:tcBorders>
          </w:tcPr>
          <w:p w:rsidR="00AD7003" w:rsidRDefault="00AD7003" w:rsidP="00AD7003">
            <w:r>
              <w:t>Clinical vertebral fracture</w:t>
            </w:r>
          </w:p>
        </w:tc>
        <w:tc>
          <w:tcPr>
            <w:tcW w:w="1632" w:type="dxa"/>
            <w:tcBorders>
              <w:top w:val="single" w:sz="4" w:space="0" w:color="auto"/>
              <w:left w:val="single" w:sz="4" w:space="0" w:color="auto"/>
              <w:bottom w:val="single" w:sz="4" w:space="0" w:color="auto"/>
              <w:right w:val="single" w:sz="4" w:space="0" w:color="auto"/>
            </w:tcBorders>
          </w:tcPr>
          <w:p w:rsidR="00AD7003" w:rsidRPr="0088675C" w:rsidRDefault="00AD7003" w:rsidP="00AD7003">
            <w:r>
              <w:t>0.8</w:t>
            </w:r>
          </w:p>
        </w:tc>
        <w:tc>
          <w:tcPr>
            <w:tcW w:w="1883" w:type="dxa"/>
            <w:tcBorders>
              <w:top w:val="single" w:sz="4" w:space="0" w:color="auto"/>
              <w:left w:val="single" w:sz="4" w:space="0" w:color="auto"/>
              <w:bottom w:val="single" w:sz="4" w:space="0" w:color="auto"/>
              <w:right w:val="single" w:sz="4" w:space="0" w:color="auto"/>
            </w:tcBorders>
          </w:tcPr>
          <w:p w:rsidR="00AD7003" w:rsidRPr="0088675C" w:rsidRDefault="00AD7003" w:rsidP="00AD7003">
            <w:r>
              <w:t>2.6</w:t>
            </w:r>
          </w:p>
        </w:tc>
        <w:tc>
          <w:tcPr>
            <w:tcW w:w="1709" w:type="dxa"/>
            <w:tcBorders>
              <w:top w:val="single" w:sz="4" w:space="0" w:color="auto"/>
              <w:left w:val="single" w:sz="4" w:space="0" w:color="auto"/>
              <w:bottom w:val="single" w:sz="4" w:space="0" w:color="auto"/>
              <w:right w:val="single" w:sz="4" w:space="0" w:color="auto"/>
            </w:tcBorders>
          </w:tcPr>
          <w:p w:rsidR="00AD7003" w:rsidRPr="0088675C" w:rsidRDefault="00AD7003" w:rsidP="00AD7003">
            <w:r w:rsidRPr="0088675C">
              <w:t>1.8 (1.2, 2.4)</w:t>
            </w:r>
          </w:p>
        </w:tc>
        <w:tc>
          <w:tcPr>
            <w:tcW w:w="1709" w:type="dxa"/>
            <w:tcBorders>
              <w:top w:val="single" w:sz="4" w:space="0" w:color="auto"/>
              <w:left w:val="single" w:sz="4" w:space="0" w:color="auto"/>
              <w:bottom w:val="single" w:sz="4" w:space="0" w:color="auto"/>
              <w:right w:val="single" w:sz="4" w:space="0" w:color="auto"/>
            </w:tcBorders>
          </w:tcPr>
          <w:p w:rsidR="00AD7003" w:rsidRPr="0088675C" w:rsidRDefault="00AD7003" w:rsidP="00AD7003">
            <w:r w:rsidRPr="0088675C">
              <w:t>69 (53, 80)**</w:t>
            </w:r>
            <w:r>
              <w:t>*</w:t>
            </w:r>
          </w:p>
        </w:tc>
      </w:tr>
      <w:tr w:rsidR="00AD7003" w:rsidTr="00AD7003">
        <w:trPr>
          <w:trHeight w:val="50"/>
        </w:trPr>
        <w:tc>
          <w:tcPr>
            <w:tcW w:w="2593" w:type="dxa"/>
            <w:tcBorders>
              <w:top w:val="single" w:sz="4" w:space="0" w:color="auto"/>
              <w:left w:val="single" w:sz="4" w:space="0" w:color="auto"/>
              <w:bottom w:val="single" w:sz="4" w:space="0" w:color="auto"/>
              <w:right w:val="single" w:sz="4" w:space="0" w:color="auto"/>
            </w:tcBorders>
          </w:tcPr>
          <w:p w:rsidR="00AD7003" w:rsidRDefault="00AD7003" w:rsidP="00AD7003">
            <w:r>
              <w:t>Non-vertebral fracture</w:t>
            </w:r>
            <w:r>
              <w:rPr>
                <w:vertAlign w:val="superscript"/>
              </w:rPr>
              <w:t>2</w:t>
            </w:r>
          </w:p>
        </w:tc>
        <w:tc>
          <w:tcPr>
            <w:tcW w:w="1632" w:type="dxa"/>
            <w:tcBorders>
              <w:top w:val="single" w:sz="4" w:space="0" w:color="auto"/>
              <w:left w:val="single" w:sz="4" w:space="0" w:color="auto"/>
              <w:bottom w:val="single" w:sz="4" w:space="0" w:color="auto"/>
              <w:right w:val="single" w:sz="4" w:space="0" w:color="auto"/>
            </w:tcBorders>
          </w:tcPr>
          <w:p w:rsidR="00AD7003" w:rsidRPr="0088675C" w:rsidRDefault="00AD7003" w:rsidP="00AD7003">
            <w:r>
              <w:t>6.5</w:t>
            </w:r>
          </w:p>
        </w:tc>
        <w:tc>
          <w:tcPr>
            <w:tcW w:w="1883" w:type="dxa"/>
            <w:tcBorders>
              <w:top w:val="single" w:sz="4" w:space="0" w:color="auto"/>
              <w:left w:val="single" w:sz="4" w:space="0" w:color="auto"/>
              <w:bottom w:val="single" w:sz="4" w:space="0" w:color="auto"/>
              <w:right w:val="single" w:sz="4" w:space="0" w:color="auto"/>
            </w:tcBorders>
          </w:tcPr>
          <w:p w:rsidR="00AD7003" w:rsidRPr="0088675C" w:rsidRDefault="00AD7003" w:rsidP="00AD7003">
            <w:r>
              <w:t>8.0</w:t>
            </w:r>
          </w:p>
        </w:tc>
        <w:tc>
          <w:tcPr>
            <w:tcW w:w="1709" w:type="dxa"/>
            <w:tcBorders>
              <w:top w:val="single" w:sz="4" w:space="0" w:color="auto"/>
              <w:left w:val="single" w:sz="4" w:space="0" w:color="auto"/>
              <w:bottom w:val="single" w:sz="4" w:space="0" w:color="auto"/>
              <w:right w:val="single" w:sz="4" w:space="0" w:color="auto"/>
            </w:tcBorders>
          </w:tcPr>
          <w:p w:rsidR="00AD7003" w:rsidRPr="0088675C" w:rsidRDefault="00AD7003" w:rsidP="00AD7003">
            <w:r w:rsidRPr="0088675C">
              <w:t>1.5 (0.3, 2.7)</w:t>
            </w:r>
          </w:p>
        </w:tc>
        <w:tc>
          <w:tcPr>
            <w:tcW w:w="1709" w:type="dxa"/>
            <w:tcBorders>
              <w:top w:val="single" w:sz="4" w:space="0" w:color="auto"/>
              <w:left w:val="single" w:sz="4" w:space="0" w:color="auto"/>
              <w:bottom w:val="single" w:sz="4" w:space="0" w:color="auto"/>
              <w:right w:val="single" w:sz="4" w:space="0" w:color="auto"/>
            </w:tcBorders>
          </w:tcPr>
          <w:p w:rsidR="00AD7003" w:rsidRPr="0088675C" w:rsidRDefault="00AD7003" w:rsidP="00AD7003">
            <w:r w:rsidRPr="0088675C">
              <w:t>20 (5, 33)*</w:t>
            </w:r>
            <w:r>
              <w:t>*</w:t>
            </w:r>
          </w:p>
        </w:tc>
      </w:tr>
      <w:tr w:rsidR="00AD7003" w:rsidTr="00AD7003">
        <w:trPr>
          <w:trHeight w:val="50"/>
        </w:trPr>
        <w:tc>
          <w:tcPr>
            <w:tcW w:w="2593" w:type="dxa"/>
            <w:tcBorders>
              <w:top w:val="single" w:sz="4" w:space="0" w:color="auto"/>
              <w:left w:val="single" w:sz="4" w:space="0" w:color="auto"/>
              <w:bottom w:val="single" w:sz="4" w:space="0" w:color="auto"/>
              <w:right w:val="single" w:sz="4" w:space="0" w:color="auto"/>
            </w:tcBorders>
            <w:shd w:val="clear" w:color="auto" w:fill="auto"/>
          </w:tcPr>
          <w:p w:rsidR="00AD7003" w:rsidRDefault="00AD7003" w:rsidP="00AD7003">
            <w:r>
              <w:t>Major non-vertebral fracture</w:t>
            </w:r>
            <w:r w:rsidRPr="005A7015">
              <w:rPr>
                <w:vertAlign w:val="superscript"/>
              </w:rPr>
              <w:t>3</w:t>
            </w:r>
          </w:p>
        </w:tc>
        <w:tc>
          <w:tcPr>
            <w:tcW w:w="1632" w:type="dxa"/>
            <w:tcBorders>
              <w:top w:val="single" w:sz="4" w:space="0" w:color="auto"/>
              <w:left w:val="single" w:sz="4" w:space="0" w:color="auto"/>
              <w:bottom w:val="single" w:sz="4" w:space="0" w:color="auto"/>
              <w:right w:val="single" w:sz="4" w:space="0" w:color="auto"/>
            </w:tcBorders>
            <w:shd w:val="clear" w:color="auto" w:fill="auto"/>
          </w:tcPr>
          <w:p w:rsidR="00AD7003" w:rsidRPr="0088675C" w:rsidRDefault="00AD7003" w:rsidP="00AD7003">
            <w:r>
              <w:t>5.2</w:t>
            </w:r>
          </w:p>
        </w:tc>
        <w:tc>
          <w:tcPr>
            <w:tcW w:w="1883" w:type="dxa"/>
            <w:tcBorders>
              <w:top w:val="single" w:sz="4" w:space="0" w:color="auto"/>
              <w:left w:val="single" w:sz="4" w:space="0" w:color="auto"/>
              <w:bottom w:val="single" w:sz="4" w:space="0" w:color="auto"/>
              <w:right w:val="single" w:sz="4" w:space="0" w:color="auto"/>
            </w:tcBorders>
            <w:shd w:val="clear" w:color="auto" w:fill="auto"/>
          </w:tcPr>
          <w:p w:rsidR="00AD7003" w:rsidRPr="0088675C" w:rsidRDefault="00AD7003" w:rsidP="00AD7003">
            <w:r>
              <w:t>6.4</w:t>
            </w:r>
          </w:p>
        </w:tc>
        <w:tc>
          <w:tcPr>
            <w:tcW w:w="1709" w:type="dxa"/>
            <w:tcBorders>
              <w:top w:val="single" w:sz="4" w:space="0" w:color="auto"/>
              <w:left w:val="single" w:sz="4" w:space="0" w:color="auto"/>
              <w:bottom w:val="single" w:sz="4" w:space="0" w:color="auto"/>
              <w:right w:val="single" w:sz="4" w:space="0" w:color="auto"/>
            </w:tcBorders>
            <w:shd w:val="clear" w:color="auto" w:fill="auto"/>
          </w:tcPr>
          <w:p w:rsidR="00AD7003" w:rsidRPr="0088675C" w:rsidRDefault="00AD7003" w:rsidP="00AD7003">
            <w:r w:rsidRPr="0088675C">
              <w:t>1.2 (0.1, 2.2)</w:t>
            </w:r>
          </w:p>
        </w:tc>
        <w:tc>
          <w:tcPr>
            <w:tcW w:w="1709" w:type="dxa"/>
            <w:tcBorders>
              <w:top w:val="single" w:sz="4" w:space="0" w:color="auto"/>
              <w:left w:val="single" w:sz="4" w:space="0" w:color="auto"/>
              <w:bottom w:val="single" w:sz="4" w:space="0" w:color="auto"/>
              <w:right w:val="single" w:sz="4" w:space="0" w:color="auto"/>
            </w:tcBorders>
            <w:shd w:val="clear" w:color="auto" w:fill="auto"/>
          </w:tcPr>
          <w:p w:rsidR="00AD7003" w:rsidRPr="0088675C" w:rsidRDefault="00AD7003" w:rsidP="00AD7003">
            <w:r w:rsidRPr="0088675C">
              <w:t>20 (3</w:t>
            </w:r>
            <w:r w:rsidRPr="00B9426D">
              <w:t>, 34)*</w:t>
            </w:r>
          </w:p>
        </w:tc>
      </w:tr>
      <w:tr w:rsidR="00AD7003" w:rsidTr="00AD7003">
        <w:trPr>
          <w:trHeight w:val="50"/>
        </w:trPr>
        <w:tc>
          <w:tcPr>
            <w:tcW w:w="2593" w:type="dxa"/>
            <w:tcBorders>
              <w:top w:val="single" w:sz="4" w:space="0" w:color="auto"/>
              <w:left w:val="single" w:sz="4" w:space="0" w:color="auto"/>
              <w:bottom w:val="single" w:sz="4" w:space="0" w:color="auto"/>
              <w:right w:val="single" w:sz="4" w:space="0" w:color="auto"/>
            </w:tcBorders>
          </w:tcPr>
          <w:p w:rsidR="00AD7003" w:rsidRDefault="00AD7003" w:rsidP="00AD7003">
            <w:r>
              <w:t>Major osteoporotic fracture</w:t>
            </w:r>
            <w:r>
              <w:rPr>
                <w:vertAlign w:val="superscript"/>
              </w:rPr>
              <w:t>4</w:t>
            </w:r>
          </w:p>
        </w:tc>
        <w:tc>
          <w:tcPr>
            <w:tcW w:w="1632" w:type="dxa"/>
            <w:tcBorders>
              <w:top w:val="single" w:sz="4" w:space="0" w:color="auto"/>
              <w:left w:val="single" w:sz="4" w:space="0" w:color="auto"/>
              <w:bottom w:val="single" w:sz="4" w:space="0" w:color="auto"/>
              <w:right w:val="single" w:sz="4" w:space="0" w:color="auto"/>
            </w:tcBorders>
          </w:tcPr>
          <w:p w:rsidR="00AD7003" w:rsidRDefault="00AD7003" w:rsidP="00AD7003">
            <w:r>
              <w:t>5.3</w:t>
            </w:r>
          </w:p>
        </w:tc>
        <w:tc>
          <w:tcPr>
            <w:tcW w:w="1883" w:type="dxa"/>
            <w:tcBorders>
              <w:top w:val="single" w:sz="4" w:space="0" w:color="auto"/>
              <w:left w:val="single" w:sz="4" w:space="0" w:color="auto"/>
              <w:bottom w:val="single" w:sz="4" w:space="0" w:color="auto"/>
              <w:right w:val="single" w:sz="4" w:space="0" w:color="auto"/>
            </w:tcBorders>
          </w:tcPr>
          <w:p w:rsidR="00AD7003" w:rsidRDefault="00AD7003" w:rsidP="00AD7003">
            <w:r>
              <w:t>8.0</w:t>
            </w:r>
          </w:p>
        </w:tc>
        <w:tc>
          <w:tcPr>
            <w:tcW w:w="1709" w:type="dxa"/>
            <w:tcBorders>
              <w:top w:val="single" w:sz="4" w:space="0" w:color="auto"/>
              <w:left w:val="single" w:sz="4" w:space="0" w:color="auto"/>
              <w:bottom w:val="single" w:sz="4" w:space="0" w:color="auto"/>
              <w:right w:val="single" w:sz="4" w:space="0" w:color="auto"/>
            </w:tcBorders>
          </w:tcPr>
          <w:p w:rsidR="00AD7003" w:rsidRDefault="00AD7003" w:rsidP="00AD7003">
            <w:r>
              <w:t>2.7 (1.6, 3.9)</w:t>
            </w:r>
          </w:p>
        </w:tc>
        <w:tc>
          <w:tcPr>
            <w:tcW w:w="1709" w:type="dxa"/>
            <w:tcBorders>
              <w:top w:val="single" w:sz="4" w:space="0" w:color="auto"/>
              <w:left w:val="single" w:sz="4" w:space="0" w:color="auto"/>
              <w:bottom w:val="single" w:sz="4" w:space="0" w:color="auto"/>
              <w:right w:val="single" w:sz="4" w:space="0" w:color="auto"/>
            </w:tcBorders>
          </w:tcPr>
          <w:p w:rsidR="00AD7003" w:rsidRDefault="00AD7003" w:rsidP="00AD7003">
            <w:r>
              <w:t>35 (22, 45)***</w:t>
            </w:r>
          </w:p>
        </w:tc>
      </w:tr>
    </w:tbl>
    <w:p w:rsidR="00AD7003" w:rsidRPr="00FC08C0" w:rsidRDefault="00AD7003" w:rsidP="00AD7003">
      <w:pPr>
        <w:autoSpaceDE w:val="0"/>
        <w:autoSpaceDN w:val="0"/>
        <w:adjustRightInd w:val="0"/>
        <w:rPr>
          <w:rFonts w:cs="Arial"/>
          <w:sz w:val="16"/>
          <w:szCs w:val="16"/>
        </w:rPr>
      </w:pPr>
      <w:r w:rsidRPr="00FC08C0">
        <w:rPr>
          <w:rFonts w:cs="Arial"/>
          <w:sz w:val="16"/>
          <w:szCs w:val="16"/>
        </w:rPr>
        <w:t>*p</w:t>
      </w:r>
      <w:r w:rsidRPr="00967DD2">
        <w:rPr>
          <w:noProof/>
        </w:rPr>
        <w:t> </w:t>
      </w:r>
      <w:r w:rsidRPr="00FC08C0">
        <w:rPr>
          <w:rFonts w:cs="Arial"/>
          <w:sz w:val="16"/>
          <w:szCs w:val="16"/>
        </w:rPr>
        <w:t>≤</w:t>
      </w:r>
      <w:r w:rsidRPr="00967DD2">
        <w:rPr>
          <w:noProof/>
        </w:rPr>
        <w:t> </w:t>
      </w:r>
      <w:r w:rsidRPr="00FC08C0">
        <w:rPr>
          <w:rFonts w:cs="Arial"/>
          <w:sz w:val="16"/>
          <w:szCs w:val="16"/>
        </w:rPr>
        <w:t>0.05; **p</w:t>
      </w:r>
      <w:r w:rsidRPr="00967DD2">
        <w:rPr>
          <w:noProof/>
        </w:rPr>
        <w:t> </w:t>
      </w:r>
      <w:r w:rsidRPr="00FC08C0">
        <w:rPr>
          <w:rFonts w:cs="Arial"/>
          <w:sz w:val="16"/>
          <w:szCs w:val="16"/>
        </w:rPr>
        <w:t>=</w:t>
      </w:r>
      <w:r w:rsidRPr="00967DD2">
        <w:rPr>
          <w:noProof/>
        </w:rPr>
        <w:t> </w:t>
      </w:r>
      <w:r w:rsidRPr="00FC08C0">
        <w:rPr>
          <w:rFonts w:cs="Arial"/>
          <w:sz w:val="16"/>
          <w:szCs w:val="16"/>
        </w:rPr>
        <w:t>0.0106, ***p</w:t>
      </w:r>
      <w:r w:rsidRPr="00967DD2">
        <w:rPr>
          <w:noProof/>
        </w:rPr>
        <w:t> </w:t>
      </w:r>
      <w:r w:rsidRPr="00FC08C0">
        <w:rPr>
          <w:rFonts w:cs="Arial"/>
          <w:sz w:val="16"/>
          <w:szCs w:val="16"/>
        </w:rPr>
        <w:t>≤</w:t>
      </w:r>
      <w:r w:rsidRPr="00967DD2">
        <w:rPr>
          <w:noProof/>
        </w:rPr>
        <w:t> </w:t>
      </w:r>
      <w:r w:rsidRPr="00FC08C0">
        <w:rPr>
          <w:rFonts w:cs="Arial"/>
          <w:sz w:val="16"/>
          <w:szCs w:val="16"/>
        </w:rPr>
        <w:t xml:space="preserve">0.0001 </w:t>
      </w:r>
    </w:p>
    <w:p w:rsidR="00AD7003" w:rsidRPr="00FC08C0" w:rsidRDefault="00AD7003" w:rsidP="00AD7003">
      <w:pPr>
        <w:autoSpaceDE w:val="0"/>
        <w:autoSpaceDN w:val="0"/>
        <w:adjustRightInd w:val="0"/>
        <w:rPr>
          <w:rFonts w:cs="Arial"/>
          <w:sz w:val="16"/>
          <w:szCs w:val="16"/>
        </w:rPr>
      </w:pPr>
      <w:r w:rsidRPr="00FC08C0">
        <w:rPr>
          <w:rFonts w:cs="Arial"/>
          <w:sz w:val="16"/>
          <w:szCs w:val="16"/>
        </w:rPr>
        <w:t>+ Event rates based on Kaplan-Meier estimates at 3 years</w:t>
      </w:r>
    </w:p>
    <w:p w:rsidR="00AD7003" w:rsidRPr="00FC08C0" w:rsidRDefault="00AD7003" w:rsidP="00AD7003">
      <w:pPr>
        <w:autoSpaceDE w:val="0"/>
        <w:autoSpaceDN w:val="0"/>
        <w:adjustRightInd w:val="0"/>
        <w:rPr>
          <w:sz w:val="16"/>
          <w:szCs w:val="16"/>
        </w:rPr>
      </w:pPr>
      <w:r w:rsidRPr="00FC08C0">
        <w:rPr>
          <w:sz w:val="16"/>
          <w:szCs w:val="16"/>
        </w:rPr>
        <w:t>(1) Includes clinical vertebral fractures and non-vertebral fractures</w:t>
      </w:r>
    </w:p>
    <w:p w:rsidR="00AD7003" w:rsidRPr="00FC08C0" w:rsidRDefault="00AD7003" w:rsidP="00AD7003">
      <w:pPr>
        <w:autoSpaceDE w:val="0"/>
        <w:autoSpaceDN w:val="0"/>
        <w:adjustRightInd w:val="0"/>
        <w:ind w:left="180" w:hanging="180"/>
        <w:rPr>
          <w:sz w:val="16"/>
          <w:szCs w:val="16"/>
        </w:rPr>
      </w:pPr>
      <w:r w:rsidRPr="00FC08C0">
        <w:rPr>
          <w:sz w:val="16"/>
          <w:szCs w:val="16"/>
        </w:rPr>
        <w:t>(2) Excludes those of the vertebrae (cervical, thoracic, and lumbar), skull, facial, mandible, metacarpus, and finger and toe phalanges</w:t>
      </w:r>
    </w:p>
    <w:p w:rsidR="00AD7003" w:rsidRPr="00FC08C0" w:rsidRDefault="00AD7003" w:rsidP="00AD7003">
      <w:pPr>
        <w:autoSpaceDE w:val="0"/>
        <w:autoSpaceDN w:val="0"/>
        <w:adjustRightInd w:val="0"/>
        <w:rPr>
          <w:sz w:val="16"/>
          <w:szCs w:val="16"/>
        </w:rPr>
      </w:pPr>
      <w:r w:rsidRPr="00FC08C0">
        <w:rPr>
          <w:sz w:val="16"/>
          <w:szCs w:val="16"/>
        </w:rPr>
        <w:t xml:space="preserve">(3) Includes pelvis, distal femur (i.e. femur excluding hip), proximal tibia (i.e. tibia excluding ankle), ribs, proximal </w:t>
      </w:r>
      <w:proofErr w:type="spellStart"/>
      <w:r w:rsidRPr="00FC08C0">
        <w:rPr>
          <w:sz w:val="16"/>
          <w:szCs w:val="16"/>
        </w:rPr>
        <w:t>humerus</w:t>
      </w:r>
      <w:proofErr w:type="spellEnd"/>
      <w:r w:rsidRPr="00FC08C0">
        <w:rPr>
          <w:sz w:val="16"/>
          <w:szCs w:val="16"/>
        </w:rPr>
        <w:t xml:space="preserve"> (i.e. </w:t>
      </w:r>
      <w:proofErr w:type="spellStart"/>
      <w:r w:rsidRPr="00FC08C0">
        <w:rPr>
          <w:sz w:val="16"/>
          <w:szCs w:val="16"/>
        </w:rPr>
        <w:t>humerus</w:t>
      </w:r>
      <w:proofErr w:type="spellEnd"/>
      <w:r w:rsidRPr="00FC08C0">
        <w:rPr>
          <w:sz w:val="16"/>
          <w:szCs w:val="16"/>
        </w:rPr>
        <w:t xml:space="preserve"> excluding elbow), forearm, and hip</w:t>
      </w:r>
    </w:p>
    <w:p w:rsidR="00AD7003" w:rsidRDefault="00AD7003" w:rsidP="00AD7003">
      <w:pPr>
        <w:rPr>
          <w:sz w:val="16"/>
          <w:szCs w:val="16"/>
        </w:rPr>
      </w:pPr>
      <w:r w:rsidRPr="00FC08C0">
        <w:rPr>
          <w:sz w:val="16"/>
          <w:szCs w:val="16"/>
        </w:rPr>
        <w:t xml:space="preserve">(4) Includes clinical vertebral, hip, forearm, and </w:t>
      </w:r>
      <w:proofErr w:type="spellStart"/>
      <w:r w:rsidRPr="00FC08C0">
        <w:rPr>
          <w:sz w:val="16"/>
          <w:szCs w:val="16"/>
        </w:rPr>
        <w:t>humerus</w:t>
      </w:r>
      <w:proofErr w:type="spellEnd"/>
      <w:r w:rsidRPr="00FC08C0">
        <w:rPr>
          <w:sz w:val="16"/>
          <w:szCs w:val="16"/>
        </w:rPr>
        <w:t xml:space="preserve"> fractures, as defined by the WHO</w:t>
      </w:r>
    </w:p>
    <w:p w:rsidR="00AD7003" w:rsidRDefault="00AD7003" w:rsidP="00AD7003">
      <w:pPr>
        <w:rPr>
          <w:sz w:val="16"/>
          <w:szCs w:val="16"/>
        </w:rPr>
      </w:pPr>
    </w:p>
    <w:p w:rsidR="00A76E51" w:rsidRPr="00FC08C0" w:rsidRDefault="00A76E51" w:rsidP="00A76E51">
      <w:pPr>
        <w:pStyle w:val="Text"/>
        <w:tabs>
          <w:tab w:val="left" w:pos="567"/>
        </w:tabs>
        <w:spacing w:before="0" w:after="0"/>
        <w:outlineLvl w:val="0"/>
        <w:rPr>
          <w:rFonts w:ascii="Arial" w:hAnsi="Arial" w:cs="Arial"/>
          <w:dstrike/>
          <w:noProof/>
          <w:color w:val="000000"/>
          <w:sz w:val="22"/>
          <w:szCs w:val="22"/>
          <w:lang w:val="en-GB"/>
        </w:rPr>
      </w:pPr>
      <w:r w:rsidRPr="00FC08C0">
        <w:rPr>
          <w:rFonts w:ascii="Arial" w:hAnsi="Arial" w:cs="Arial"/>
          <w:noProof/>
          <w:color w:val="000000"/>
          <w:sz w:val="22"/>
          <w:szCs w:val="22"/>
          <w:lang w:val="en-GB"/>
        </w:rPr>
        <w:t xml:space="preserve">Women in the FREEDOM study had a mean baseline BMD T-score of -2.2 at the femoral neck.  </w:t>
      </w:r>
      <w:r w:rsidRPr="00FC08C0">
        <w:rPr>
          <w:rFonts w:ascii="Arial" w:hAnsi="Arial" w:cs="Arial"/>
          <w:noProof/>
          <w:color w:val="000000"/>
          <w:sz w:val="22"/>
          <w:szCs w:val="22"/>
          <w:lang w:val="en-GB"/>
        </w:rPr>
        <w:br/>
        <w:t xml:space="preserve">In women with baseline femoral neck BMD </w:t>
      </w:r>
      <w:r w:rsidRPr="00FC08C0">
        <w:rPr>
          <w:rFonts w:ascii="Arial" w:eastAsia="MS Mincho" w:hAnsi="Arial" w:cs="Arial"/>
          <w:noProof/>
          <w:sz w:val="22"/>
          <w:szCs w:val="22"/>
          <w:lang w:eastAsia="ja-JP"/>
        </w:rPr>
        <w:t>≤</w:t>
      </w:r>
      <w:r w:rsidRPr="00967DD2">
        <w:rPr>
          <w:noProof/>
        </w:rPr>
        <w:t> </w:t>
      </w:r>
      <w:r w:rsidRPr="00FC08C0">
        <w:rPr>
          <w:rFonts w:ascii="Arial" w:hAnsi="Arial" w:cs="Arial"/>
          <w:noProof/>
          <w:color w:val="000000"/>
          <w:sz w:val="22"/>
          <w:szCs w:val="22"/>
          <w:lang w:val="en-GB"/>
        </w:rPr>
        <w:t xml:space="preserve">-2.5, </w:t>
      </w:r>
      <w:proofErr w:type="spellStart"/>
      <w:r w:rsidRPr="00FC08C0">
        <w:rPr>
          <w:rFonts w:ascii="Arial" w:hAnsi="Arial" w:cs="Arial"/>
          <w:sz w:val="22"/>
          <w:szCs w:val="22"/>
        </w:rPr>
        <w:t>Prolia</w:t>
      </w:r>
      <w:proofErr w:type="spellEnd"/>
      <w:r w:rsidRPr="00FC08C0">
        <w:rPr>
          <w:rFonts w:ascii="Arial" w:hAnsi="Arial" w:cs="Arial"/>
          <w:sz w:val="22"/>
          <w:szCs w:val="22"/>
          <w:vertAlign w:val="superscript"/>
        </w:rPr>
        <w:t>®</w:t>
      </w:r>
      <w:r w:rsidRPr="00FC08C0">
        <w:rPr>
          <w:rFonts w:ascii="Arial" w:hAnsi="Arial" w:cs="Arial"/>
          <w:noProof/>
          <w:color w:val="000000"/>
          <w:sz w:val="22"/>
          <w:szCs w:val="22"/>
          <w:lang w:val="en-GB"/>
        </w:rPr>
        <w:t xml:space="preserve"> reduced the incidence of non-vertebral fracture (35% relative risk reduction, 4.1% absolute risk reduction, p &lt; 0.001).</w:t>
      </w:r>
    </w:p>
    <w:p w:rsidR="00A76E51" w:rsidRPr="00FC08C0" w:rsidRDefault="00A76E51" w:rsidP="00A76E51">
      <w:pPr>
        <w:pStyle w:val="Text"/>
        <w:tabs>
          <w:tab w:val="left" w:pos="7620"/>
        </w:tabs>
        <w:spacing w:before="0" w:after="0"/>
        <w:outlineLvl w:val="0"/>
        <w:rPr>
          <w:rFonts w:ascii="Arial" w:hAnsi="Arial" w:cs="Arial"/>
          <w:noProof/>
          <w:color w:val="000000"/>
          <w:sz w:val="22"/>
          <w:szCs w:val="22"/>
          <w:lang w:val="en-GB"/>
        </w:rPr>
      </w:pPr>
    </w:p>
    <w:p w:rsidR="00A76E51" w:rsidRPr="00FC08C0" w:rsidRDefault="00A76E51" w:rsidP="00A76E51">
      <w:pPr>
        <w:pStyle w:val="Text"/>
        <w:tabs>
          <w:tab w:val="left" w:pos="567"/>
        </w:tabs>
        <w:spacing w:before="0" w:after="0"/>
        <w:outlineLvl w:val="0"/>
        <w:rPr>
          <w:rFonts w:ascii="Arial" w:hAnsi="Arial" w:cs="Arial"/>
          <w:noProof/>
          <w:color w:val="000000"/>
          <w:sz w:val="22"/>
          <w:szCs w:val="22"/>
          <w:lang w:val="en-GB"/>
        </w:rPr>
      </w:pPr>
      <w:r w:rsidRPr="00FC08C0">
        <w:rPr>
          <w:rFonts w:ascii="Arial" w:hAnsi="Arial" w:cs="Arial"/>
          <w:noProof/>
          <w:color w:val="000000"/>
          <w:sz w:val="22"/>
          <w:szCs w:val="22"/>
          <w:lang w:val="en-GB"/>
        </w:rPr>
        <w:t>The reduction in the incidence of new vertebral fractures, hip fractures and non-vertebral fractures by Prolia</w:t>
      </w:r>
      <w:r w:rsidRPr="00FC08C0">
        <w:rPr>
          <w:rFonts w:ascii="Arial" w:hAnsi="Arial" w:cs="Arial"/>
          <w:sz w:val="22"/>
          <w:szCs w:val="22"/>
          <w:vertAlign w:val="superscript"/>
        </w:rPr>
        <w:t>®</w:t>
      </w:r>
      <w:r w:rsidRPr="00FC08C0">
        <w:rPr>
          <w:rFonts w:ascii="Arial" w:hAnsi="Arial" w:cs="Arial"/>
          <w:noProof/>
          <w:color w:val="000000"/>
          <w:sz w:val="22"/>
          <w:szCs w:val="22"/>
          <w:lang w:val="en-GB"/>
        </w:rPr>
        <w:t xml:space="preserve"> over 3 years were consistent regardless of the 10-year baseline fracture risk as assessed by FRAX.</w:t>
      </w:r>
    </w:p>
    <w:p w:rsidR="00AD7003" w:rsidRDefault="00AD7003" w:rsidP="00AD7003"/>
    <w:p w:rsidR="00A76E51" w:rsidRPr="00FC08C0" w:rsidRDefault="00A76E51" w:rsidP="00A76E51">
      <w:pPr>
        <w:pStyle w:val="Text"/>
        <w:spacing w:after="0"/>
        <w:rPr>
          <w:rFonts w:ascii="Arial" w:hAnsi="Arial" w:cs="Arial"/>
          <w:b/>
          <w:color w:val="000000"/>
          <w:sz w:val="22"/>
          <w:szCs w:val="22"/>
          <w:lang w:val="en-GB"/>
        </w:rPr>
      </w:pPr>
      <w:r w:rsidRPr="00FC08C0">
        <w:rPr>
          <w:rFonts w:ascii="Arial" w:hAnsi="Arial" w:cs="Arial"/>
          <w:b/>
          <w:color w:val="000000"/>
          <w:sz w:val="22"/>
          <w:szCs w:val="22"/>
          <w:lang w:val="en-GB"/>
        </w:rPr>
        <w:t>Effect on bone mineral density</w:t>
      </w:r>
    </w:p>
    <w:p w:rsidR="00A76E51" w:rsidRPr="00FC08C0" w:rsidRDefault="00A76E51" w:rsidP="00A76E51">
      <w:pPr>
        <w:pStyle w:val="Text"/>
        <w:tabs>
          <w:tab w:val="left" w:pos="567"/>
        </w:tabs>
        <w:spacing w:before="0" w:after="0"/>
        <w:outlineLvl w:val="0"/>
        <w:rPr>
          <w:rFonts w:ascii="Arial" w:hAnsi="Arial" w:cs="Arial"/>
          <w:noProof/>
          <w:color w:val="000000"/>
          <w:sz w:val="22"/>
          <w:szCs w:val="22"/>
          <w:lang w:val="en-GB"/>
        </w:rPr>
      </w:pPr>
      <w:proofErr w:type="spellStart"/>
      <w:r w:rsidRPr="00FC08C0">
        <w:rPr>
          <w:rFonts w:ascii="Arial" w:hAnsi="Arial" w:cs="Arial"/>
          <w:sz w:val="22"/>
          <w:szCs w:val="22"/>
        </w:rPr>
        <w:t>Prolia</w:t>
      </w:r>
      <w:proofErr w:type="spellEnd"/>
      <w:r w:rsidRPr="00FC08C0">
        <w:rPr>
          <w:rFonts w:ascii="Arial" w:hAnsi="Arial" w:cs="Arial"/>
          <w:sz w:val="22"/>
          <w:szCs w:val="22"/>
          <w:vertAlign w:val="superscript"/>
        </w:rPr>
        <w:t>®</w:t>
      </w:r>
      <w:r w:rsidRPr="00FC08C0">
        <w:rPr>
          <w:rFonts w:ascii="Arial" w:hAnsi="Arial" w:cs="Arial"/>
          <w:noProof/>
          <w:color w:val="000000"/>
          <w:sz w:val="22"/>
          <w:szCs w:val="22"/>
          <w:lang w:val="en-GB"/>
        </w:rPr>
        <w:t xml:space="preserve"> significantly increased BMD at all clinical sites measured, relative to treatment with placebo at 1, 2 and 3 years in FREEDOM.  </w:t>
      </w:r>
      <w:proofErr w:type="spellStart"/>
      <w:r w:rsidRPr="00FC08C0">
        <w:rPr>
          <w:rFonts w:ascii="Arial" w:hAnsi="Arial" w:cs="Arial"/>
          <w:sz w:val="22"/>
          <w:szCs w:val="22"/>
        </w:rPr>
        <w:t>Prolia</w:t>
      </w:r>
      <w:proofErr w:type="spellEnd"/>
      <w:r w:rsidRPr="00FC08C0">
        <w:rPr>
          <w:rFonts w:ascii="Arial" w:hAnsi="Arial" w:cs="Arial"/>
          <w:sz w:val="22"/>
          <w:szCs w:val="22"/>
          <w:vertAlign w:val="superscript"/>
        </w:rPr>
        <w:t>®</w:t>
      </w:r>
      <w:r w:rsidRPr="00FC08C0">
        <w:rPr>
          <w:rFonts w:ascii="Arial" w:hAnsi="Arial" w:cs="Arial"/>
          <w:noProof/>
          <w:color w:val="000000"/>
          <w:sz w:val="22"/>
          <w:szCs w:val="22"/>
          <w:lang w:val="en-GB"/>
        </w:rPr>
        <w:t xml:space="preserve">  increased BMD by 9.2% at the lumbar spine, 6.0% at the total hip, 4.8% at the femoral neck, 7.9% at the hip trochanter, 3.5% at the distal 1/3 radius and 4.1% at the total body over 3 years (all p</w:t>
      </w:r>
      <w:r w:rsidRPr="00967DD2">
        <w:rPr>
          <w:noProof/>
        </w:rPr>
        <w:t> </w:t>
      </w:r>
      <w:r w:rsidRPr="00FC08C0">
        <w:rPr>
          <w:rFonts w:ascii="Arial" w:hAnsi="Arial" w:cs="Arial"/>
          <w:noProof/>
          <w:color w:val="000000"/>
          <w:sz w:val="22"/>
          <w:szCs w:val="22"/>
          <w:lang w:val="en-GB"/>
        </w:rPr>
        <w:t>&lt;</w:t>
      </w:r>
      <w:r w:rsidRPr="00967DD2">
        <w:rPr>
          <w:noProof/>
        </w:rPr>
        <w:t> </w:t>
      </w:r>
      <w:r w:rsidRPr="00FC08C0">
        <w:rPr>
          <w:rFonts w:ascii="Arial" w:hAnsi="Arial" w:cs="Arial"/>
          <w:noProof/>
          <w:color w:val="000000"/>
          <w:sz w:val="22"/>
          <w:szCs w:val="22"/>
          <w:lang w:val="en-GB"/>
        </w:rPr>
        <w:t xml:space="preserve">0.0001).  Increases in BMD at lumbar spine, total hip and hip trochanter were observed as early as 1 month after the initial dose.  </w:t>
      </w:r>
      <w:proofErr w:type="spellStart"/>
      <w:r w:rsidRPr="00FC08C0">
        <w:rPr>
          <w:rFonts w:ascii="Arial" w:hAnsi="Arial" w:cs="Arial"/>
          <w:sz w:val="22"/>
          <w:szCs w:val="22"/>
        </w:rPr>
        <w:t>Prolia</w:t>
      </w:r>
      <w:proofErr w:type="spellEnd"/>
      <w:r w:rsidRPr="00FC08C0">
        <w:rPr>
          <w:rFonts w:ascii="Arial" w:hAnsi="Arial" w:cs="Arial"/>
          <w:sz w:val="22"/>
          <w:szCs w:val="22"/>
          <w:vertAlign w:val="superscript"/>
        </w:rPr>
        <w:t>®</w:t>
      </w:r>
      <w:r w:rsidRPr="00FC08C0">
        <w:rPr>
          <w:rFonts w:ascii="Arial" w:hAnsi="Arial" w:cs="Arial"/>
          <w:noProof/>
          <w:color w:val="000000"/>
          <w:sz w:val="22"/>
          <w:szCs w:val="22"/>
          <w:lang w:val="en-GB"/>
        </w:rPr>
        <w:t xml:space="preserve"> increased lumbar spine BMD from baseline in 95% of postmenopausal women at 3 years.  Consistent effects on BMD were observed at the lumbar spine regardless of baseline age, race, weight/BMI, BMD and bone turnover level.  The effects of </w:t>
      </w:r>
      <w:proofErr w:type="spellStart"/>
      <w:r w:rsidRPr="00FC08C0">
        <w:rPr>
          <w:rFonts w:ascii="Arial" w:hAnsi="Arial" w:cs="Arial"/>
          <w:sz w:val="22"/>
          <w:szCs w:val="22"/>
        </w:rPr>
        <w:t>Prolia</w:t>
      </w:r>
      <w:proofErr w:type="spellEnd"/>
      <w:r w:rsidRPr="00FC08C0">
        <w:rPr>
          <w:rFonts w:ascii="Arial" w:hAnsi="Arial" w:cs="Arial"/>
          <w:sz w:val="22"/>
          <w:szCs w:val="22"/>
          <w:vertAlign w:val="superscript"/>
        </w:rPr>
        <w:t>®</w:t>
      </w:r>
      <w:r w:rsidRPr="00FC08C0">
        <w:rPr>
          <w:rFonts w:ascii="Arial" w:hAnsi="Arial" w:cs="Arial"/>
          <w:noProof/>
          <w:color w:val="000000"/>
          <w:sz w:val="22"/>
          <w:szCs w:val="22"/>
          <w:lang w:val="en-GB"/>
        </w:rPr>
        <w:t xml:space="preserve"> on bone architecture were evaluated using quantitative computed tomography (QCT) in postmenopausal women with BMD T-score below -2.5 at the lumbar spine or total hip.  Treatment with </w:t>
      </w:r>
      <w:proofErr w:type="spellStart"/>
      <w:r w:rsidRPr="00FC08C0">
        <w:rPr>
          <w:rFonts w:ascii="Arial" w:hAnsi="Arial" w:cs="Arial"/>
          <w:sz w:val="22"/>
          <w:szCs w:val="22"/>
        </w:rPr>
        <w:t>Prolia</w:t>
      </w:r>
      <w:proofErr w:type="spellEnd"/>
      <w:r w:rsidRPr="00FC08C0">
        <w:rPr>
          <w:rFonts w:ascii="Arial" w:hAnsi="Arial" w:cs="Arial"/>
          <w:sz w:val="22"/>
          <w:szCs w:val="22"/>
          <w:vertAlign w:val="superscript"/>
        </w:rPr>
        <w:t>®</w:t>
      </w:r>
      <w:r w:rsidRPr="00FC08C0">
        <w:rPr>
          <w:rFonts w:ascii="Arial" w:hAnsi="Arial" w:cs="Arial"/>
          <w:noProof/>
          <w:color w:val="000000"/>
          <w:sz w:val="22"/>
          <w:szCs w:val="22"/>
          <w:lang w:val="en-GB"/>
        </w:rPr>
        <w:t xml:space="preserve"> increased</w:t>
      </w:r>
      <w:r w:rsidRPr="00FC08C0">
        <w:rPr>
          <w:rFonts w:ascii="Arial" w:eastAsia="MS Mincho" w:hAnsi="Arial" w:cs="Arial"/>
          <w:noProof/>
          <w:color w:val="000000"/>
          <w:sz w:val="22"/>
          <w:szCs w:val="22"/>
          <w:lang w:val="en-GB" w:eastAsia="ja-JP"/>
        </w:rPr>
        <w:t xml:space="preserve"> volumetric trabecular BMD at the lumbar spine, volumetric BMD at the total hip and the </w:t>
      </w:r>
      <w:r w:rsidRPr="00FC08C0">
        <w:rPr>
          <w:rFonts w:ascii="Arial" w:hAnsi="Arial" w:cs="Arial"/>
          <w:noProof/>
          <w:color w:val="000000"/>
          <w:sz w:val="22"/>
          <w:szCs w:val="22"/>
          <w:lang w:val="en-GB"/>
        </w:rPr>
        <w:t>volumetric cortical BMD and cortical thickness at the distal radius.</w:t>
      </w:r>
    </w:p>
    <w:p w:rsidR="00A76E51" w:rsidRPr="00FC08C0" w:rsidRDefault="00A76E51" w:rsidP="00A76E51">
      <w:pPr>
        <w:pStyle w:val="SynopsisText"/>
        <w:tabs>
          <w:tab w:val="clear" w:pos="1794"/>
          <w:tab w:val="left" w:pos="567"/>
        </w:tabs>
        <w:spacing w:before="0" w:after="0"/>
        <w:rPr>
          <w:rFonts w:cs="Arial"/>
          <w:noProof/>
          <w:lang w:val="en-GB"/>
        </w:rPr>
      </w:pPr>
    </w:p>
    <w:p w:rsidR="00A76E51" w:rsidRDefault="00A76E51" w:rsidP="00A76E51">
      <w:pPr>
        <w:pStyle w:val="Text"/>
        <w:spacing w:before="0" w:after="0"/>
        <w:rPr>
          <w:rFonts w:ascii="Arial" w:hAnsi="Arial" w:cs="Arial"/>
          <w:sz w:val="22"/>
          <w:szCs w:val="22"/>
        </w:rPr>
      </w:pPr>
      <w:bookmarkStart w:id="5" w:name="OLE_LINK5"/>
      <w:bookmarkStart w:id="6" w:name="OLE_LINK6"/>
      <w:r w:rsidRPr="00FC08C0">
        <w:rPr>
          <w:rFonts w:ascii="Arial" w:hAnsi="Arial" w:cs="Arial"/>
          <w:noProof/>
          <w:sz w:val="22"/>
          <w:szCs w:val="22"/>
          <w:u w:val="single"/>
          <w:lang w:val="en-GB"/>
        </w:rPr>
        <w:lastRenderedPageBreak/>
        <w:t>S</w:t>
      </w:r>
      <w:r w:rsidRPr="00FC08C0">
        <w:rPr>
          <w:rFonts w:ascii="Arial" w:hAnsi="Arial" w:cs="Arial"/>
          <w:noProof/>
          <w:sz w:val="22"/>
          <w:szCs w:val="22"/>
          <w:lang w:val="en-GB"/>
        </w:rPr>
        <w:t xml:space="preserve">tudy of </w:t>
      </w:r>
      <w:r w:rsidRPr="00FC08C0">
        <w:rPr>
          <w:rFonts w:ascii="Arial" w:hAnsi="Arial" w:cs="Arial"/>
          <w:noProof/>
          <w:sz w:val="22"/>
          <w:szCs w:val="22"/>
          <w:u w:val="single"/>
          <w:lang w:val="en-GB"/>
        </w:rPr>
        <w:t>T</w:t>
      </w:r>
      <w:r w:rsidRPr="00FC08C0">
        <w:rPr>
          <w:rFonts w:ascii="Arial" w:hAnsi="Arial" w:cs="Arial"/>
          <w:noProof/>
          <w:sz w:val="22"/>
          <w:szCs w:val="22"/>
          <w:lang w:val="en-GB"/>
        </w:rPr>
        <w:t xml:space="preserve">ransitioning from </w:t>
      </w:r>
      <w:r w:rsidRPr="00FC08C0">
        <w:rPr>
          <w:rFonts w:ascii="Arial" w:hAnsi="Arial" w:cs="Arial"/>
          <w:noProof/>
          <w:sz w:val="22"/>
          <w:szCs w:val="22"/>
          <w:u w:val="single"/>
          <w:lang w:val="en-GB"/>
        </w:rPr>
        <w:t>A</w:t>
      </w:r>
      <w:r w:rsidRPr="00FC08C0">
        <w:rPr>
          <w:rFonts w:ascii="Arial" w:hAnsi="Arial" w:cs="Arial"/>
          <w:noProof/>
          <w:sz w:val="22"/>
          <w:szCs w:val="22"/>
          <w:lang w:val="en-GB"/>
        </w:rPr>
        <w:t>le</w:t>
      </w:r>
      <w:r w:rsidRPr="00FC08C0">
        <w:rPr>
          <w:rFonts w:ascii="Arial" w:hAnsi="Arial" w:cs="Arial"/>
          <w:noProof/>
          <w:sz w:val="22"/>
          <w:szCs w:val="22"/>
          <w:u w:val="single"/>
          <w:lang w:val="en-GB"/>
        </w:rPr>
        <w:t>n</w:t>
      </w:r>
      <w:r w:rsidRPr="00FC08C0">
        <w:rPr>
          <w:rFonts w:ascii="Arial" w:hAnsi="Arial" w:cs="Arial"/>
          <w:noProof/>
          <w:sz w:val="22"/>
          <w:szCs w:val="22"/>
          <w:lang w:val="en-GB"/>
        </w:rPr>
        <w:t xml:space="preserve">dronate to </w:t>
      </w:r>
      <w:r w:rsidRPr="00FC08C0">
        <w:rPr>
          <w:rFonts w:ascii="Arial" w:hAnsi="Arial" w:cs="Arial"/>
          <w:noProof/>
          <w:sz w:val="22"/>
          <w:szCs w:val="22"/>
          <w:u w:val="single"/>
          <w:lang w:val="en-GB"/>
        </w:rPr>
        <w:t>D</w:t>
      </w:r>
      <w:r w:rsidRPr="00FC08C0">
        <w:rPr>
          <w:rFonts w:ascii="Arial" w:hAnsi="Arial" w:cs="Arial"/>
          <w:noProof/>
          <w:sz w:val="22"/>
          <w:szCs w:val="22"/>
          <w:lang w:val="en-GB"/>
        </w:rPr>
        <w:t>enosumab (STAND</w:t>
      </w:r>
      <w:r>
        <w:rPr>
          <w:rFonts w:ascii="Arial" w:hAnsi="Arial" w:cs="Arial"/>
          <w:noProof/>
          <w:sz w:val="22"/>
          <w:szCs w:val="22"/>
          <w:lang w:val="en-GB"/>
        </w:rPr>
        <w:t>, Study 20050234</w:t>
      </w:r>
      <w:r w:rsidRPr="00FC08C0">
        <w:rPr>
          <w:rFonts w:ascii="Arial" w:hAnsi="Arial" w:cs="Arial"/>
          <w:noProof/>
          <w:sz w:val="22"/>
          <w:szCs w:val="22"/>
          <w:lang w:val="en-GB"/>
        </w:rPr>
        <w:t>) w</w:t>
      </w:r>
      <w:r w:rsidRPr="00FC08C0">
        <w:rPr>
          <w:rFonts w:ascii="Arial" w:hAnsi="Arial" w:cs="Arial"/>
          <w:sz w:val="22"/>
          <w:szCs w:val="22"/>
        </w:rPr>
        <w:t xml:space="preserve">as a double-blind, </w:t>
      </w:r>
      <w:proofErr w:type="spellStart"/>
      <w:r w:rsidRPr="00FC08C0">
        <w:rPr>
          <w:rFonts w:ascii="Arial" w:hAnsi="Arial" w:cs="Arial"/>
          <w:sz w:val="22"/>
          <w:szCs w:val="22"/>
        </w:rPr>
        <w:t>randomised</w:t>
      </w:r>
      <w:proofErr w:type="spellEnd"/>
      <w:r w:rsidRPr="00FC08C0">
        <w:rPr>
          <w:rFonts w:ascii="Arial" w:hAnsi="Arial" w:cs="Arial"/>
          <w:sz w:val="22"/>
          <w:szCs w:val="22"/>
        </w:rPr>
        <w:t>, alendronate-controlled, study in postmenopausal women with low BMD (T</w:t>
      </w:r>
      <w:r w:rsidRPr="00FC08C0">
        <w:rPr>
          <w:rFonts w:ascii="Arial" w:hAnsi="Arial" w:cs="Arial"/>
          <w:sz w:val="22"/>
          <w:szCs w:val="22"/>
        </w:rPr>
        <w:noBreakHyphen/>
        <w:t xml:space="preserve">score between -2.0 and -4.0 at the lumbar spine or total hip) who had received alendronate (70 mg weekly [or equivalent] orally) for at least 6 months preceding study entry.  Patients received either </w:t>
      </w:r>
      <w:proofErr w:type="spellStart"/>
      <w:r w:rsidRPr="00FC08C0">
        <w:rPr>
          <w:rFonts w:ascii="Arial" w:hAnsi="Arial" w:cs="Arial"/>
          <w:sz w:val="22"/>
          <w:szCs w:val="22"/>
        </w:rPr>
        <w:t>Prolia</w:t>
      </w:r>
      <w:proofErr w:type="spellEnd"/>
      <w:r w:rsidRPr="00FC08C0">
        <w:rPr>
          <w:rFonts w:ascii="Arial" w:hAnsi="Arial" w:cs="Arial"/>
          <w:sz w:val="22"/>
          <w:szCs w:val="22"/>
          <w:vertAlign w:val="superscript"/>
        </w:rPr>
        <w:t>®</w:t>
      </w:r>
      <w:r w:rsidRPr="00FC08C0">
        <w:rPr>
          <w:rFonts w:ascii="Arial" w:hAnsi="Arial" w:cs="Arial"/>
          <w:sz w:val="22"/>
          <w:szCs w:val="22"/>
        </w:rPr>
        <w:t xml:space="preserve"> 60 mg Q6M SC (n = 253) or alendronate orally 70 mg weekly for 12 months (n = 251).</w:t>
      </w:r>
    </w:p>
    <w:p w:rsidR="00A76E51" w:rsidRPr="00FC08C0" w:rsidRDefault="00A76E51" w:rsidP="00A76E51">
      <w:pPr>
        <w:pStyle w:val="Text"/>
        <w:spacing w:before="0" w:after="0"/>
        <w:rPr>
          <w:rFonts w:ascii="Arial" w:hAnsi="Arial" w:cs="Arial"/>
          <w:sz w:val="22"/>
          <w:szCs w:val="22"/>
        </w:rPr>
      </w:pPr>
    </w:p>
    <w:p w:rsidR="00A76E51" w:rsidRDefault="00A76E51" w:rsidP="00A76E51">
      <w:pPr>
        <w:pStyle w:val="SynopsisText"/>
        <w:tabs>
          <w:tab w:val="clear" w:pos="1794"/>
          <w:tab w:val="left" w:pos="567"/>
        </w:tabs>
        <w:spacing w:before="0" w:after="0"/>
        <w:rPr>
          <w:rFonts w:cs="Arial"/>
          <w:noProof/>
          <w:sz w:val="22"/>
          <w:szCs w:val="22"/>
          <w:lang w:val="en-GB"/>
        </w:rPr>
      </w:pPr>
      <w:r w:rsidRPr="00FC08C0">
        <w:rPr>
          <w:rFonts w:cs="Arial"/>
          <w:noProof/>
          <w:sz w:val="22"/>
          <w:szCs w:val="22"/>
          <w:lang w:val="en-GB"/>
        </w:rPr>
        <w:t xml:space="preserve">Women who transitioned to receive </w:t>
      </w:r>
      <w:proofErr w:type="spellStart"/>
      <w:r w:rsidRPr="00FC08C0">
        <w:rPr>
          <w:rFonts w:cs="Arial"/>
          <w:sz w:val="22"/>
          <w:szCs w:val="22"/>
        </w:rPr>
        <w:t>Prolia</w:t>
      </w:r>
      <w:proofErr w:type="spellEnd"/>
      <w:r w:rsidRPr="00FC08C0">
        <w:rPr>
          <w:rFonts w:cs="Arial"/>
          <w:sz w:val="22"/>
          <w:szCs w:val="22"/>
          <w:vertAlign w:val="superscript"/>
        </w:rPr>
        <w:t>®</w:t>
      </w:r>
      <w:r w:rsidRPr="00FC08C0">
        <w:rPr>
          <w:rFonts w:cs="Arial"/>
          <w:noProof/>
          <w:sz w:val="22"/>
          <w:szCs w:val="22"/>
          <w:lang w:val="en-GB"/>
        </w:rPr>
        <w:t xml:space="preserve"> had greater increases in BMD at the total hip (1.9% versus 1.1%, p &lt; 0.001; primary efficacy endpoint) after 1 year, compared to those who continued to receive alendronate therapy.  Consistently greater increases in BMD were also seen at the lumbar spine, femoral neck, hip trochanter, and distal 1/3 radius in women treated with </w:t>
      </w:r>
      <w:proofErr w:type="spellStart"/>
      <w:r w:rsidRPr="00FC08C0">
        <w:rPr>
          <w:rFonts w:cs="Arial"/>
          <w:sz w:val="22"/>
          <w:szCs w:val="22"/>
        </w:rPr>
        <w:t>Prolia</w:t>
      </w:r>
      <w:proofErr w:type="spellEnd"/>
      <w:r w:rsidRPr="00FC08C0">
        <w:rPr>
          <w:rFonts w:cs="Arial"/>
          <w:sz w:val="22"/>
          <w:szCs w:val="22"/>
          <w:vertAlign w:val="superscript"/>
        </w:rPr>
        <w:t>®</w:t>
      </w:r>
      <w:r w:rsidRPr="00FC08C0">
        <w:rPr>
          <w:rFonts w:cs="Arial"/>
          <w:noProof/>
          <w:sz w:val="22"/>
          <w:szCs w:val="22"/>
          <w:lang w:val="en-GB"/>
        </w:rPr>
        <w:t>, compared to those who continued to receive alendronate therapy (all p &lt; 0.05).</w:t>
      </w:r>
      <w:bookmarkEnd w:id="5"/>
      <w:bookmarkEnd w:id="6"/>
    </w:p>
    <w:p w:rsidR="00A76E51" w:rsidRPr="00FC08C0" w:rsidRDefault="00A76E51" w:rsidP="00A76E51">
      <w:pPr>
        <w:pStyle w:val="SynopsisText"/>
        <w:tabs>
          <w:tab w:val="clear" w:pos="1794"/>
          <w:tab w:val="left" w:pos="567"/>
        </w:tabs>
        <w:spacing w:before="0" w:after="0"/>
        <w:rPr>
          <w:rFonts w:cs="Arial"/>
          <w:noProof/>
          <w:sz w:val="22"/>
          <w:szCs w:val="22"/>
          <w:lang w:val="en-GB"/>
        </w:rPr>
      </w:pPr>
    </w:p>
    <w:p w:rsidR="00A76E51" w:rsidRPr="00FC08C0" w:rsidRDefault="00A76E51" w:rsidP="00A76E51">
      <w:pPr>
        <w:rPr>
          <w:rFonts w:cs="Arial"/>
          <w:noProof/>
          <w:color w:val="000000"/>
          <w:szCs w:val="22"/>
        </w:rPr>
      </w:pPr>
      <w:r w:rsidRPr="00FC08C0">
        <w:rPr>
          <w:rFonts w:cs="Arial"/>
          <w:noProof/>
          <w:color w:val="000000"/>
          <w:szCs w:val="22"/>
        </w:rPr>
        <w:t>In clinical studies examining the effects of discontinuation</w:t>
      </w:r>
      <w:r w:rsidRPr="00FC08C0">
        <w:rPr>
          <w:rFonts w:cs="Arial"/>
          <w:noProof/>
          <w:color w:val="000000"/>
        </w:rPr>
        <w:t xml:space="preserve"> of </w:t>
      </w:r>
      <w:proofErr w:type="spellStart"/>
      <w:r w:rsidRPr="00FC08C0">
        <w:rPr>
          <w:rFonts w:cs="Arial"/>
          <w:szCs w:val="22"/>
        </w:rPr>
        <w:t>Prolia</w:t>
      </w:r>
      <w:proofErr w:type="spellEnd"/>
      <w:r w:rsidRPr="00FC08C0">
        <w:rPr>
          <w:rFonts w:cs="Arial"/>
          <w:szCs w:val="22"/>
          <w:vertAlign w:val="superscript"/>
        </w:rPr>
        <w:t>®</w:t>
      </w:r>
      <w:r w:rsidRPr="00FC08C0">
        <w:rPr>
          <w:rFonts w:cs="Arial"/>
          <w:noProof/>
          <w:color w:val="000000"/>
          <w:szCs w:val="22"/>
        </w:rPr>
        <w:t>, BMD returned to approximately pre-treatment levels and remained above placebo within 18</w:t>
      </w:r>
      <w:r w:rsidRPr="00FC08C0">
        <w:rPr>
          <w:rFonts w:cs="Arial"/>
          <w:szCs w:val="22"/>
        </w:rPr>
        <w:t> </w:t>
      </w:r>
      <w:r w:rsidRPr="00FC08C0">
        <w:rPr>
          <w:rFonts w:cs="Arial"/>
          <w:noProof/>
          <w:color w:val="000000"/>
          <w:szCs w:val="22"/>
        </w:rPr>
        <w:t xml:space="preserve">months of the last dose.  These data indicate that continued treatment with </w:t>
      </w:r>
      <w:proofErr w:type="spellStart"/>
      <w:r w:rsidRPr="00FC08C0">
        <w:rPr>
          <w:rFonts w:cs="Arial"/>
          <w:szCs w:val="22"/>
        </w:rPr>
        <w:t>Prolia</w:t>
      </w:r>
      <w:proofErr w:type="spellEnd"/>
      <w:r w:rsidRPr="00FC08C0">
        <w:rPr>
          <w:rFonts w:cs="Arial"/>
          <w:szCs w:val="22"/>
          <w:vertAlign w:val="superscript"/>
        </w:rPr>
        <w:t>®</w:t>
      </w:r>
      <w:r w:rsidRPr="00FC08C0">
        <w:rPr>
          <w:rFonts w:cs="Arial"/>
          <w:noProof/>
        </w:rPr>
        <w:t xml:space="preserve"> </w:t>
      </w:r>
      <w:r w:rsidRPr="00FC08C0">
        <w:rPr>
          <w:rFonts w:cs="Arial"/>
          <w:noProof/>
          <w:color w:val="000000"/>
          <w:szCs w:val="22"/>
        </w:rPr>
        <w:t xml:space="preserve">is required to maintain the effect of the drug.  Re-initiation of </w:t>
      </w:r>
      <w:proofErr w:type="spellStart"/>
      <w:r w:rsidRPr="00FC08C0">
        <w:rPr>
          <w:rFonts w:cs="Arial"/>
          <w:szCs w:val="22"/>
        </w:rPr>
        <w:t>Prolia</w:t>
      </w:r>
      <w:proofErr w:type="spellEnd"/>
      <w:r w:rsidRPr="00FC08C0">
        <w:rPr>
          <w:rFonts w:cs="Arial"/>
          <w:szCs w:val="22"/>
          <w:vertAlign w:val="superscript"/>
        </w:rPr>
        <w:t>®</w:t>
      </w:r>
      <w:r w:rsidRPr="00FC08C0">
        <w:rPr>
          <w:rFonts w:cs="Arial"/>
          <w:noProof/>
          <w:color w:val="000000"/>
          <w:szCs w:val="22"/>
        </w:rPr>
        <w:t xml:space="preserve"> resulted in gains in BMD similar to those when </w:t>
      </w:r>
      <w:proofErr w:type="spellStart"/>
      <w:r w:rsidRPr="00FC08C0">
        <w:rPr>
          <w:rFonts w:cs="Arial"/>
          <w:szCs w:val="22"/>
        </w:rPr>
        <w:t>Prolia</w:t>
      </w:r>
      <w:proofErr w:type="spellEnd"/>
      <w:r w:rsidRPr="00FC08C0">
        <w:rPr>
          <w:rFonts w:cs="Arial"/>
          <w:szCs w:val="22"/>
          <w:vertAlign w:val="superscript"/>
        </w:rPr>
        <w:t>®</w:t>
      </w:r>
      <w:r w:rsidRPr="00FC08C0">
        <w:rPr>
          <w:rFonts w:cs="Arial"/>
          <w:noProof/>
          <w:color w:val="000000"/>
          <w:szCs w:val="22"/>
        </w:rPr>
        <w:t xml:space="preserve"> was first administered.</w:t>
      </w:r>
    </w:p>
    <w:p w:rsidR="00542607" w:rsidRDefault="00542607"/>
    <w:p w:rsidR="00A76E51" w:rsidRPr="00FC08C0" w:rsidRDefault="00A76E51" w:rsidP="00A76E51">
      <w:pPr>
        <w:pStyle w:val="Text"/>
        <w:spacing w:before="0" w:after="0"/>
        <w:rPr>
          <w:rFonts w:ascii="Arial" w:hAnsi="Arial" w:cs="Arial"/>
          <w:b/>
          <w:bCs/>
          <w:color w:val="000000"/>
          <w:sz w:val="22"/>
          <w:szCs w:val="22"/>
          <w:lang w:val="en-GB"/>
        </w:rPr>
      </w:pPr>
      <w:r w:rsidRPr="00FC08C0">
        <w:rPr>
          <w:rFonts w:ascii="Arial" w:hAnsi="Arial" w:cs="Arial"/>
          <w:b/>
          <w:bCs/>
          <w:color w:val="000000"/>
          <w:sz w:val="22"/>
          <w:szCs w:val="22"/>
          <w:lang w:val="en-GB"/>
        </w:rPr>
        <w:t>Bone Histology</w:t>
      </w:r>
    </w:p>
    <w:p w:rsidR="00A76E51" w:rsidRPr="00FC08C0" w:rsidRDefault="00A76E51" w:rsidP="00A76E51">
      <w:pPr>
        <w:pStyle w:val="Heading1"/>
        <w:keepNext w:val="0"/>
        <w:spacing w:before="0" w:after="0"/>
        <w:rPr>
          <w:b w:val="0"/>
          <w:noProof/>
        </w:rPr>
      </w:pPr>
      <w:r w:rsidRPr="00FC08C0">
        <w:rPr>
          <w:b w:val="0"/>
          <w:noProof/>
        </w:rPr>
        <w:t>Fifty-three trans-iliac crest bone biopsy specimens were obtained at either</w:t>
      </w:r>
      <w:r w:rsidRPr="00FC08C0">
        <w:rPr>
          <w:b w:val="0"/>
          <w:noProof/>
          <w:color w:val="000080"/>
        </w:rPr>
        <w:t xml:space="preserve"> </w:t>
      </w:r>
      <w:r w:rsidRPr="00FC08C0">
        <w:rPr>
          <w:b w:val="0"/>
          <w:noProof/>
        </w:rPr>
        <w:t xml:space="preserve">2 years and/or 3 years from 47 postmenopausal women with osteoporosis treated with </w:t>
      </w:r>
      <w:proofErr w:type="spellStart"/>
      <w:r w:rsidRPr="00FC08C0">
        <w:rPr>
          <w:b w:val="0"/>
          <w:szCs w:val="22"/>
        </w:rPr>
        <w:t>Prolia</w:t>
      </w:r>
      <w:proofErr w:type="spellEnd"/>
      <w:r w:rsidRPr="00FC08C0">
        <w:rPr>
          <w:b w:val="0"/>
          <w:szCs w:val="22"/>
          <w:vertAlign w:val="superscript"/>
        </w:rPr>
        <w:t>®</w:t>
      </w:r>
      <w:r w:rsidRPr="00FC08C0">
        <w:rPr>
          <w:b w:val="0"/>
          <w:noProof/>
        </w:rPr>
        <w:t xml:space="preserve">.  Fifteen bone biopsy specimens were also obtained after 1 year of treatment with </w:t>
      </w:r>
      <w:proofErr w:type="spellStart"/>
      <w:r w:rsidRPr="00FC08C0">
        <w:rPr>
          <w:b w:val="0"/>
          <w:szCs w:val="22"/>
        </w:rPr>
        <w:t>Prolia</w:t>
      </w:r>
      <w:proofErr w:type="spellEnd"/>
      <w:r w:rsidRPr="00FC08C0">
        <w:rPr>
          <w:b w:val="0"/>
          <w:szCs w:val="22"/>
          <w:vertAlign w:val="superscript"/>
        </w:rPr>
        <w:t>®</w:t>
      </w:r>
      <w:r w:rsidRPr="00FC08C0">
        <w:rPr>
          <w:b w:val="0"/>
          <w:noProof/>
        </w:rPr>
        <w:t xml:space="preserve"> from 15 postmenopausal women with low bone mass who had transitioned from previous alendronate therapy.  Histology assessments in both studies showed bone of normal architecture and quality, as well as the expected decrease in bone turnover relative to placebo treatment.  There was no evidence of mineralisation defects, woven bone or marrow fibrosis.</w:t>
      </w:r>
    </w:p>
    <w:p w:rsidR="00A76E51" w:rsidRDefault="00A76E51"/>
    <w:p w:rsidR="00A76E51" w:rsidRPr="0006750D" w:rsidRDefault="00A76E51" w:rsidP="00A76E51">
      <w:pPr>
        <w:autoSpaceDE w:val="0"/>
        <w:autoSpaceDN w:val="0"/>
        <w:adjustRightInd w:val="0"/>
        <w:rPr>
          <w:rFonts w:cs="TimesNewRoman,Bold"/>
          <w:b/>
          <w:bCs/>
          <w:color w:val="000000"/>
        </w:rPr>
      </w:pPr>
      <w:r w:rsidRPr="008B5CDD">
        <w:rPr>
          <w:rFonts w:cs="TimesNewRoman,Bold"/>
          <w:b/>
          <w:bCs/>
          <w:color w:val="000000"/>
        </w:rPr>
        <w:t>Treatment of Osteoporosis in Men</w:t>
      </w:r>
      <w:r w:rsidRPr="009B55C4">
        <w:rPr>
          <w:rFonts w:cs="TimesNewRoman,Bold"/>
          <w:b/>
          <w:bCs/>
          <w:color w:val="000000"/>
          <w:vertAlign w:val="superscript"/>
        </w:rPr>
        <w:t>#</w:t>
      </w:r>
    </w:p>
    <w:p w:rsidR="00A76E51" w:rsidRPr="0006750D" w:rsidRDefault="00A76E51" w:rsidP="00A76E51">
      <w:pPr>
        <w:autoSpaceDE w:val="0"/>
        <w:autoSpaceDN w:val="0"/>
        <w:adjustRightInd w:val="0"/>
        <w:rPr>
          <w:rFonts w:cs="Arial"/>
          <w:color w:val="000000"/>
        </w:rPr>
      </w:pPr>
      <w:r w:rsidRPr="0006750D">
        <w:rPr>
          <w:rFonts w:cs="Arial,Bold"/>
          <w:bCs/>
          <w:color w:val="000000"/>
        </w:rPr>
        <w:t xml:space="preserve">A </w:t>
      </w:r>
      <w:r w:rsidRPr="0006750D">
        <w:rPr>
          <w:rFonts w:cs="Arial"/>
          <w:color w:val="000000"/>
        </w:rPr>
        <w:t xml:space="preserve">Multicenter </w:t>
      </w:r>
      <w:proofErr w:type="spellStart"/>
      <w:r w:rsidRPr="0006750D">
        <w:rPr>
          <w:rFonts w:cs="Arial"/>
          <w:color w:val="000000"/>
        </w:rPr>
        <w:t>Randomised</w:t>
      </w:r>
      <w:proofErr w:type="spellEnd"/>
      <w:r w:rsidRPr="0006750D">
        <w:rPr>
          <w:rFonts w:cs="Arial"/>
          <w:color w:val="000000"/>
        </w:rPr>
        <w:t xml:space="preserve"> Double-blind Placebo Controlled Study to Compare the Efficacy and</w:t>
      </w:r>
    </w:p>
    <w:p w:rsidR="00A76E51" w:rsidRPr="0006750D" w:rsidRDefault="00A76E51" w:rsidP="00A76E51">
      <w:pPr>
        <w:autoSpaceDE w:val="0"/>
        <w:autoSpaceDN w:val="0"/>
        <w:adjustRightInd w:val="0"/>
        <w:rPr>
          <w:rFonts w:eastAsia="TimesNewRoman" w:cs="TimesNewRoman"/>
          <w:color w:val="000000"/>
        </w:rPr>
      </w:pPr>
      <w:r w:rsidRPr="0006750D">
        <w:rPr>
          <w:rFonts w:cs="Arial"/>
          <w:color w:val="000000"/>
        </w:rPr>
        <w:t xml:space="preserve">Safety of </w:t>
      </w:r>
      <w:proofErr w:type="spellStart"/>
      <w:r w:rsidRPr="0006750D">
        <w:rPr>
          <w:rFonts w:cs="Arial,Bold"/>
          <w:bCs/>
          <w:color w:val="000000"/>
        </w:rPr>
        <w:t>D</w:t>
      </w:r>
      <w:r w:rsidRPr="0006750D">
        <w:rPr>
          <w:rFonts w:cs="Arial"/>
          <w:color w:val="000000"/>
        </w:rPr>
        <w:t>enosum</w:t>
      </w:r>
      <w:r w:rsidRPr="0006750D">
        <w:rPr>
          <w:rFonts w:cs="Arial,Bold"/>
          <w:bCs/>
          <w:color w:val="000000"/>
        </w:rPr>
        <w:t>Ab</w:t>
      </w:r>
      <w:proofErr w:type="spellEnd"/>
      <w:r w:rsidRPr="0006750D">
        <w:rPr>
          <w:rFonts w:cs="Arial,Bold"/>
          <w:bCs/>
          <w:color w:val="000000"/>
        </w:rPr>
        <w:t xml:space="preserve"> </w:t>
      </w:r>
      <w:r w:rsidRPr="0006750D">
        <w:rPr>
          <w:rFonts w:cs="Arial"/>
          <w:color w:val="000000"/>
        </w:rPr>
        <w:t xml:space="preserve">versus Placebo in </w:t>
      </w:r>
      <w:r w:rsidRPr="0006750D">
        <w:rPr>
          <w:rFonts w:cs="Arial,Bold"/>
          <w:bCs/>
          <w:color w:val="000000"/>
        </w:rPr>
        <w:t>M</w:t>
      </w:r>
      <w:r w:rsidRPr="0006750D">
        <w:rPr>
          <w:rFonts w:cs="Arial"/>
          <w:color w:val="000000"/>
        </w:rPr>
        <w:t xml:space="preserve">ales with </w:t>
      </w:r>
      <w:r w:rsidRPr="0006750D">
        <w:rPr>
          <w:rFonts w:cs="Arial,Bold"/>
          <w:bCs/>
          <w:color w:val="000000"/>
        </w:rPr>
        <w:t>O</w:t>
      </w:r>
      <w:r w:rsidRPr="0006750D">
        <w:rPr>
          <w:rFonts w:cs="Arial"/>
          <w:color w:val="000000"/>
        </w:rPr>
        <w:t>steoporosis (</w:t>
      </w:r>
      <w:r w:rsidRPr="0006750D">
        <w:rPr>
          <w:rFonts w:cs="Arial,Bold"/>
          <w:bCs/>
          <w:color w:val="000000"/>
        </w:rPr>
        <w:t>ADAMO):</w:t>
      </w:r>
    </w:p>
    <w:p w:rsidR="00A76E51" w:rsidRPr="0006750D" w:rsidRDefault="00A76E51" w:rsidP="00A76E51">
      <w:pPr>
        <w:autoSpaceDE w:val="0"/>
        <w:autoSpaceDN w:val="0"/>
        <w:adjustRightInd w:val="0"/>
        <w:rPr>
          <w:rFonts w:eastAsia="TimesNewRoman" w:cs="TimesNewRoman"/>
          <w:color w:val="000000"/>
        </w:rPr>
      </w:pPr>
      <w:r w:rsidRPr="0006750D">
        <w:rPr>
          <w:rFonts w:eastAsia="TimesNewRoman" w:cs="TimesNewRoman"/>
          <w:color w:val="000000"/>
        </w:rPr>
        <w:t xml:space="preserve">The efficacy and safety of </w:t>
      </w:r>
      <w:proofErr w:type="spellStart"/>
      <w:r w:rsidRPr="0006750D">
        <w:rPr>
          <w:rFonts w:eastAsia="TimesNewRoman" w:cs="TimesNewRoman"/>
          <w:color w:val="000000"/>
        </w:rPr>
        <w:t>Prolia</w:t>
      </w:r>
      <w:proofErr w:type="spellEnd"/>
      <w:r w:rsidRPr="0006750D">
        <w:rPr>
          <w:rFonts w:cs="Arial"/>
          <w:color w:val="000000"/>
          <w:szCs w:val="22"/>
          <w:vertAlign w:val="superscript"/>
        </w:rPr>
        <w:t>®</w:t>
      </w:r>
      <w:r w:rsidRPr="0006750D">
        <w:rPr>
          <w:rFonts w:eastAsia="TimesNewRoman" w:cs="TimesNewRoman"/>
          <w:color w:val="000000"/>
        </w:rPr>
        <w:t xml:space="preserve"> in the treatment of men with osteoporosis was demonstrated in  ADAMO (Study 20080098), a 1-year, multinational study of men with low bone mass, who had a baseline BMD T-score between -2.0 and -3.5 at the lumbar spine or femoral neck.  Men with a BMD T-score between -1.0 and -3.5 at the lumbar spine or femoral neck and with history of prior fragility fracture were also enrolled.  Men with other diseases (such as rheumatoid arthritis, </w:t>
      </w:r>
      <w:proofErr w:type="spellStart"/>
      <w:r w:rsidRPr="0006750D">
        <w:rPr>
          <w:rFonts w:eastAsia="TimesNewRoman" w:cs="TimesNewRoman"/>
          <w:color w:val="000000"/>
        </w:rPr>
        <w:t>osteogenesis</w:t>
      </w:r>
      <w:proofErr w:type="spellEnd"/>
      <w:r w:rsidRPr="0006750D">
        <w:rPr>
          <w:rFonts w:eastAsia="TimesNewRoman" w:cs="TimesNewRoman"/>
          <w:color w:val="000000"/>
        </w:rPr>
        <w:t xml:space="preserve"> </w:t>
      </w:r>
      <w:proofErr w:type="spellStart"/>
      <w:r w:rsidRPr="0006750D">
        <w:rPr>
          <w:rFonts w:eastAsia="TimesNewRoman" w:cs="TimesNewRoman"/>
          <w:color w:val="000000"/>
        </w:rPr>
        <w:t>imperfecta</w:t>
      </w:r>
      <w:proofErr w:type="spellEnd"/>
      <w:r w:rsidRPr="0006750D">
        <w:rPr>
          <w:rFonts w:eastAsia="TimesNewRoman" w:cs="TimesNewRoman"/>
          <w:color w:val="000000"/>
        </w:rPr>
        <w:t>, and Paget’s disease)</w:t>
      </w:r>
      <w:r>
        <w:rPr>
          <w:rFonts w:eastAsia="TimesNewRoman" w:cs="TimesNewRoman"/>
          <w:color w:val="000000"/>
        </w:rPr>
        <w:t xml:space="preserve">, </w:t>
      </w:r>
      <w:r w:rsidRPr="00824BB3">
        <w:rPr>
          <w:rFonts w:eastAsia="TimesNewRoman" w:cs="TimesNewRoman"/>
          <w:color w:val="000000"/>
        </w:rPr>
        <w:t xml:space="preserve">or with significantly impaired renal function (GFR of </w:t>
      </w:r>
      <w:r w:rsidRPr="00824BB3">
        <w:rPr>
          <w:rFonts w:eastAsia="TimesNewRoman" w:cs="Arial"/>
          <w:color w:val="000000"/>
        </w:rPr>
        <w:t>≤</w:t>
      </w:r>
      <w:r w:rsidRPr="00824BB3">
        <w:rPr>
          <w:rFonts w:eastAsia="TimesNewRoman" w:cs="TimesNewRoman"/>
          <w:color w:val="000000"/>
        </w:rPr>
        <w:t xml:space="preserve"> 30 mL/min, or</w:t>
      </w:r>
      <w:r w:rsidRPr="0006750D">
        <w:rPr>
          <w:rFonts w:eastAsia="TimesNewRoman" w:cs="TimesNewRoman"/>
          <w:color w:val="000000"/>
        </w:rPr>
        <w:t xml:space="preserve"> on therapies that may affect bone were excluded from this study.</w:t>
      </w:r>
    </w:p>
    <w:p w:rsidR="00A76E51" w:rsidRDefault="00A76E51"/>
    <w:p w:rsidR="00A76E51" w:rsidRDefault="00A76E51" w:rsidP="00A76E51">
      <w:pPr>
        <w:jc w:val="center"/>
      </w:pPr>
      <w:proofErr w:type="gramStart"/>
      <w:r w:rsidRPr="0006750D">
        <w:rPr>
          <w:rFonts w:cs="Arial"/>
          <w:b/>
          <w:color w:val="000000"/>
        </w:rPr>
        <w:t>Table 3.</w:t>
      </w:r>
      <w:proofErr w:type="gramEnd"/>
      <w:r w:rsidRPr="0006750D">
        <w:rPr>
          <w:rFonts w:cs="Arial"/>
          <w:b/>
          <w:color w:val="000000"/>
        </w:rPr>
        <w:t xml:space="preserve"> </w:t>
      </w:r>
      <w:r w:rsidRPr="0006750D">
        <w:rPr>
          <w:rFonts w:cs="Arial"/>
          <w:b/>
          <w:bCs/>
          <w:color w:val="000000"/>
          <w:lang w:val="en-AU" w:eastAsia="en-AU"/>
        </w:rPr>
        <w:t>Baseline BMD T-scores (Randomised Subjects)</w:t>
      </w:r>
    </w:p>
    <w:p w:rsidR="00A76E51" w:rsidRDefault="00A76E51"/>
    <w:tbl>
      <w:tblPr>
        <w:tblpPr w:leftFromText="180" w:rightFromText="180" w:vertAnchor="text" w:horzAnchor="margin" w:tblpY="-6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4"/>
        <w:gridCol w:w="2136"/>
        <w:gridCol w:w="2268"/>
        <w:gridCol w:w="1985"/>
      </w:tblGrid>
      <w:tr w:rsidR="00A76E51" w:rsidRPr="0006750D" w:rsidTr="00A76E51">
        <w:tc>
          <w:tcPr>
            <w:tcW w:w="3104" w:type="dxa"/>
          </w:tcPr>
          <w:p w:rsidR="00A76E51" w:rsidRPr="0006750D" w:rsidRDefault="00A76E51" w:rsidP="00A76E51">
            <w:pPr>
              <w:pStyle w:val="Text"/>
              <w:tabs>
                <w:tab w:val="left" w:pos="567"/>
              </w:tabs>
              <w:spacing w:before="0" w:after="0"/>
              <w:rPr>
                <w:rFonts w:ascii="Arial" w:hAnsi="Arial" w:cs="Arial"/>
                <w:color w:val="000000"/>
                <w:sz w:val="22"/>
                <w:szCs w:val="22"/>
              </w:rPr>
            </w:pPr>
          </w:p>
        </w:tc>
        <w:tc>
          <w:tcPr>
            <w:tcW w:w="2136" w:type="dxa"/>
          </w:tcPr>
          <w:p w:rsidR="00A76E51" w:rsidRPr="0006750D" w:rsidRDefault="00A76E51" w:rsidP="00A76E51">
            <w:pPr>
              <w:autoSpaceDE w:val="0"/>
              <w:autoSpaceDN w:val="0"/>
              <w:adjustRightInd w:val="0"/>
              <w:rPr>
                <w:rFonts w:cs="Arial"/>
                <w:color w:val="000000"/>
                <w:szCs w:val="22"/>
                <w:lang w:val="en-AU" w:eastAsia="en-AU"/>
              </w:rPr>
            </w:pPr>
            <w:proofErr w:type="spellStart"/>
            <w:r w:rsidRPr="0006750D">
              <w:rPr>
                <w:rFonts w:cs="Arial"/>
                <w:color w:val="000000"/>
                <w:szCs w:val="22"/>
                <w:lang w:val="en-AU" w:eastAsia="en-AU"/>
              </w:rPr>
              <w:t>Prolia</w:t>
            </w:r>
            <w:proofErr w:type="spellEnd"/>
            <w:r w:rsidRPr="0006750D">
              <w:rPr>
                <w:rFonts w:cs="Arial"/>
                <w:color w:val="000000"/>
                <w:szCs w:val="22"/>
                <w:vertAlign w:val="superscript"/>
                <w:lang w:val="en-AU" w:eastAsia="en-AU"/>
              </w:rPr>
              <w:t>®</w:t>
            </w:r>
          </w:p>
          <w:p w:rsidR="00A76E51" w:rsidRPr="0006750D" w:rsidRDefault="00A76E51" w:rsidP="00A76E51">
            <w:pPr>
              <w:pStyle w:val="Text"/>
              <w:tabs>
                <w:tab w:val="left" w:pos="567"/>
              </w:tabs>
              <w:spacing w:before="0" w:after="0"/>
              <w:rPr>
                <w:rFonts w:ascii="Arial" w:hAnsi="Arial" w:cs="Arial"/>
                <w:color w:val="000000"/>
                <w:sz w:val="22"/>
                <w:szCs w:val="22"/>
              </w:rPr>
            </w:pPr>
            <w:r w:rsidRPr="0006750D">
              <w:rPr>
                <w:rFonts w:ascii="Arial" w:hAnsi="Arial" w:cs="Arial"/>
                <w:color w:val="000000"/>
                <w:sz w:val="22"/>
                <w:szCs w:val="22"/>
                <w:lang w:val="en-AU" w:eastAsia="en-AU"/>
              </w:rPr>
              <w:t>(N = 121)</w:t>
            </w:r>
          </w:p>
        </w:tc>
        <w:tc>
          <w:tcPr>
            <w:tcW w:w="2268" w:type="dxa"/>
          </w:tcPr>
          <w:p w:rsidR="00A76E51" w:rsidRPr="0006750D" w:rsidRDefault="00A76E51" w:rsidP="00A76E51">
            <w:pPr>
              <w:autoSpaceDE w:val="0"/>
              <w:autoSpaceDN w:val="0"/>
              <w:adjustRightInd w:val="0"/>
              <w:rPr>
                <w:rFonts w:cs="Arial"/>
                <w:color w:val="000000"/>
                <w:szCs w:val="22"/>
                <w:lang w:val="en-AU" w:eastAsia="en-AU"/>
              </w:rPr>
            </w:pPr>
            <w:r w:rsidRPr="0006750D">
              <w:rPr>
                <w:rFonts w:cs="Arial"/>
                <w:color w:val="000000"/>
                <w:szCs w:val="22"/>
                <w:lang w:val="en-AU" w:eastAsia="en-AU"/>
              </w:rPr>
              <w:t>Placebo</w:t>
            </w:r>
          </w:p>
          <w:p w:rsidR="00A76E51" w:rsidRPr="0006750D" w:rsidRDefault="00A76E51" w:rsidP="00A76E51">
            <w:pPr>
              <w:pStyle w:val="Text"/>
              <w:tabs>
                <w:tab w:val="left" w:pos="567"/>
              </w:tabs>
              <w:spacing w:before="0" w:after="0"/>
              <w:rPr>
                <w:rFonts w:ascii="Arial" w:hAnsi="Arial" w:cs="Arial"/>
                <w:color w:val="000000"/>
                <w:sz w:val="22"/>
                <w:szCs w:val="22"/>
              </w:rPr>
            </w:pPr>
            <w:r w:rsidRPr="0006750D">
              <w:rPr>
                <w:rFonts w:ascii="Arial" w:hAnsi="Arial" w:cs="Arial"/>
                <w:color w:val="000000"/>
                <w:sz w:val="22"/>
                <w:szCs w:val="22"/>
                <w:lang w:val="en-AU" w:eastAsia="en-AU"/>
              </w:rPr>
              <w:t>(N = 121)</w:t>
            </w:r>
          </w:p>
        </w:tc>
        <w:tc>
          <w:tcPr>
            <w:tcW w:w="1985" w:type="dxa"/>
          </w:tcPr>
          <w:p w:rsidR="00A76E51" w:rsidRPr="0006750D" w:rsidRDefault="00A76E51" w:rsidP="00A76E51">
            <w:pPr>
              <w:autoSpaceDE w:val="0"/>
              <w:autoSpaceDN w:val="0"/>
              <w:adjustRightInd w:val="0"/>
              <w:rPr>
                <w:rFonts w:cs="Arial"/>
                <w:color w:val="000000"/>
                <w:szCs w:val="22"/>
                <w:lang w:val="en-AU" w:eastAsia="en-AU"/>
              </w:rPr>
            </w:pPr>
            <w:r w:rsidRPr="0006750D">
              <w:rPr>
                <w:rFonts w:cs="Arial"/>
                <w:color w:val="000000"/>
                <w:szCs w:val="22"/>
                <w:lang w:val="en-AU" w:eastAsia="en-AU"/>
              </w:rPr>
              <w:t>All</w:t>
            </w:r>
          </w:p>
          <w:p w:rsidR="00A76E51" w:rsidRPr="0006750D" w:rsidRDefault="00A76E51" w:rsidP="00A76E51">
            <w:pPr>
              <w:pStyle w:val="Text"/>
              <w:tabs>
                <w:tab w:val="left" w:pos="567"/>
              </w:tabs>
              <w:spacing w:before="0" w:after="0"/>
              <w:rPr>
                <w:rFonts w:ascii="Arial" w:hAnsi="Arial" w:cs="Arial"/>
                <w:color w:val="000000"/>
                <w:sz w:val="22"/>
                <w:szCs w:val="22"/>
              </w:rPr>
            </w:pPr>
            <w:r w:rsidRPr="0006750D">
              <w:rPr>
                <w:rFonts w:ascii="Arial" w:hAnsi="Arial" w:cs="Arial"/>
                <w:color w:val="000000"/>
                <w:sz w:val="22"/>
                <w:szCs w:val="22"/>
                <w:lang w:val="en-AU" w:eastAsia="en-AU"/>
              </w:rPr>
              <w:t>(N = 242)</w:t>
            </w:r>
          </w:p>
        </w:tc>
      </w:tr>
      <w:tr w:rsidR="00A76E51" w:rsidRPr="0006750D" w:rsidTr="00A76E51">
        <w:tc>
          <w:tcPr>
            <w:tcW w:w="3104" w:type="dxa"/>
          </w:tcPr>
          <w:p w:rsidR="00A76E51" w:rsidRPr="0006750D" w:rsidRDefault="00A76E51" w:rsidP="00A76E51">
            <w:pPr>
              <w:pStyle w:val="Text"/>
              <w:tabs>
                <w:tab w:val="left" w:pos="567"/>
              </w:tabs>
              <w:spacing w:before="0" w:after="0"/>
              <w:rPr>
                <w:rFonts w:ascii="Arial" w:hAnsi="Arial" w:cs="Arial"/>
                <w:color w:val="000000"/>
                <w:sz w:val="22"/>
                <w:szCs w:val="22"/>
              </w:rPr>
            </w:pPr>
            <w:r w:rsidRPr="0006750D">
              <w:rPr>
                <w:rFonts w:ascii="Arial" w:hAnsi="Arial" w:cs="Arial"/>
                <w:color w:val="000000"/>
                <w:sz w:val="22"/>
                <w:szCs w:val="22"/>
              </w:rPr>
              <w:t>Minimum BMD T-score at lumbar spine or femoral neck</w:t>
            </w:r>
          </w:p>
        </w:tc>
        <w:tc>
          <w:tcPr>
            <w:tcW w:w="2136" w:type="dxa"/>
          </w:tcPr>
          <w:p w:rsidR="00A76E51" w:rsidRPr="0006750D" w:rsidRDefault="00A76E51" w:rsidP="00A76E51">
            <w:pPr>
              <w:autoSpaceDE w:val="0"/>
              <w:autoSpaceDN w:val="0"/>
              <w:adjustRightInd w:val="0"/>
              <w:rPr>
                <w:rFonts w:cs="Arial"/>
                <w:color w:val="000000"/>
                <w:szCs w:val="22"/>
                <w:lang w:val="en-AU" w:eastAsia="en-AU"/>
              </w:rPr>
            </w:pPr>
            <w:r w:rsidRPr="0006750D">
              <w:rPr>
                <w:rFonts w:cs="Arial"/>
                <w:color w:val="000000"/>
                <w:szCs w:val="22"/>
              </w:rPr>
              <w:t>n (%)</w:t>
            </w:r>
          </w:p>
        </w:tc>
        <w:tc>
          <w:tcPr>
            <w:tcW w:w="2268" w:type="dxa"/>
          </w:tcPr>
          <w:p w:rsidR="00A76E51" w:rsidRPr="0006750D" w:rsidRDefault="00A76E51" w:rsidP="00A76E51">
            <w:pPr>
              <w:pStyle w:val="Text"/>
              <w:tabs>
                <w:tab w:val="left" w:pos="567"/>
              </w:tabs>
              <w:spacing w:before="0" w:after="0"/>
              <w:rPr>
                <w:rFonts w:ascii="Arial" w:hAnsi="Arial" w:cs="Arial"/>
                <w:color w:val="000000"/>
                <w:sz w:val="22"/>
                <w:szCs w:val="22"/>
              </w:rPr>
            </w:pPr>
            <w:r w:rsidRPr="0006750D">
              <w:rPr>
                <w:rFonts w:ascii="Arial" w:hAnsi="Arial" w:cs="Arial"/>
                <w:color w:val="000000"/>
                <w:sz w:val="22"/>
                <w:szCs w:val="22"/>
              </w:rPr>
              <w:t>n (%)</w:t>
            </w:r>
          </w:p>
        </w:tc>
        <w:tc>
          <w:tcPr>
            <w:tcW w:w="1985" w:type="dxa"/>
          </w:tcPr>
          <w:p w:rsidR="00A76E51" w:rsidRPr="0006750D" w:rsidRDefault="00A76E51" w:rsidP="00A76E51">
            <w:pPr>
              <w:pStyle w:val="Text"/>
              <w:tabs>
                <w:tab w:val="left" w:pos="567"/>
              </w:tabs>
              <w:spacing w:before="0" w:after="0"/>
              <w:rPr>
                <w:rFonts w:ascii="Arial" w:hAnsi="Arial" w:cs="Arial"/>
                <w:color w:val="000000"/>
                <w:sz w:val="22"/>
                <w:szCs w:val="22"/>
              </w:rPr>
            </w:pPr>
            <w:r w:rsidRPr="0006750D">
              <w:rPr>
                <w:rFonts w:ascii="Arial" w:hAnsi="Arial" w:cs="Arial"/>
                <w:color w:val="000000"/>
                <w:sz w:val="22"/>
                <w:szCs w:val="22"/>
              </w:rPr>
              <w:t>n (%)</w:t>
            </w:r>
          </w:p>
        </w:tc>
      </w:tr>
      <w:tr w:rsidR="00A76E51" w:rsidRPr="0006750D" w:rsidTr="00A76E51">
        <w:tc>
          <w:tcPr>
            <w:tcW w:w="3104" w:type="dxa"/>
          </w:tcPr>
          <w:p w:rsidR="00A76E51" w:rsidRPr="0006750D" w:rsidRDefault="00A76E51" w:rsidP="00A76E51">
            <w:pPr>
              <w:pStyle w:val="Text"/>
              <w:tabs>
                <w:tab w:val="left" w:pos="567"/>
              </w:tabs>
              <w:spacing w:before="0" w:after="0"/>
              <w:rPr>
                <w:rFonts w:ascii="Arial" w:hAnsi="Arial" w:cs="Arial"/>
                <w:color w:val="000000"/>
                <w:sz w:val="22"/>
                <w:szCs w:val="22"/>
              </w:rPr>
            </w:pPr>
            <w:r w:rsidRPr="0006750D">
              <w:rPr>
                <w:rFonts w:ascii="Arial" w:hAnsi="Arial" w:cs="Arial"/>
                <w:color w:val="000000"/>
                <w:sz w:val="22"/>
                <w:szCs w:val="22"/>
                <w:lang w:val="en-AU" w:eastAsia="en-AU"/>
              </w:rPr>
              <w:t>≤ -2.5</w:t>
            </w:r>
          </w:p>
        </w:tc>
        <w:tc>
          <w:tcPr>
            <w:tcW w:w="2136" w:type="dxa"/>
          </w:tcPr>
          <w:p w:rsidR="00A76E51" w:rsidRPr="0006750D" w:rsidRDefault="00A76E51" w:rsidP="00A76E51">
            <w:pPr>
              <w:pStyle w:val="Text"/>
              <w:tabs>
                <w:tab w:val="left" w:pos="567"/>
              </w:tabs>
              <w:spacing w:before="0" w:after="0"/>
              <w:rPr>
                <w:rFonts w:ascii="Arial" w:hAnsi="Arial" w:cs="Arial"/>
                <w:color w:val="000000"/>
                <w:sz w:val="22"/>
                <w:szCs w:val="22"/>
              </w:rPr>
            </w:pPr>
            <w:r w:rsidRPr="0006750D">
              <w:rPr>
                <w:rFonts w:ascii="Arial" w:hAnsi="Arial" w:cs="Arial"/>
                <w:color w:val="000000"/>
                <w:sz w:val="22"/>
                <w:szCs w:val="22"/>
                <w:lang w:val="en-AU" w:eastAsia="en-AU"/>
              </w:rPr>
              <w:t>61 (50)</w:t>
            </w:r>
          </w:p>
        </w:tc>
        <w:tc>
          <w:tcPr>
            <w:tcW w:w="2268" w:type="dxa"/>
          </w:tcPr>
          <w:p w:rsidR="00A76E51" w:rsidRPr="0006750D" w:rsidRDefault="00A76E51" w:rsidP="00A76E51">
            <w:pPr>
              <w:pStyle w:val="Text"/>
              <w:tabs>
                <w:tab w:val="left" w:pos="567"/>
              </w:tabs>
              <w:spacing w:before="0" w:after="0"/>
              <w:rPr>
                <w:rFonts w:ascii="Arial" w:hAnsi="Arial" w:cs="Arial"/>
                <w:color w:val="000000"/>
                <w:sz w:val="22"/>
                <w:szCs w:val="22"/>
              </w:rPr>
            </w:pPr>
            <w:r w:rsidRPr="0006750D">
              <w:rPr>
                <w:rFonts w:ascii="Arial" w:hAnsi="Arial" w:cs="Arial"/>
                <w:color w:val="000000"/>
                <w:sz w:val="22"/>
                <w:szCs w:val="22"/>
                <w:lang w:val="en-AU" w:eastAsia="en-AU"/>
              </w:rPr>
              <w:t>56 (46)</w:t>
            </w:r>
          </w:p>
        </w:tc>
        <w:tc>
          <w:tcPr>
            <w:tcW w:w="1985" w:type="dxa"/>
          </w:tcPr>
          <w:p w:rsidR="00A76E51" w:rsidRPr="0006750D" w:rsidRDefault="00A76E51" w:rsidP="00A76E51">
            <w:pPr>
              <w:autoSpaceDE w:val="0"/>
              <w:autoSpaceDN w:val="0"/>
              <w:adjustRightInd w:val="0"/>
              <w:rPr>
                <w:rFonts w:cs="Arial"/>
                <w:color w:val="000000"/>
                <w:szCs w:val="22"/>
                <w:lang w:val="en-AU" w:eastAsia="en-AU"/>
              </w:rPr>
            </w:pPr>
            <w:r w:rsidRPr="0006750D">
              <w:rPr>
                <w:rFonts w:cs="Arial"/>
                <w:color w:val="000000"/>
                <w:szCs w:val="22"/>
                <w:lang w:val="en-AU" w:eastAsia="en-AU"/>
              </w:rPr>
              <w:t>117 (48)</w:t>
            </w:r>
          </w:p>
        </w:tc>
      </w:tr>
      <w:tr w:rsidR="00A76E51" w:rsidRPr="0006750D" w:rsidTr="00A76E51">
        <w:tc>
          <w:tcPr>
            <w:tcW w:w="3104" w:type="dxa"/>
          </w:tcPr>
          <w:p w:rsidR="00A76E51" w:rsidRPr="0006750D" w:rsidRDefault="00A76E51" w:rsidP="00A76E51">
            <w:pPr>
              <w:autoSpaceDE w:val="0"/>
              <w:autoSpaceDN w:val="0"/>
              <w:adjustRightInd w:val="0"/>
              <w:rPr>
                <w:rFonts w:cs="Arial"/>
                <w:color w:val="000000"/>
                <w:szCs w:val="22"/>
                <w:lang w:val="en-AU" w:eastAsia="en-AU"/>
              </w:rPr>
            </w:pPr>
            <w:r w:rsidRPr="0006750D">
              <w:rPr>
                <w:rFonts w:cs="Arial"/>
                <w:color w:val="000000"/>
                <w:szCs w:val="22"/>
                <w:lang w:val="en-AU" w:eastAsia="en-AU"/>
              </w:rPr>
              <w:t>&gt; -2.5</w:t>
            </w:r>
          </w:p>
        </w:tc>
        <w:tc>
          <w:tcPr>
            <w:tcW w:w="2136" w:type="dxa"/>
          </w:tcPr>
          <w:p w:rsidR="00A76E51" w:rsidRPr="0006750D" w:rsidRDefault="00A76E51" w:rsidP="00A76E51">
            <w:pPr>
              <w:pStyle w:val="Text"/>
              <w:tabs>
                <w:tab w:val="left" w:pos="567"/>
              </w:tabs>
              <w:spacing w:before="0" w:after="0"/>
              <w:rPr>
                <w:rFonts w:ascii="Arial" w:hAnsi="Arial" w:cs="Arial"/>
                <w:color w:val="000000"/>
                <w:sz w:val="22"/>
                <w:szCs w:val="22"/>
              </w:rPr>
            </w:pPr>
            <w:r w:rsidRPr="0006750D">
              <w:rPr>
                <w:rFonts w:ascii="Arial" w:hAnsi="Arial" w:cs="Arial"/>
                <w:color w:val="000000"/>
                <w:sz w:val="22"/>
                <w:szCs w:val="22"/>
                <w:lang w:val="en-AU" w:eastAsia="en-AU"/>
              </w:rPr>
              <w:t xml:space="preserve">60 (50) </w:t>
            </w:r>
          </w:p>
        </w:tc>
        <w:tc>
          <w:tcPr>
            <w:tcW w:w="2268" w:type="dxa"/>
          </w:tcPr>
          <w:p w:rsidR="00A76E51" w:rsidRPr="0006750D" w:rsidRDefault="00A76E51" w:rsidP="00A76E51">
            <w:pPr>
              <w:pStyle w:val="Text"/>
              <w:tabs>
                <w:tab w:val="left" w:pos="567"/>
              </w:tabs>
              <w:spacing w:before="0" w:after="0"/>
              <w:rPr>
                <w:rFonts w:ascii="Arial" w:hAnsi="Arial" w:cs="Arial"/>
                <w:color w:val="000000"/>
                <w:sz w:val="22"/>
                <w:szCs w:val="22"/>
              </w:rPr>
            </w:pPr>
            <w:r w:rsidRPr="0006750D">
              <w:rPr>
                <w:rFonts w:ascii="Arial" w:hAnsi="Arial" w:cs="Arial"/>
                <w:color w:val="000000"/>
                <w:sz w:val="22"/>
                <w:szCs w:val="22"/>
                <w:lang w:val="en-AU" w:eastAsia="en-AU"/>
              </w:rPr>
              <w:t xml:space="preserve">65 (54) </w:t>
            </w:r>
          </w:p>
        </w:tc>
        <w:tc>
          <w:tcPr>
            <w:tcW w:w="1985" w:type="dxa"/>
          </w:tcPr>
          <w:p w:rsidR="00A76E51" w:rsidRPr="0006750D" w:rsidRDefault="00A76E51" w:rsidP="00A76E51">
            <w:pPr>
              <w:pStyle w:val="Text"/>
              <w:tabs>
                <w:tab w:val="left" w:pos="567"/>
              </w:tabs>
              <w:spacing w:before="0" w:after="0"/>
              <w:rPr>
                <w:rFonts w:ascii="Arial" w:hAnsi="Arial" w:cs="Arial"/>
                <w:color w:val="000000"/>
                <w:sz w:val="22"/>
                <w:szCs w:val="22"/>
              </w:rPr>
            </w:pPr>
            <w:r w:rsidRPr="0006750D">
              <w:rPr>
                <w:rFonts w:ascii="Arial" w:hAnsi="Arial" w:cs="Arial"/>
                <w:color w:val="000000"/>
                <w:sz w:val="22"/>
                <w:szCs w:val="22"/>
                <w:lang w:val="en-AU" w:eastAsia="en-AU"/>
              </w:rPr>
              <w:t>125 (52)</w:t>
            </w:r>
          </w:p>
        </w:tc>
      </w:tr>
    </w:tbl>
    <w:p w:rsidR="00A76E51" w:rsidRPr="0006750D" w:rsidRDefault="00A76E51" w:rsidP="00A76E51">
      <w:pPr>
        <w:autoSpaceDE w:val="0"/>
        <w:autoSpaceDN w:val="0"/>
        <w:adjustRightInd w:val="0"/>
        <w:rPr>
          <w:rFonts w:eastAsia="TimesNewRoman" w:cs="TimesNewRoman"/>
          <w:color w:val="000000"/>
          <w:sz w:val="16"/>
          <w:szCs w:val="16"/>
        </w:rPr>
      </w:pPr>
      <w:r w:rsidRPr="0006750D">
        <w:rPr>
          <w:rFonts w:eastAsia="TimesNewRoman" w:cs="TimesNewRoman"/>
          <w:color w:val="000000"/>
          <w:sz w:val="16"/>
          <w:szCs w:val="16"/>
        </w:rPr>
        <w:t xml:space="preserve">N = number of subjects </w:t>
      </w:r>
      <w:proofErr w:type="spellStart"/>
      <w:r w:rsidRPr="0006750D">
        <w:rPr>
          <w:rFonts w:eastAsia="TimesNewRoman" w:cs="TimesNewRoman"/>
          <w:color w:val="000000"/>
          <w:sz w:val="16"/>
          <w:szCs w:val="16"/>
        </w:rPr>
        <w:t>randomised</w:t>
      </w:r>
      <w:proofErr w:type="spellEnd"/>
      <w:r w:rsidRPr="0006750D">
        <w:rPr>
          <w:rFonts w:eastAsia="TimesNewRoman" w:cs="TimesNewRoman"/>
          <w:color w:val="000000"/>
          <w:sz w:val="16"/>
          <w:szCs w:val="16"/>
        </w:rPr>
        <w:t>.</w:t>
      </w:r>
    </w:p>
    <w:p w:rsidR="00A76E51" w:rsidRPr="0006750D" w:rsidRDefault="00A76E51" w:rsidP="00A76E51">
      <w:pPr>
        <w:autoSpaceDE w:val="0"/>
        <w:autoSpaceDN w:val="0"/>
        <w:adjustRightInd w:val="0"/>
        <w:rPr>
          <w:rFonts w:eastAsia="TimesNewRoman" w:cs="TimesNewRoman"/>
          <w:color w:val="000000"/>
        </w:rPr>
      </w:pPr>
    </w:p>
    <w:p w:rsidR="00A76E51" w:rsidRPr="0006750D" w:rsidRDefault="00A76E51" w:rsidP="00A76E51">
      <w:pPr>
        <w:autoSpaceDE w:val="0"/>
        <w:autoSpaceDN w:val="0"/>
        <w:adjustRightInd w:val="0"/>
        <w:rPr>
          <w:rFonts w:eastAsia="TimesNewRoman" w:cs="TimesNewRoman"/>
          <w:color w:val="000000"/>
          <w:sz w:val="14"/>
          <w:szCs w:val="14"/>
        </w:rPr>
      </w:pPr>
      <w:r w:rsidRPr="0006750D">
        <w:rPr>
          <w:rFonts w:eastAsia="TimesNewRoman" w:cs="TimesNewRoman"/>
          <w:color w:val="000000"/>
        </w:rPr>
        <w:t>The 242 men enrolled in the ADAMO study ranged in age from 31 to 84 years</w:t>
      </w:r>
      <w:r w:rsidRPr="0006750D">
        <w:rPr>
          <w:rFonts w:eastAsia="TimesNewRoman" w:cs="TimesNewRoman"/>
          <w:color w:val="000000"/>
          <w:sz w:val="14"/>
          <w:szCs w:val="14"/>
        </w:rPr>
        <w:t xml:space="preserve"> </w:t>
      </w:r>
      <w:r w:rsidRPr="0006750D">
        <w:rPr>
          <w:rFonts w:eastAsia="TimesNewRoman" w:cs="TimesNewRoman"/>
          <w:color w:val="000000"/>
        </w:rPr>
        <w:t xml:space="preserve">and were </w:t>
      </w:r>
      <w:proofErr w:type="spellStart"/>
      <w:r w:rsidRPr="0006750D">
        <w:rPr>
          <w:rFonts w:eastAsia="TimesNewRoman" w:cs="TimesNewRoman"/>
          <w:color w:val="000000"/>
        </w:rPr>
        <w:t>randomised</w:t>
      </w:r>
      <w:proofErr w:type="spellEnd"/>
      <w:r w:rsidRPr="0006750D">
        <w:rPr>
          <w:rFonts w:eastAsia="TimesNewRoman" w:cs="TimesNewRoman"/>
          <w:color w:val="000000"/>
        </w:rPr>
        <w:t xml:space="preserve"> to receive subcutaneous injections of either </w:t>
      </w:r>
      <w:proofErr w:type="spellStart"/>
      <w:r w:rsidRPr="0006750D">
        <w:rPr>
          <w:rFonts w:eastAsia="TimesNewRoman" w:cs="TimesNewRoman"/>
          <w:color w:val="000000"/>
        </w:rPr>
        <w:t>Prolia</w:t>
      </w:r>
      <w:proofErr w:type="spellEnd"/>
      <w:r w:rsidRPr="0006750D">
        <w:rPr>
          <w:rFonts w:cs="Arial"/>
          <w:color w:val="000000"/>
          <w:szCs w:val="22"/>
          <w:vertAlign w:val="superscript"/>
        </w:rPr>
        <w:t>®</w:t>
      </w:r>
      <w:r w:rsidRPr="0006750D">
        <w:rPr>
          <w:rFonts w:eastAsia="TimesNewRoman" w:cs="TimesNewRoman"/>
          <w:color w:val="000000"/>
        </w:rPr>
        <w:t xml:space="preserve"> 60 mg (n = 121) or placebo (n = 121)</w:t>
      </w:r>
      <w:r w:rsidRPr="0006750D">
        <w:rPr>
          <w:rFonts w:eastAsia="TimesNewRoman" w:cs="TimesNewRoman"/>
          <w:color w:val="000000"/>
          <w:sz w:val="14"/>
          <w:szCs w:val="14"/>
        </w:rPr>
        <w:t xml:space="preserve"> </w:t>
      </w:r>
      <w:r w:rsidRPr="0006750D">
        <w:rPr>
          <w:rFonts w:eastAsia="TimesNewRoman" w:cs="TimesNewRoman"/>
          <w:color w:val="000000"/>
        </w:rPr>
        <w:t xml:space="preserve">once every </w:t>
      </w:r>
      <w:r w:rsidRPr="0006750D">
        <w:rPr>
          <w:rFonts w:eastAsia="TimesNewRoman" w:cs="TimesNewRoman"/>
          <w:color w:val="000000"/>
        </w:rPr>
        <w:lastRenderedPageBreak/>
        <w:t>6 months.  Men received calcium (at least 1000 mg) and vitamin D (at least 800 IU) supplementation daily.</w:t>
      </w:r>
    </w:p>
    <w:p w:rsidR="00AD7003" w:rsidRDefault="00AD7003"/>
    <w:p w:rsidR="00A76E51" w:rsidRPr="0006750D" w:rsidRDefault="00A76E51" w:rsidP="00A76E51">
      <w:pPr>
        <w:autoSpaceDE w:val="0"/>
        <w:autoSpaceDN w:val="0"/>
        <w:adjustRightInd w:val="0"/>
        <w:rPr>
          <w:rFonts w:eastAsia="TimesNewRoman" w:cs="TimesNewRoman"/>
          <w:color w:val="000000"/>
        </w:rPr>
      </w:pPr>
      <w:r w:rsidRPr="0006750D">
        <w:rPr>
          <w:rFonts w:eastAsia="TimesNewRoman" w:cs="TimesNewRoman"/>
          <w:color w:val="000000"/>
        </w:rPr>
        <w:t>The primary efficacy variable was percent change in lumbar spine BMD at 1 year.  Secondary efficacy variables included percent change in total hip, hip trochanter, femoral neck, and distal 1/3 radius BMD at 1 year, and change in CTX at day 15.</w:t>
      </w:r>
    </w:p>
    <w:p w:rsidR="00A76E51" w:rsidRDefault="00A76E51"/>
    <w:p w:rsidR="00A76E51" w:rsidRPr="0006750D" w:rsidRDefault="00A76E51" w:rsidP="00A76E51">
      <w:pPr>
        <w:autoSpaceDE w:val="0"/>
        <w:autoSpaceDN w:val="0"/>
        <w:adjustRightInd w:val="0"/>
        <w:rPr>
          <w:rFonts w:eastAsia="TimesNewRoman" w:cs="TimesNewRoman"/>
          <w:color w:val="000000"/>
        </w:rPr>
      </w:pPr>
      <w:proofErr w:type="spellStart"/>
      <w:r w:rsidRPr="0006750D">
        <w:rPr>
          <w:rFonts w:eastAsia="TimesNewRoman" w:cs="TimesNewRoman"/>
          <w:color w:val="000000"/>
        </w:rPr>
        <w:t>Prolia</w:t>
      </w:r>
      <w:proofErr w:type="spellEnd"/>
      <w:r w:rsidRPr="0006750D">
        <w:rPr>
          <w:rFonts w:cs="Arial"/>
          <w:color w:val="000000"/>
          <w:szCs w:val="22"/>
          <w:vertAlign w:val="superscript"/>
        </w:rPr>
        <w:t>®</w:t>
      </w:r>
      <w:r w:rsidRPr="0006750D">
        <w:rPr>
          <w:rFonts w:eastAsia="TimesNewRoman" w:cs="TimesNewRoman"/>
          <w:color w:val="000000"/>
        </w:rPr>
        <w:t xml:space="preserve"> significantly increased BMD at all clinical sites measured, relative to treatment with placebo at 1 year in men with osteoporosis.  </w:t>
      </w:r>
      <w:proofErr w:type="spellStart"/>
      <w:r w:rsidRPr="0006750D">
        <w:rPr>
          <w:rFonts w:eastAsia="TimesNewRoman" w:cs="TimesNewRoman"/>
          <w:color w:val="000000"/>
        </w:rPr>
        <w:t>Prolia</w:t>
      </w:r>
      <w:proofErr w:type="spellEnd"/>
      <w:r w:rsidRPr="0006750D">
        <w:rPr>
          <w:rFonts w:cs="Arial"/>
          <w:color w:val="000000"/>
          <w:szCs w:val="22"/>
          <w:vertAlign w:val="superscript"/>
        </w:rPr>
        <w:t>®</w:t>
      </w:r>
      <w:r w:rsidRPr="0006750D">
        <w:rPr>
          <w:rFonts w:eastAsia="TimesNewRoman" w:cs="TimesNewRoman"/>
          <w:color w:val="000000"/>
        </w:rPr>
        <w:t xml:space="preserve"> increased BMD by 4.8% at the lumbar spine, 2.0% at the total hip, 2.3% at the hip trochanter, 2.2% at the femoral neck and 0.9% at the distal 1/3 radius, relative to placebo.  Consistent effects on BMD were observed at the lumbar spine regardless of baseline age, race, weight/body mass index (BMI), BMD, and level of bone turnover.</w:t>
      </w:r>
    </w:p>
    <w:p w:rsidR="00A76E51" w:rsidRDefault="00A76E51"/>
    <w:p w:rsidR="00A76E51" w:rsidRPr="00A41017" w:rsidRDefault="00A76E51" w:rsidP="00A76E51">
      <w:pPr>
        <w:autoSpaceDE w:val="0"/>
        <w:autoSpaceDN w:val="0"/>
        <w:adjustRightInd w:val="0"/>
        <w:rPr>
          <w:rFonts w:eastAsia="TimesNewRoman" w:cs="TimesNewRoman"/>
          <w:b/>
          <w:color w:val="000000"/>
        </w:rPr>
      </w:pPr>
      <w:r w:rsidRPr="00A41017">
        <w:rPr>
          <w:rFonts w:eastAsia="TimesNewRoman" w:cs="TimesNewRoman"/>
          <w:b/>
          <w:color w:val="000000"/>
        </w:rPr>
        <w:t>Bone Histology</w:t>
      </w:r>
    </w:p>
    <w:p w:rsidR="00A76E51" w:rsidRPr="0006750D" w:rsidRDefault="00A76E51" w:rsidP="00A76E51">
      <w:pPr>
        <w:autoSpaceDE w:val="0"/>
        <w:autoSpaceDN w:val="0"/>
        <w:adjustRightInd w:val="0"/>
        <w:rPr>
          <w:rFonts w:eastAsia="TimesNewRoman" w:cs="TimesNewRoman"/>
          <w:color w:val="000000"/>
        </w:rPr>
      </w:pPr>
      <w:r w:rsidRPr="0006750D">
        <w:rPr>
          <w:rFonts w:eastAsia="TimesNewRoman" w:cs="TimesNewRoman"/>
          <w:color w:val="000000"/>
        </w:rPr>
        <w:t xml:space="preserve">A total of 29 trans-iliac crest bone biopsy specimens were obtained from men with osteoporosis at 12 months (17 specimens in </w:t>
      </w:r>
      <w:proofErr w:type="spellStart"/>
      <w:r w:rsidRPr="0006750D">
        <w:rPr>
          <w:rFonts w:eastAsia="TimesNewRoman" w:cs="TimesNewRoman"/>
          <w:color w:val="000000"/>
        </w:rPr>
        <w:t>Prolia</w:t>
      </w:r>
      <w:proofErr w:type="spellEnd"/>
      <w:r w:rsidRPr="0006750D">
        <w:rPr>
          <w:rFonts w:cs="Arial"/>
          <w:color w:val="000000"/>
          <w:szCs w:val="22"/>
          <w:vertAlign w:val="superscript"/>
        </w:rPr>
        <w:t>®</w:t>
      </w:r>
      <w:r w:rsidRPr="0006750D">
        <w:rPr>
          <w:rFonts w:eastAsia="TimesNewRoman" w:cs="TimesNewRoman"/>
          <w:color w:val="000000"/>
        </w:rPr>
        <w:t xml:space="preserve"> group, 12 specimens in placebo group).  Qualitative histology assessments showed normal architecture and quality with no evidence of </w:t>
      </w:r>
      <w:proofErr w:type="spellStart"/>
      <w:r w:rsidRPr="0006750D">
        <w:rPr>
          <w:rFonts w:eastAsia="TimesNewRoman" w:cs="TimesNewRoman"/>
          <w:color w:val="000000"/>
        </w:rPr>
        <w:t>mineralisation</w:t>
      </w:r>
      <w:proofErr w:type="spellEnd"/>
      <w:r w:rsidRPr="0006750D">
        <w:rPr>
          <w:rFonts w:eastAsia="TimesNewRoman" w:cs="TimesNewRoman"/>
          <w:color w:val="000000"/>
        </w:rPr>
        <w:t xml:space="preserve"> defects, woven bone, or marrow fibrosis</w:t>
      </w:r>
    </w:p>
    <w:p w:rsidR="00A76E51" w:rsidRDefault="00A76E51"/>
    <w:p w:rsidR="00A76E51" w:rsidRPr="007309F6" w:rsidRDefault="00A76E51" w:rsidP="00A76E51">
      <w:pPr>
        <w:pStyle w:val="Text"/>
        <w:spacing w:before="0" w:after="0"/>
        <w:rPr>
          <w:rFonts w:ascii="Arial" w:hAnsi="Arial" w:cs="Arial"/>
          <w:b/>
          <w:color w:val="000000"/>
          <w:sz w:val="22"/>
          <w:szCs w:val="22"/>
        </w:rPr>
      </w:pPr>
      <w:r w:rsidRPr="00332500">
        <w:rPr>
          <w:rFonts w:ascii="Arial" w:hAnsi="Arial" w:cs="Arial"/>
          <w:b/>
          <w:color w:val="000000"/>
          <w:sz w:val="22"/>
          <w:szCs w:val="22"/>
        </w:rPr>
        <w:t>Treatment of bone loss associated with androgen deprivation</w:t>
      </w:r>
    </w:p>
    <w:p w:rsidR="00A76E51" w:rsidRDefault="00A76E51" w:rsidP="00A76E51">
      <w:pPr>
        <w:pStyle w:val="Text"/>
        <w:spacing w:before="0" w:after="0"/>
        <w:rPr>
          <w:rFonts w:ascii="Arial" w:hAnsi="Arial" w:cs="Arial"/>
          <w:noProof/>
          <w:color w:val="000000"/>
          <w:sz w:val="22"/>
          <w:szCs w:val="22"/>
          <w:lang w:val="en-GB"/>
        </w:rPr>
      </w:pPr>
      <w:r w:rsidRPr="00332500">
        <w:rPr>
          <w:rFonts w:ascii="Arial" w:hAnsi="Arial" w:cs="Arial"/>
          <w:noProof/>
          <w:color w:val="000000"/>
          <w:sz w:val="22"/>
          <w:szCs w:val="22"/>
          <w:lang w:val="en-GB"/>
        </w:rPr>
        <w:t xml:space="preserve">The efficacy and safety of </w:t>
      </w:r>
      <w:proofErr w:type="spellStart"/>
      <w:r w:rsidRPr="00332500">
        <w:rPr>
          <w:rFonts w:ascii="Arial" w:hAnsi="Arial" w:cs="Arial"/>
          <w:sz w:val="22"/>
          <w:szCs w:val="22"/>
        </w:rPr>
        <w:t>Prolia</w:t>
      </w:r>
      <w:proofErr w:type="spellEnd"/>
      <w:r w:rsidRPr="00332500">
        <w:rPr>
          <w:rFonts w:ascii="Arial" w:hAnsi="Arial" w:cs="Arial"/>
          <w:sz w:val="22"/>
          <w:szCs w:val="22"/>
          <w:vertAlign w:val="superscript"/>
        </w:rPr>
        <w:t>®</w:t>
      </w:r>
      <w:r w:rsidRPr="00332500">
        <w:rPr>
          <w:rFonts w:ascii="Arial" w:hAnsi="Arial" w:cs="Arial"/>
          <w:noProof/>
          <w:color w:val="000000"/>
          <w:sz w:val="22"/>
          <w:szCs w:val="22"/>
          <w:lang w:val="en-GB"/>
        </w:rPr>
        <w:t xml:space="preserve"> in the treatment of bone loss associated with androgen deprivation was assessed in a 3-year randomised, double-blind, placebo-controlled, multinational study of 1,468 men with non-metastatic prostate cancer aged 48 to 97 years.  All </w:t>
      </w:r>
      <w:r w:rsidRPr="00332500">
        <w:rPr>
          <w:rFonts w:ascii="Arial" w:hAnsi="Arial" w:cs="Arial"/>
          <w:bCs/>
          <w:noProof/>
          <w:color w:val="000000"/>
          <w:sz w:val="22"/>
          <w:szCs w:val="22"/>
          <w:lang w:val="en-GB"/>
        </w:rPr>
        <w:t xml:space="preserve">men regardless of age had histologically confirmed prostate cancer.  </w:t>
      </w:r>
      <w:r w:rsidRPr="00332500">
        <w:rPr>
          <w:rFonts w:ascii="Arial" w:hAnsi="Arial" w:cs="Arial"/>
          <w:noProof/>
          <w:color w:val="000000"/>
          <w:sz w:val="22"/>
          <w:szCs w:val="22"/>
          <w:lang w:val="en-GB"/>
        </w:rPr>
        <w:t>Men less than 70 years of age also had either a BMD T</w:t>
      </w:r>
      <w:r w:rsidRPr="00332500">
        <w:rPr>
          <w:rFonts w:ascii="Arial" w:hAnsi="Arial" w:cs="Arial"/>
          <w:noProof/>
          <w:color w:val="000000"/>
          <w:sz w:val="22"/>
          <w:szCs w:val="22"/>
          <w:lang w:val="en-GB"/>
        </w:rPr>
        <w:noBreakHyphen/>
        <w:t>score at the lumbar spine, total hip, or femoral neck &lt; -1.0 or a history of an osteoporotic fracture.</w:t>
      </w:r>
      <w:r w:rsidRPr="00B24590">
        <w:rPr>
          <w:rFonts w:ascii="Arial" w:hAnsi="Arial" w:cs="Arial"/>
          <w:noProof/>
          <w:color w:val="000000"/>
          <w:sz w:val="22"/>
          <w:szCs w:val="22"/>
          <w:lang w:val="en-GB"/>
        </w:rPr>
        <w:t xml:space="preserve">  Men over the age of 70 years did not have to meet the latter requirements.  M</w:t>
      </w:r>
      <w:r w:rsidRPr="00332500">
        <w:rPr>
          <w:rFonts w:ascii="Arial" w:hAnsi="Arial" w:cs="Arial"/>
          <w:noProof/>
          <w:color w:val="000000"/>
          <w:sz w:val="22"/>
          <w:szCs w:val="22"/>
          <w:lang w:val="en-GB"/>
        </w:rPr>
        <w:t xml:space="preserve">en were randomised to receive subcutaneous injections of either </w:t>
      </w:r>
      <w:proofErr w:type="spellStart"/>
      <w:r w:rsidRPr="00332500">
        <w:rPr>
          <w:rFonts w:ascii="Arial" w:hAnsi="Arial" w:cs="Arial"/>
          <w:sz w:val="22"/>
          <w:szCs w:val="22"/>
        </w:rPr>
        <w:t>Prolia</w:t>
      </w:r>
      <w:proofErr w:type="spellEnd"/>
      <w:r w:rsidRPr="00332500">
        <w:rPr>
          <w:rFonts w:ascii="Arial" w:hAnsi="Arial" w:cs="Arial"/>
          <w:sz w:val="22"/>
          <w:szCs w:val="22"/>
          <w:vertAlign w:val="superscript"/>
        </w:rPr>
        <w:t>®</w:t>
      </w:r>
      <w:r w:rsidRPr="00332500">
        <w:rPr>
          <w:rFonts w:ascii="Arial" w:hAnsi="Arial" w:cs="Arial"/>
          <w:noProof/>
          <w:sz w:val="22"/>
          <w:szCs w:val="22"/>
        </w:rPr>
        <w:t xml:space="preserve"> </w:t>
      </w:r>
      <w:r>
        <w:rPr>
          <w:rFonts w:ascii="Arial" w:hAnsi="Arial" w:cs="Arial"/>
          <w:noProof/>
          <w:color w:val="000000"/>
          <w:sz w:val="22"/>
          <w:szCs w:val="22"/>
          <w:lang w:val="en-GB"/>
        </w:rPr>
        <w:t xml:space="preserve">60 mg </w:t>
      </w:r>
      <w:r w:rsidRPr="00332500">
        <w:rPr>
          <w:rFonts w:ascii="Arial" w:hAnsi="Arial" w:cs="Arial"/>
          <w:noProof/>
          <w:color w:val="000000"/>
          <w:sz w:val="22"/>
          <w:szCs w:val="22"/>
          <w:lang w:val="en-GB"/>
        </w:rPr>
        <w:t>(n = 734) or placebo (n = 734) once every 6 months.  All men received calcium (at least 1,000 mg) and vitamin D (at least 400 IU) supplementation daily.  The primary efficacy variable was percent change in lumbar spine BMD.</w:t>
      </w:r>
    </w:p>
    <w:p w:rsidR="00A76E51" w:rsidRDefault="00A76E51"/>
    <w:p w:rsidR="00A76E51" w:rsidRPr="00D22855" w:rsidRDefault="00A76E51" w:rsidP="00A76E51">
      <w:pPr>
        <w:pStyle w:val="Text"/>
        <w:tabs>
          <w:tab w:val="left" w:pos="567"/>
        </w:tabs>
        <w:spacing w:before="0" w:after="0"/>
        <w:rPr>
          <w:rFonts w:ascii="Arial" w:hAnsi="Arial" w:cs="Arial"/>
          <w:sz w:val="22"/>
          <w:szCs w:val="22"/>
          <w:highlight w:val="yellow"/>
        </w:rPr>
      </w:pPr>
      <w:r w:rsidRPr="00336746">
        <w:rPr>
          <w:rFonts w:ascii="Arial" w:hAnsi="Arial" w:cs="Arial"/>
          <w:sz w:val="22"/>
          <w:szCs w:val="22"/>
        </w:rPr>
        <w:t xml:space="preserve">Independent risk factors for osteoporosis other than </w:t>
      </w:r>
      <w:r>
        <w:rPr>
          <w:rFonts w:ascii="Arial" w:hAnsi="Arial" w:cs="Arial"/>
          <w:sz w:val="22"/>
          <w:szCs w:val="22"/>
        </w:rPr>
        <w:t>BMD</w:t>
      </w:r>
      <w:r w:rsidRPr="00336746">
        <w:rPr>
          <w:rFonts w:ascii="Arial" w:hAnsi="Arial" w:cs="Arial"/>
          <w:sz w:val="22"/>
          <w:szCs w:val="22"/>
        </w:rPr>
        <w:t xml:space="preserve"> and advanced age (&gt;70 years of age) in males</w:t>
      </w:r>
      <w:r>
        <w:rPr>
          <w:rFonts w:ascii="Arial" w:hAnsi="Arial" w:cs="Arial"/>
          <w:sz w:val="22"/>
          <w:szCs w:val="22"/>
        </w:rPr>
        <w:t xml:space="preserve"> </w:t>
      </w:r>
      <w:r w:rsidRPr="0065233B">
        <w:rPr>
          <w:rFonts w:ascii="Arial" w:hAnsi="Arial" w:cs="Arial"/>
          <w:sz w:val="22"/>
          <w:szCs w:val="22"/>
        </w:rPr>
        <w:t>undergoing androgen deprivation</w:t>
      </w:r>
      <w:r w:rsidRPr="00336746">
        <w:rPr>
          <w:rFonts w:ascii="Arial" w:hAnsi="Arial" w:cs="Arial"/>
          <w:sz w:val="22"/>
          <w:szCs w:val="22"/>
        </w:rPr>
        <w:t>, such as family history of hip fracture, alcohol or tobacco use, have not been validated to the same extent as females</w:t>
      </w:r>
      <w:r>
        <w:rPr>
          <w:rFonts w:ascii="Arial" w:hAnsi="Arial" w:cs="Arial"/>
          <w:sz w:val="22"/>
          <w:szCs w:val="22"/>
        </w:rPr>
        <w:t xml:space="preserve"> </w:t>
      </w:r>
      <w:r w:rsidRPr="0065233B">
        <w:rPr>
          <w:rFonts w:ascii="Arial" w:hAnsi="Arial" w:cs="Arial"/>
          <w:sz w:val="22"/>
          <w:szCs w:val="22"/>
        </w:rPr>
        <w:t>with postmenopausal osteoporosis</w:t>
      </w:r>
      <w:r w:rsidRPr="00336746">
        <w:rPr>
          <w:rFonts w:ascii="Arial" w:hAnsi="Arial" w:cs="Arial"/>
          <w:sz w:val="22"/>
          <w:szCs w:val="22"/>
        </w:rPr>
        <w:t>.</w:t>
      </w:r>
    </w:p>
    <w:p w:rsidR="00A76E51" w:rsidRDefault="00A76E51">
      <w:pPr>
        <w:rPr>
          <w:rFonts w:cs="Arial"/>
          <w:b/>
        </w:rPr>
      </w:pPr>
      <w:r>
        <w:rPr>
          <w:rFonts w:cs="Arial"/>
          <w:b/>
        </w:rPr>
        <w:br w:type="page"/>
      </w:r>
    </w:p>
    <w:p w:rsidR="00A76E51" w:rsidRDefault="00A76E51" w:rsidP="00A76E51">
      <w:pPr>
        <w:jc w:val="center"/>
      </w:pPr>
      <w:proofErr w:type="gramStart"/>
      <w:r w:rsidRPr="00C1682B">
        <w:rPr>
          <w:rFonts w:cs="Arial"/>
          <w:b/>
        </w:rPr>
        <w:lastRenderedPageBreak/>
        <w:t xml:space="preserve">Table </w:t>
      </w:r>
      <w:r>
        <w:rPr>
          <w:rFonts w:cs="Arial"/>
          <w:b/>
        </w:rPr>
        <w:t>4</w:t>
      </w:r>
      <w:r w:rsidRPr="00C1682B">
        <w:rPr>
          <w:rFonts w:cs="Arial"/>
          <w:b/>
        </w:rPr>
        <w:t>.</w:t>
      </w:r>
      <w:proofErr w:type="gramEnd"/>
      <w:r w:rsidRPr="00C1682B">
        <w:rPr>
          <w:rFonts w:cs="Arial"/>
          <w:b/>
        </w:rPr>
        <w:t xml:space="preserve"> </w:t>
      </w:r>
      <w:r w:rsidRPr="00C1682B">
        <w:rPr>
          <w:rFonts w:cs="Arial"/>
          <w:b/>
          <w:bCs/>
          <w:lang w:val="en-AU" w:eastAsia="en-AU"/>
        </w:rPr>
        <w:t>Baseline Demographics (All Randomised Subjects)</w:t>
      </w:r>
    </w:p>
    <w:p w:rsidR="00A76E51" w:rsidRDefault="00A76E51"/>
    <w:tbl>
      <w:tblPr>
        <w:tblpPr w:leftFromText="180" w:rightFromText="180" w:vertAnchor="text" w:horzAnchor="margin" w:tblpY="4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4"/>
        <w:gridCol w:w="2136"/>
        <w:gridCol w:w="2268"/>
        <w:gridCol w:w="1985"/>
      </w:tblGrid>
      <w:tr w:rsidR="00A76E51" w:rsidRPr="006B1651" w:rsidTr="00A76E51">
        <w:tc>
          <w:tcPr>
            <w:tcW w:w="3104" w:type="dxa"/>
          </w:tcPr>
          <w:p w:rsidR="00A76E51" w:rsidRPr="00EF231B" w:rsidRDefault="00A76E51" w:rsidP="00A76E51">
            <w:pPr>
              <w:pStyle w:val="Text"/>
              <w:tabs>
                <w:tab w:val="left" w:pos="567"/>
              </w:tabs>
              <w:spacing w:before="0" w:after="0"/>
              <w:rPr>
                <w:rFonts w:ascii="Arial" w:hAnsi="Arial" w:cs="Arial"/>
                <w:sz w:val="22"/>
                <w:szCs w:val="22"/>
              </w:rPr>
            </w:pPr>
          </w:p>
        </w:tc>
        <w:tc>
          <w:tcPr>
            <w:tcW w:w="2136" w:type="dxa"/>
          </w:tcPr>
          <w:p w:rsidR="00A76E51" w:rsidRPr="006B1651" w:rsidRDefault="00A76E51" w:rsidP="00A76E51">
            <w:pPr>
              <w:autoSpaceDE w:val="0"/>
              <w:autoSpaceDN w:val="0"/>
              <w:adjustRightInd w:val="0"/>
              <w:rPr>
                <w:rFonts w:cs="Arial"/>
                <w:szCs w:val="22"/>
                <w:lang w:val="en-AU" w:eastAsia="en-AU"/>
              </w:rPr>
            </w:pPr>
            <w:proofErr w:type="spellStart"/>
            <w:r w:rsidRPr="006B1651">
              <w:rPr>
                <w:rFonts w:cs="Arial"/>
                <w:szCs w:val="22"/>
                <w:lang w:val="en-AU" w:eastAsia="en-AU"/>
              </w:rPr>
              <w:t>Prolia</w:t>
            </w:r>
            <w:proofErr w:type="spellEnd"/>
            <w:r w:rsidRPr="006B1651">
              <w:rPr>
                <w:rFonts w:cs="Arial"/>
                <w:szCs w:val="22"/>
                <w:vertAlign w:val="superscript"/>
                <w:lang w:val="en-AU" w:eastAsia="en-AU"/>
              </w:rPr>
              <w:t>®</w:t>
            </w:r>
          </w:p>
          <w:p w:rsidR="00A76E51" w:rsidRPr="006B1651" w:rsidRDefault="00A76E51" w:rsidP="00A76E51">
            <w:pPr>
              <w:pStyle w:val="Text"/>
              <w:tabs>
                <w:tab w:val="left" w:pos="567"/>
              </w:tabs>
              <w:spacing w:before="0" w:after="0"/>
              <w:rPr>
                <w:rFonts w:ascii="Arial" w:hAnsi="Arial" w:cs="Arial"/>
                <w:sz w:val="22"/>
                <w:szCs w:val="22"/>
              </w:rPr>
            </w:pPr>
            <w:r w:rsidRPr="006B1651">
              <w:rPr>
                <w:rFonts w:ascii="Arial" w:hAnsi="Arial" w:cs="Arial"/>
                <w:sz w:val="22"/>
                <w:szCs w:val="22"/>
                <w:lang w:val="en-AU" w:eastAsia="en-AU"/>
              </w:rPr>
              <w:t>(N = 734)</w:t>
            </w:r>
          </w:p>
        </w:tc>
        <w:tc>
          <w:tcPr>
            <w:tcW w:w="2268" w:type="dxa"/>
          </w:tcPr>
          <w:p w:rsidR="00A76E51" w:rsidRPr="006B1651" w:rsidRDefault="00A76E51" w:rsidP="00A76E51">
            <w:pPr>
              <w:autoSpaceDE w:val="0"/>
              <w:autoSpaceDN w:val="0"/>
              <w:adjustRightInd w:val="0"/>
              <w:rPr>
                <w:rFonts w:cs="Arial"/>
                <w:szCs w:val="22"/>
                <w:lang w:val="en-AU" w:eastAsia="en-AU"/>
              </w:rPr>
            </w:pPr>
            <w:r w:rsidRPr="006B1651">
              <w:rPr>
                <w:rFonts w:cs="Arial"/>
                <w:szCs w:val="22"/>
                <w:lang w:val="en-AU" w:eastAsia="en-AU"/>
              </w:rPr>
              <w:t>Placebo</w:t>
            </w:r>
          </w:p>
          <w:p w:rsidR="00A76E51" w:rsidRPr="006B1651" w:rsidRDefault="00A76E51" w:rsidP="00A76E51">
            <w:pPr>
              <w:pStyle w:val="Text"/>
              <w:tabs>
                <w:tab w:val="left" w:pos="567"/>
              </w:tabs>
              <w:spacing w:before="0" w:after="0"/>
              <w:rPr>
                <w:rFonts w:ascii="Arial" w:hAnsi="Arial" w:cs="Arial"/>
                <w:sz w:val="22"/>
                <w:szCs w:val="22"/>
              </w:rPr>
            </w:pPr>
            <w:r w:rsidRPr="006B1651">
              <w:rPr>
                <w:rFonts w:ascii="Arial" w:hAnsi="Arial" w:cs="Arial"/>
                <w:sz w:val="22"/>
                <w:szCs w:val="22"/>
                <w:lang w:val="en-AU" w:eastAsia="en-AU"/>
              </w:rPr>
              <w:t>(N = 734)</w:t>
            </w:r>
          </w:p>
        </w:tc>
        <w:tc>
          <w:tcPr>
            <w:tcW w:w="1985" w:type="dxa"/>
          </w:tcPr>
          <w:p w:rsidR="00A76E51" w:rsidRPr="006B1651" w:rsidRDefault="00A76E51" w:rsidP="00A76E51">
            <w:pPr>
              <w:autoSpaceDE w:val="0"/>
              <w:autoSpaceDN w:val="0"/>
              <w:adjustRightInd w:val="0"/>
              <w:rPr>
                <w:rFonts w:cs="Arial"/>
                <w:szCs w:val="22"/>
                <w:lang w:val="en-AU" w:eastAsia="en-AU"/>
              </w:rPr>
            </w:pPr>
            <w:r w:rsidRPr="006B1651">
              <w:rPr>
                <w:rFonts w:cs="Arial"/>
                <w:szCs w:val="22"/>
                <w:lang w:val="en-AU" w:eastAsia="en-AU"/>
              </w:rPr>
              <w:t>All</w:t>
            </w:r>
          </w:p>
          <w:p w:rsidR="00A76E51" w:rsidRPr="006B1651" w:rsidRDefault="00A76E51" w:rsidP="00A76E51">
            <w:pPr>
              <w:pStyle w:val="Text"/>
              <w:tabs>
                <w:tab w:val="left" w:pos="567"/>
              </w:tabs>
              <w:spacing w:before="0" w:after="0"/>
              <w:rPr>
                <w:rFonts w:ascii="Arial" w:hAnsi="Arial" w:cs="Arial"/>
                <w:sz w:val="22"/>
                <w:szCs w:val="22"/>
              </w:rPr>
            </w:pPr>
            <w:r w:rsidRPr="006B1651">
              <w:rPr>
                <w:rFonts w:ascii="Arial" w:hAnsi="Arial" w:cs="Arial"/>
                <w:sz w:val="22"/>
                <w:szCs w:val="22"/>
                <w:lang w:val="en-AU" w:eastAsia="en-AU"/>
              </w:rPr>
              <w:t>(N = 1468)</w:t>
            </w:r>
          </w:p>
        </w:tc>
      </w:tr>
      <w:tr w:rsidR="00A76E51" w:rsidRPr="006B1651" w:rsidTr="00A76E51">
        <w:tc>
          <w:tcPr>
            <w:tcW w:w="3104" w:type="dxa"/>
          </w:tcPr>
          <w:p w:rsidR="00A76E51" w:rsidRPr="006B1651" w:rsidRDefault="00A76E51" w:rsidP="00A76E51">
            <w:pPr>
              <w:autoSpaceDE w:val="0"/>
              <w:autoSpaceDN w:val="0"/>
              <w:adjustRightInd w:val="0"/>
            </w:pPr>
            <w:r w:rsidRPr="006B1651">
              <w:rPr>
                <w:rFonts w:cs="Arial"/>
                <w:szCs w:val="22"/>
                <w:lang w:val="en-AU" w:eastAsia="en-AU"/>
              </w:rPr>
              <w:t>Age (years)</w:t>
            </w:r>
          </w:p>
        </w:tc>
        <w:tc>
          <w:tcPr>
            <w:tcW w:w="2136" w:type="dxa"/>
          </w:tcPr>
          <w:p w:rsidR="00A76E51" w:rsidRPr="006B1651" w:rsidRDefault="00A76E51" w:rsidP="00A76E51">
            <w:pPr>
              <w:autoSpaceDE w:val="0"/>
              <w:autoSpaceDN w:val="0"/>
              <w:adjustRightInd w:val="0"/>
              <w:rPr>
                <w:rFonts w:cs="Arial"/>
                <w:szCs w:val="22"/>
                <w:lang w:val="en-AU" w:eastAsia="en-AU"/>
              </w:rPr>
            </w:pPr>
          </w:p>
        </w:tc>
        <w:tc>
          <w:tcPr>
            <w:tcW w:w="2268" w:type="dxa"/>
          </w:tcPr>
          <w:p w:rsidR="00A76E51" w:rsidRPr="006B1651" w:rsidRDefault="00A76E51" w:rsidP="00A76E51">
            <w:pPr>
              <w:pStyle w:val="Text"/>
              <w:tabs>
                <w:tab w:val="left" w:pos="567"/>
              </w:tabs>
              <w:spacing w:before="0" w:after="0"/>
              <w:rPr>
                <w:rFonts w:ascii="Arial" w:hAnsi="Arial" w:cs="Arial"/>
                <w:sz w:val="22"/>
                <w:szCs w:val="22"/>
              </w:rPr>
            </w:pPr>
          </w:p>
        </w:tc>
        <w:tc>
          <w:tcPr>
            <w:tcW w:w="1985" w:type="dxa"/>
          </w:tcPr>
          <w:p w:rsidR="00A76E51" w:rsidRPr="006B1651" w:rsidRDefault="00A76E51" w:rsidP="00A76E51">
            <w:pPr>
              <w:pStyle w:val="Text"/>
              <w:tabs>
                <w:tab w:val="left" w:pos="567"/>
              </w:tabs>
              <w:spacing w:before="0" w:after="0"/>
              <w:rPr>
                <w:rFonts w:ascii="Arial" w:hAnsi="Arial" w:cs="Arial"/>
                <w:sz w:val="22"/>
                <w:szCs w:val="22"/>
              </w:rPr>
            </w:pPr>
          </w:p>
        </w:tc>
      </w:tr>
      <w:tr w:rsidR="00A76E51" w:rsidRPr="006B1651" w:rsidTr="00A76E51">
        <w:tc>
          <w:tcPr>
            <w:tcW w:w="3104" w:type="dxa"/>
          </w:tcPr>
          <w:p w:rsidR="00A76E51" w:rsidRPr="006B1651" w:rsidRDefault="00A76E51" w:rsidP="00A76E51">
            <w:pPr>
              <w:pStyle w:val="Text"/>
              <w:tabs>
                <w:tab w:val="left" w:pos="567"/>
              </w:tabs>
              <w:spacing w:before="0" w:after="0"/>
              <w:rPr>
                <w:rFonts w:ascii="Arial" w:hAnsi="Arial" w:cs="Arial"/>
                <w:sz w:val="22"/>
                <w:szCs w:val="22"/>
              </w:rPr>
            </w:pPr>
            <w:r w:rsidRPr="006B1651">
              <w:rPr>
                <w:rFonts w:ascii="Arial" w:hAnsi="Arial" w:cs="Arial"/>
                <w:sz w:val="22"/>
                <w:szCs w:val="22"/>
                <w:lang w:val="en-AU" w:eastAsia="en-AU"/>
              </w:rPr>
              <w:t>Mean</w:t>
            </w:r>
          </w:p>
        </w:tc>
        <w:tc>
          <w:tcPr>
            <w:tcW w:w="2136" w:type="dxa"/>
          </w:tcPr>
          <w:p w:rsidR="00A76E51" w:rsidRPr="006B1651" w:rsidRDefault="00A76E51" w:rsidP="00A76E51">
            <w:pPr>
              <w:pStyle w:val="Text"/>
              <w:tabs>
                <w:tab w:val="left" w:pos="567"/>
              </w:tabs>
              <w:spacing w:before="0" w:after="0"/>
              <w:rPr>
                <w:rFonts w:ascii="Arial" w:hAnsi="Arial" w:cs="Arial"/>
                <w:sz w:val="22"/>
                <w:szCs w:val="22"/>
              </w:rPr>
            </w:pPr>
            <w:r w:rsidRPr="006B1651">
              <w:rPr>
                <w:rFonts w:ascii="Arial" w:hAnsi="Arial" w:cs="Arial"/>
                <w:sz w:val="22"/>
                <w:szCs w:val="22"/>
                <w:lang w:val="en-AU" w:eastAsia="en-AU"/>
              </w:rPr>
              <w:t>75.3</w:t>
            </w:r>
          </w:p>
        </w:tc>
        <w:tc>
          <w:tcPr>
            <w:tcW w:w="2268" w:type="dxa"/>
          </w:tcPr>
          <w:p w:rsidR="00A76E51" w:rsidRPr="006B1651" w:rsidRDefault="00A76E51" w:rsidP="00A76E51">
            <w:pPr>
              <w:pStyle w:val="Text"/>
              <w:tabs>
                <w:tab w:val="left" w:pos="567"/>
              </w:tabs>
              <w:spacing w:before="0" w:after="0"/>
              <w:rPr>
                <w:rFonts w:ascii="Arial" w:hAnsi="Arial" w:cs="Arial"/>
                <w:sz w:val="22"/>
                <w:szCs w:val="22"/>
              </w:rPr>
            </w:pPr>
            <w:r w:rsidRPr="006B1651">
              <w:rPr>
                <w:rFonts w:ascii="Arial" w:hAnsi="Arial" w:cs="Arial"/>
                <w:sz w:val="22"/>
                <w:szCs w:val="22"/>
                <w:lang w:val="en-AU" w:eastAsia="en-AU"/>
              </w:rPr>
              <w:t>75.5</w:t>
            </w:r>
          </w:p>
        </w:tc>
        <w:tc>
          <w:tcPr>
            <w:tcW w:w="1985" w:type="dxa"/>
          </w:tcPr>
          <w:p w:rsidR="00A76E51" w:rsidRPr="006B1651" w:rsidRDefault="00A76E51" w:rsidP="00A76E51">
            <w:pPr>
              <w:autoSpaceDE w:val="0"/>
              <w:autoSpaceDN w:val="0"/>
              <w:adjustRightInd w:val="0"/>
              <w:rPr>
                <w:rFonts w:cs="Arial"/>
                <w:szCs w:val="22"/>
                <w:lang w:val="en-AU" w:eastAsia="en-AU"/>
              </w:rPr>
            </w:pPr>
            <w:r w:rsidRPr="006B1651">
              <w:rPr>
                <w:rFonts w:cs="Arial"/>
                <w:szCs w:val="22"/>
                <w:lang w:val="en-AU" w:eastAsia="en-AU"/>
              </w:rPr>
              <w:t>75.4</w:t>
            </w:r>
          </w:p>
        </w:tc>
      </w:tr>
      <w:tr w:rsidR="00A76E51" w:rsidRPr="006B1651" w:rsidTr="00A76E51">
        <w:tc>
          <w:tcPr>
            <w:tcW w:w="3104" w:type="dxa"/>
          </w:tcPr>
          <w:p w:rsidR="00A76E51" w:rsidRPr="006B1651" w:rsidRDefault="00A76E51" w:rsidP="00A76E51">
            <w:pPr>
              <w:autoSpaceDE w:val="0"/>
              <w:autoSpaceDN w:val="0"/>
              <w:adjustRightInd w:val="0"/>
              <w:rPr>
                <w:rFonts w:cs="Arial"/>
                <w:szCs w:val="22"/>
                <w:lang w:val="en-AU" w:eastAsia="en-AU"/>
              </w:rPr>
            </w:pPr>
            <w:r w:rsidRPr="006B1651">
              <w:rPr>
                <w:rFonts w:cs="Arial"/>
                <w:szCs w:val="22"/>
                <w:lang w:val="en-AU" w:eastAsia="en-AU"/>
              </w:rPr>
              <w:t xml:space="preserve">SD </w:t>
            </w:r>
          </w:p>
        </w:tc>
        <w:tc>
          <w:tcPr>
            <w:tcW w:w="2136" w:type="dxa"/>
          </w:tcPr>
          <w:p w:rsidR="00A76E51" w:rsidRPr="006B1651" w:rsidRDefault="00A76E51" w:rsidP="00A76E51">
            <w:pPr>
              <w:pStyle w:val="Text"/>
              <w:tabs>
                <w:tab w:val="left" w:pos="567"/>
              </w:tabs>
              <w:spacing w:before="0" w:after="0"/>
              <w:rPr>
                <w:rFonts w:ascii="Arial" w:hAnsi="Arial" w:cs="Arial"/>
                <w:sz w:val="22"/>
                <w:szCs w:val="22"/>
              </w:rPr>
            </w:pPr>
            <w:r w:rsidRPr="006B1651">
              <w:rPr>
                <w:rFonts w:ascii="Arial" w:hAnsi="Arial" w:cs="Arial"/>
                <w:sz w:val="22"/>
                <w:szCs w:val="22"/>
                <w:lang w:val="en-AU" w:eastAsia="en-AU"/>
              </w:rPr>
              <w:t xml:space="preserve">7.0 </w:t>
            </w:r>
          </w:p>
        </w:tc>
        <w:tc>
          <w:tcPr>
            <w:tcW w:w="2268" w:type="dxa"/>
          </w:tcPr>
          <w:p w:rsidR="00A76E51" w:rsidRPr="006B1651" w:rsidRDefault="00A76E51" w:rsidP="00A76E51">
            <w:pPr>
              <w:pStyle w:val="Text"/>
              <w:tabs>
                <w:tab w:val="left" w:pos="567"/>
              </w:tabs>
              <w:spacing w:before="0" w:after="0"/>
              <w:rPr>
                <w:rFonts w:ascii="Arial" w:hAnsi="Arial" w:cs="Arial"/>
                <w:sz w:val="22"/>
                <w:szCs w:val="22"/>
              </w:rPr>
            </w:pPr>
            <w:r w:rsidRPr="006B1651">
              <w:rPr>
                <w:rFonts w:ascii="Arial" w:hAnsi="Arial" w:cs="Arial"/>
                <w:sz w:val="22"/>
                <w:szCs w:val="22"/>
                <w:lang w:val="en-AU" w:eastAsia="en-AU"/>
              </w:rPr>
              <w:t xml:space="preserve">7.1 </w:t>
            </w:r>
          </w:p>
        </w:tc>
        <w:tc>
          <w:tcPr>
            <w:tcW w:w="1985" w:type="dxa"/>
          </w:tcPr>
          <w:p w:rsidR="00A76E51" w:rsidRPr="006B1651" w:rsidRDefault="00A76E51" w:rsidP="00A76E51">
            <w:pPr>
              <w:pStyle w:val="Text"/>
              <w:tabs>
                <w:tab w:val="left" w:pos="567"/>
              </w:tabs>
              <w:spacing w:before="0" w:after="0"/>
              <w:rPr>
                <w:rFonts w:ascii="Arial" w:hAnsi="Arial" w:cs="Arial"/>
                <w:sz w:val="22"/>
                <w:szCs w:val="22"/>
              </w:rPr>
            </w:pPr>
            <w:r w:rsidRPr="006B1651">
              <w:rPr>
                <w:rFonts w:ascii="Arial" w:hAnsi="Arial" w:cs="Arial"/>
                <w:sz w:val="22"/>
                <w:szCs w:val="22"/>
                <w:lang w:val="en-AU" w:eastAsia="en-AU"/>
              </w:rPr>
              <w:t>7.1</w:t>
            </w:r>
          </w:p>
        </w:tc>
      </w:tr>
      <w:tr w:rsidR="00A76E51" w:rsidRPr="006B1651" w:rsidTr="00A76E51">
        <w:tc>
          <w:tcPr>
            <w:tcW w:w="3104" w:type="dxa"/>
          </w:tcPr>
          <w:p w:rsidR="00A76E51" w:rsidRPr="006B1651" w:rsidRDefault="00A76E51" w:rsidP="00A76E51">
            <w:pPr>
              <w:autoSpaceDE w:val="0"/>
              <w:autoSpaceDN w:val="0"/>
              <w:adjustRightInd w:val="0"/>
              <w:rPr>
                <w:rFonts w:cs="Arial"/>
                <w:szCs w:val="22"/>
                <w:lang w:val="en-AU" w:eastAsia="en-AU"/>
              </w:rPr>
            </w:pPr>
            <w:r w:rsidRPr="006B1651">
              <w:rPr>
                <w:rFonts w:cs="Arial"/>
                <w:szCs w:val="22"/>
                <w:lang w:val="en-AU" w:eastAsia="en-AU"/>
              </w:rPr>
              <w:t xml:space="preserve">Median </w:t>
            </w:r>
          </w:p>
        </w:tc>
        <w:tc>
          <w:tcPr>
            <w:tcW w:w="2136" w:type="dxa"/>
          </w:tcPr>
          <w:p w:rsidR="00A76E51" w:rsidRPr="006B1651" w:rsidRDefault="00A76E51" w:rsidP="00A76E51">
            <w:pPr>
              <w:pStyle w:val="Text"/>
              <w:tabs>
                <w:tab w:val="left" w:pos="567"/>
              </w:tabs>
              <w:spacing w:before="0" w:after="0"/>
              <w:rPr>
                <w:rFonts w:ascii="Arial" w:hAnsi="Arial" w:cs="Arial"/>
                <w:sz w:val="22"/>
                <w:szCs w:val="22"/>
              </w:rPr>
            </w:pPr>
            <w:r w:rsidRPr="006B1651">
              <w:rPr>
                <w:rFonts w:ascii="Arial" w:hAnsi="Arial" w:cs="Arial"/>
                <w:sz w:val="22"/>
                <w:szCs w:val="22"/>
                <w:lang w:val="en-AU" w:eastAsia="en-AU"/>
              </w:rPr>
              <w:t xml:space="preserve">76.0 </w:t>
            </w:r>
          </w:p>
        </w:tc>
        <w:tc>
          <w:tcPr>
            <w:tcW w:w="2268" w:type="dxa"/>
          </w:tcPr>
          <w:p w:rsidR="00A76E51" w:rsidRPr="006B1651" w:rsidRDefault="00A76E51" w:rsidP="00A76E51">
            <w:pPr>
              <w:pStyle w:val="Text"/>
              <w:tabs>
                <w:tab w:val="left" w:pos="567"/>
              </w:tabs>
              <w:spacing w:before="0" w:after="0"/>
              <w:rPr>
                <w:rFonts w:ascii="Arial" w:hAnsi="Arial" w:cs="Arial"/>
                <w:sz w:val="22"/>
                <w:szCs w:val="22"/>
              </w:rPr>
            </w:pPr>
            <w:r w:rsidRPr="006B1651">
              <w:rPr>
                <w:rFonts w:ascii="Arial" w:hAnsi="Arial" w:cs="Arial"/>
                <w:sz w:val="22"/>
                <w:szCs w:val="22"/>
                <w:lang w:val="en-AU" w:eastAsia="en-AU"/>
              </w:rPr>
              <w:t xml:space="preserve">76.0 </w:t>
            </w:r>
          </w:p>
        </w:tc>
        <w:tc>
          <w:tcPr>
            <w:tcW w:w="1985" w:type="dxa"/>
          </w:tcPr>
          <w:p w:rsidR="00A76E51" w:rsidRPr="006B1651" w:rsidRDefault="00A76E51" w:rsidP="00A76E51">
            <w:pPr>
              <w:pStyle w:val="Text"/>
              <w:tabs>
                <w:tab w:val="left" w:pos="567"/>
              </w:tabs>
              <w:spacing w:before="0" w:after="0"/>
              <w:rPr>
                <w:rFonts w:ascii="Arial" w:hAnsi="Arial" w:cs="Arial"/>
                <w:sz w:val="22"/>
                <w:szCs w:val="22"/>
              </w:rPr>
            </w:pPr>
            <w:r w:rsidRPr="006B1651">
              <w:rPr>
                <w:rFonts w:ascii="Arial" w:hAnsi="Arial" w:cs="Arial"/>
                <w:sz w:val="22"/>
                <w:szCs w:val="22"/>
                <w:lang w:val="en-AU" w:eastAsia="en-AU"/>
              </w:rPr>
              <w:t>76.0</w:t>
            </w:r>
          </w:p>
        </w:tc>
      </w:tr>
      <w:tr w:rsidR="00A76E51" w:rsidRPr="006B1651" w:rsidTr="00A76E51">
        <w:tc>
          <w:tcPr>
            <w:tcW w:w="3104" w:type="dxa"/>
          </w:tcPr>
          <w:p w:rsidR="00A76E51" w:rsidRPr="006B1651" w:rsidRDefault="00A76E51" w:rsidP="00A76E51">
            <w:pPr>
              <w:autoSpaceDE w:val="0"/>
              <w:autoSpaceDN w:val="0"/>
              <w:adjustRightInd w:val="0"/>
              <w:rPr>
                <w:rFonts w:cs="Arial"/>
                <w:szCs w:val="22"/>
              </w:rPr>
            </w:pPr>
            <w:r w:rsidRPr="006B1651">
              <w:rPr>
                <w:rFonts w:cs="Arial"/>
                <w:szCs w:val="22"/>
                <w:lang w:val="en-AU" w:eastAsia="en-AU"/>
              </w:rPr>
              <w:t xml:space="preserve">Q1, Q3 </w:t>
            </w:r>
          </w:p>
        </w:tc>
        <w:tc>
          <w:tcPr>
            <w:tcW w:w="2136" w:type="dxa"/>
          </w:tcPr>
          <w:p w:rsidR="00A76E51" w:rsidRPr="006B1651" w:rsidRDefault="00A76E51" w:rsidP="00A76E51">
            <w:pPr>
              <w:autoSpaceDE w:val="0"/>
              <w:autoSpaceDN w:val="0"/>
              <w:adjustRightInd w:val="0"/>
              <w:rPr>
                <w:rFonts w:cs="Arial"/>
                <w:szCs w:val="22"/>
                <w:lang w:val="en-AU" w:eastAsia="en-AU"/>
              </w:rPr>
            </w:pPr>
            <w:r w:rsidRPr="006B1651">
              <w:rPr>
                <w:rFonts w:cs="Arial"/>
                <w:szCs w:val="22"/>
                <w:lang w:val="en-AU" w:eastAsia="en-AU"/>
              </w:rPr>
              <w:t xml:space="preserve">71.0, 80.0 </w:t>
            </w:r>
          </w:p>
        </w:tc>
        <w:tc>
          <w:tcPr>
            <w:tcW w:w="2268" w:type="dxa"/>
          </w:tcPr>
          <w:p w:rsidR="00A76E51" w:rsidRPr="006B1651" w:rsidRDefault="00A76E51" w:rsidP="00A76E51">
            <w:pPr>
              <w:autoSpaceDE w:val="0"/>
              <w:autoSpaceDN w:val="0"/>
              <w:adjustRightInd w:val="0"/>
              <w:rPr>
                <w:rFonts w:cs="Arial"/>
                <w:szCs w:val="22"/>
              </w:rPr>
            </w:pPr>
            <w:r w:rsidRPr="006B1651">
              <w:rPr>
                <w:rFonts w:cs="Arial"/>
                <w:szCs w:val="22"/>
                <w:lang w:val="en-AU" w:eastAsia="en-AU"/>
              </w:rPr>
              <w:t xml:space="preserve">71.0, 80.0 </w:t>
            </w:r>
          </w:p>
        </w:tc>
        <w:tc>
          <w:tcPr>
            <w:tcW w:w="1985" w:type="dxa"/>
          </w:tcPr>
          <w:p w:rsidR="00A76E51" w:rsidRPr="006B1651" w:rsidRDefault="00A76E51" w:rsidP="00A76E51">
            <w:pPr>
              <w:pStyle w:val="Text"/>
              <w:tabs>
                <w:tab w:val="left" w:pos="567"/>
              </w:tabs>
              <w:spacing w:before="0" w:after="0"/>
              <w:rPr>
                <w:rFonts w:ascii="Arial" w:hAnsi="Arial" w:cs="Arial"/>
                <w:sz w:val="22"/>
                <w:szCs w:val="22"/>
              </w:rPr>
            </w:pPr>
            <w:r w:rsidRPr="006B1651">
              <w:rPr>
                <w:rFonts w:ascii="Arial" w:hAnsi="Arial" w:cs="Arial"/>
                <w:sz w:val="22"/>
                <w:szCs w:val="22"/>
                <w:lang w:val="en-AU" w:eastAsia="en-AU"/>
              </w:rPr>
              <w:t>71.0, 80.0</w:t>
            </w:r>
          </w:p>
        </w:tc>
      </w:tr>
      <w:tr w:rsidR="00A76E51" w:rsidRPr="006B1651" w:rsidTr="00A76E51">
        <w:tc>
          <w:tcPr>
            <w:tcW w:w="3104" w:type="dxa"/>
          </w:tcPr>
          <w:p w:rsidR="00A76E51" w:rsidRPr="006B1651" w:rsidRDefault="00A76E51" w:rsidP="00A76E51">
            <w:pPr>
              <w:pStyle w:val="Text"/>
              <w:tabs>
                <w:tab w:val="left" w:pos="567"/>
              </w:tabs>
              <w:spacing w:before="0" w:after="0"/>
              <w:rPr>
                <w:rFonts w:ascii="Arial" w:hAnsi="Arial" w:cs="Arial"/>
                <w:sz w:val="22"/>
                <w:szCs w:val="22"/>
              </w:rPr>
            </w:pPr>
            <w:r w:rsidRPr="006B1651">
              <w:rPr>
                <w:rFonts w:ascii="Arial" w:hAnsi="Arial" w:cs="Arial"/>
                <w:sz w:val="22"/>
                <w:szCs w:val="22"/>
                <w:lang w:val="en-AU" w:eastAsia="en-AU"/>
              </w:rPr>
              <w:t xml:space="preserve">Min, Max </w:t>
            </w:r>
          </w:p>
        </w:tc>
        <w:tc>
          <w:tcPr>
            <w:tcW w:w="2136" w:type="dxa"/>
          </w:tcPr>
          <w:p w:rsidR="00A76E51" w:rsidRPr="006B1651" w:rsidRDefault="00A76E51" w:rsidP="00A76E51">
            <w:pPr>
              <w:pStyle w:val="Text"/>
              <w:tabs>
                <w:tab w:val="left" w:pos="567"/>
              </w:tabs>
              <w:spacing w:before="0" w:after="0"/>
              <w:rPr>
                <w:rFonts w:ascii="Arial" w:hAnsi="Arial" w:cs="Arial"/>
                <w:sz w:val="22"/>
                <w:szCs w:val="22"/>
              </w:rPr>
            </w:pPr>
            <w:r w:rsidRPr="006B1651">
              <w:rPr>
                <w:rFonts w:ascii="Arial" w:hAnsi="Arial" w:cs="Arial"/>
                <w:sz w:val="22"/>
                <w:szCs w:val="22"/>
                <w:lang w:val="en-AU" w:eastAsia="en-AU"/>
              </w:rPr>
              <w:t xml:space="preserve">48, 92 </w:t>
            </w:r>
          </w:p>
        </w:tc>
        <w:tc>
          <w:tcPr>
            <w:tcW w:w="2268" w:type="dxa"/>
          </w:tcPr>
          <w:p w:rsidR="00A76E51" w:rsidRPr="006B1651" w:rsidRDefault="00A76E51" w:rsidP="00A76E51">
            <w:pPr>
              <w:pStyle w:val="Text"/>
              <w:tabs>
                <w:tab w:val="left" w:pos="567"/>
              </w:tabs>
              <w:spacing w:before="0" w:after="0"/>
              <w:rPr>
                <w:rFonts w:ascii="Arial" w:hAnsi="Arial" w:cs="Arial"/>
                <w:sz w:val="22"/>
                <w:szCs w:val="22"/>
              </w:rPr>
            </w:pPr>
            <w:r w:rsidRPr="006B1651">
              <w:rPr>
                <w:rFonts w:ascii="Arial" w:hAnsi="Arial" w:cs="Arial"/>
                <w:sz w:val="22"/>
                <w:szCs w:val="22"/>
                <w:lang w:val="en-AU" w:eastAsia="en-AU"/>
              </w:rPr>
              <w:t xml:space="preserve">50, 97 </w:t>
            </w:r>
          </w:p>
        </w:tc>
        <w:tc>
          <w:tcPr>
            <w:tcW w:w="1985" w:type="dxa"/>
          </w:tcPr>
          <w:p w:rsidR="00A76E51" w:rsidRPr="006B1651" w:rsidRDefault="00A76E51" w:rsidP="00A76E51">
            <w:pPr>
              <w:pStyle w:val="Text"/>
              <w:tabs>
                <w:tab w:val="left" w:pos="567"/>
              </w:tabs>
              <w:spacing w:before="0" w:after="0"/>
              <w:rPr>
                <w:rFonts w:ascii="Arial" w:hAnsi="Arial" w:cs="Arial"/>
                <w:sz w:val="22"/>
                <w:szCs w:val="22"/>
              </w:rPr>
            </w:pPr>
            <w:r w:rsidRPr="006B1651">
              <w:rPr>
                <w:rFonts w:ascii="Arial" w:hAnsi="Arial" w:cs="Arial"/>
                <w:sz w:val="22"/>
                <w:szCs w:val="22"/>
                <w:lang w:val="en-AU" w:eastAsia="en-AU"/>
              </w:rPr>
              <w:t>48, 97</w:t>
            </w:r>
          </w:p>
        </w:tc>
      </w:tr>
      <w:tr w:rsidR="00A76E51" w:rsidRPr="006B1651" w:rsidTr="00A76E51">
        <w:tc>
          <w:tcPr>
            <w:tcW w:w="9493" w:type="dxa"/>
            <w:gridSpan w:val="4"/>
          </w:tcPr>
          <w:p w:rsidR="00A76E51" w:rsidRPr="006B1651" w:rsidRDefault="00A76E51" w:rsidP="00A76E51">
            <w:pPr>
              <w:pStyle w:val="Text"/>
              <w:tabs>
                <w:tab w:val="left" w:pos="567"/>
              </w:tabs>
              <w:spacing w:before="0" w:after="0"/>
              <w:rPr>
                <w:rFonts w:ascii="Arial" w:hAnsi="Arial" w:cs="Arial"/>
                <w:sz w:val="22"/>
                <w:szCs w:val="22"/>
                <w:lang w:val="en-AU" w:eastAsia="en-AU"/>
              </w:rPr>
            </w:pPr>
            <w:r w:rsidRPr="006B1651">
              <w:rPr>
                <w:rFonts w:ascii="Arial" w:hAnsi="Arial" w:cs="Arial"/>
                <w:sz w:val="22"/>
                <w:szCs w:val="22"/>
                <w:lang w:val="en-AU" w:eastAsia="en-AU"/>
              </w:rPr>
              <w:t>Age group – n (%)</w:t>
            </w:r>
          </w:p>
        </w:tc>
      </w:tr>
      <w:tr w:rsidR="00A76E51" w:rsidRPr="006B1651" w:rsidTr="00A76E51">
        <w:tc>
          <w:tcPr>
            <w:tcW w:w="3104" w:type="dxa"/>
          </w:tcPr>
          <w:p w:rsidR="00A76E51" w:rsidRPr="006B1651" w:rsidRDefault="00A76E51" w:rsidP="00A76E51">
            <w:pPr>
              <w:pStyle w:val="Text"/>
              <w:tabs>
                <w:tab w:val="left" w:pos="567"/>
              </w:tabs>
              <w:spacing w:before="0" w:after="0"/>
              <w:rPr>
                <w:rFonts w:ascii="Arial" w:hAnsi="Arial" w:cs="Arial"/>
                <w:sz w:val="22"/>
                <w:szCs w:val="22"/>
              </w:rPr>
            </w:pPr>
            <w:r w:rsidRPr="006B1651">
              <w:rPr>
                <w:rFonts w:ascii="Arial" w:hAnsi="Arial" w:cs="Arial"/>
                <w:sz w:val="22"/>
                <w:szCs w:val="22"/>
                <w:lang w:val="en-AU" w:eastAsia="en-AU"/>
              </w:rPr>
              <w:tab/>
              <w:t>&lt; 50 years</w:t>
            </w:r>
          </w:p>
        </w:tc>
        <w:tc>
          <w:tcPr>
            <w:tcW w:w="2136" w:type="dxa"/>
          </w:tcPr>
          <w:p w:rsidR="00A76E51" w:rsidRPr="006B1651" w:rsidRDefault="00A76E51" w:rsidP="00A76E51">
            <w:pPr>
              <w:pStyle w:val="Text"/>
              <w:tabs>
                <w:tab w:val="left" w:pos="567"/>
              </w:tabs>
              <w:spacing w:before="0" w:after="0"/>
              <w:rPr>
                <w:rFonts w:ascii="Arial" w:hAnsi="Arial" w:cs="Arial"/>
                <w:sz w:val="22"/>
                <w:szCs w:val="22"/>
              </w:rPr>
            </w:pPr>
            <w:r w:rsidRPr="006B1651">
              <w:rPr>
                <w:rFonts w:ascii="Arial" w:hAnsi="Arial" w:cs="Arial"/>
                <w:sz w:val="22"/>
                <w:szCs w:val="22"/>
                <w:lang w:val="en-AU" w:eastAsia="en-AU"/>
              </w:rPr>
              <w:t>1 (0.1)</w:t>
            </w:r>
          </w:p>
        </w:tc>
        <w:tc>
          <w:tcPr>
            <w:tcW w:w="2268" w:type="dxa"/>
          </w:tcPr>
          <w:p w:rsidR="00A76E51" w:rsidRPr="006B1651" w:rsidRDefault="00A76E51" w:rsidP="00A76E51">
            <w:pPr>
              <w:pStyle w:val="Text"/>
              <w:tabs>
                <w:tab w:val="left" w:pos="567"/>
              </w:tabs>
              <w:spacing w:before="0" w:after="0"/>
              <w:rPr>
                <w:rFonts w:ascii="Arial" w:hAnsi="Arial" w:cs="Arial"/>
                <w:sz w:val="22"/>
                <w:szCs w:val="22"/>
              </w:rPr>
            </w:pPr>
            <w:r w:rsidRPr="006B1651">
              <w:rPr>
                <w:rFonts w:ascii="Arial" w:hAnsi="Arial" w:cs="Arial"/>
                <w:sz w:val="22"/>
                <w:szCs w:val="22"/>
                <w:lang w:val="en-AU" w:eastAsia="en-AU"/>
              </w:rPr>
              <w:t xml:space="preserve">0 (0.0) </w:t>
            </w:r>
          </w:p>
        </w:tc>
        <w:tc>
          <w:tcPr>
            <w:tcW w:w="1985" w:type="dxa"/>
          </w:tcPr>
          <w:p w:rsidR="00A76E51" w:rsidRPr="006B1651" w:rsidRDefault="00A76E51" w:rsidP="00A76E51">
            <w:pPr>
              <w:pStyle w:val="Text"/>
              <w:tabs>
                <w:tab w:val="left" w:pos="567"/>
              </w:tabs>
              <w:spacing w:before="0" w:after="0"/>
              <w:rPr>
                <w:rFonts w:ascii="Arial" w:hAnsi="Arial" w:cs="Arial"/>
                <w:sz w:val="22"/>
                <w:szCs w:val="22"/>
              </w:rPr>
            </w:pPr>
            <w:r w:rsidRPr="006B1651">
              <w:rPr>
                <w:rFonts w:ascii="Arial" w:hAnsi="Arial" w:cs="Arial"/>
                <w:sz w:val="22"/>
                <w:szCs w:val="22"/>
                <w:lang w:val="en-AU" w:eastAsia="en-AU"/>
              </w:rPr>
              <w:t>1 (&lt;0.1)</w:t>
            </w:r>
          </w:p>
        </w:tc>
      </w:tr>
      <w:tr w:rsidR="00A76E51" w:rsidRPr="006B1651" w:rsidTr="00A76E51">
        <w:tc>
          <w:tcPr>
            <w:tcW w:w="3104" w:type="dxa"/>
          </w:tcPr>
          <w:p w:rsidR="00A76E51" w:rsidRPr="006B1651" w:rsidRDefault="00A76E51" w:rsidP="00A76E51">
            <w:pPr>
              <w:pStyle w:val="Text"/>
              <w:tabs>
                <w:tab w:val="left" w:pos="567"/>
              </w:tabs>
              <w:spacing w:before="0" w:after="0"/>
              <w:rPr>
                <w:rFonts w:ascii="Arial" w:hAnsi="Arial" w:cs="Arial"/>
                <w:sz w:val="22"/>
                <w:szCs w:val="22"/>
              </w:rPr>
            </w:pPr>
            <w:r w:rsidRPr="006B1651">
              <w:rPr>
                <w:rFonts w:ascii="Arial" w:hAnsi="Arial" w:cs="Arial"/>
                <w:sz w:val="22"/>
                <w:szCs w:val="22"/>
                <w:lang w:val="en-AU" w:eastAsia="en-AU"/>
              </w:rPr>
              <w:tab/>
              <w:t>50 - 59 years</w:t>
            </w:r>
          </w:p>
        </w:tc>
        <w:tc>
          <w:tcPr>
            <w:tcW w:w="2136" w:type="dxa"/>
          </w:tcPr>
          <w:p w:rsidR="00A76E51" w:rsidRPr="006B1651" w:rsidRDefault="00A76E51" w:rsidP="00A76E51">
            <w:pPr>
              <w:pStyle w:val="Text"/>
              <w:tabs>
                <w:tab w:val="left" w:pos="567"/>
              </w:tabs>
              <w:spacing w:before="0" w:after="0"/>
              <w:rPr>
                <w:rFonts w:ascii="Arial" w:hAnsi="Arial" w:cs="Arial"/>
                <w:sz w:val="22"/>
                <w:szCs w:val="22"/>
              </w:rPr>
            </w:pPr>
            <w:r w:rsidRPr="006B1651">
              <w:rPr>
                <w:rFonts w:ascii="Arial" w:hAnsi="Arial" w:cs="Arial"/>
                <w:sz w:val="22"/>
                <w:szCs w:val="22"/>
                <w:lang w:val="en-AU" w:eastAsia="en-AU"/>
              </w:rPr>
              <w:t>23 (3.1)</w:t>
            </w:r>
          </w:p>
        </w:tc>
        <w:tc>
          <w:tcPr>
            <w:tcW w:w="2268" w:type="dxa"/>
          </w:tcPr>
          <w:p w:rsidR="00A76E51" w:rsidRPr="006B1651" w:rsidRDefault="00A76E51" w:rsidP="00A76E51">
            <w:pPr>
              <w:pStyle w:val="Text"/>
              <w:tabs>
                <w:tab w:val="left" w:pos="567"/>
              </w:tabs>
              <w:spacing w:before="0" w:after="0"/>
              <w:rPr>
                <w:rFonts w:ascii="Arial" w:hAnsi="Arial" w:cs="Arial"/>
                <w:sz w:val="22"/>
                <w:szCs w:val="22"/>
              </w:rPr>
            </w:pPr>
            <w:r w:rsidRPr="006B1651">
              <w:rPr>
                <w:rFonts w:ascii="Arial" w:hAnsi="Arial" w:cs="Arial"/>
                <w:sz w:val="22"/>
                <w:szCs w:val="22"/>
                <w:lang w:val="en-AU" w:eastAsia="en-AU"/>
              </w:rPr>
              <w:t>20 (2.7)</w:t>
            </w:r>
          </w:p>
        </w:tc>
        <w:tc>
          <w:tcPr>
            <w:tcW w:w="1985" w:type="dxa"/>
          </w:tcPr>
          <w:p w:rsidR="00A76E51" w:rsidRPr="006B1651" w:rsidRDefault="00A76E51" w:rsidP="00A76E51">
            <w:pPr>
              <w:autoSpaceDE w:val="0"/>
              <w:autoSpaceDN w:val="0"/>
              <w:adjustRightInd w:val="0"/>
              <w:rPr>
                <w:rFonts w:cs="Arial"/>
                <w:szCs w:val="22"/>
                <w:lang w:val="en-AU" w:eastAsia="en-AU"/>
              </w:rPr>
            </w:pPr>
            <w:r w:rsidRPr="006B1651">
              <w:rPr>
                <w:rFonts w:cs="Arial"/>
                <w:szCs w:val="22"/>
                <w:lang w:val="en-AU" w:eastAsia="en-AU"/>
              </w:rPr>
              <w:t>43 (2.9)</w:t>
            </w:r>
          </w:p>
        </w:tc>
      </w:tr>
      <w:tr w:rsidR="00A76E51" w:rsidRPr="006B1651" w:rsidTr="00A76E51">
        <w:tc>
          <w:tcPr>
            <w:tcW w:w="3104" w:type="dxa"/>
          </w:tcPr>
          <w:p w:rsidR="00A76E51" w:rsidRPr="006B1651" w:rsidRDefault="00A76E51" w:rsidP="00A76E51">
            <w:pPr>
              <w:pStyle w:val="Text"/>
              <w:tabs>
                <w:tab w:val="left" w:pos="567"/>
              </w:tabs>
              <w:spacing w:before="0" w:after="0"/>
              <w:rPr>
                <w:rFonts w:ascii="Arial" w:hAnsi="Arial" w:cs="Arial"/>
                <w:sz w:val="22"/>
                <w:szCs w:val="22"/>
              </w:rPr>
            </w:pPr>
            <w:r w:rsidRPr="006B1651">
              <w:rPr>
                <w:rFonts w:ascii="Arial" w:hAnsi="Arial" w:cs="Arial"/>
                <w:sz w:val="22"/>
                <w:szCs w:val="22"/>
                <w:lang w:val="en-AU" w:eastAsia="en-AU"/>
              </w:rPr>
              <w:tab/>
              <w:t>60 - 69 years</w:t>
            </w:r>
          </w:p>
        </w:tc>
        <w:tc>
          <w:tcPr>
            <w:tcW w:w="2136" w:type="dxa"/>
          </w:tcPr>
          <w:p w:rsidR="00A76E51" w:rsidRPr="006B1651" w:rsidRDefault="00A76E51" w:rsidP="00A76E51">
            <w:pPr>
              <w:pStyle w:val="Text"/>
              <w:tabs>
                <w:tab w:val="left" w:pos="567"/>
              </w:tabs>
              <w:spacing w:before="0" w:after="0"/>
              <w:rPr>
                <w:rFonts w:ascii="Arial" w:hAnsi="Arial" w:cs="Arial"/>
                <w:sz w:val="22"/>
                <w:szCs w:val="22"/>
              </w:rPr>
            </w:pPr>
            <w:r w:rsidRPr="006B1651">
              <w:rPr>
                <w:rFonts w:ascii="Arial" w:hAnsi="Arial" w:cs="Arial"/>
                <w:sz w:val="22"/>
                <w:szCs w:val="22"/>
                <w:lang w:val="en-AU" w:eastAsia="en-AU"/>
              </w:rPr>
              <w:t>100 (13.6)</w:t>
            </w:r>
          </w:p>
        </w:tc>
        <w:tc>
          <w:tcPr>
            <w:tcW w:w="2268" w:type="dxa"/>
          </w:tcPr>
          <w:p w:rsidR="00A76E51" w:rsidRPr="006B1651" w:rsidRDefault="00A76E51" w:rsidP="00A76E51">
            <w:pPr>
              <w:pStyle w:val="Text"/>
              <w:tabs>
                <w:tab w:val="left" w:pos="567"/>
              </w:tabs>
              <w:spacing w:before="0" w:after="0"/>
              <w:rPr>
                <w:rFonts w:ascii="Arial" w:hAnsi="Arial" w:cs="Arial"/>
                <w:sz w:val="22"/>
                <w:szCs w:val="22"/>
              </w:rPr>
            </w:pPr>
            <w:r w:rsidRPr="006B1651">
              <w:rPr>
                <w:rFonts w:ascii="Arial" w:hAnsi="Arial" w:cs="Arial"/>
                <w:sz w:val="22"/>
                <w:szCs w:val="22"/>
                <w:lang w:val="en-AU" w:eastAsia="en-AU"/>
              </w:rPr>
              <w:t>103 (14.0)</w:t>
            </w:r>
          </w:p>
        </w:tc>
        <w:tc>
          <w:tcPr>
            <w:tcW w:w="1985" w:type="dxa"/>
          </w:tcPr>
          <w:p w:rsidR="00A76E51" w:rsidRPr="006B1651" w:rsidRDefault="00A76E51" w:rsidP="00A76E51">
            <w:pPr>
              <w:pStyle w:val="Text"/>
              <w:tabs>
                <w:tab w:val="left" w:pos="567"/>
              </w:tabs>
              <w:spacing w:before="0" w:after="0"/>
              <w:rPr>
                <w:rFonts w:ascii="Arial" w:hAnsi="Arial" w:cs="Arial"/>
                <w:sz w:val="22"/>
                <w:szCs w:val="22"/>
              </w:rPr>
            </w:pPr>
            <w:r w:rsidRPr="006B1651">
              <w:rPr>
                <w:rFonts w:ascii="Arial" w:hAnsi="Arial" w:cs="Arial"/>
                <w:sz w:val="22"/>
                <w:szCs w:val="22"/>
                <w:lang w:val="en-AU" w:eastAsia="en-AU"/>
              </w:rPr>
              <w:t>203 (13.8)</w:t>
            </w:r>
          </w:p>
        </w:tc>
      </w:tr>
      <w:tr w:rsidR="00A76E51" w:rsidRPr="006B1651" w:rsidTr="00A76E51">
        <w:tc>
          <w:tcPr>
            <w:tcW w:w="3104" w:type="dxa"/>
          </w:tcPr>
          <w:p w:rsidR="00A76E51" w:rsidRPr="006B1651" w:rsidRDefault="00A76E51" w:rsidP="00A76E51">
            <w:pPr>
              <w:pStyle w:val="Text"/>
              <w:tabs>
                <w:tab w:val="left" w:pos="567"/>
              </w:tabs>
              <w:spacing w:before="0" w:after="0"/>
              <w:rPr>
                <w:rFonts w:ascii="Arial" w:hAnsi="Arial" w:cs="Arial"/>
                <w:sz w:val="22"/>
                <w:szCs w:val="22"/>
              </w:rPr>
            </w:pPr>
            <w:r w:rsidRPr="006B1651">
              <w:rPr>
                <w:rFonts w:ascii="Arial" w:hAnsi="Arial" w:cs="Arial"/>
                <w:sz w:val="22"/>
                <w:szCs w:val="22"/>
                <w:lang w:val="en-AU" w:eastAsia="en-AU"/>
              </w:rPr>
              <w:tab/>
              <w:t>70 - 79 years</w:t>
            </w:r>
          </w:p>
        </w:tc>
        <w:tc>
          <w:tcPr>
            <w:tcW w:w="2136" w:type="dxa"/>
          </w:tcPr>
          <w:p w:rsidR="00A76E51" w:rsidRPr="006B1651" w:rsidRDefault="00A76E51" w:rsidP="00A76E51">
            <w:pPr>
              <w:pStyle w:val="Text"/>
              <w:tabs>
                <w:tab w:val="left" w:pos="567"/>
              </w:tabs>
              <w:spacing w:before="0" w:after="0"/>
              <w:rPr>
                <w:rFonts w:ascii="Arial" w:hAnsi="Arial" w:cs="Arial"/>
                <w:sz w:val="22"/>
                <w:szCs w:val="22"/>
              </w:rPr>
            </w:pPr>
            <w:r w:rsidRPr="006B1651">
              <w:rPr>
                <w:rFonts w:ascii="Arial" w:hAnsi="Arial" w:cs="Arial"/>
                <w:sz w:val="22"/>
                <w:szCs w:val="22"/>
                <w:lang w:val="en-AU" w:eastAsia="en-AU"/>
              </w:rPr>
              <w:t>405 (55.2)</w:t>
            </w:r>
          </w:p>
        </w:tc>
        <w:tc>
          <w:tcPr>
            <w:tcW w:w="2268" w:type="dxa"/>
          </w:tcPr>
          <w:p w:rsidR="00A76E51" w:rsidRPr="006B1651" w:rsidRDefault="00A76E51" w:rsidP="00A76E51">
            <w:pPr>
              <w:pStyle w:val="Text"/>
              <w:tabs>
                <w:tab w:val="left" w:pos="567"/>
              </w:tabs>
              <w:spacing w:before="0" w:after="0"/>
              <w:rPr>
                <w:rFonts w:ascii="Arial" w:hAnsi="Arial" w:cs="Arial"/>
                <w:sz w:val="22"/>
                <w:szCs w:val="22"/>
              </w:rPr>
            </w:pPr>
            <w:r w:rsidRPr="006B1651">
              <w:rPr>
                <w:rFonts w:ascii="Arial" w:hAnsi="Arial" w:cs="Arial"/>
                <w:sz w:val="22"/>
                <w:szCs w:val="22"/>
                <w:lang w:val="en-AU" w:eastAsia="en-AU"/>
              </w:rPr>
              <w:t>396 (54.0)</w:t>
            </w:r>
          </w:p>
        </w:tc>
        <w:tc>
          <w:tcPr>
            <w:tcW w:w="1985" w:type="dxa"/>
          </w:tcPr>
          <w:p w:rsidR="00A76E51" w:rsidRPr="006B1651" w:rsidRDefault="00A76E51" w:rsidP="00A76E51">
            <w:pPr>
              <w:autoSpaceDE w:val="0"/>
              <w:autoSpaceDN w:val="0"/>
              <w:adjustRightInd w:val="0"/>
              <w:rPr>
                <w:rFonts w:cs="Arial"/>
                <w:szCs w:val="22"/>
                <w:lang w:val="en-AU" w:eastAsia="en-AU"/>
              </w:rPr>
            </w:pPr>
            <w:r w:rsidRPr="006B1651">
              <w:rPr>
                <w:rFonts w:cs="Arial"/>
                <w:szCs w:val="22"/>
                <w:lang w:val="en-AU" w:eastAsia="en-AU"/>
              </w:rPr>
              <w:t>801 (54.6)</w:t>
            </w:r>
          </w:p>
        </w:tc>
      </w:tr>
      <w:tr w:rsidR="00A76E51" w:rsidRPr="006B1651" w:rsidTr="00A76E51">
        <w:tc>
          <w:tcPr>
            <w:tcW w:w="3104" w:type="dxa"/>
          </w:tcPr>
          <w:p w:rsidR="00A76E51" w:rsidRPr="006B1651" w:rsidRDefault="00A76E51" w:rsidP="00A76E51">
            <w:pPr>
              <w:pStyle w:val="Text"/>
              <w:tabs>
                <w:tab w:val="left" w:pos="567"/>
              </w:tabs>
              <w:spacing w:before="0" w:after="0"/>
              <w:rPr>
                <w:rFonts w:ascii="Arial" w:hAnsi="Arial" w:cs="Arial"/>
                <w:sz w:val="22"/>
                <w:szCs w:val="22"/>
              </w:rPr>
            </w:pPr>
            <w:r w:rsidRPr="006B1651">
              <w:rPr>
                <w:rFonts w:ascii="Arial" w:hAnsi="Arial" w:cs="Arial"/>
                <w:sz w:val="22"/>
                <w:szCs w:val="22"/>
                <w:lang w:val="en-AU" w:eastAsia="en-AU"/>
              </w:rPr>
              <w:tab/>
              <w:t>80 - 89 years</w:t>
            </w:r>
          </w:p>
        </w:tc>
        <w:tc>
          <w:tcPr>
            <w:tcW w:w="2136" w:type="dxa"/>
          </w:tcPr>
          <w:p w:rsidR="00A76E51" w:rsidRPr="006B1651" w:rsidRDefault="00A76E51" w:rsidP="00A76E51">
            <w:pPr>
              <w:pStyle w:val="Text"/>
              <w:tabs>
                <w:tab w:val="left" w:pos="567"/>
              </w:tabs>
              <w:spacing w:before="0" w:after="0"/>
              <w:rPr>
                <w:rFonts w:ascii="Arial" w:hAnsi="Arial" w:cs="Arial"/>
                <w:sz w:val="22"/>
                <w:szCs w:val="22"/>
              </w:rPr>
            </w:pPr>
            <w:r w:rsidRPr="006B1651">
              <w:rPr>
                <w:rFonts w:ascii="Arial" w:hAnsi="Arial" w:cs="Arial"/>
                <w:sz w:val="22"/>
                <w:szCs w:val="22"/>
                <w:lang w:val="en-AU" w:eastAsia="en-AU"/>
              </w:rPr>
              <w:t>197 (26.8)</w:t>
            </w:r>
          </w:p>
        </w:tc>
        <w:tc>
          <w:tcPr>
            <w:tcW w:w="2268" w:type="dxa"/>
          </w:tcPr>
          <w:p w:rsidR="00A76E51" w:rsidRPr="006B1651" w:rsidRDefault="00A76E51" w:rsidP="00A76E51">
            <w:pPr>
              <w:pStyle w:val="Text"/>
              <w:tabs>
                <w:tab w:val="left" w:pos="567"/>
              </w:tabs>
              <w:spacing w:before="0" w:after="0"/>
              <w:rPr>
                <w:rFonts w:ascii="Arial" w:hAnsi="Arial" w:cs="Arial"/>
                <w:sz w:val="22"/>
                <w:szCs w:val="22"/>
              </w:rPr>
            </w:pPr>
            <w:r w:rsidRPr="006B1651">
              <w:rPr>
                <w:rFonts w:ascii="Arial" w:hAnsi="Arial" w:cs="Arial"/>
                <w:sz w:val="22"/>
                <w:szCs w:val="22"/>
                <w:lang w:val="en-AU" w:eastAsia="en-AU"/>
              </w:rPr>
              <w:t>205 (27.9)</w:t>
            </w:r>
          </w:p>
        </w:tc>
        <w:tc>
          <w:tcPr>
            <w:tcW w:w="1985" w:type="dxa"/>
          </w:tcPr>
          <w:p w:rsidR="00A76E51" w:rsidRPr="006B1651" w:rsidRDefault="00A76E51" w:rsidP="00A76E51">
            <w:pPr>
              <w:pStyle w:val="Text"/>
              <w:tabs>
                <w:tab w:val="left" w:pos="567"/>
              </w:tabs>
              <w:spacing w:before="0" w:after="0"/>
              <w:rPr>
                <w:rFonts w:ascii="Arial" w:hAnsi="Arial" w:cs="Arial"/>
                <w:sz w:val="22"/>
                <w:szCs w:val="22"/>
              </w:rPr>
            </w:pPr>
            <w:r w:rsidRPr="006B1651">
              <w:rPr>
                <w:rFonts w:ascii="Arial" w:hAnsi="Arial" w:cs="Arial"/>
                <w:sz w:val="22"/>
                <w:szCs w:val="22"/>
                <w:lang w:val="en-AU" w:eastAsia="en-AU"/>
              </w:rPr>
              <w:t>402 (27.4)</w:t>
            </w:r>
          </w:p>
        </w:tc>
      </w:tr>
      <w:tr w:rsidR="00A76E51" w:rsidRPr="006B1651" w:rsidTr="00A76E51">
        <w:tc>
          <w:tcPr>
            <w:tcW w:w="3104" w:type="dxa"/>
          </w:tcPr>
          <w:p w:rsidR="00A76E51" w:rsidRPr="006B1651" w:rsidRDefault="00A76E51" w:rsidP="00A76E51">
            <w:pPr>
              <w:pStyle w:val="Text"/>
              <w:tabs>
                <w:tab w:val="left" w:pos="567"/>
              </w:tabs>
              <w:spacing w:before="0" w:after="0"/>
              <w:rPr>
                <w:rFonts w:ascii="Arial" w:hAnsi="Arial" w:cs="Arial"/>
                <w:sz w:val="22"/>
                <w:szCs w:val="22"/>
              </w:rPr>
            </w:pPr>
            <w:r w:rsidRPr="006B1651">
              <w:rPr>
                <w:rFonts w:ascii="Arial" w:eastAsia="ArialMT" w:hAnsi="Arial" w:cs="Arial"/>
                <w:sz w:val="22"/>
                <w:szCs w:val="22"/>
                <w:lang w:val="en-AU" w:eastAsia="en-AU"/>
              </w:rPr>
              <w:tab/>
              <w:t xml:space="preserve">≥ </w:t>
            </w:r>
            <w:r w:rsidRPr="006B1651">
              <w:rPr>
                <w:rFonts w:ascii="Arial" w:hAnsi="Arial" w:cs="Arial"/>
                <w:sz w:val="22"/>
                <w:szCs w:val="22"/>
                <w:lang w:val="en-AU" w:eastAsia="en-AU"/>
              </w:rPr>
              <w:t>90 years</w:t>
            </w:r>
          </w:p>
        </w:tc>
        <w:tc>
          <w:tcPr>
            <w:tcW w:w="2136" w:type="dxa"/>
          </w:tcPr>
          <w:p w:rsidR="00A76E51" w:rsidRPr="006B1651" w:rsidRDefault="00A76E51" w:rsidP="00A76E51">
            <w:pPr>
              <w:pStyle w:val="Text"/>
              <w:tabs>
                <w:tab w:val="left" w:pos="567"/>
              </w:tabs>
              <w:spacing w:before="0" w:after="0"/>
              <w:rPr>
                <w:rFonts w:ascii="Arial" w:hAnsi="Arial" w:cs="Arial"/>
                <w:sz w:val="22"/>
                <w:szCs w:val="22"/>
              </w:rPr>
            </w:pPr>
            <w:r w:rsidRPr="006B1651">
              <w:rPr>
                <w:rFonts w:ascii="Arial" w:hAnsi="Arial" w:cs="Arial"/>
                <w:sz w:val="22"/>
                <w:szCs w:val="22"/>
                <w:lang w:val="en-AU" w:eastAsia="en-AU"/>
              </w:rPr>
              <w:t xml:space="preserve">8 (1.1) </w:t>
            </w:r>
          </w:p>
        </w:tc>
        <w:tc>
          <w:tcPr>
            <w:tcW w:w="2268" w:type="dxa"/>
          </w:tcPr>
          <w:p w:rsidR="00A76E51" w:rsidRPr="006B1651" w:rsidRDefault="00A76E51" w:rsidP="00A76E51">
            <w:pPr>
              <w:pStyle w:val="Text"/>
              <w:tabs>
                <w:tab w:val="left" w:pos="567"/>
              </w:tabs>
              <w:spacing w:before="0" w:after="0"/>
              <w:rPr>
                <w:rFonts w:ascii="Arial" w:hAnsi="Arial" w:cs="Arial"/>
                <w:sz w:val="22"/>
                <w:szCs w:val="22"/>
              </w:rPr>
            </w:pPr>
            <w:r w:rsidRPr="006B1651">
              <w:rPr>
                <w:rFonts w:ascii="Arial" w:hAnsi="Arial" w:cs="Arial"/>
                <w:sz w:val="22"/>
                <w:szCs w:val="22"/>
                <w:lang w:val="en-AU" w:eastAsia="en-AU"/>
              </w:rPr>
              <w:t xml:space="preserve">10 (1.4) </w:t>
            </w:r>
          </w:p>
        </w:tc>
        <w:tc>
          <w:tcPr>
            <w:tcW w:w="1985" w:type="dxa"/>
          </w:tcPr>
          <w:p w:rsidR="00A76E51" w:rsidRPr="006B1651" w:rsidRDefault="00A76E51" w:rsidP="00A76E51">
            <w:pPr>
              <w:pStyle w:val="Text"/>
              <w:tabs>
                <w:tab w:val="left" w:pos="567"/>
              </w:tabs>
              <w:spacing w:before="0" w:after="0"/>
              <w:rPr>
                <w:rFonts w:ascii="Arial" w:hAnsi="Arial" w:cs="Arial"/>
                <w:sz w:val="22"/>
                <w:szCs w:val="22"/>
              </w:rPr>
            </w:pPr>
            <w:r w:rsidRPr="006B1651">
              <w:rPr>
                <w:rFonts w:ascii="Arial" w:hAnsi="Arial" w:cs="Arial"/>
                <w:sz w:val="22"/>
                <w:szCs w:val="22"/>
                <w:lang w:val="en-AU" w:eastAsia="en-AU"/>
              </w:rPr>
              <w:t>18 (1.2)</w:t>
            </w:r>
          </w:p>
        </w:tc>
      </w:tr>
      <w:tr w:rsidR="00A76E51" w:rsidRPr="006B1651" w:rsidTr="00A76E51">
        <w:tc>
          <w:tcPr>
            <w:tcW w:w="9493" w:type="dxa"/>
            <w:gridSpan w:val="4"/>
          </w:tcPr>
          <w:p w:rsidR="00A76E51" w:rsidRPr="00CC59C5" w:rsidRDefault="00A76E51" w:rsidP="00A76E51">
            <w:pPr>
              <w:pStyle w:val="Text"/>
              <w:tabs>
                <w:tab w:val="left" w:pos="567"/>
              </w:tabs>
              <w:spacing w:before="0" w:after="0"/>
              <w:rPr>
                <w:rFonts w:ascii="Arial" w:hAnsi="Arial" w:cs="Arial"/>
                <w:sz w:val="22"/>
                <w:szCs w:val="22"/>
                <w:lang w:val="en-AU" w:eastAsia="en-AU"/>
              </w:rPr>
            </w:pPr>
            <w:r w:rsidRPr="00CC59C5">
              <w:rPr>
                <w:rFonts w:ascii="Arial" w:hAnsi="Arial" w:cs="Arial"/>
                <w:sz w:val="22"/>
                <w:szCs w:val="22"/>
                <w:lang w:val="en-AU" w:eastAsia="en-AU"/>
              </w:rPr>
              <w:t>Geriatric age group - n (%)</w:t>
            </w:r>
          </w:p>
        </w:tc>
      </w:tr>
      <w:tr w:rsidR="00A76E51" w:rsidRPr="006B1651" w:rsidTr="00A76E51">
        <w:tc>
          <w:tcPr>
            <w:tcW w:w="3104" w:type="dxa"/>
          </w:tcPr>
          <w:p w:rsidR="00A76E51" w:rsidRPr="006B1651" w:rsidRDefault="00A76E51" w:rsidP="00A76E51">
            <w:pPr>
              <w:pStyle w:val="Text"/>
              <w:tabs>
                <w:tab w:val="left" w:pos="567"/>
              </w:tabs>
              <w:spacing w:before="0" w:after="0"/>
              <w:rPr>
                <w:rFonts w:ascii="Arial" w:hAnsi="Arial" w:cs="Arial"/>
                <w:sz w:val="22"/>
                <w:szCs w:val="22"/>
              </w:rPr>
            </w:pPr>
            <w:r w:rsidRPr="006B1651">
              <w:rPr>
                <w:rFonts w:ascii="Arial" w:eastAsia="ArialMT" w:hAnsi="Arial" w:cs="Arial"/>
                <w:sz w:val="22"/>
                <w:szCs w:val="22"/>
                <w:lang w:val="en-AU" w:eastAsia="en-AU"/>
              </w:rPr>
              <w:tab/>
              <w:t xml:space="preserve">≥ </w:t>
            </w:r>
            <w:r w:rsidRPr="006B1651">
              <w:rPr>
                <w:rFonts w:ascii="Arial" w:hAnsi="Arial" w:cs="Arial"/>
                <w:sz w:val="22"/>
                <w:szCs w:val="22"/>
                <w:lang w:val="en-AU" w:eastAsia="en-AU"/>
              </w:rPr>
              <w:t>65 years</w:t>
            </w:r>
          </w:p>
        </w:tc>
        <w:tc>
          <w:tcPr>
            <w:tcW w:w="2136" w:type="dxa"/>
          </w:tcPr>
          <w:p w:rsidR="00A76E51" w:rsidRPr="006B1651" w:rsidRDefault="00A76E51" w:rsidP="00A76E51">
            <w:pPr>
              <w:pStyle w:val="Text"/>
              <w:tabs>
                <w:tab w:val="left" w:pos="567"/>
              </w:tabs>
              <w:spacing w:before="0" w:after="0"/>
              <w:rPr>
                <w:rFonts w:ascii="Arial" w:hAnsi="Arial" w:cs="Arial"/>
                <w:sz w:val="22"/>
                <w:szCs w:val="22"/>
              </w:rPr>
            </w:pPr>
            <w:r w:rsidRPr="006B1651">
              <w:rPr>
                <w:rFonts w:ascii="Arial" w:hAnsi="Arial" w:cs="Arial"/>
                <w:sz w:val="22"/>
                <w:szCs w:val="22"/>
                <w:lang w:val="en-AU" w:eastAsia="en-AU"/>
              </w:rPr>
              <w:t xml:space="preserve">685 (93.3) </w:t>
            </w:r>
          </w:p>
        </w:tc>
        <w:tc>
          <w:tcPr>
            <w:tcW w:w="2268" w:type="dxa"/>
          </w:tcPr>
          <w:p w:rsidR="00A76E51" w:rsidRPr="006B1651" w:rsidRDefault="00A76E51" w:rsidP="00A76E51">
            <w:pPr>
              <w:pStyle w:val="Text"/>
              <w:tabs>
                <w:tab w:val="left" w:pos="567"/>
              </w:tabs>
              <w:spacing w:before="0" w:after="0"/>
              <w:rPr>
                <w:rFonts w:ascii="Arial" w:hAnsi="Arial" w:cs="Arial"/>
                <w:sz w:val="22"/>
                <w:szCs w:val="22"/>
              </w:rPr>
            </w:pPr>
            <w:r w:rsidRPr="006B1651">
              <w:rPr>
                <w:rFonts w:ascii="Arial" w:hAnsi="Arial" w:cs="Arial"/>
                <w:sz w:val="22"/>
                <w:szCs w:val="22"/>
                <w:lang w:val="en-AU" w:eastAsia="en-AU"/>
              </w:rPr>
              <w:t xml:space="preserve">679 (92.5) </w:t>
            </w:r>
          </w:p>
        </w:tc>
        <w:tc>
          <w:tcPr>
            <w:tcW w:w="1985" w:type="dxa"/>
          </w:tcPr>
          <w:p w:rsidR="00A76E51" w:rsidRPr="006B1651" w:rsidRDefault="00A76E51" w:rsidP="00A76E51">
            <w:pPr>
              <w:pStyle w:val="Text"/>
              <w:tabs>
                <w:tab w:val="left" w:pos="567"/>
              </w:tabs>
              <w:spacing w:before="0" w:after="0"/>
              <w:rPr>
                <w:rFonts w:ascii="Arial" w:hAnsi="Arial" w:cs="Arial"/>
                <w:sz w:val="22"/>
                <w:szCs w:val="22"/>
              </w:rPr>
            </w:pPr>
            <w:r w:rsidRPr="006B1651">
              <w:rPr>
                <w:rFonts w:ascii="Arial" w:hAnsi="Arial" w:cs="Arial"/>
                <w:sz w:val="22"/>
                <w:szCs w:val="22"/>
                <w:lang w:val="en-AU" w:eastAsia="en-AU"/>
              </w:rPr>
              <w:t>1364 (92.9)</w:t>
            </w:r>
          </w:p>
        </w:tc>
      </w:tr>
      <w:tr w:rsidR="00A76E51" w:rsidRPr="006B1651" w:rsidTr="00A76E51">
        <w:tc>
          <w:tcPr>
            <w:tcW w:w="3104" w:type="dxa"/>
          </w:tcPr>
          <w:p w:rsidR="00A76E51" w:rsidRPr="006B1651" w:rsidRDefault="00A76E51" w:rsidP="00A76E51">
            <w:pPr>
              <w:tabs>
                <w:tab w:val="left" w:pos="547"/>
              </w:tabs>
              <w:autoSpaceDE w:val="0"/>
              <w:autoSpaceDN w:val="0"/>
              <w:adjustRightInd w:val="0"/>
              <w:rPr>
                <w:rFonts w:cs="Arial"/>
                <w:szCs w:val="22"/>
              </w:rPr>
            </w:pPr>
            <w:r w:rsidRPr="006B1651">
              <w:rPr>
                <w:rFonts w:eastAsia="ArialMT" w:cs="Arial"/>
                <w:szCs w:val="22"/>
                <w:lang w:val="en-AU" w:eastAsia="en-AU"/>
              </w:rPr>
              <w:tab/>
              <w:t xml:space="preserve">≥ 75 years </w:t>
            </w:r>
          </w:p>
        </w:tc>
        <w:tc>
          <w:tcPr>
            <w:tcW w:w="2136" w:type="dxa"/>
          </w:tcPr>
          <w:p w:rsidR="00A76E51" w:rsidRPr="006B1651" w:rsidRDefault="00A76E51" w:rsidP="00A76E51">
            <w:pPr>
              <w:autoSpaceDE w:val="0"/>
              <w:autoSpaceDN w:val="0"/>
              <w:adjustRightInd w:val="0"/>
              <w:rPr>
                <w:rFonts w:eastAsia="ArialMT" w:cs="Arial"/>
                <w:szCs w:val="22"/>
                <w:lang w:val="en-AU" w:eastAsia="en-AU"/>
              </w:rPr>
            </w:pPr>
            <w:r w:rsidRPr="006B1651">
              <w:rPr>
                <w:rFonts w:eastAsia="ArialMT" w:cs="Arial"/>
                <w:szCs w:val="22"/>
                <w:lang w:val="en-AU" w:eastAsia="en-AU"/>
              </w:rPr>
              <w:t xml:space="preserve">415 (56.5) </w:t>
            </w:r>
          </w:p>
        </w:tc>
        <w:tc>
          <w:tcPr>
            <w:tcW w:w="2268" w:type="dxa"/>
          </w:tcPr>
          <w:p w:rsidR="00A76E51" w:rsidRPr="006B1651" w:rsidRDefault="00A76E51" w:rsidP="00A76E51">
            <w:pPr>
              <w:autoSpaceDE w:val="0"/>
              <w:autoSpaceDN w:val="0"/>
              <w:adjustRightInd w:val="0"/>
              <w:rPr>
                <w:rFonts w:cs="Arial"/>
                <w:szCs w:val="22"/>
              </w:rPr>
            </w:pPr>
            <w:r w:rsidRPr="006B1651">
              <w:rPr>
                <w:rFonts w:eastAsia="ArialMT" w:cs="Arial"/>
                <w:szCs w:val="22"/>
                <w:lang w:val="en-AU" w:eastAsia="en-AU"/>
              </w:rPr>
              <w:t xml:space="preserve">424 (57.8) </w:t>
            </w:r>
          </w:p>
        </w:tc>
        <w:tc>
          <w:tcPr>
            <w:tcW w:w="1985" w:type="dxa"/>
          </w:tcPr>
          <w:p w:rsidR="00A76E51" w:rsidRPr="006B1651" w:rsidRDefault="00A76E51" w:rsidP="00A76E51">
            <w:pPr>
              <w:pStyle w:val="Text"/>
              <w:tabs>
                <w:tab w:val="left" w:pos="567"/>
              </w:tabs>
              <w:spacing w:before="0" w:after="0"/>
              <w:rPr>
                <w:rFonts w:ascii="Arial" w:hAnsi="Arial" w:cs="Arial"/>
                <w:sz w:val="22"/>
                <w:szCs w:val="22"/>
              </w:rPr>
            </w:pPr>
            <w:r w:rsidRPr="006B1651">
              <w:rPr>
                <w:rFonts w:ascii="Arial" w:eastAsia="ArialMT" w:hAnsi="Arial" w:cs="Arial"/>
                <w:sz w:val="22"/>
                <w:szCs w:val="22"/>
                <w:lang w:val="en-AU" w:eastAsia="en-AU"/>
              </w:rPr>
              <w:t>839 (57.2)</w:t>
            </w:r>
          </w:p>
        </w:tc>
      </w:tr>
    </w:tbl>
    <w:p w:rsidR="00A76E51" w:rsidRDefault="00A76E51"/>
    <w:p w:rsidR="00A76E51" w:rsidRDefault="00A76E51" w:rsidP="00A76E51">
      <w:pPr>
        <w:autoSpaceDE w:val="0"/>
        <w:autoSpaceDN w:val="0"/>
        <w:adjustRightInd w:val="0"/>
        <w:rPr>
          <w:rFonts w:cs="Arial"/>
          <w:sz w:val="16"/>
          <w:szCs w:val="16"/>
          <w:lang w:val="en-AU" w:eastAsia="en-AU"/>
        </w:rPr>
      </w:pPr>
      <w:r w:rsidRPr="006B1651">
        <w:rPr>
          <w:rFonts w:cs="Arial"/>
          <w:sz w:val="16"/>
          <w:szCs w:val="16"/>
          <w:lang w:val="en-AU" w:eastAsia="en-AU"/>
        </w:rPr>
        <w:t>N = Number of subjects randomised</w:t>
      </w:r>
      <w:r>
        <w:rPr>
          <w:rFonts w:cs="Arial"/>
          <w:sz w:val="16"/>
          <w:szCs w:val="16"/>
          <w:lang w:val="en-AU" w:eastAsia="en-AU"/>
        </w:rPr>
        <w:t>.</w:t>
      </w:r>
    </w:p>
    <w:p w:rsidR="00A76E51" w:rsidRDefault="00A76E51"/>
    <w:p w:rsidR="00A76E51" w:rsidRPr="004A548F" w:rsidRDefault="00A76E51" w:rsidP="00A76E51">
      <w:pPr>
        <w:pStyle w:val="Text"/>
        <w:spacing w:before="0" w:after="0"/>
        <w:jc w:val="center"/>
        <w:rPr>
          <w:rFonts w:ascii="Arial" w:hAnsi="Arial" w:cs="Arial"/>
          <w:b/>
          <w:bCs/>
          <w:sz w:val="22"/>
          <w:szCs w:val="22"/>
          <w:lang w:val="en-AU" w:eastAsia="en-AU"/>
        </w:rPr>
      </w:pPr>
      <w:proofErr w:type="gramStart"/>
      <w:r>
        <w:rPr>
          <w:rFonts w:ascii="Arial" w:hAnsi="Arial" w:cs="Arial"/>
          <w:b/>
          <w:bCs/>
          <w:sz w:val="22"/>
          <w:szCs w:val="22"/>
          <w:lang w:val="en-AU" w:eastAsia="en-AU"/>
        </w:rPr>
        <w:t>Table 5</w:t>
      </w:r>
      <w:r w:rsidRPr="004A548F">
        <w:rPr>
          <w:rFonts w:ascii="Arial" w:hAnsi="Arial" w:cs="Arial"/>
          <w:b/>
          <w:bCs/>
          <w:sz w:val="22"/>
          <w:szCs w:val="22"/>
          <w:lang w:val="en-AU" w:eastAsia="en-AU"/>
        </w:rPr>
        <w:t>.</w:t>
      </w:r>
      <w:proofErr w:type="gramEnd"/>
      <w:r w:rsidRPr="004A548F">
        <w:rPr>
          <w:rFonts w:ascii="Arial" w:hAnsi="Arial" w:cs="Arial"/>
          <w:b/>
          <w:bCs/>
          <w:sz w:val="22"/>
          <w:szCs w:val="22"/>
          <w:lang w:val="en-AU" w:eastAsia="en-AU"/>
        </w:rPr>
        <w:t xml:space="preserve"> Baseline Bone Mineral Density T-score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851"/>
        <w:gridCol w:w="992"/>
        <w:gridCol w:w="709"/>
        <w:gridCol w:w="850"/>
        <w:gridCol w:w="851"/>
        <w:gridCol w:w="992"/>
        <w:gridCol w:w="851"/>
        <w:gridCol w:w="794"/>
      </w:tblGrid>
      <w:tr w:rsidR="00A76E51" w:rsidRPr="006B1651" w:rsidTr="006873F7">
        <w:tc>
          <w:tcPr>
            <w:tcW w:w="2830" w:type="dxa"/>
          </w:tcPr>
          <w:p w:rsidR="00A76E51" w:rsidRPr="00D6637D" w:rsidRDefault="00A76E51" w:rsidP="006873F7">
            <w:pPr>
              <w:pStyle w:val="Text"/>
              <w:spacing w:before="0" w:after="0"/>
              <w:rPr>
                <w:rFonts w:ascii="Arial" w:hAnsi="Arial" w:cs="Arial"/>
                <w:b/>
                <w:bCs/>
                <w:sz w:val="22"/>
                <w:szCs w:val="22"/>
                <w:lang w:val="en-AU" w:eastAsia="en-AU"/>
              </w:rPr>
            </w:pPr>
          </w:p>
        </w:tc>
        <w:tc>
          <w:tcPr>
            <w:tcW w:w="851" w:type="dxa"/>
          </w:tcPr>
          <w:p w:rsidR="00A76E51" w:rsidRPr="006B1651" w:rsidRDefault="00A76E51" w:rsidP="006873F7">
            <w:pPr>
              <w:pStyle w:val="Text"/>
              <w:spacing w:before="0" w:after="0"/>
              <w:rPr>
                <w:rFonts w:ascii="Arial" w:hAnsi="Arial" w:cs="Arial"/>
                <w:bCs/>
                <w:sz w:val="22"/>
                <w:szCs w:val="22"/>
                <w:lang w:val="en-AU" w:eastAsia="en-AU"/>
              </w:rPr>
            </w:pPr>
            <w:r w:rsidRPr="006B1651">
              <w:rPr>
                <w:rFonts w:ascii="Arial" w:hAnsi="Arial" w:cs="Arial"/>
                <w:bCs/>
                <w:sz w:val="22"/>
                <w:szCs w:val="22"/>
                <w:lang w:val="en-AU" w:eastAsia="en-AU"/>
              </w:rPr>
              <w:t>n</w:t>
            </w:r>
          </w:p>
        </w:tc>
        <w:tc>
          <w:tcPr>
            <w:tcW w:w="992" w:type="dxa"/>
          </w:tcPr>
          <w:p w:rsidR="00A76E51" w:rsidRPr="006B1651" w:rsidRDefault="00A76E51" w:rsidP="006873F7">
            <w:pPr>
              <w:pStyle w:val="Text"/>
              <w:spacing w:before="0" w:after="0"/>
              <w:rPr>
                <w:rFonts w:ascii="Arial" w:hAnsi="Arial" w:cs="Arial"/>
                <w:bCs/>
                <w:sz w:val="22"/>
                <w:szCs w:val="22"/>
                <w:lang w:val="en-AU" w:eastAsia="en-AU"/>
              </w:rPr>
            </w:pPr>
            <w:r w:rsidRPr="006B1651">
              <w:rPr>
                <w:rFonts w:ascii="Arial" w:hAnsi="Arial" w:cs="Arial"/>
                <w:bCs/>
                <w:sz w:val="22"/>
                <w:szCs w:val="22"/>
                <w:lang w:val="en-AU" w:eastAsia="en-AU"/>
              </w:rPr>
              <w:t>Mean</w:t>
            </w:r>
          </w:p>
        </w:tc>
        <w:tc>
          <w:tcPr>
            <w:tcW w:w="709" w:type="dxa"/>
          </w:tcPr>
          <w:p w:rsidR="00A76E51" w:rsidRPr="006B1651" w:rsidRDefault="00A76E51" w:rsidP="006873F7">
            <w:pPr>
              <w:pStyle w:val="Text"/>
              <w:spacing w:before="0" w:after="0"/>
              <w:rPr>
                <w:rFonts w:ascii="Arial" w:hAnsi="Arial" w:cs="Arial"/>
                <w:bCs/>
                <w:sz w:val="22"/>
                <w:szCs w:val="22"/>
                <w:lang w:val="en-AU" w:eastAsia="en-AU"/>
              </w:rPr>
            </w:pPr>
            <w:r w:rsidRPr="006B1651">
              <w:rPr>
                <w:rFonts w:ascii="Arial" w:hAnsi="Arial" w:cs="Arial"/>
                <w:bCs/>
                <w:sz w:val="22"/>
                <w:szCs w:val="22"/>
                <w:lang w:val="en-AU" w:eastAsia="en-AU"/>
              </w:rPr>
              <w:t>SD</w:t>
            </w:r>
          </w:p>
        </w:tc>
        <w:tc>
          <w:tcPr>
            <w:tcW w:w="850" w:type="dxa"/>
          </w:tcPr>
          <w:p w:rsidR="00A76E51" w:rsidRPr="006B1651" w:rsidRDefault="00A76E51" w:rsidP="006873F7">
            <w:pPr>
              <w:pStyle w:val="Text"/>
              <w:spacing w:before="0" w:after="0"/>
              <w:rPr>
                <w:rFonts w:ascii="Arial" w:hAnsi="Arial" w:cs="Arial"/>
                <w:bCs/>
                <w:sz w:val="22"/>
                <w:szCs w:val="22"/>
                <w:lang w:val="en-AU" w:eastAsia="en-AU"/>
              </w:rPr>
            </w:pPr>
            <w:r w:rsidRPr="006B1651">
              <w:rPr>
                <w:rFonts w:ascii="Arial" w:hAnsi="Arial" w:cs="Arial"/>
                <w:bCs/>
                <w:sz w:val="22"/>
                <w:szCs w:val="22"/>
                <w:lang w:val="en-AU" w:eastAsia="en-AU"/>
              </w:rPr>
              <w:t>Min.</w:t>
            </w:r>
          </w:p>
        </w:tc>
        <w:tc>
          <w:tcPr>
            <w:tcW w:w="851" w:type="dxa"/>
          </w:tcPr>
          <w:p w:rsidR="00A76E51" w:rsidRPr="006B1651" w:rsidRDefault="00A76E51" w:rsidP="006873F7">
            <w:pPr>
              <w:pStyle w:val="Text"/>
              <w:spacing w:before="0" w:after="0"/>
              <w:rPr>
                <w:rFonts w:ascii="Arial" w:hAnsi="Arial" w:cs="Arial"/>
                <w:bCs/>
                <w:sz w:val="22"/>
                <w:szCs w:val="22"/>
                <w:lang w:val="en-AU" w:eastAsia="en-AU"/>
              </w:rPr>
            </w:pPr>
            <w:r w:rsidRPr="006B1651">
              <w:rPr>
                <w:rFonts w:ascii="Arial" w:hAnsi="Arial" w:cs="Arial"/>
                <w:bCs/>
                <w:sz w:val="22"/>
                <w:szCs w:val="22"/>
                <w:lang w:val="en-AU" w:eastAsia="en-AU"/>
              </w:rPr>
              <w:t>Q1</w:t>
            </w:r>
          </w:p>
        </w:tc>
        <w:tc>
          <w:tcPr>
            <w:tcW w:w="992" w:type="dxa"/>
          </w:tcPr>
          <w:p w:rsidR="00A76E51" w:rsidRPr="006B1651" w:rsidRDefault="00A76E51" w:rsidP="006873F7">
            <w:pPr>
              <w:pStyle w:val="Text"/>
              <w:spacing w:before="0" w:after="0"/>
              <w:rPr>
                <w:rFonts w:ascii="Arial" w:hAnsi="Arial" w:cs="Arial"/>
                <w:bCs/>
                <w:sz w:val="22"/>
                <w:szCs w:val="22"/>
                <w:lang w:val="en-AU" w:eastAsia="en-AU"/>
              </w:rPr>
            </w:pPr>
            <w:r w:rsidRPr="006B1651">
              <w:rPr>
                <w:rFonts w:ascii="Arial" w:hAnsi="Arial" w:cs="Arial"/>
                <w:bCs/>
                <w:sz w:val="22"/>
                <w:szCs w:val="22"/>
                <w:lang w:val="en-AU" w:eastAsia="en-AU"/>
              </w:rPr>
              <w:t>Median</w:t>
            </w:r>
          </w:p>
        </w:tc>
        <w:tc>
          <w:tcPr>
            <w:tcW w:w="851" w:type="dxa"/>
          </w:tcPr>
          <w:p w:rsidR="00A76E51" w:rsidRPr="006B1651" w:rsidRDefault="00A76E51" w:rsidP="006873F7">
            <w:pPr>
              <w:pStyle w:val="Text"/>
              <w:spacing w:before="0" w:after="0"/>
              <w:rPr>
                <w:rFonts w:ascii="Arial" w:hAnsi="Arial" w:cs="Arial"/>
                <w:bCs/>
                <w:sz w:val="22"/>
                <w:szCs w:val="22"/>
                <w:lang w:val="en-AU" w:eastAsia="en-AU"/>
              </w:rPr>
            </w:pPr>
            <w:r w:rsidRPr="006B1651">
              <w:rPr>
                <w:rFonts w:ascii="Arial" w:hAnsi="Arial" w:cs="Arial"/>
                <w:bCs/>
                <w:sz w:val="22"/>
                <w:szCs w:val="22"/>
                <w:lang w:val="en-AU" w:eastAsia="en-AU"/>
              </w:rPr>
              <w:t>Q3</w:t>
            </w:r>
          </w:p>
        </w:tc>
        <w:tc>
          <w:tcPr>
            <w:tcW w:w="794" w:type="dxa"/>
          </w:tcPr>
          <w:p w:rsidR="00A76E51" w:rsidRPr="006B1651" w:rsidRDefault="00A76E51" w:rsidP="006873F7">
            <w:pPr>
              <w:pStyle w:val="Text"/>
              <w:spacing w:before="0" w:after="0"/>
              <w:rPr>
                <w:rFonts w:ascii="Arial" w:hAnsi="Arial" w:cs="Arial"/>
                <w:bCs/>
                <w:sz w:val="22"/>
                <w:szCs w:val="22"/>
                <w:lang w:val="en-AU" w:eastAsia="en-AU"/>
              </w:rPr>
            </w:pPr>
            <w:r w:rsidRPr="006B1651">
              <w:rPr>
                <w:rFonts w:ascii="Arial" w:hAnsi="Arial" w:cs="Arial"/>
                <w:bCs/>
                <w:sz w:val="22"/>
                <w:szCs w:val="22"/>
                <w:lang w:val="en-AU" w:eastAsia="en-AU"/>
              </w:rPr>
              <w:t>Max.</w:t>
            </w:r>
          </w:p>
        </w:tc>
      </w:tr>
      <w:tr w:rsidR="00A76E51" w:rsidRPr="006B1651" w:rsidTr="006873F7">
        <w:tc>
          <w:tcPr>
            <w:tcW w:w="9720" w:type="dxa"/>
            <w:gridSpan w:val="9"/>
          </w:tcPr>
          <w:p w:rsidR="00A76E51" w:rsidRPr="00057E0F" w:rsidRDefault="00A76E51" w:rsidP="006873F7">
            <w:pPr>
              <w:pStyle w:val="Text"/>
              <w:spacing w:before="0" w:after="0"/>
              <w:rPr>
                <w:rFonts w:ascii="Arial" w:hAnsi="Arial" w:cs="Arial"/>
                <w:sz w:val="22"/>
                <w:szCs w:val="22"/>
                <w:lang w:val="en-AU" w:eastAsia="en-AU"/>
              </w:rPr>
            </w:pPr>
            <w:r w:rsidRPr="006B1651">
              <w:rPr>
                <w:rFonts w:ascii="Arial" w:hAnsi="Arial" w:cs="Arial"/>
                <w:sz w:val="22"/>
                <w:szCs w:val="22"/>
                <w:lang w:val="en-AU" w:eastAsia="en-AU"/>
              </w:rPr>
              <w:t>Lumbar spine</w:t>
            </w:r>
          </w:p>
        </w:tc>
      </w:tr>
      <w:tr w:rsidR="00A76E51" w:rsidRPr="006B1651" w:rsidTr="006873F7">
        <w:tc>
          <w:tcPr>
            <w:tcW w:w="2830" w:type="dxa"/>
          </w:tcPr>
          <w:p w:rsidR="00A76E51" w:rsidRPr="006B1651" w:rsidRDefault="00A76E51" w:rsidP="006873F7">
            <w:pPr>
              <w:autoSpaceDE w:val="0"/>
              <w:autoSpaceDN w:val="0"/>
              <w:adjustRightInd w:val="0"/>
              <w:rPr>
                <w:rFonts w:cs="Arial"/>
                <w:szCs w:val="22"/>
                <w:lang w:val="en-AU" w:eastAsia="en-AU"/>
              </w:rPr>
            </w:pPr>
            <w:r>
              <w:rPr>
                <w:rFonts w:cs="Arial"/>
                <w:szCs w:val="22"/>
                <w:lang w:val="en-AU" w:eastAsia="en-AU"/>
              </w:rPr>
              <w:tab/>
            </w:r>
            <w:proofErr w:type="spellStart"/>
            <w:r w:rsidRPr="006B1651">
              <w:rPr>
                <w:rFonts w:cs="Arial"/>
                <w:szCs w:val="22"/>
                <w:lang w:val="en-AU" w:eastAsia="en-AU"/>
              </w:rPr>
              <w:t>Prolia</w:t>
            </w:r>
            <w:proofErr w:type="spellEnd"/>
            <w:r w:rsidRPr="006B1651">
              <w:rPr>
                <w:rFonts w:cs="Arial"/>
                <w:szCs w:val="22"/>
                <w:vertAlign w:val="superscript"/>
                <w:lang w:val="en-AU" w:eastAsia="en-AU"/>
              </w:rPr>
              <w:t>®</w:t>
            </w:r>
            <w:r w:rsidRPr="006B1651">
              <w:rPr>
                <w:rFonts w:cs="Arial"/>
                <w:szCs w:val="22"/>
                <w:lang w:val="en-AU" w:eastAsia="en-AU"/>
              </w:rPr>
              <w:t xml:space="preserve"> (N = 734)</w:t>
            </w:r>
          </w:p>
        </w:tc>
        <w:tc>
          <w:tcPr>
            <w:tcW w:w="851" w:type="dxa"/>
          </w:tcPr>
          <w:p w:rsidR="00A76E51" w:rsidRPr="006B1651" w:rsidRDefault="00A76E51" w:rsidP="006873F7">
            <w:pPr>
              <w:autoSpaceDE w:val="0"/>
              <w:autoSpaceDN w:val="0"/>
              <w:adjustRightInd w:val="0"/>
              <w:rPr>
                <w:rFonts w:cs="Arial"/>
                <w:b/>
                <w:bCs/>
                <w:szCs w:val="22"/>
                <w:lang w:val="en-AU" w:eastAsia="en-AU"/>
              </w:rPr>
            </w:pPr>
            <w:r w:rsidRPr="006B1651">
              <w:rPr>
                <w:rFonts w:cs="Arial"/>
                <w:szCs w:val="22"/>
                <w:lang w:val="en-AU" w:eastAsia="en-AU"/>
              </w:rPr>
              <w:t>727</w:t>
            </w:r>
          </w:p>
        </w:tc>
        <w:tc>
          <w:tcPr>
            <w:tcW w:w="992" w:type="dxa"/>
          </w:tcPr>
          <w:p w:rsidR="00A76E51" w:rsidRPr="006B1651" w:rsidRDefault="00A76E51" w:rsidP="006873F7">
            <w:pPr>
              <w:autoSpaceDE w:val="0"/>
              <w:autoSpaceDN w:val="0"/>
              <w:adjustRightInd w:val="0"/>
              <w:rPr>
                <w:rFonts w:cs="Arial"/>
                <w:b/>
                <w:bCs/>
                <w:szCs w:val="22"/>
                <w:lang w:val="en-AU" w:eastAsia="en-AU"/>
              </w:rPr>
            </w:pPr>
            <w:r w:rsidRPr="006B1651">
              <w:rPr>
                <w:rFonts w:cs="Arial"/>
                <w:szCs w:val="22"/>
                <w:lang w:val="en-AU" w:eastAsia="en-AU"/>
              </w:rPr>
              <w:t>-0.31</w:t>
            </w:r>
          </w:p>
        </w:tc>
        <w:tc>
          <w:tcPr>
            <w:tcW w:w="709" w:type="dxa"/>
          </w:tcPr>
          <w:p w:rsidR="00A76E51" w:rsidRPr="006B1651" w:rsidRDefault="00A76E51" w:rsidP="006873F7">
            <w:pPr>
              <w:autoSpaceDE w:val="0"/>
              <w:autoSpaceDN w:val="0"/>
              <w:adjustRightInd w:val="0"/>
              <w:rPr>
                <w:rFonts w:cs="Arial"/>
                <w:b/>
                <w:bCs/>
                <w:szCs w:val="22"/>
                <w:lang w:val="en-AU" w:eastAsia="en-AU"/>
              </w:rPr>
            </w:pPr>
            <w:r w:rsidRPr="006B1651">
              <w:rPr>
                <w:rFonts w:cs="Arial"/>
                <w:szCs w:val="22"/>
                <w:lang w:val="en-AU" w:eastAsia="en-AU"/>
              </w:rPr>
              <w:t>1.78</w:t>
            </w:r>
          </w:p>
        </w:tc>
        <w:tc>
          <w:tcPr>
            <w:tcW w:w="850" w:type="dxa"/>
          </w:tcPr>
          <w:p w:rsidR="00A76E51" w:rsidRPr="006B1651" w:rsidRDefault="00A76E51" w:rsidP="006873F7">
            <w:pPr>
              <w:autoSpaceDE w:val="0"/>
              <w:autoSpaceDN w:val="0"/>
              <w:adjustRightInd w:val="0"/>
              <w:rPr>
                <w:rFonts w:cs="Arial"/>
                <w:b/>
                <w:bCs/>
                <w:szCs w:val="22"/>
                <w:lang w:val="en-AU" w:eastAsia="en-AU"/>
              </w:rPr>
            </w:pPr>
            <w:r w:rsidRPr="006B1651">
              <w:rPr>
                <w:rFonts w:cs="Arial"/>
                <w:szCs w:val="22"/>
                <w:lang w:val="en-AU" w:eastAsia="en-AU"/>
              </w:rPr>
              <w:t>-6.8</w:t>
            </w:r>
          </w:p>
        </w:tc>
        <w:tc>
          <w:tcPr>
            <w:tcW w:w="851" w:type="dxa"/>
          </w:tcPr>
          <w:p w:rsidR="00A76E51" w:rsidRPr="006B1651" w:rsidRDefault="00A76E51" w:rsidP="006873F7">
            <w:pPr>
              <w:autoSpaceDE w:val="0"/>
              <w:autoSpaceDN w:val="0"/>
              <w:adjustRightInd w:val="0"/>
              <w:rPr>
                <w:rFonts w:cs="Arial"/>
                <w:b/>
                <w:bCs/>
                <w:szCs w:val="22"/>
                <w:lang w:val="en-AU" w:eastAsia="en-AU"/>
              </w:rPr>
            </w:pPr>
            <w:r w:rsidRPr="006B1651">
              <w:rPr>
                <w:rFonts w:cs="Arial"/>
                <w:szCs w:val="22"/>
                <w:lang w:val="en-AU" w:eastAsia="en-AU"/>
              </w:rPr>
              <w:t>-1.50</w:t>
            </w:r>
          </w:p>
        </w:tc>
        <w:tc>
          <w:tcPr>
            <w:tcW w:w="992" w:type="dxa"/>
          </w:tcPr>
          <w:p w:rsidR="00A76E51" w:rsidRPr="006B1651" w:rsidRDefault="00A76E51" w:rsidP="006873F7">
            <w:pPr>
              <w:autoSpaceDE w:val="0"/>
              <w:autoSpaceDN w:val="0"/>
              <w:adjustRightInd w:val="0"/>
              <w:rPr>
                <w:rFonts w:cs="Arial"/>
                <w:b/>
                <w:bCs/>
                <w:szCs w:val="22"/>
                <w:lang w:val="en-AU" w:eastAsia="en-AU"/>
              </w:rPr>
            </w:pPr>
            <w:r w:rsidRPr="006B1651">
              <w:rPr>
                <w:rFonts w:cs="Arial"/>
                <w:szCs w:val="22"/>
                <w:lang w:val="en-AU" w:eastAsia="en-AU"/>
              </w:rPr>
              <w:t>-0.50</w:t>
            </w:r>
          </w:p>
        </w:tc>
        <w:tc>
          <w:tcPr>
            <w:tcW w:w="851" w:type="dxa"/>
          </w:tcPr>
          <w:p w:rsidR="00A76E51" w:rsidRPr="006B1651" w:rsidRDefault="00A76E51" w:rsidP="006873F7">
            <w:pPr>
              <w:autoSpaceDE w:val="0"/>
              <w:autoSpaceDN w:val="0"/>
              <w:adjustRightInd w:val="0"/>
              <w:rPr>
                <w:rFonts w:cs="Arial"/>
                <w:b/>
                <w:bCs/>
                <w:szCs w:val="22"/>
                <w:lang w:val="en-AU" w:eastAsia="en-AU"/>
              </w:rPr>
            </w:pPr>
            <w:r w:rsidRPr="006B1651">
              <w:rPr>
                <w:rFonts w:cs="Arial"/>
                <w:szCs w:val="22"/>
                <w:lang w:val="en-AU" w:eastAsia="en-AU"/>
              </w:rPr>
              <w:t>0.70</w:t>
            </w:r>
          </w:p>
        </w:tc>
        <w:tc>
          <w:tcPr>
            <w:tcW w:w="794" w:type="dxa"/>
          </w:tcPr>
          <w:p w:rsidR="00A76E51" w:rsidRPr="006B1651" w:rsidRDefault="00A76E51" w:rsidP="006873F7">
            <w:pPr>
              <w:autoSpaceDE w:val="0"/>
              <w:autoSpaceDN w:val="0"/>
              <w:adjustRightInd w:val="0"/>
              <w:rPr>
                <w:rFonts w:cs="Arial"/>
                <w:szCs w:val="22"/>
                <w:lang w:val="en-AU" w:eastAsia="en-AU"/>
              </w:rPr>
            </w:pPr>
            <w:r w:rsidRPr="006B1651">
              <w:rPr>
                <w:rFonts w:cs="Arial"/>
                <w:szCs w:val="22"/>
                <w:lang w:val="en-AU" w:eastAsia="en-AU"/>
              </w:rPr>
              <w:t>7.3</w:t>
            </w:r>
          </w:p>
        </w:tc>
      </w:tr>
      <w:tr w:rsidR="00A76E51" w:rsidRPr="006B1651" w:rsidTr="006873F7">
        <w:tc>
          <w:tcPr>
            <w:tcW w:w="2830" w:type="dxa"/>
          </w:tcPr>
          <w:p w:rsidR="00A76E51" w:rsidRPr="006B1651" w:rsidRDefault="00A76E51" w:rsidP="006873F7">
            <w:pPr>
              <w:autoSpaceDE w:val="0"/>
              <w:autoSpaceDN w:val="0"/>
              <w:adjustRightInd w:val="0"/>
              <w:rPr>
                <w:rFonts w:cs="Arial"/>
                <w:b/>
                <w:bCs/>
                <w:szCs w:val="22"/>
                <w:lang w:val="en-AU" w:eastAsia="en-AU"/>
              </w:rPr>
            </w:pPr>
            <w:r>
              <w:rPr>
                <w:rFonts w:cs="Arial"/>
                <w:szCs w:val="22"/>
                <w:lang w:val="en-AU" w:eastAsia="en-AU"/>
              </w:rPr>
              <w:tab/>
            </w:r>
            <w:r w:rsidRPr="006B1651">
              <w:rPr>
                <w:rFonts w:cs="Arial"/>
                <w:szCs w:val="22"/>
                <w:lang w:val="en-AU" w:eastAsia="en-AU"/>
              </w:rPr>
              <w:t xml:space="preserve">Placebo (N = 734) </w:t>
            </w:r>
          </w:p>
        </w:tc>
        <w:tc>
          <w:tcPr>
            <w:tcW w:w="851" w:type="dxa"/>
          </w:tcPr>
          <w:p w:rsidR="00A76E51" w:rsidRPr="006B1651" w:rsidRDefault="00A76E51" w:rsidP="006873F7">
            <w:pPr>
              <w:autoSpaceDE w:val="0"/>
              <w:autoSpaceDN w:val="0"/>
              <w:adjustRightInd w:val="0"/>
              <w:rPr>
                <w:rFonts w:cs="Arial"/>
                <w:b/>
                <w:bCs/>
                <w:szCs w:val="22"/>
                <w:lang w:val="en-AU" w:eastAsia="en-AU"/>
              </w:rPr>
            </w:pPr>
            <w:r w:rsidRPr="006B1651">
              <w:rPr>
                <w:rFonts w:cs="Arial"/>
                <w:szCs w:val="22"/>
                <w:lang w:val="en-AU" w:eastAsia="en-AU"/>
              </w:rPr>
              <w:t>729</w:t>
            </w:r>
          </w:p>
        </w:tc>
        <w:tc>
          <w:tcPr>
            <w:tcW w:w="992" w:type="dxa"/>
          </w:tcPr>
          <w:p w:rsidR="00A76E51" w:rsidRPr="006B1651" w:rsidRDefault="00A76E51" w:rsidP="006873F7">
            <w:pPr>
              <w:autoSpaceDE w:val="0"/>
              <w:autoSpaceDN w:val="0"/>
              <w:adjustRightInd w:val="0"/>
              <w:rPr>
                <w:rFonts w:cs="Arial"/>
                <w:b/>
                <w:bCs/>
                <w:szCs w:val="22"/>
                <w:lang w:val="en-AU" w:eastAsia="en-AU"/>
              </w:rPr>
            </w:pPr>
            <w:r w:rsidRPr="006B1651">
              <w:rPr>
                <w:rFonts w:cs="Arial"/>
                <w:szCs w:val="22"/>
                <w:lang w:val="en-AU" w:eastAsia="en-AU"/>
              </w:rPr>
              <w:t>-0.41</w:t>
            </w:r>
          </w:p>
        </w:tc>
        <w:tc>
          <w:tcPr>
            <w:tcW w:w="709" w:type="dxa"/>
          </w:tcPr>
          <w:p w:rsidR="00A76E51" w:rsidRPr="006B1651" w:rsidRDefault="00A76E51" w:rsidP="006873F7">
            <w:pPr>
              <w:autoSpaceDE w:val="0"/>
              <w:autoSpaceDN w:val="0"/>
              <w:adjustRightInd w:val="0"/>
              <w:rPr>
                <w:rFonts w:cs="Arial"/>
                <w:b/>
                <w:bCs/>
                <w:szCs w:val="22"/>
                <w:lang w:val="en-AU" w:eastAsia="en-AU"/>
              </w:rPr>
            </w:pPr>
            <w:r w:rsidRPr="006B1651">
              <w:rPr>
                <w:rFonts w:cs="Arial"/>
                <w:szCs w:val="22"/>
                <w:lang w:val="en-AU" w:eastAsia="en-AU"/>
              </w:rPr>
              <w:t>1.80</w:t>
            </w:r>
          </w:p>
        </w:tc>
        <w:tc>
          <w:tcPr>
            <w:tcW w:w="850" w:type="dxa"/>
          </w:tcPr>
          <w:p w:rsidR="00A76E51" w:rsidRPr="006B1651" w:rsidRDefault="00A76E51" w:rsidP="006873F7">
            <w:pPr>
              <w:autoSpaceDE w:val="0"/>
              <w:autoSpaceDN w:val="0"/>
              <w:adjustRightInd w:val="0"/>
              <w:rPr>
                <w:rFonts w:cs="Arial"/>
                <w:b/>
                <w:bCs/>
                <w:szCs w:val="22"/>
                <w:lang w:val="en-AU" w:eastAsia="en-AU"/>
              </w:rPr>
            </w:pPr>
            <w:r w:rsidRPr="006B1651">
              <w:rPr>
                <w:rFonts w:cs="Arial"/>
                <w:szCs w:val="22"/>
                <w:lang w:val="en-AU" w:eastAsia="en-AU"/>
              </w:rPr>
              <w:t>-4.8</w:t>
            </w:r>
          </w:p>
        </w:tc>
        <w:tc>
          <w:tcPr>
            <w:tcW w:w="851" w:type="dxa"/>
          </w:tcPr>
          <w:p w:rsidR="00A76E51" w:rsidRPr="006B1651" w:rsidRDefault="00A76E51" w:rsidP="006873F7">
            <w:pPr>
              <w:autoSpaceDE w:val="0"/>
              <w:autoSpaceDN w:val="0"/>
              <w:adjustRightInd w:val="0"/>
              <w:rPr>
                <w:rFonts w:cs="Arial"/>
                <w:b/>
                <w:bCs/>
                <w:szCs w:val="22"/>
                <w:lang w:val="en-AU" w:eastAsia="en-AU"/>
              </w:rPr>
            </w:pPr>
            <w:r w:rsidRPr="006B1651">
              <w:rPr>
                <w:rFonts w:cs="Arial"/>
                <w:szCs w:val="22"/>
                <w:lang w:val="en-AU" w:eastAsia="en-AU"/>
              </w:rPr>
              <w:t>-1.60</w:t>
            </w:r>
          </w:p>
        </w:tc>
        <w:tc>
          <w:tcPr>
            <w:tcW w:w="992" w:type="dxa"/>
          </w:tcPr>
          <w:p w:rsidR="00A76E51" w:rsidRPr="006B1651" w:rsidRDefault="00A76E51" w:rsidP="006873F7">
            <w:pPr>
              <w:autoSpaceDE w:val="0"/>
              <w:autoSpaceDN w:val="0"/>
              <w:adjustRightInd w:val="0"/>
              <w:rPr>
                <w:rFonts w:cs="Arial"/>
                <w:b/>
                <w:bCs/>
                <w:szCs w:val="22"/>
                <w:lang w:val="en-AU" w:eastAsia="en-AU"/>
              </w:rPr>
            </w:pPr>
            <w:r w:rsidRPr="006B1651">
              <w:rPr>
                <w:rFonts w:cs="Arial"/>
                <w:szCs w:val="22"/>
                <w:lang w:val="en-AU" w:eastAsia="en-AU"/>
              </w:rPr>
              <w:t>-0.60</w:t>
            </w:r>
          </w:p>
        </w:tc>
        <w:tc>
          <w:tcPr>
            <w:tcW w:w="851" w:type="dxa"/>
          </w:tcPr>
          <w:p w:rsidR="00A76E51" w:rsidRPr="006B1651" w:rsidRDefault="00A76E51" w:rsidP="006873F7">
            <w:pPr>
              <w:autoSpaceDE w:val="0"/>
              <w:autoSpaceDN w:val="0"/>
              <w:adjustRightInd w:val="0"/>
              <w:rPr>
                <w:rFonts w:cs="Arial"/>
                <w:b/>
                <w:bCs/>
                <w:szCs w:val="22"/>
                <w:lang w:val="en-AU" w:eastAsia="en-AU"/>
              </w:rPr>
            </w:pPr>
            <w:r w:rsidRPr="006B1651">
              <w:rPr>
                <w:rFonts w:cs="Arial"/>
                <w:szCs w:val="22"/>
                <w:lang w:val="en-AU" w:eastAsia="en-AU"/>
              </w:rPr>
              <w:t>0.60</w:t>
            </w:r>
          </w:p>
        </w:tc>
        <w:tc>
          <w:tcPr>
            <w:tcW w:w="794" w:type="dxa"/>
          </w:tcPr>
          <w:p w:rsidR="00A76E51" w:rsidRPr="006B1651" w:rsidRDefault="00A76E51" w:rsidP="006873F7">
            <w:pPr>
              <w:autoSpaceDE w:val="0"/>
              <w:autoSpaceDN w:val="0"/>
              <w:adjustRightInd w:val="0"/>
              <w:rPr>
                <w:rFonts w:cs="Arial"/>
                <w:szCs w:val="22"/>
                <w:lang w:val="en-AU" w:eastAsia="en-AU"/>
              </w:rPr>
            </w:pPr>
            <w:r w:rsidRPr="006B1651">
              <w:rPr>
                <w:rFonts w:cs="Arial"/>
                <w:szCs w:val="22"/>
                <w:lang w:val="en-AU" w:eastAsia="en-AU"/>
              </w:rPr>
              <w:t>7.6</w:t>
            </w:r>
          </w:p>
        </w:tc>
      </w:tr>
      <w:tr w:rsidR="00A76E51" w:rsidRPr="006B1651" w:rsidTr="006873F7">
        <w:tc>
          <w:tcPr>
            <w:tcW w:w="9720" w:type="dxa"/>
            <w:gridSpan w:val="9"/>
          </w:tcPr>
          <w:p w:rsidR="00A76E51" w:rsidRPr="00057E0F" w:rsidRDefault="00A76E51" w:rsidP="006873F7">
            <w:pPr>
              <w:autoSpaceDE w:val="0"/>
              <w:autoSpaceDN w:val="0"/>
              <w:adjustRightInd w:val="0"/>
              <w:rPr>
                <w:rFonts w:cs="Arial"/>
                <w:szCs w:val="22"/>
                <w:lang w:val="en-AU" w:eastAsia="en-AU"/>
              </w:rPr>
            </w:pPr>
            <w:r w:rsidRPr="006B1651">
              <w:rPr>
                <w:rFonts w:cs="Arial"/>
                <w:szCs w:val="22"/>
                <w:lang w:val="en-AU" w:eastAsia="en-AU"/>
              </w:rPr>
              <w:t>Total hip</w:t>
            </w:r>
          </w:p>
        </w:tc>
      </w:tr>
      <w:tr w:rsidR="00A76E51" w:rsidRPr="006B1651" w:rsidTr="006873F7">
        <w:tc>
          <w:tcPr>
            <w:tcW w:w="2830" w:type="dxa"/>
          </w:tcPr>
          <w:p w:rsidR="00A76E51" w:rsidRPr="00CC59C5" w:rsidRDefault="00A76E51" w:rsidP="006873F7">
            <w:pPr>
              <w:autoSpaceDE w:val="0"/>
              <w:autoSpaceDN w:val="0"/>
              <w:adjustRightInd w:val="0"/>
              <w:rPr>
                <w:rFonts w:cs="Arial"/>
                <w:szCs w:val="22"/>
                <w:lang w:val="en-AU" w:eastAsia="en-AU"/>
              </w:rPr>
            </w:pPr>
            <w:r>
              <w:rPr>
                <w:rFonts w:cs="Arial"/>
                <w:szCs w:val="22"/>
                <w:lang w:val="en-AU" w:eastAsia="en-AU"/>
              </w:rPr>
              <w:tab/>
            </w:r>
            <w:proofErr w:type="spellStart"/>
            <w:r w:rsidRPr="006B1651">
              <w:rPr>
                <w:rFonts w:cs="Arial"/>
                <w:szCs w:val="22"/>
                <w:lang w:val="en-AU" w:eastAsia="en-AU"/>
              </w:rPr>
              <w:t>Prolia</w:t>
            </w:r>
            <w:proofErr w:type="spellEnd"/>
            <w:r w:rsidRPr="006B1651">
              <w:rPr>
                <w:rFonts w:cs="Arial"/>
                <w:szCs w:val="22"/>
                <w:vertAlign w:val="superscript"/>
                <w:lang w:val="en-AU" w:eastAsia="en-AU"/>
              </w:rPr>
              <w:t>®</w:t>
            </w:r>
            <w:r w:rsidRPr="006B1651">
              <w:rPr>
                <w:rFonts w:cs="Arial"/>
                <w:szCs w:val="22"/>
                <w:lang w:val="en-AU" w:eastAsia="en-AU"/>
              </w:rPr>
              <w:t xml:space="preserve"> (N = 734)</w:t>
            </w:r>
          </w:p>
        </w:tc>
        <w:tc>
          <w:tcPr>
            <w:tcW w:w="851" w:type="dxa"/>
          </w:tcPr>
          <w:p w:rsidR="00A76E51" w:rsidRPr="006B1651" w:rsidRDefault="00A76E51" w:rsidP="006873F7">
            <w:pPr>
              <w:pStyle w:val="Text"/>
              <w:spacing w:before="0" w:after="0"/>
              <w:rPr>
                <w:rFonts w:ascii="Arial" w:hAnsi="Arial" w:cs="Arial"/>
                <w:b/>
                <w:bCs/>
                <w:sz w:val="22"/>
                <w:szCs w:val="22"/>
                <w:lang w:val="en-AU" w:eastAsia="en-AU"/>
              </w:rPr>
            </w:pPr>
            <w:r w:rsidRPr="006B1651">
              <w:rPr>
                <w:rFonts w:ascii="Arial" w:hAnsi="Arial" w:cs="Arial"/>
                <w:sz w:val="22"/>
                <w:szCs w:val="22"/>
                <w:lang w:val="en-AU" w:eastAsia="en-AU"/>
              </w:rPr>
              <w:t>712</w:t>
            </w:r>
          </w:p>
        </w:tc>
        <w:tc>
          <w:tcPr>
            <w:tcW w:w="992" w:type="dxa"/>
          </w:tcPr>
          <w:p w:rsidR="00A76E51" w:rsidRPr="006B1651" w:rsidRDefault="00A76E51" w:rsidP="006873F7">
            <w:pPr>
              <w:pStyle w:val="Text"/>
              <w:spacing w:before="0" w:after="0"/>
              <w:rPr>
                <w:rFonts w:ascii="Arial" w:hAnsi="Arial" w:cs="Arial"/>
                <w:b/>
                <w:bCs/>
                <w:sz w:val="22"/>
                <w:szCs w:val="22"/>
                <w:lang w:val="en-AU" w:eastAsia="en-AU"/>
              </w:rPr>
            </w:pPr>
            <w:r w:rsidRPr="006B1651">
              <w:rPr>
                <w:rFonts w:ascii="Arial" w:hAnsi="Arial" w:cs="Arial"/>
                <w:sz w:val="22"/>
                <w:szCs w:val="22"/>
                <w:lang w:val="en-AU" w:eastAsia="en-AU"/>
              </w:rPr>
              <w:t>-0.87</w:t>
            </w:r>
          </w:p>
        </w:tc>
        <w:tc>
          <w:tcPr>
            <w:tcW w:w="709" w:type="dxa"/>
          </w:tcPr>
          <w:p w:rsidR="00A76E51" w:rsidRPr="006B1651" w:rsidRDefault="00A76E51" w:rsidP="006873F7">
            <w:pPr>
              <w:pStyle w:val="Text"/>
              <w:spacing w:before="0" w:after="0"/>
              <w:rPr>
                <w:rFonts w:ascii="Arial" w:hAnsi="Arial" w:cs="Arial"/>
                <w:b/>
                <w:bCs/>
                <w:sz w:val="22"/>
                <w:szCs w:val="22"/>
                <w:lang w:val="en-AU" w:eastAsia="en-AU"/>
              </w:rPr>
            </w:pPr>
            <w:r w:rsidRPr="006B1651">
              <w:rPr>
                <w:rFonts w:ascii="Arial" w:hAnsi="Arial" w:cs="Arial"/>
                <w:sz w:val="22"/>
                <w:szCs w:val="22"/>
                <w:lang w:val="en-AU" w:eastAsia="en-AU"/>
              </w:rPr>
              <w:t>1.00</w:t>
            </w:r>
          </w:p>
        </w:tc>
        <w:tc>
          <w:tcPr>
            <w:tcW w:w="850" w:type="dxa"/>
          </w:tcPr>
          <w:p w:rsidR="00A76E51" w:rsidRPr="006B1651" w:rsidRDefault="00A76E51" w:rsidP="006873F7">
            <w:pPr>
              <w:pStyle w:val="Text"/>
              <w:spacing w:before="0" w:after="0"/>
              <w:rPr>
                <w:rFonts w:ascii="Arial" w:hAnsi="Arial" w:cs="Arial"/>
                <w:b/>
                <w:bCs/>
                <w:sz w:val="22"/>
                <w:szCs w:val="22"/>
                <w:lang w:val="en-AU" w:eastAsia="en-AU"/>
              </w:rPr>
            </w:pPr>
            <w:r w:rsidRPr="006B1651">
              <w:rPr>
                <w:rFonts w:ascii="Arial" w:hAnsi="Arial" w:cs="Arial"/>
                <w:sz w:val="22"/>
                <w:szCs w:val="22"/>
                <w:lang w:val="en-AU" w:eastAsia="en-AU"/>
              </w:rPr>
              <w:t>-3.6</w:t>
            </w:r>
          </w:p>
        </w:tc>
        <w:tc>
          <w:tcPr>
            <w:tcW w:w="851" w:type="dxa"/>
          </w:tcPr>
          <w:p w:rsidR="00A76E51" w:rsidRPr="006B1651" w:rsidRDefault="00A76E51" w:rsidP="006873F7">
            <w:pPr>
              <w:pStyle w:val="Text"/>
              <w:spacing w:before="0" w:after="0"/>
              <w:rPr>
                <w:rFonts w:ascii="Arial" w:hAnsi="Arial" w:cs="Arial"/>
                <w:b/>
                <w:bCs/>
                <w:sz w:val="22"/>
                <w:szCs w:val="22"/>
                <w:lang w:val="en-AU" w:eastAsia="en-AU"/>
              </w:rPr>
            </w:pPr>
            <w:r w:rsidRPr="006B1651">
              <w:rPr>
                <w:rFonts w:ascii="Arial" w:hAnsi="Arial" w:cs="Arial"/>
                <w:sz w:val="22"/>
                <w:szCs w:val="22"/>
                <w:lang w:val="en-AU" w:eastAsia="en-AU"/>
              </w:rPr>
              <w:t>-1.50</w:t>
            </w:r>
          </w:p>
        </w:tc>
        <w:tc>
          <w:tcPr>
            <w:tcW w:w="992" w:type="dxa"/>
          </w:tcPr>
          <w:p w:rsidR="00A76E51" w:rsidRPr="006B1651" w:rsidRDefault="00A76E51" w:rsidP="006873F7">
            <w:pPr>
              <w:pStyle w:val="Text"/>
              <w:spacing w:before="0" w:after="0"/>
              <w:rPr>
                <w:rFonts w:ascii="Arial" w:hAnsi="Arial" w:cs="Arial"/>
                <w:b/>
                <w:bCs/>
                <w:sz w:val="22"/>
                <w:szCs w:val="22"/>
                <w:lang w:val="en-AU" w:eastAsia="en-AU"/>
              </w:rPr>
            </w:pPr>
            <w:r w:rsidRPr="006B1651">
              <w:rPr>
                <w:rFonts w:ascii="Arial" w:hAnsi="Arial" w:cs="Arial"/>
                <w:sz w:val="22"/>
                <w:szCs w:val="22"/>
                <w:lang w:val="en-AU" w:eastAsia="en-AU"/>
              </w:rPr>
              <w:t>-0.90</w:t>
            </w:r>
          </w:p>
        </w:tc>
        <w:tc>
          <w:tcPr>
            <w:tcW w:w="851" w:type="dxa"/>
          </w:tcPr>
          <w:p w:rsidR="00A76E51" w:rsidRPr="006B1651" w:rsidRDefault="00A76E51" w:rsidP="006873F7">
            <w:pPr>
              <w:pStyle w:val="Text"/>
              <w:spacing w:before="0" w:after="0"/>
              <w:rPr>
                <w:rFonts w:ascii="Arial" w:hAnsi="Arial" w:cs="Arial"/>
                <w:b/>
                <w:bCs/>
                <w:sz w:val="22"/>
                <w:szCs w:val="22"/>
                <w:lang w:val="en-AU" w:eastAsia="en-AU"/>
              </w:rPr>
            </w:pPr>
            <w:r w:rsidRPr="006B1651">
              <w:rPr>
                <w:rFonts w:ascii="Arial" w:hAnsi="Arial" w:cs="Arial"/>
                <w:sz w:val="22"/>
                <w:szCs w:val="22"/>
                <w:lang w:val="en-AU" w:eastAsia="en-AU"/>
              </w:rPr>
              <w:t>-0.30</w:t>
            </w:r>
          </w:p>
        </w:tc>
        <w:tc>
          <w:tcPr>
            <w:tcW w:w="794" w:type="dxa"/>
          </w:tcPr>
          <w:p w:rsidR="00A76E51" w:rsidRPr="006B1651" w:rsidRDefault="00A76E51" w:rsidP="006873F7">
            <w:pPr>
              <w:pStyle w:val="Text"/>
              <w:spacing w:before="0" w:after="0"/>
              <w:rPr>
                <w:rFonts w:ascii="Arial" w:hAnsi="Arial" w:cs="Arial"/>
                <w:b/>
                <w:bCs/>
                <w:sz w:val="22"/>
                <w:szCs w:val="22"/>
                <w:lang w:val="en-AU" w:eastAsia="en-AU"/>
              </w:rPr>
            </w:pPr>
            <w:r w:rsidRPr="006B1651">
              <w:rPr>
                <w:rFonts w:ascii="Arial" w:hAnsi="Arial" w:cs="Arial"/>
                <w:sz w:val="22"/>
                <w:szCs w:val="22"/>
                <w:lang w:val="en-AU" w:eastAsia="en-AU"/>
              </w:rPr>
              <w:t>3.3</w:t>
            </w:r>
          </w:p>
        </w:tc>
      </w:tr>
      <w:tr w:rsidR="00A76E51" w:rsidRPr="006B1651" w:rsidTr="006873F7">
        <w:tc>
          <w:tcPr>
            <w:tcW w:w="2830" w:type="dxa"/>
          </w:tcPr>
          <w:p w:rsidR="00A76E51" w:rsidRPr="006B1651" w:rsidRDefault="00A76E51" w:rsidP="006873F7">
            <w:pPr>
              <w:pStyle w:val="Text"/>
              <w:spacing w:before="0" w:after="0"/>
              <w:rPr>
                <w:rFonts w:ascii="Arial" w:hAnsi="Arial" w:cs="Arial"/>
                <w:b/>
                <w:bCs/>
                <w:sz w:val="22"/>
                <w:szCs w:val="22"/>
                <w:lang w:val="en-AU" w:eastAsia="en-AU"/>
              </w:rPr>
            </w:pPr>
            <w:r>
              <w:rPr>
                <w:rFonts w:ascii="Arial" w:hAnsi="Arial" w:cs="Arial"/>
                <w:sz w:val="22"/>
                <w:szCs w:val="22"/>
                <w:lang w:val="en-AU" w:eastAsia="en-AU"/>
              </w:rPr>
              <w:tab/>
            </w:r>
            <w:r w:rsidRPr="006B1651">
              <w:rPr>
                <w:rFonts w:ascii="Arial" w:hAnsi="Arial" w:cs="Arial"/>
                <w:sz w:val="22"/>
                <w:szCs w:val="22"/>
                <w:lang w:val="en-AU" w:eastAsia="en-AU"/>
              </w:rPr>
              <w:t>Placebo (N = 734)</w:t>
            </w:r>
          </w:p>
        </w:tc>
        <w:tc>
          <w:tcPr>
            <w:tcW w:w="851" w:type="dxa"/>
          </w:tcPr>
          <w:p w:rsidR="00A76E51" w:rsidRPr="006B1651" w:rsidRDefault="00A76E51" w:rsidP="006873F7">
            <w:pPr>
              <w:pStyle w:val="Text"/>
              <w:spacing w:before="0" w:after="0"/>
              <w:rPr>
                <w:rFonts w:ascii="Arial" w:hAnsi="Arial" w:cs="Arial"/>
                <w:b/>
                <w:bCs/>
                <w:sz w:val="22"/>
                <w:szCs w:val="22"/>
                <w:lang w:val="en-AU" w:eastAsia="en-AU"/>
              </w:rPr>
            </w:pPr>
            <w:r w:rsidRPr="006B1651">
              <w:rPr>
                <w:rFonts w:ascii="Arial" w:hAnsi="Arial" w:cs="Arial"/>
                <w:sz w:val="22"/>
                <w:szCs w:val="22"/>
                <w:lang w:val="en-AU" w:eastAsia="en-AU"/>
              </w:rPr>
              <w:t>718</w:t>
            </w:r>
          </w:p>
        </w:tc>
        <w:tc>
          <w:tcPr>
            <w:tcW w:w="992" w:type="dxa"/>
          </w:tcPr>
          <w:p w:rsidR="00A76E51" w:rsidRPr="006B1651" w:rsidRDefault="00A76E51" w:rsidP="006873F7">
            <w:pPr>
              <w:pStyle w:val="Text"/>
              <w:spacing w:before="0" w:after="0"/>
              <w:rPr>
                <w:rFonts w:ascii="Arial" w:hAnsi="Arial" w:cs="Arial"/>
                <w:b/>
                <w:bCs/>
                <w:sz w:val="22"/>
                <w:szCs w:val="22"/>
                <w:lang w:val="en-AU" w:eastAsia="en-AU"/>
              </w:rPr>
            </w:pPr>
            <w:r w:rsidRPr="006B1651">
              <w:rPr>
                <w:rFonts w:ascii="Arial" w:hAnsi="Arial" w:cs="Arial"/>
                <w:sz w:val="22"/>
                <w:szCs w:val="22"/>
                <w:lang w:val="en-AU" w:eastAsia="en-AU"/>
              </w:rPr>
              <w:t>-0.88</w:t>
            </w:r>
          </w:p>
        </w:tc>
        <w:tc>
          <w:tcPr>
            <w:tcW w:w="709" w:type="dxa"/>
          </w:tcPr>
          <w:p w:rsidR="00A76E51" w:rsidRPr="006B1651" w:rsidRDefault="00A76E51" w:rsidP="006873F7">
            <w:pPr>
              <w:pStyle w:val="Text"/>
              <w:spacing w:before="0" w:after="0"/>
              <w:rPr>
                <w:rFonts w:ascii="Arial" w:hAnsi="Arial" w:cs="Arial"/>
                <w:b/>
                <w:bCs/>
                <w:sz w:val="22"/>
                <w:szCs w:val="22"/>
                <w:lang w:val="en-AU" w:eastAsia="en-AU"/>
              </w:rPr>
            </w:pPr>
            <w:r w:rsidRPr="006B1651">
              <w:rPr>
                <w:rFonts w:ascii="Arial" w:hAnsi="Arial" w:cs="Arial"/>
                <w:sz w:val="22"/>
                <w:szCs w:val="22"/>
                <w:lang w:val="en-AU" w:eastAsia="en-AU"/>
              </w:rPr>
              <w:t>1.03</w:t>
            </w:r>
          </w:p>
        </w:tc>
        <w:tc>
          <w:tcPr>
            <w:tcW w:w="850" w:type="dxa"/>
          </w:tcPr>
          <w:p w:rsidR="00A76E51" w:rsidRPr="006B1651" w:rsidRDefault="00A76E51" w:rsidP="006873F7">
            <w:pPr>
              <w:pStyle w:val="Text"/>
              <w:spacing w:before="0" w:after="0"/>
              <w:rPr>
                <w:rFonts w:ascii="Arial" w:hAnsi="Arial" w:cs="Arial"/>
                <w:b/>
                <w:bCs/>
                <w:sz w:val="22"/>
                <w:szCs w:val="22"/>
                <w:lang w:val="en-AU" w:eastAsia="en-AU"/>
              </w:rPr>
            </w:pPr>
            <w:r w:rsidRPr="006B1651">
              <w:rPr>
                <w:rFonts w:ascii="Arial" w:hAnsi="Arial" w:cs="Arial"/>
                <w:sz w:val="22"/>
                <w:szCs w:val="22"/>
                <w:lang w:val="en-AU" w:eastAsia="en-AU"/>
              </w:rPr>
              <w:t>-3.6</w:t>
            </w:r>
          </w:p>
        </w:tc>
        <w:tc>
          <w:tcPr>
            <w:tcW w:w="851" w:type="dxa"/>
          </w:tcPr>
          <w:p w:rsidR="00A76E51" w:rsidRPr="006B1651" w:rsidRDefault="00A76E51" w:rsidP="006873F7">
            <w:pPr>
              <w:pStyle w:val="Text"/>
              <w:spacing w:before="0" w:after="0"/>
              <w:rPr>
                <w:rFonts w:ascii="Arial" w:hAnsi="Arial" w:cs="Arial"/>
                <w:b/>
                <w:bCs/>
                <w:sz w:val="22"/>
                <w:szCs w:val="22"/>
                <w:lang w:val="en-AU" w:eastAsia="en-AU"/>
              </w:rPr>
            </w:pPr>
            <w:r w:rsidRPr="006B1651">
              <w:rPr>
                <w:rFonts w:ascii="Arial" w:hAnsi="Arial" w:cs="Arial"/>
                <w:sz w:val="22"/>
                <w:szCs w:val="22"/>
                <w:lang w:val="en-AU" w:eastAsia="en-AU"/>
              </w:rPr>
              <w:t xml:space="preserve">-1.60 </w:t>
            </w:r>
          </w:p>
        </w:tc>
        <w:tc>
          <w:tcPr>
            <w:tcW w:w="992" w:type="dxa"/>
          </w:tcPr>
          <w:p w:rsidR="00A76E51" w:rsidRPr="006B1651" w:rsidRDefault="00A76E51" w:rsidP="006873F7">
            <w:pPr>
              <w:pStyle w:val="Text"/>
              <w:spacing w:before="0" w:after="0"/>
              <w:rPr>
                <w:rFonts w:ascii="Arial" w:hAnsi="Arial" w:cs="Arial"/>
                <w:b/>
                <w:bCs/>
                <w:sz w:val="22"/>
                <w:szCs w:val="22"/>
                <w:lang w:val="en-AU" w:eastAsia="en-AU"/>
              </w:rPr>
            </w:pPr>
            <w:r w:rsidRPr="006B1651">
              <w:rPr>
                <w:rFonts w:ascii="Arial" w:hAnsi="Arial" w:cs="Arial"/>
                <w:sz w:val="22"/>
                <w:szCs w:val="22"/>
                <w:lang w:val="en-AU" w:eastAsia="en-AU"/>
              </w:rPr>
              <w:t xml:space="preserve">-0.95 </w:t>
            </w:r>
          </w:p>
        </w:tc>
        <w:tc>
          <w:tcPr>
            <w:tcW w:w="851" w:type="dxa"/>
          </w:tcPr>
          <w:p w:rsidR="00A76E51" w:rsidRPr="006B1651" w:rsidRDefault="00A76E51" w:rsidP="006873F7">
            <w:pPr>
              <w:pStyle w:val="Text"/>
              <w:spacing w:before="0" w:after="0"/>
              <w:rPr>
                <w:rFonts w:ascii="Arial" w:hAnsi="Arial" w:cs="Arial"/>
                <w:b/>
                <w:bCs/>
                <w:sz w:val="22"/>
                <w:szCs w:val="22"/>
                <w:lang w:val="en-AU" w:eastAsia="en-AU"/>
              </w:rPr>
            </w:pPr>
            <w:r w:rsidRPr="006B1651">
              <w:rPr>
                <w:rFonts w:ascii="Arial" w:hAnsi="Arial" w:cs="Arial"/>
                <w:sz w:val="22"/>
                <w:szCs w:val="22"/>
                <w:lang w:val="en-AU" w:eastAsia="en-AU"/>
              </w:rPr>
              <w:t>-0.20</w:t>
            </w:r>
          </w:p>
        </w:tc>
        <w:tc>
          <w:tcPr>
            <w:tcW w:w="794" w:type="dxa"/>
          </w:tcPr>
          <w:p w:rsidR="00A76E51" w:rsidRPr="006B1651" w:rsidRDefault="00A76E51" w:rsidP="006873F7">
            <w:pPr>
              <w:pStyle w:val="Text"/>
              <w:spacing w:before="0" w:after="0"/>
              <w:rPr>
                <w:rFonts w:ascii="Arial" w:hAnsi="Arial" w:cs="Arial"/>
                <w:b/>
                <w:bCs/>
                <w:sz w:val="22"/>
                <w:szCs w:val="22"/>
                <w:lang w:val="en-AU" w:eastAsia="en-AU"/>
              </w:rPr>
            </w:pPr>
            <w:r w:rsidRPr="006B1651">
              <w:rPr>
                <w:rFonts w:ascii="Arial" w:hAnsi="Arial" w:cs="Arial"/>
                <w:sz w:val="22"/>
                <w:szCs w:val="22"/>
                <w:lang w:val="en-AU" w:eastAsia="en-AU"/>
              </w:rPr>
              <w:t>3.1</w:t>
            </w:r>
          </w:p>
        </w:tc>
      </w:tr>
      <w:tr w:rsidR="00A76E51" w:rsidRPr="006B1651" w:rsidTr="006873F7">
        <w:tc>
          <w:tcPr>
            <w:tcW w:w="9720" w:type="dxa"/>
            <w:gridSpan w:val="9"/>
          </w:tcPr>
          <w:p w:rsidR="00A76E51" w:rsidRPr="00057E0F" w:rsidRDefault="00A76E51" w:rsidP="006873F7">
            <w:pPr>
              <w:pStyle w:val="Text"/>
              <w:spacing w:before="0" w:after="0"/>
              <w:rPr>
                <w:rFonts w:ascii="Arial" w:hAnsi="Arial" w:cs="Arial"/>
                <w:sz w:val="22"/>
                <w:szCs w:val="22"/>
                <w:lang w:val="en-AU" w:eastAsia="en-AU"/>
              </w:rPr>
            </w:pPr>
            <w:r w:rsidRPr="006B1651">
              <w:rPr>
                <w:rFonts w:ascii="Arial" w:hAnsi="Arial" w:cs="Arial"/>
                <w:sz w:val="22"/>
                <w:szCs w:val="22"/>
                <w:lang w:val="en-AU" w:eastAsia="en-AU"/>
              </w:rPr>
              <w:t>Femoral neck</w:t>
            </w:r>
          </w:p>
        </w:tc>
      </w:tr>
      <w:tr w:rsidR="00A76E51" w:rsidRPr="006B1651" w:rsidTr="006873F7">
        <w:tc>
          <w:tcPr>
            <w:tcW w:w="2830" w:type="dxa"/>
          </w:tcPr>
          <w:p w:rsidR="00A76E51" w:rsidRPr="006B1651" w:rsidRDefault="00A76E51" w:rsidP="006873F7">
            <w:pPr>
              <w:autoSpaceDE w:val="0"/>
              <w:autoSpaceDN w:val="0"/>
              <w:adjustRightInd w:val="0"/>
              <w:rPr>
                <w:rFonts w:cs="Arial"/>
                <w:szCs w:val="22"/>
                <w:lang w:val="en-AU" w:eastAsia="en-AU"/>
              </w:rPr>
            </w:pPr>
            <w:r>
              <w:rPr>
                <w:rFonts w:cs="Arial"/>
                <w:szCs w:val="22"/>
                <w:lang w:val="en-AU" w:eastAsia="en-AU"/>
              </w:rPr>
              <w:tab/>
            </w:r>
            <w:proofErr w:type="spellStart"/>
            <w:r w:rsidRPr="006B1651">
              <w:rPr>
                <w:rFonts w:cs="Arial"/>
                <w:szCs w:val="22"/>
                <w:lang w:val="en-AU" w:eastAsia="en-AU"/>
              </w:rPr>
              <w:t>Prolia</w:t>
            </w:r>
            <w:proofErr w:type="spellEnd"/>
            <w:r w:rsidRPr="006B1651">
              <w:rPr>
                <w:rFonts w:cs="Arial"/>
                <w:szCs w:val="22"/>
                <w:vertAlign w:val="superscript"/>
                <w:lang w:val="en-AU" w:eastAsia="en-AU"/>
              </w:rPr>
              <w:t>®</w:t>
            </w:r>
            <w:r w:rsidRPr="006B1651">
              <w:rPr>
                <w:rFonts w:cs="Arial"/>
                <w:szCs w:val="22"/>
                <w:lang w:val="en-AU" w:eastAsia="en-AU"/>
              </w:rPr>
              <w:t xml:space="preserve"> (N = 734)</w:t>
            </w:r>
          </w:p>
        </w:tc>
        <w:tc>
          <w:tcPr>
            <w:tcW w:w="851" w:type="dxa"/>
          </w:tcPr>
          <w:p w:rsidR="00A76E51" w:rsidRPr="006B1651" w:rsidRDefault="00A76E51" w:rsidP="006873F7">
            <w:pPr>
              <w:pStyle w:val="Text"/>
              <w:spacing w:before="0" w:after="0"/>
              <w:rPr>
                <w:rFonts w:ascii="Arial" w:hAnsi="Arial" w:cs="Arial"/>
                <w:b/>
                <w:bCs/>
                <w:sz w:val="22"/>
                <w:szCs w:val="22"/>
                <w:lang w:val="en-AU" w:eastAsia="en-AU"/>
              </w:rPr>
            </w:pPr>
            <w:r w:rsidRPr="006B1651">
              <w:rPr>
                <w:rFonts w:ascii="Arial" w:hAnsi="Arial" w:cs="Arial"/>
                <w:sz w:val="22"/>
                <w:szCs w:val="22"/>
                <w:lang w:val="en-AU" w:eastAsia="en-AU"/>
              </w:rPr>
              <w:t>712</w:t>
            </w:r>
          </w:p>
        </w:tc>
        <w:tc>
          <w:tcPr>
            <w:tcW w:w="992" w:type="dxa"/>
          </w:tcPr>
          <w:p w:rsidR="00A76E51" w:rsidRPr="006B1651" w:rsidRDefault="00A76E51" w:rsidP="006873F7">
            <w:pPr>
              <w:pStyle w:val="Text"/>
              <w:spacing w:before="0" w:after="0"/>
              <w:rPr>
                <w:rFonts w:ascii="Arial" w:hAnsi="Arial" w:cs="Arial"/>
                <w:b/>
                <w:bCs/>
                <w:sz w:val="22"/>
                <w:szCs w:val="22"/>
                <w:lang w:val="en-AU" w:eastAsia="en-AU"/>
              </w:rPr>
            </w:pPr>
            <w:r w:rsidRPr="006B1651">
              <w:rPr>
                <w:rFonts w:ascii="Arial" w:hAnsi="Arial" w:cs="Arial"/>
                <w:sz w:val="22"/>
                <w:szCs w:val="22"/>
                <w:lang w:val="en-AU" w:eastAsia="en-AU"/>
              </w:rPr>
              <w:t>-1.41</w:t>
            </w:r>
          </w:p>
        </w:tc>
        <w:tc>
          <w:tcPr>
            <w:tcW w:w="709" w:type="dxa"/>
          </w:tcPr>
          <w:p w:rsidR="00A76E51" w:rsidRPr="006B1651" w:rsidRDefault="00A76E51" w:rsidP="006873F7">
            <w:pPr>
              <w:pStyle w:val="Text"/>
              <w:spacing w:before="0" w:after="0"/>
              <w:rPr>
                <w:rFonts w:ascii="Arial" w:hAnsi="Arial" w:cs="Arial"/>
                <w:b/>
                <w:bCs/>
                <w:sz w:val="22"/>
                <w:szCs w:val="22"/>
                <w:lang w:val="en-AU" w:eastAsia="en-AU"/>
              </w:rPr>
            </w:pPr>
            <w:r w:rsidRPr="006B1651">
              <w:rPr>
                <w:rFonts w:ascii="Arial" w:hAnsi="Arial" w:cs="Arial"/>
                <w:sz w:val="22"/>
                <w:szCs w:val="22"/>
                <w:lang w:val="en-AU" w:eastAsia="en-AU"/>
              </w:rPr>
              <w:t>0.86</w:t>
            </w:r>
          </w:p>
        </w:tc>
        <w:tc>
          <w:tcPr>
            <w:tcW w:w="850" w:type="dxa"/>
          </w:tcPr>
          <w:p w:rsidR="00A76E51" w:rsidRPr="006B1651" w:rsidRDefault="00A76E51" w:rsidP="006873F7">
            <w:pPr>
              <w:pStyle w:val="Text"/>
              <w:spacing w:before="0" w:after="0"/>
              <w:rPr>
                <w:rFonts w:ascii="Arial" w:hAnsi="Arial" w:cs="Arial"/>
                <w:b/>
                <w:bCs/>
                <w:sz w:val="22"/>
                <w:szCs w:val="22"/>
                <w:lang w:val="en-AU" w:eastAsia="en-AU"/>
              </w:rPr>
            </w:pPr>
            <w:r w:rsidRPr="006B1651">
              <w:rPr>
                <w:rFonts w:ascii="Arial" w:hAnsi="Arial" w:cs="Arial"/>
                <w:sz w:val="22"/>
                <w:szCs w:val="22"/>
                <w:lang w:val="en-AU" w:eastAsia="en-AU"/>
              </w:rPr>
              <w:t>-3.8</w:t>
            </w:r>
          </w:p>
        </w:tc>
        <w:tc>
          <w:tcPr>
            <w:tcW w:w="851" w:type="dxa"/>
          </w:tcPr>
          <w:p w:rsidR="00A76E51" w:rsidRPr="006B1651" w:rsidRDefault="00A76E51" w:rsidP="006873F7">
            <w:pPr>
              <w:pStyle w:val="Text"/>
              <w:spacing w:before="0" w:after="0"/>
              <w:rPr>
                <w:rFonts w:ascii="Arial" w:hAnsi="Arial" w:cs="Arial"/>
                <w:b/>
                <w:bCs/>
                <w:sz w:val="22"/>
                <w:szCs w:val="22"/>
                <w:lang w:val="en-AU" w:eastAsia="en-AU"/>
              </w:rPr>
            </w:pPr>
            <w:r w:rsidRPr="006B1651">
              <w:rPr>
                <w:rFonts w:ascii="Arial" w:hAnsi="Arial" w:cs="Arial"/>
                <w:sz w:val="22"/>
                <w:szCs w:val="22"/>
                <w:lang w:val="en-AU" w:eastAsia="en-AU"/>
              </w:rPr>
              <w:t>-2.00</w:t>
            </w:r>
          </w:p>
        </w:tc>
        <w:tc>
          <w:tcPr>
            <w:tcW w:w="992" w:type="dxa"/>
          </w:tcPr>
          <w:p w:rsidR="00A76E51" w:rsidRPr="006B1651" w:rsidRDefault="00A76E51" w:rsidP="006873F7">
            <w:pPr>
              <w:pStyle w:val="Text"/>
              <w:spacing w:before="0" w:after="0"/>
              <w:rPr>
                <w:rFonts w:ascii="Arial" w:hAnsi="Arial" w:cs="Arial"/>
                <w:b/>
                <w:bCs/>
                <w:sz w:val="22"/>
                <w:szCs w:val="22"/>
                <w:lang w:val="en-AU" w:eastAsia="en-AU"/>
              </w:rPr>
            </w:pPr>
            <w:r w:rsidRPr="006B1651">
              <w:rPr>
                <w:rFonts w:ascii="Arial" w:hAnsi="Arial" w:cs="Arial"/>
                <w:sz w:val="22"/>
                <w:szCs w:val="22"/>
                <w:lang w:val="en-AU" w:eastAsia="en-AU"/>
              </w:rPr>
              <w:t xml:space="preserve">-1.50 </w:t>
            </w:r>
          </w:p>
        </w:tc>
        <w:tc>
          <w:tcPr>
            <w:tcW w:w="851" w:type="dxa"/>
          </w:tcPr>
          <w:p w:rsidR="00A76E51" w:rsidRPr="006B1651" w:rsidRDefault="00A76E51" w:rsidP="006873F7">
            <w:pPr>
              <w:pStyle w:val="Text"/>
              <w:spacing w:before="0" w:after="0"/>
              <w:rPr>
                <w:rFonts w:ascii="Arial" w:hAnsi="Arial" w:cs="Arial"/>
                <w:b/>
                <w:bCs/>
                <w:sz w:val="22"/>
                <w:szCs w:val="22"/>
                <w:lang w:val="en-AU" w:eastAsia="en-AU"/>
              </w:rPr>
            </w:pPr>
            <w:r w:rsidRPr="006B1651">
              <w:rPr>
                <w:rFonts w:ascii="Arial" w:hAnsi="Arial" w:cs="Arial"/>
                <w:sz w:val="22"/>
                <w:szCs w:val="22"/>
                <w:lang w:val="en-AU" w:eastAsia="en-AU"/>
              </w:rPr>
              <w:t>-0.90</w:t>
            </w:r>
          </w:p>
        </w:tc>
        <w:tc>
          <w:tcPr>
            <w:tcW w:w="794" w:type="dxa"/>
          </w:tcPr>
          <w:p w:rsidR="00A76E51" w:rsidRPr="006B1651" w:rsidRDefault="00A76E51" w:rsidP="006873F7">
            <w:pPr>
              <w:pStyle w:val="Text"/>
              <w:spacing w:before="0" w:after="0"/>
              <w:rPr>
                <w:rFonts w:ascii="Arial" w:hAnsi="Arial" w:cs="Arial"/>
                <w:b/>
                <w:bCs/>
                <w:sz w:val="22"/>
                <w:szCs w:val="22"/>
                <w:lang w:val="en-AU" w:eastAsia="en-AU"/>
              </w:rPr>
            </w:pPr>
            <w:r w:rsidRPr="006B1651">
              <w:rPr>
                <w:rFonts w:ascii="Arial" w:hAnsi="Arial" w:cs="Arial"/>
                <w:sz w:val="22"/>
                <w:szCs w:val="22"/>
                <w:lang w:val="en-AU" w:eastAsia="en-AU"/>
              </w:rPr>
              <w:t>3.0</w:t>
            </w:r>
          </w:p>
        </w:tc>
      </w:tr>
      <w:tr w:rsidR="00A76E51" w:rsidRPr="006B1651" w:rsidTr="006873F7">
        <w:tc>
          <w:tcPr>
            <w:tcW w:w="2830" w:type="dxa"/>
          </w:tcPr>
          <w:p w:rsidR="00A76E51" w:rsidRPr="006B1651" w:rsidRDefault="00A76E51" w:rsidP="006873F7">
            <w:pPr>
              <w:pStyle w:val="Text"/>
              <w:spacing w:before="0" w:after="0"/>
              <w:rPr>
                <w:rFonts w:ascii="Arial" w:hAnsi="Arial" w:cs="Arial"/>
                <w:b/>
                <w:bCs/>
                <w:sz w:val="22"/>
                <w:szCs w:val="22"/>
                <w:lang w:val="en-AU" w:eastAsia="en-AU"/>
              </w:rPr>
            </w:pPr>
            <w:r>
              <w:rPr>
                <w:rFonts w:ascii="Arial" w:hAnsi="Arial" w:cs="Arial"/>
                <w:sz w:val="22"/>
                <w:szCs w:val="22"/>
                <w:lang w:val="en-AU" w:eastAsia="en-AU"/>
              </w:rPr>
              <w:tab/>
            </w:r>
            <w:r w:rsidRPr="006B1651">
              <w:rPr>
                <w:rFonts w:ascii="Arial" w:hAnsi="Arial" w:cs="Arial"/>
                <w:sz w:val="22"/>
                <w:szCs w:val="22"/>
                <w:lang w:val="en-AU" w:eastAsia="en-AU"/>
              </w:rPr>
              <w:t xml:space="preserve">Placebo (N = 734) </w:t>
            </w:r>
          </w:p>
        </w:tc>
        <w:tc>
          <w:tcPr>
            <w:tcW w:w="851" w:type="dxa"/>
          </w:tcPr>
          <w:p w:rsidR="00A76E51" w:rsidRPr="006B1651" w:rsidRDefault="00A76E51" w:rsidP="006873F7">
            <w:pPr>
              <w:pStyle w:val="Text"/>
              <w:spacing w:before="0" w:after="0"/>
              <w:rPr>
                <w:rFonts w:ascii="Arial" w:hAnsi="Arial" w:cs="Arial"/>
                <w:b/>
                <w:bCs/>
                <w:sz w:val="22"/>
                <w:szCs w:val="22"/>
                <w:lang w:val="en-AU" w:eastAsia="en-AU"/>
              </w:rPr>
            </w:pPr>
            <w:r w:rsidRPr="006B1651">
              <w:rPr>
                <w:rFonts w:ascii="Arial" w:hAnsi="Arial" w:cs="Arial"/>
                <w:sz w:val="22"/>
                <w:szCs w:val="22"/>
                <w:lang w:val="en-AU" w:eastAsia="en-AU"/>
              </w:rPr>
              <w:t>718</w:t>
            </w:r>
          </w:p>
        </w:tc>
        <w:tc>
          <w:tcPr>
            <w:tcW w:w="992" w:type="dxa"/>
          </w:tcPr>
          <w:p w:rsidR="00A76E51" w:rsidRPr="006B1651" w:rsidRDefault="00A76E51" w:rsidP="006873F7">
            <w:pPr>
              <w:pStyle w:val="Text"/>
              <w:spacing w:before="0" w:after="0"/>
              <w:rPr>
                <w:rFonts w:ascii="Arial" w:hAnsi="Arial" w:cs="Arial"/>
                <w:b/>
                <w:bCs/>
                <w:sz w:val="22"/>
                <w:szCs w:val="22"/>
                <w:lang w:val="en-AU" w:eastAsia="en-AU"/>
              </w:rPr>
            </w:pPr>
            <w:r w:rsidRPr="006B1651">
              <w:rPr>
                <w:rFonts w:ascii="Arial" w:hAnsi="Arial" w:cs="Arial"/>
                <w:sz w:val="22"/>
                <w:szCs w:val="22"/>
                <w:lang w:val="en-AU" w:eastAsia="en-AU"/>
              </w:rPr>
              <w:t>-1.42</w:t>
            </w:r>
          </w:p>
        </w:tc>
        <w:tc>
          <w:tcPr>
            <w:tcW w:w="709" w:type="dxa"/>
          </w:tcPr>
          <w:p w:rsidR="00A76E51" w:rsidRPr="006B1651" w:rsidRDefault="00A76E51" w:rsidP="006873F7">
            <w:pPr>
              <w:pStyle w:val="Text"/>
              <w:spacing w:before="0" w:after="0"/>
              <w:rPr>
                <w:rFonts w:ascii="Arial" w:hAnsi="Arial" w:cs="Arial"/>
                <w:b/>
                <w:bCs/>
                <w:sz w:val="22"/>
                <w:szCs w:val="22"/>
                <w:lang w:val="en-AU" w:eastAsia="en-AU"/>
              </w:rPr>
            </w:pPr>
            <w:r w:rsidRPr="006B1651">
              <w:rPr>
                <w:rFonts w:ascii="Arial" w:hAnsi="Arial" w:cs="Arial"/>
                <w:sz w:val="22"/>
                <w:szCs w:val="22"/>
                <w:lang w:val="en-AU" w:eastAsia="en-AU"/>
              </w:rPr>
              <w:t>0.91</w:t>
            </w:r>
          </w:p>
        </w:tc>
        <w:tc>
          <w:tcPr>
            <w:tcW w:w="850" w:type="dxa"/>
          </w:tcPr>
          <w:p w:rsidR="00A76E51" w:rsidRPr="006B1651" w:rsidRDefault="00A76E51" w:rsidP="006873F7">
            <w:pPr>
              <w:pStyle w:val="Text"/>
              <w:spacing w:before="0" w:after="0"/>
              <w:rPr>
                <w:rFonts w:ascii="Arial" w:hAnsi="Arial" w:cs="Arial"/>
                <w:b/>
                <w:bCs/>
                <w:sz w:val="22"/>
                <w:szCs w:val="22"/>
                <w:lang w:val="en-AU" w:eastAsia="en-AU"/>
              </w:rPr>
            </w:pPr>
            <w:r w:rsidRPr="006B1651">
              <w:rPr>
                <w:rFonts w:ascii="Arial" w:hAnsi="Arial" w:cs="Arial"/>
                <w:sz w:val="22"/>
                <w:szCs w:val="22"/>
                <w:lang w:val="en-AU" w:eastAsia="en-AU"/>
              </w:rPr>
              <w:t>-3.5</w:t>
            </w:r>
          </w:p>
        </w:tc>
        <w:tc>
          <w:tcPr>
            <w:tcW w:w="851" w:type="dxa"/>
          </w:tcPr>
          <w:p w:rsidR="00A76E51" w:rsidRPr="006B1651" w:rsidRDefault="00A76E51" w:rsidP="006873F7">
            <w:pPr>
              <w:pStyle w:val="Text"/>
              <w:spacing w:before="0" w:after="0"/>
              <w:rPr>
                <w:rFonts w:ascii="Arial" w:hAnsi="Arial" w:cs="Arial"/>
                <w:b/>
                <w:bCs/>
                <w:sz w:val="22"/>
                <w:szCs w:val="22"/>
                <w:lang w:val="en-AU" w:eastAsia="en-AU"/>
              </w:rPr>
            </w:pPr>
            <w:r w:rsidRPr="006B1651">
              <w:rPr>
                <w:rFonts w:ascii="Arial" w:hAnsi="Arial" w:cs="Arial"/>
                <w:sz w:val="22"/>
                <w:szCs w:val="22"/>
                <w:lang w:val="en-AU" w:eastAsia="en-AU"/>
              </w:rPr>
              <w:t>-2.00</w:t>
            </w:r>
          </w:p>
        </w:tc>
        <w:tc>
          <w:tcPr>
            <w:tcW w:w="992" w:type="dxa"/>
          </w:tcPr>
          <w:p w:rsidR="00A76E51" w:rsidRPr="006B1651" w:rsidRDefault="00A76E51" w:rsidP="006873F7">
            <w:pPr>
              <w:pStyle w:val="Text"/>
              <w:spacing w:before="0" w:after="0"/>
              <w:rPr>
                <w:rFonts w:ascii="Arial" w:hAnsi="Arial" w:cs="Arial"/>
                <w:b/>
                <w:bCs/>
                <w:sz w:val="22"/>
                <w:szCs w:val="22"/>
                <w:lang w:val="en-AU" w:eastAsia="en-AU"/>
              </w:rPr>
            </w:pPr>
            <w:r w:rsidRPr="006B1651">
              <w:rPr>
                <w:rFonts w:ascii="Arial" w:hAnsi="Arial" w:cs="Arial"/>
                <w:sz w:val="22"/>
                <w:szCs w:val="22"/>
                <w:lang w:val="en-AU" w:eastAsia="en-AU"/>
              </w:rPr>
              <w:t>-1.50</w:t>
            </w:r>
          </w:p>
        </w:tc>
        <w:tc>
          <w:tcPr>
            <w:tcW w:w="851" w:type="dxa"/>
          </w:tcPr>
          <w:p w:rsidR="00A76E51" w:rsidRPr="006B1651" w:rsidRDefault="00A76E51" w:rsidP="006873F7">
            <w:pPr>
              <w:pStyle w:val="Text"/>
              <w:spacing w:before="0" w:after="0"/>
              <w:rPr>
                <w:rFonts w:ascii="Arial" w:hAnsi="Arial" w:cs="Arial"/>
                <w:b/>
                <w:bCs/>
                <w:sz w:val="22"/>
                <w:szCs w:val="22"/>
                <w:lang w:val="en-AU" w:eastAsia="en-AU"/>
              </w:rPr>
            </w:pPr>
            <w:r w:rsidRPr="006B1651">
              <w:rPr>
                <w:rFonts w:ascii="Arial" w:hAnsi="Arial" w:cs="Arial"/>
                <w:sz w:val="22"/>
                <w:szCs w:val="22"/>
                <w:lang w:val="en-AU" w:eastAsia="en-AU"/>
              </w:rPr>
              <w:t>-0.90</w:t>
            </w:r>
          </w:p>
        </w:tc>
        <w:tc>
          <w:tcPr>
            <w:tcW w:w="794" w:type="dxa"/>
          </w:tcPr>
          <w:p w:rsidR="00A76E51" w:rsidRPr="006B1651" w:rsidRDefault="00A76E51" w:rsidP="006873F7">
            <w:pPr>
              <w:pStyle w:val="Text"/>
              <w:spacing w:before="0" w:after="0"/>
              <w:rPr>
                <w:rFonts w:ascii="Arial" w:hAnsi="Arial" w:cs="Arial"/>
                <w:b/>
                <w:bCs/>
                <w:sz w:val="22"/>
                <w:szCs w:val="22"/>
                <w:lang w:val="en-AU" w:eastAsia="en-AU"/>
              </w:rPr>
            </w:pPr>
            <w:r w:rsidRPr="006B1651">
              <w:rPr>
                <w:rFonts w:ascii="Arial" w:hAnsi="Arial" w:cs="Arial"/>
                <w:sz w:val="22"/>
                <w:szCs w:val="22"/>
                <w:lang w:val="en-AU" w:eastAsia="en-AU"/>
              </w:rPr>
              <w:t>1.9</w:t>
            </w:r>
          </w:p>
        </w:tc>
      </w:tr>
      <w:tr w:rsidR="00A76E51" w:rsidRPr="006B1651" w:rsidTr="006873F7">
        <w:tc>
          <w:tcPr>
            <w:tcW w:w="9720" w:type="dxa"/>
            <w:gridSpan w:val="9"/>
          </w:tcPr>
          <w:p w:rsidR="00A76E51" w:rsidRPr="00CC59C5" w:rsidRDefault="00A76E51" w:rsidP="006873F7">
            <w:pPr>
              <w:autoSpaceDE w:val="0"/>
              <w:autoSpaceDN w:val="0"/>
              <w:adjustRightInd w:val="0"/>
              <w:rPr>
                <w:rFonts w:cs="Arial"/>
                <w:szCs w:val="22"/>
                <w:lang w:val="en-AU" w:eastAsia="en-AU"/>
              </w:rPr>
            </w:pPr>
            <w:r w:rsidRPr="006B1651">
              <w:rPr>
                <w:rFonts w:cs="Arial"/>
                <w:szCs w:val="22"/>
                <w:lang w:val="en-AU" w:eastAsia="en-AU"/>
              </w:rPr>
              <w:t>Hip t</w:t>
            </w:r>
            <w:r>
              <w:rPr>
                <w:rFonts w:cs="Arial"/>
                <w:szCs w:val="22"/>
                <w:lang w:val="en-AU" w:eastAsia="en-AU"/>
              </w:rPr>
              <w:t>rochanter</w:t>
            </w:r>
          </w:p>
        </w:tc>
      </w:tr>
      <w:tr w:rsidR="00A76E51" w:rsidRPr="006B1651" w:rsidTr="006873F7">
        <w:tc>
          <w:tcPr>
            <w:tcW w:w="2830" w:type="dxa"/>
          </w:tcPr>
          <w:p w:rsidR="00A76E51" w:rsidRPr="006B1651" w:rsidRDefault="00A76E51" w:rsidP="006873F7">
            <w:pPr>
              <w:autoSpaceDE w:val="0"/>
              <w:autoSpaceDN w:val="0"/>
              <w:adjustRightInd w:val="0"/>
              <w:rPr>
                <w:rFonts w:cs="Arial"/>
                <w:szCs w:val="22"/>
                <w:lang w:val="en-AU" w:eastAsia="en-AU"/>
              </w:rPr>
            </w:pPr>
            <w:r>
              <w:rPr>
                <w:rFonts w:cs="Arial"/>
                <w:szCs w:val="22"/>
                <w:lang w:val="en-AU" w:eastAsia="en-AU"/>
              </w:rPr>
              <w:tab/>
            </w:r>
            <w:proofErr w:type="spellStart"/>
            <w:r w:rsidRPr="006B1651">
              <w:rPr>
                <w:rFonts w:cs="Arial"/>
                <w:szCs w:val="22"/>
                <w:lang w:val="en-AU" w:eastAsia="en-AU"/>
              </w:rPr>
              <w:t>Prolia</w:t>
            </w:r>
            <w:proofErr w:type="spellEnd"/>
            <w:r w:rsidRPr="006B1651">
              <w:rPr>
                <w:rFonts w:cs="Arial"/>
                <w:szCs w:val="22"/>
                <w:vertAlign w:val="superscript"/>
                <w:lang w:val="en-AU" w:eastAsia="en-AU"/>
              </w:rPr>
              <w:t>®</w:t>
            </w:r>
            <w:r w:rsidRPr="006B1651">
              <w:rPr>
                <w:rFonts w:cs="Arial"/>
                <w:szCs w:val="22"/>
                <w:lang w:val="en-AU" w:eastAsia="en-AU"/>
              </w:rPr>
              <w:t xml:space="preserve"> (N = 734)</w:t>
            </w:r>
          </w:p>
        </w:tc>
        <w:tc>
          <w:tcPr>
            <w:tcW w:w="851" w:type="dxa"/>
          </w:tcPr>
          <w:p w:rsidR="00A76E51" w:rsidRPr="006B1651" w:rsidRDefault="00A76E51" w:rsidP="006873F7">
            <w:pPr>
              <w:pStyle w:val="Text"/>
              <w:spacing w:before="0" w:after="0"/>
              <w:rPr>
                <w:rFonts w:ascii="Arial" w:hAnsi="Arial" w:cs="Arial"/>
                <w:b/>
                <w:bCs/>
                <w:sz w:val="22"/>
                <w:szCs w:val="22"/>
                <w:lang w:val="en-AU" w:eastAsia="en-AU"/>
              </w:rPr>
            </w:pPr>
            <w:r w:rsidRPr="006B1651">
              <w:rPr>
                <w:rFonts w:ascii="Arial" w:hAnsi="Arial" w:cs="Arial"/>
                <w:sz w:val="22"/>
                <w:szCs w:val="22"/>
                <w:lang w:val="en-AU" w:eastAsia="en-AU"/>
              </w:rPr>
              <w:t>712</w:t>
            </w:r>
          </w:p>
        </w:tc>
        <w:tc>
          <w:tcPr>
            <w:tcW w:w="992" w:type="dxa"/>
          </w:tcPr>
          <w:p w:rsidR="00A76E51" w:rsidRPr="006B1651" w:rsidRDefault="00A76E51" w:rsidP="006873F7">
            <w:pPr>
              <w:pStyle w:val="Text"/>
              <w:spacing w:before="0" w:after="0"/>
              <w:rPr>
                <w:rFonts w:ascii="Arial" w:hAnsi="Arial" w:cs="Arial"/>
                <w:b/>
                <w:bCs/>
                <w:sz w:val="22"/>
                <w:szCs w:val="22"/>
                <w:lang w:val="en-AU" w:eastAsia="en-AU"/>
              </w:rPr>
            </w:pPr>
            <w:r w:rsidRPr="006B1651">
              <w:rPr>
                <w:rFonts w:ascii="Arial" w:hAnsi="Arial" w:cs="Arial"/>
                <w:sz w:val="22"/>
                <w:szCs w:val="22"/>
                <w:lang w:val="en-AU" w:eastAsia="en-AU"/>
              </w:rPr>
              <w:t>-0.62</w:t>
            </w:r>
          </w:p>
        </w:tc>
        <w:tc>
          <w:tcPr>
            <w:tcW w:w="709" w:type="dxa"/>
          </w:tcPr>
          <w:p w:rsidR="00A76E51" w:rsidRPr="006B1651" w:rsidRDefault="00A76E51" w:rsidP="006873F7">
            <w:pPr>
              <w:pStyle w:val="Text"/>
              <w:spacing w:before="0" w:after="0"/>
              <w:rPr>
                <w:rFonts w:ascii="Arial" w:hAnsi="Arial" w:cs="Arial"/>
                <w:b/>
                <w:bCs/>
                <w:sz w:val="22"/>
                <w:szCs w:val="22"/>
                <w:lang w:val="en-AU" w:eastAsia="en-AU"/>
              </w:rPr>
            </w:pPr>
            <w:r w:rsidRPr="006B1651">
              <w:rPr>
                <w:rFonts w:ascii="Arial" w:hAnsi="Arial" w:cs="Arial"/>
                <w:sz w:val="22"/>
                <w:szCs w:val="22"/>
                <w:lang w:val="en-AU" w:eastAsia="en-AU"/>
              </w:rPr>
              <w:t>1.25</w:t>
            </w:r>
          </w:p>
        </w:tc>
        <w:tc>
          <w:tcPr>
            <w:tcW w:w="850" w:type="dxa"/>
          </w:tcPr>
          <w:p w:rsidR="00A76E51" w:rsidRPr="006B1651" w:rsidRDefault="00A76E51" w:rsidP="006873F7">
            <w:pPr>
              <w:pStyle w:val="Text"/>
              <w:spacing w:before="0" w:after="0"/>
              <w:rPr>
                <w:rFonts w:ascii="Arial" w:hAnsi="Arial" w:cs="Arial"/>
                <w:b/>
                <w:bCs/>
                <w:sz w:val="22"/>
                <w:szCs w:val="22"/>
                <w:lang w:val="en-AU" w:eastAsia="en-AU"/>
              </w:rPr>
            </w:pPr>
            <w:r w:rsidRPr="006B1651">
              <w:rPr>
                <w:rFonts w:ascii="Arial" w:hAnsi="Arial" w:cs="Arial"/>
                <w:sz w:val="22"/>
                <w:szCs w:val="22"/>
                <w:lang w:val="en-AU" w:eastAsia="en-AU"/>
              </w:rPr>
              <w:t xml:space="preserve">-4.5 </w:t>
            </w:r>
          </w:p>
        </w:tc>
        <w:tc>
          <w:tcPr>
            <w:tcW w:w="851" w:type="dxa"/>
          </w:tcPr>
          <w:p w:rsidR="00A76E51" w:rsidRPr="006B1651" w:rsidRDefault="00A76E51" w:rsidP="006873F7">
            <w:pPr>
              <w:pStyle w:val="Text"/>
              <w:spacing w:before="0" w:after="0"/>
              <w:rPr>
                <w:rFonts w:ascii="Arial" w:hAnsi="Arial" w:cs="Arial"/>
                <w:b/>
                <w:bCs/>
                <w:sz w:val="22"/>
                <w:szCs w:val="22"/>
                <w:lang w:val="en-AU" w:eastAsia="en-AU"/>
              </w:rPr>
            </w:pPr>
            <w:r w:rsidRPr="006B1651">
              <w:rPr>
                <w:rFonts w:ascii="Arial" w:hAnsi="Arial" w:cs="Arial"/>
                <w:sz w:val="22"/>
                <w:szCs w:val="22"/>
                <w:lang w:val="en-AU" w:eastAsia="en-AU"/>
              </w:rPr>
              <w:t>-1.40</w:t>
            </w:r>
          </w:p>
        </w:tc>
        <w:tc>
          <w:tcPr>
            <w:tcW w:w="992" w:type="dxa"/>
          </w:tcPr>
          <w:p w:rsidR="00A76E51" w:rsidRPr="006B1651" w:rsidRDefault="00A76E51" w:rsidP="006873F7">
            <w:pPr>
              <w:pStyle w:val="Text"/>
              <w:spacing w:before="0" w:after="0"/>
              <w:rPr>
                <w:rFonts w:ascii="Arial" w:hAnsi="Arial" w:cs="Arial"/>
                <w:b/>
                <w:bCs/>
                <w:sz w:val="22"/>
                <w:szCs w:val="22"/>
                <w:lang w:val="en-AU" w:eastAsia="en-AU"/>
              </w:rPr>
            </w:pPr>
            <w:r w:rsidRPr="006B1651">
              <w:rPr>
                <w:rFonts w:ascii="Arial" w:hAnsi="Arial" w:cs="Arial"/>
                <w:sz w:val="22"/>
                <w:szCs w:val="22"/>
                <w:lang w:val="en-AU" w:eastAsia="en-AU"/>
              </w:rPr>
              <w:t xml:space="preserve">-0.70 </w:t>
            </w:r>
          </w:p>
        </w:tc>
        <w:tc>
          <w:tcPr>
            <w:tcW w:w="851" w:type="dxa"/>
          </w:tcPr>
          <w:p w:rsidR="00A76E51" w:rsidRPr="006B1651" w:rsidRDefault="00A76E51" w:rsidP="006873F7">
            <w:pPr>
              <w:pStyle w:val="Text"/>
              <w:spacing w:before="0" w:after="0"/>
              <w:rPr>
                <w:rFonts w:ascii="Arial" w:hAnsi="Arial" w:cs="Arial"/>
                <w:b/>
                <w:bCs/>
                <w:sz w:val="22"/>
                <w:szCs w:val="22"/>
                <w:lang w:val="en-AU" w:eastAsia="en-AU"/>
              </w:rPr>
            </w:pPr>
            <w:r w:rsidRPr="006B1651">
              <w:rPr>
                <w:rFonts w:ascii="Arial" w:hAnsi="Arial" w:cs="Arial"/>
                <w:sz w:val="22"/>
                <w:szCs w:val="22"/>
                <w:lang w:val="en-AU" w:eastAsia="en-AU"/>
              </w:rPr>
              <w:t xml:space="preserve">0.10 </w:t>
            </w:r>
          </w:p>
        </w:tc>
        <w:tc>
          <w:tcPr>
            <w:tcW w:w="794" w:type="dxa"/>
          </w:tcPr>
          <w:p w:rsidR="00A76E51" w:rsidRPr="006B1651" w:rsidRDefault="00A76E51" w:rsidP="006873F7">
            <w:pPr>
              <w:pStyle w:val="Text"/>
              <w:spacing w:before="0" w:after="0"/>
              <w:rPr>
                <w:rFonts w:ascii="Arial" w:hAnsi="Arial" w:cs="Arial"/>
                <w:b/>
                <w:bCs/>
                <w:sz w:val="22"/>
                <w:szCs w:val="22"/>
                <w:lang w:val="en-AU" w:eastAsia="en-AU"/>
              </w:rPr>
            </w:pPr>
            <w:r w:rsidRPr="006B1651">
              <w:rPr>
                <w:rFonts w:ascii="Arial" w:hAnsi="Arial" w:cs="Arial"/>
                <w:sz w:val="22"/>
                <w:szCs w:val="22"/>
                <w:lang w:val="en-AU" w:eastAsia="en-AU"/>
              </w:rPr>
              <w:t>3.5</w:t>
            </w:r>
          </w:p>
        </w:tc>
      </w:tr>
      <w:tr w:rsidR="00A76E51" w:rsidRPr="006B1651" w:rsidTr="006873F7">
        <w:tc>
          <w:tcPr>
            <w:tcW w:w="2830" w:type="dxa"/>
          </w:tcPr>
          <w:p w:rsidR="00A76E51" w:rsidRPr="006B1651" w:rsidRDefault="00A76E51" w:rsidP="006873F7">
            <w:pPr>
              <w:pStyle w:val="Text"/>
              <w:spacing w:before="0" w:after="0"/>
              <w:rPr>
                <w:rFonts w:ascii="Arial" w:hAnsi="Arial" w:cs="Arial"/>
                <w:b/>
                <w:bCs/>
                <w:sz w:val="22"/>
                <w:szCs w:val="22"/>
                <w:lang w:val="en-AU" w:eastAsia="en-AU"/>
              </w:rPr>
            </w:pPr>
            <w:r>
              <w:rPr>
                <w:rFonts w:ascii="Arial" w:hAnsi="Arial" w:cs="Arial"/>
                <w:sz w:val="22"/>
                <w:szCs w:val="22"/>
                <w:lang w:val="en-AU" w:eastAsia="en-AU"/>
              </w:rPr>
              <w:tab/>
            </w:r>
            <w:r w:rsidRPr="006B1651">
              <w:rPr>
                <w:rFonts w:ascii="Arial" w:hAnsi="Arial" w:cs="Arial"/>
                <w:sz w:val="22"/>
                <w:szCs w:val="22"/>
                <w:lang w:val="en-AU" w:eastAsia="en-AU"/>
              </w:rPr>
              <w:t xml:space="preserve">Placebo (N = 734) </w:t>
            </w:r>
          </w:p>
        </w:tc>
        <w:tc>
          <w:tcPr>
            <w:tcW w:w="851" w:type="dxa"/>
          </w:tcPr>
          <w:p w:rsidR="00A76E51" w:rsidRPr="006B1651" w:rsidRDefault="00A76E51" w:rsidP="006873F7">
            <w:pPr>
              <w:pStyle w:val="Text"/>
              <w:spacing w:before="0" w:after="0"/>
              <w:rPr>
                <w:rFonts w:ascii="Arial" w:hAnsi="Arial" w:cs="Arial"/>
                <w:b/>
                <w:bCs/>
                <w:sz w:val="22"/>
                <w:szCs w:val="22"/>
                <w:lang w:val="en-AU" w:eastAsia="en-AU"/>
              </w:rPr>
            </w:pPr>
            <w:r w:rsidRPr="006B1651">
              <w:rPr>
                <w:rFonts w:ascii="Arial" w:hAnsi="Arial" w:cs="Arial"/>
                <w:sz w:val="22"/>
                <w:szCs w:val="22"/>
                <w:lang w:val="en-AU" w:eastAsia="en-AU"/>
              </w:rPr>
              <w:t>718</w:t>
            </w:r>
          </w:p>
        </w:tc>
        <w:tc>
          <w:tcPr>
            <w:tcW w:w="992" w:type="dxa"/>
          </w:tcPr>
          <w:p w:rsidR="00A76E51" w:rsidRPr="006B1651" w:rsidRDefault="00A76E51" w:rsidP="006873F7">
            <w:pPr>
              <w:pStyle w:val="Text"/>
              <w:spacing w:before="0" w:after="0"/>
              <w:rPr>
                <w:rFonts w:ascii="Arial" w:hAnsi="Arial" w:cs="Arial"/>
                <w:b/>
                <w:bCs/>
                <w:sz w:val="22"/>
                <w:szCs w:val="22"/>
                <w:lang w:val="en-AU" w:eastAsia="en-AU"/>
              </w:rPr>
            </w:pPr>
            <w:r w:rsidRPr="006B1651">
              <w:rPr>
                <w:rFonts w:ascii="Arial" w:hAnsi="Arial" w:cs="Arial"/>
                <w:sz w:val="22"/>
                <w:szCs w:val="22"/>
                <w:lang w:val="en-AU" w:eastAsia="en-AU"/>
              </w:rPr>
              <w:t>-0.64</w:t>
            </w:r>
          </w:p>
        </w:tc>
        <w:tc>
          <w:tcPr>
            <w:tcW w:w="709" w:type="dxa"/>
          </w:tcPr>
          <w:p w:rsidR="00A76E51" w:rsidRPr="006B1651" w:rsidRDefault="00A76E51" w:rsidP="006873F7">
            <w:pPr>
              <w:pStyle w:val="Text"/>
              <w:spacing w:before="0" w:after="0"/>
              <w:rPr>
                <w:rFonts w:ascii="Arial" w:hAnsi="Arial" w:cs="Arial"/>
                <w:b/>
                <w:bCs/>
                <w:sz w:val="22"/>
                <w:szCs w:val="22"/>
                <w:lang w:val="en-AU" w:eastAsia="en-AU"/>
              </w:rPr>
            </w:pPr>
            <w:r w:rsidRPr="006B1651">
              <w:rPr>
                <w:rFonts w:ascii="Arial" w:hAnsi="Arial" w:cs="Arial"/>
                <w:sz w:val="22"/>
                <w:szCs w:val="22"/>
                <w:lang w:val="en-AU" w:eastAsia="en-AU"/>
              </w:rPr>
              <w:t>1.27</w:t>
            </w:r>
          </w:p>
        </w:tc>
        <w:tc>
          <w:tcPr>
            <w:tcW w:w="850" w:type="dxa"/>
          </w:tcPr>
          <w:p w:rsidR="00A76E51" w:rsidRPr="006B1651" w:rsidRDefault="00A76E51" w:rsidP="006873F7">
            <w:pPr>
              <w:pStyle w:val="Text"/>
              <w:spacing w:before="0" w:after="0"/>
              <w:rPr>
                <w:rFonts w:ascii="Arial" w:hAnsi="Arial" w:cs="Arial"/>
                <w:b/>
                <w:bCs/>
                <w:sz w:val="22"/>
                <w:szCs w:val="22"/>
                <w:lang w:val="en-AU" w:eastAsia="en-AU"/>
              </w:rPr>
            </w:pPr>
            <w:r w:rsidRPr="006B1651">
              <w:rPr>
                <w:rFonts w:ascii="Arial" w:hAnsi="Arial" w:cs="Arial"/>
                <w:sz w:val="22"/>
                <w:szCs w:val="22"/>
                <w:lang w:val="en-AU" w:eastAsia="en-AU"/>
              </w:rPr>
              <w:t xml:space="preserve">-4.7 </w:t>
            </w:r>
          </w:p>
        </w:tc>
        <w:tc>
          <w:tcPr>
            <w:tcW w:w="851" w:type="dxa"/>
          </w:tcPr>
          <w:p w:rsidR="00A76E51" w:rsidRPr="006B1651" w:rsidRDefault="00A76E51" w:rsidP="006873F7">
            <w:pPr>
              <w:pStyle w:val="Text"/>
              <w:spacing w:before="0" w:after="0"/>
              <w:rPr>
                <w:rFonts w:ascii="Arial" w:hAnsi="Arial" w:cs="Arial"/>
                <w:b/>
                <w:bCs/>
                <w:sz w:val="22"/>
                <w:szCs w:val="22"/>
                <w:lang w:val="en-AU" w:eastAsia="en-AU"/>
              </w:rPr>
            </w:pPr>
            <w:r w:rsidRPr="006B1651">
              <w:rPr>
                <w:rFonts w:ascii="Arial" w:hAnsi="Arial" w:cs="Arial"/>
                <w:sz w:val="22"/>
                <w:szCs w:val="22"/>
                <w:lang w:val="en-AU" w:eastAsia="en-AU"/>
              </w:rPr>
              <w:t>-1.50</w:t>
            </w:r>
          </w:p>
        </w:tc>
        <w:tc>
          <w:tcPr>
            <w:tcW w:w="992" w:type="dxa"/>
          </w:tcPr>
          <w:p w:rsidR="00A76E51" w:rsidRPr="006B1651" w:rsidRDefault="00A76E51" w:rsidP="006873F7">
            <w:pPr>
              <w:pStyle w:val="Text"/>
              <w:spacing w:before="0" w:after="0"/>
              <w:rPr>
                <w:rFonts w:ascii="Arial" w:hAnsi="Arial" w:cs="Arial"/>
                <w:b/>
                <w:bCs/>
                <w:sz w:val="22"/>
                <w:szCs w:val="22"/>
                <w:lang w:val="en-AU" w:eastAsia="en-AU"/>
              </w:rPr>
            </w:pPr>
            <w:r w:rsidRPr="006B1651">
              <w:rPr>
                <w:rFonts w:ascii="Arial" w:hAnsi="Arial" w:cs="Arial"/>
                <w:sz w:val="22"/>
                <w:szCs w:val="22"/>
                <w:lang w:val="en-AU" w:eastAsia="en-AU"/>
              </w:rPr>
              <w:t xml:space="preserve">-0.70 </w:t>
            </w:r>
          </w:p>
        </w:tc>
        <w:tc>
          <w:tcPr>
            <w:tcW w:w="851" w:type="dxa"/>
          </w:tcPr>
          <w:p w:rsidR="00A76E51" w:rsidRPr="006B1651" w:rsidRDefault="00A76E51" w:rsidP="006873F7">
            <w:pPr>
              <w:pStyle w:val="Text"/>
              <w:spacing w:before="0" w:after="0"/>
              <w:rPr>
                <w:rFonts w:ascii="Arial" w:hAnsi="Arial" w:cs="Arial"/>
                <w:b/>
                <w:bCs/>
                <w:sz w:val="22"/>
                <w:szCs w:val="22"/>
                <w:lang w:val="en-AU" w:eastAsia="en-AU"/>
              </w:rPr>
            </w:pPr>
            <w:r w:rsidRPr="006B1651">
              <w:rPr>
                <w:rFonts w:ascii="Arial" w:hAnsi="Arial" w:cs="Arial"/>
                <w:sz w:val="22"/>
                <w:szCs w:val="22"/>
                <w:lang w:val="en-AU" w:eastAsia="en-AU"/>
              </w:rPr>
              <w:t xml:space="preserve">0.10 </w:t>
            </w:r>
          </w:p>
        </w:tc>
        <w:tc>
          <w:tcPr>
            <w:tcW w:w="794" w:type="dxa"/>
          </w:tcPr>
          <w:p w:rsidR="00A76E51" w:rsidRPr="006B1651" w:rsidRDefault="00A76E51" w:rsidP="006873F7">
            <w:pPr>
              <w:pStyle w:val="Text"/>
              <w:spacing w:before="0" w:after="0"/>
              <w:rPr>
                <w:rFonts w:ascii="Arial" w:hAnsi="Arial" w:cs="Arial"/>
                <w:b/>
                <w:bCs/>
                <w:sz w:val="22"/>
                <w:szCs w:val="22"/>
                <w:lang w:val="en-AU" w:eastAsia="en-AU"/>
              </w:rPr>
            </w:pPr>
            <w:r w:rsidRPr="006B1651">
              <w:rPr>
                <w:rFonts w:ascii="Arial" w:hAnsi="Arial" w:cs="Arial"/>
                <w:sz w:val="22"/>
                <w:szCs w:val="22"/>
                <w:lang w:val="en-AU" w:eastAsia="en-AU"/>
              </w:rPr>
              <w:t>4.3</w:t>
            </w:r>
          </w:p>
        </w:tc>
      </w:tr>
    </w:tbl>
    <w:p w:rsidR="00A76E51" w:rsidRPr="006B1651" w:rsidRDefault="00A76E51" w:rsidP="00A76E51">
      <w:pPr>
        <w:autoSpaceDE w:val="0"/>
        <w:autoSpaceDN w:val="0"/>
        <w:adjustRightInd w:val="0"/>
        <w:rPr>
          <w:rFonts w:cs="Arial"/>
          <w:sz w:val="16"/>
          <w:szCs w:val="16"/>
          <w:lang w:val="en-AU" w:eastAsia="en-AU"/>
        </w:rPr>
      </w:pPr>
      <w:r w:rsidRPr="006B1651">
        <w:rPr>
          <w:rFonts w:cs="Arial"/>
          <w:sz w:val="16"/>
          <w:szCs w:val="16"/>
          <w:lang w:val="en-AU" w:eastAsia="en-AU"/>
        </w:rPr>
        <w:t>N = Number of subjects randomised; SD = standard deviation;</w:t>
      </w:r>
      <w:r w:rsidRPr="006B1651">
        <w:rPr>
          <w:rFonts w:cs="Arial"/>
          <w:sz w:val="16"/>
          <w:szCs w:val="16"/>
          <w:lang w:val="en-AU" w:eastAsia="en-AU"/>
        </w:rPr>
        <w:br/>
        <w:t>Min. = minimum; Max. = Maximum;</w:t>
      </w:r>
      <w:r w:rsidRPr="006B1651">
        <w:rPr>
          <w:rFonts w:cs="Arial"/>
          <w:sz w:val="16"/>
          <w:szCs w:val="16"/>
          <w:lang w:val="en-AU" w:eastAsia="en-AU"/>
        </w:rPr>
        <w:br/>
        <w:t>Q1 – quartile 1; Q3 – quartile 3.</w:t>
      </w:r>
    </w:p>
    <w:p w:rsidR="00A76E51" w:rsidRPr="004A548F" w:rsidRDefault="00A76E51" w:rsidP="00A76E51">
      <w:pPr>
        <w:pStyle w:val="Text"/>
        <w:spacing w:before="0" w:after="0"/>
        <w:rPr>
          <w:rFonts w:ascii="Arial" w:hAnsi="Arial" w:cs="Arial"/>
          <w:b/>
          <w:bCs/>
          <w:sz w:val="20"/>
          <w:lang w:val="en-AU" w:eastAsia="en-AU"/>
        </w:rPr>
      </w:pPr>
      <w:r w:rsidRPr="006B1651">
        <w:rPr>
          <w:rFonts w:ascii="Arial" w:hAnsi="Arial" w:cs="Arial"/>
          <w:sz w:val="16"/>
          <w:szCs w:val="16"/>
          <w:lang w:val="en-AU" w:eastAsia="en-AU"/>
        </w:rPr>
        <w:t>Lumbar spine includes L1 through L4.</w:t>
      </w:r>
    </w:p>
    <w:p w:rsidR="00A76E51" w:rsidRDefault="00A76E51">
      <w:r>
        <w:br w:type="page"/>
      </w:r>
    </w:p>
    <w:p w:rsidR="00A76E51" w:rsidRPr="00770859" w:rsidRDefault="00A76E51" w:rsidP="00A76E51">
      <w:pPr>
        <w:autoSpaceDE w:val="0"/>
        <w:autoSpaceDN w:val="0"/>
        <w:adjustRightInd w:val="0"/>
        <w:jc w:val="center"/>
        <w:rPr>
          <w:rFonts w:cs="Arial"/>
          <w:b/>
          <w:bCs/>
          <w:szCs w:val="22"/>
          <w:lang w:val="en-AU" w:eastAsia="en-AU"/>
        </w:rPr>
      </w:pPr>
      <w:proofErr w:type="gramStart"/>
      <w:r w:rsidRPr="00770859">
        <w:rPr>
          <w:rFonts w:cs="Arial"/>
          <w:b/>
          <w:bCs/>
          <w:szCs w:val="22"/>
          <w:lang w:val="en-AU" w:eastAsia="en-AU"/>
        </w:rPr>
        <w:lastRenderedPageBreak/>
        <w:t xml:space="preserve">Table </w:t>
      </w:r>
      <w:r>
        <w:rPr>
          <w:rFonts w:cs="Arial"/>
          <w:b/>
          <w:bCs/>
          <w:szCs w:val="22"/>
          <w:lang w:val="en-AU" w:eastAsia="en-AU"/>
        </w:rPr>
        <w:t>6</w:t>
      </w:r>
      <w:r w:rsidRPr="00770859">
        <w:rPr>
          <w:rFonts w:cs="Arial"/>
          <w:b/>
          <w:bCs/>
          <w:szCs w:val="22"/>
          <w:lang w:val="en-AU" w:eastAsia="en-AU"/>
        </w:rPr>
        <w:t>.</w:t>
      </w:r>
      <w:proofErr w:type="gramEnd"/>
      <w:r w:rsidRPr="00770859">
        <w:rPr>
          <w:rFonts w:cs="Arial"/>
          <w:b/>
          <w:bCs/>
          <w:szCs w:val="22"/>
          <w:lang w:val="en-AU" w:eastAsia="en-AU"/>
        </w:rPr>
        <w:t xml:space="preserve"> Summary of Treatment Group Comparisons for Primary and Secondary</w:t>
      </w:r>
    </w:p>
    <w:p w:rsidR="00A76E51" w:rsidRDefault="00A76E51" w:rsidP="00A76E51">
      <w:pPr>
        <w:jc w:val="center"/>
      </w:pPr>
      <w:r w:rsidRPr="00770859">
        <w:rPr>
          <w:rFonts w:cs="Arial"/>
          <w:b/>
          <w:bCs/>
          <w:szCs w:val="22"/>
          <w:lang w:val="en-AU" w:eastAsia="en-AU"/>
        </w:rPr>
        <w:t>Efficacy Endpoints</w:t>
      </w:r>
    </w:p>
    <w:p w:rsidR="00A76E51" w:rsidRDefault="00A76E51"/>
    <w:tbl>
      <w:tblPr>
        <w:tblpPr w:leftFromText="180" w:rightFromText="180" w:vertAnchor="text" w:horzAnchor="margin" w:tblpY="-103"/>
        <w:tblOverlap w:val="neve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276"/>
        <w:gridCol w:w="1134"/>
        <w:gridCol w:w="1134"/>
        <w:gridCol w:w="1134"/>
        <w:gridCol w:w="1124"/>
        <w:gridCol w:w="1073"/>
      </w:tblGrid>
      <w:tr w:rsidR="00A76E51" w:rsidRPr="006B1651" w:rsidTr="00A76E51">
        <w:tc>
          <w:tcPr>
            <w:tcW w:w="2830" w:type="dxa"/>
          </w:tcPr>
          <w:p w:rsidR="00A76E51" w:rsidRPr="006B1651" w:rsidRDefault="00A76E51" w:rsidP="00A76E51">
            <w:pPr>
              <w:pStyle w:val="Text"/>
              <w:spacing w:before="0" w:after="0"/>
              <w:rPr>
                <w:rFonts w:ascii="Arial" w:hAnsi="Arial" w:cs="Arial"/>
                <w:bCs/>
                <w:sz w:val="22"/>
                <w:szCs w:val="22"/>
                <w:lang w:val="en-AU" w:eastAsia="en-AU"/>
              </w:rPr>
            </w:pPr>
          </w:p>
        </w:tc>
        <w:tc>
          <w:tcPr>
            <w:tcW w:w="1276" w:type="dxa"/>
          </w:tcPr>
          <w:p w:rsidR="00A76E51" w:rsidRPr="00AF2427" w:rsidRDefault="00A76E51" w:rsidP="00A76E51">
            <w:pPr>
              <w:autoSpaceDE w:val="0"/>
              <w:autoSpaceDN w:val="0"/>
              <w:adjustRightInd w:val="0"/>
              <w:rPr>
                <w:rFonts w:cs="Arial"/>
                <w:szCs w:val="22"/>
                <w:lang w:val="en-AU" w:eastAsia="en-AU"/>
              </w:rPr>
            </w:pPr>
            <w:proofErr w:type="spellStart"/>
            <w:r w:rsidRPr="00B7421E">
              <w:rPr>
                <w:rFonts w:cs="Arial"/>
                <w:sz w:val="20"/>
                <w:szCs w:val="20"/>
                <w:lang w:val="en-AU" w:eastAsia="en-AU"/>
              </w:rPr>
              <w:t>Prolia</w:t>
            </w:r>
            <w:proofErr w:type="spellEnd"/>
            <w:r w:rsidRPr="00AF2427">
              <w:rPr>
                <w:rFonts w:cs="Arial"/>
                <w:szCs w:val="22"/>
                <w:vertAlign w:val="superscript"/>
                <w:lang w:val="en-AU" w:eastAsia="en-AU"/>
              </w:rPr>
              <w:t>®</w:t>
            </w:r>
          </w:p>
          <w:p w:rsidR="00A76E51" w:rsidRPr="00B7421E" w:rsidRDefault="00A76E51" w:rsidP="00A76E51">
            <w:pPr>
              <w:autoSpaceDE w:val="0"/>
              <w:autoSpaceDN w:val="0"/>
              <w:adjustRightInd w:val="0"/>
              <w:rPr>
                <w:rFonts w:cs="Arial"/>
                <w:sz w:val="20"/>
                <w:szCs w:val="20"/>
                <w:lang w:val="en-AU" w:eastAsia="en-AU"/>
              </w:rPr>
            </w:pPr>
            <w:r w:rsidRPr="00B7421E">
              <w:rPr>
                <w:rFonts w:cs="Arial"/>
                <w:sz w:val="20"/>
                <w:szCs w:val="20"/>
                <w:lang w:val="en-AU" w:eastAsia="en-AU"/>
              </w:rPr>
              <w:t>(N=734)</w:t>
            </w:r>
          </w:p>
          <w:p w:rsidR="00A76E51" w:rsidRPr="00AF2427" w:rsidRDefault="00A76E51" w:rsidP="00A76E51">
            <w:pPr>
              <w:autoSpaceDE w:val="0"/>
              <w:autoSpaceDN w:val="0"/>
              <w:adjustRightInd w:val="0"/>
              <w:rPr>
                <w:rFonts w:cs="Arial"/>
                <w:szCs w:val="22"/>
                <w:lang w:val="en-AU" w:eastAsia="en-AU"/>
              </w:rPr>
            </w:pPr>
            <w:r w:rsidRPr="00B7421E">
              <w:rPr>
                <w:rFonts w:cs="Arial"/>
                <w:sz w:val="20"/>
                <w:szCs w:val="20"/>
                <w:lang w:val="en-AU" w:eastAsia="en-AU"/>
              </w:rPr>
              <w:t>N</w:t>
            </w:r>
            <w:r w:rsidRPr="00B7421E">
              <w:rPr>
                <w:rFonts w:cs="Arial"/>
                <w:sz w:val="20"/>
                <w:szCs w:val="20"/>
                <w:vertAlign w:val="subscript"/>
                <w:lang w:val="en-AU" w:eastAsia="en-AU"/>
              </w:rPr>
              <w:t>1</w:t>
            </w:r>
            <w:r w:rsidRPr="00B7421E">
              <w:rPr>
                <w:rFonts w:cs="Arial"/>
                <w:sz w:val="20"/>
                <w:szCs w:val="20"/>
                <w:lang w:val="en-AU" w:eastAsia="en-AU"/>
              </w:rPr>
              <w:t xml:space="preserve"> or %(n/N</w:t>
            </w:r>
            <w:r w:rsidRPr="00B7421E">
              <w:rPr>
                <w:rFonts w:cs="Arial"/>
                <w:sz w:val="20"/>
                <w:szCs w:val="20"/>
                <w:vertAlign w:val="subscript"/>
                <w:lang w:val="en-AU" w:eastAsia="en-AU"/>
              </w:rPr>
              <w:t>1</w:t>
            </w:r>
            <w:r w:rsidRPr="00B7421E">
              <w:rPr>
                <w:rFonts w:cs="Arial"/>
                <w:sz w:val="20"/>
                <w:szCs w:val="20"/>
                <w:lang w:val="en-AU" w:eastAsia="en-AU"/>
              </w:rPr>
              <w:t>)</w:t>
            </w:r>
          </w:p>
        </w:tc>
        <w:tc>
          <w:tcPr>
            <w:tcW w:w="1134" w:type="dxa"/>
          </w:tcPr>
          <w:p w:rsidR="00A76E51" w:rsidRPr="00B7421E" w:rsidRDefault="00A76E51" w:rsidP="00A76E51">
            <w:pPr>
              <w:autoSpaceDE w:val="0"/>
              <w:autoSpaceDN w:val="0"/>
              <w:adjustRightInd w:val="0"/>
              <w:rPr>
                <w:rFonts w:cs="Arial"/>
                <w:sz w:val="20"/>
                <w:szCs w:val="20"/>
                <w:lang w:val="en-AU" w:eastAsia="en-AU"/>
              </w:rPr>
            </w:pPr>
            <w:r w:rsidRPr="00B7421E">
              <w:rPr>
                <w:rFonts w:cs="Arial"/>
                <w:sz w:val="20"/>
                <w:szCs w:val="20"/>
                <w:lang w:val="en-AU" w:eastAsia="en-AU"/>
              </w:rPr>
              <w:t>Placebo</w:t>
            </w:r>
          </w:p>
          <w:p w:rsidR="00A76E51" w:rsidRPr="00B7421E" w:rsidRDefault="00A76E51" w:rsidP="00A76E51">
            <w:pPr>
              <w:autoSpaceDE w:val="0"/>
              <w:autoSpaceDN w:val="0"/>
              <w:adjustRightInd w:val="0"/>
              <w:rPr>
                <w:rFonts w:cs="Arial"/>
                <w:sz w:val="20"/>
                <w:szCs w:val="20"/>
                <w:lang w:val="en-AU" w:eastAsia="en-AU"/>
              </w:rPr>
            </w:pPr>
            <w:r w:rsidRPr="00B7421E">
              <w:rPr>
                <w:rFonts w:cs="Arial"/>
                <w:sz w:val="20"/>
                <w:szCs w:val="20"/>
                <w:lang w:val="en-AU" w:eastAsia="en-AU"/>
              </w:rPr>
              <w:t>(N=734)</w:t>
            </w:r>
          </w:p>
          <w:p w:rsidR="00A76E51" w:rsidRPr="00AF2427" w:rsidRDefault="00A76E51" w:rsidP="00A76E51">
            <w:pPr>
              <w:autoSpaceDE w:val="0"/>
              <w:autoSpaceDN w:val="0"/>
              <w:adjustRightInd w:val="0"/>
              <w:rPr>
                <w:rFonts w:cs="Arial"/>
                <w:szCs w:val="22"/>
                <w:lang w:val="en-AU" w:eastAsia="en-AU"/>
              </w:rPr>
            </w:pPr>
            <w:r w:rsidRPr="00B7421E">
              <w:rPr>
                <w:rFonts w:cs="Arial"/>
                <w:sz w:val="20"/>
                <w:szCs w:val="20"/>
                <w:lang w:val="en-AU" w:eastAsia="en-AU"/>
              </w:rPr>
              <w:t>N</w:t>
            </w:r>
            <w:r w:rsidRPr="00B7421E">
              <w:rPr>
                <w:rFonts w:cs="Arial"/>
                <w:sz w:val="20"/>
                <w:szCs w:val="20"/>
                <w:vertAlign w:val="subscript"/>
                <w:lang w:val="en-AU" w:eastAsia="en-AU"/>
              </w:rPr>
              <w:t>1</w:t>
            </w:r>
            <w:r w:rsidRPr="00B7421E">
              <w:rPr>
                <w:rFonts w:cs="Arial"/>
                <w:sz w:val="20"/>
                <w:szCs w:val="20"/>
                <w:lang w:val="en-AU" w:eastAsia="en-AU"/>
              </w:rPr>
              <w:t xml:space="preserve"> or %(n/N</w:t>
            </w:r>
            <w:r w:rsidRPr="00B7421E">
              <w:rPr>
                <w:rFonts w:cs="Arial"/>
                <w:sz w:val="20"/>
                <w:szCs w:val="20"/>
                <w:vertAlign w:val="subscript"/>
                <w:lang w:val="en-AU" w:eastAsia="en-AU"/>
              </w:rPr>
              <w:t>1</w:t>
            </w:r>
            <w:r w:rsidRPr="00B7421E">
              <w:rPr>
                <w:rFonts w:cs="Arial"/>
                <w:sz w:val="20"/>
                <w:szCs w:val="20"/>
                <w:lang w:val="en-AU" w:eastAsia="en-AU"/>
              </w:rPr>
              <w:t>)</w:t>
            </w:r>
          </w:p>
        </w:tc>
        <w:tc>
          <w:tcPr>
            <w:tcW w:w="1134" w:type="dxa"/>
          </w:tcPr>
          <w:p w:rsidR="00A76E51" w:rsidRPr="00B7421E" w:rsidRDefault="00A76E51" w:rsidP="00A76E51">
            <w:pPr>
              <w:autoSpaceDE w:val="0"/>
              <w:autoSpaceDN w:val="0"/>
              <w:adjustRightInd w:val="0"/>
              <w:rPr>
                <w:rFonts w:cs="Arial"/>
                <w:bCs/>
                <w:sz w:val="20"/>
                <w:szCs w:val="20"/>
                <w:lang w:val="en-AU" w:eastAsia="en-AU"/>
              </w:rPr>
            </w:pPr>
            <w:r w:rsidRPr="00B7421E">
              <w:rPr>
                <w:rFonts w:cs="Arial"/>
                <w:sz w:val="20"/>
                <w:szCs w:val="20"/>
                <w:lang w:val="en-AU" w:eastAsia="en-AU"/>
              </w:rPr>
              <w:t>Estimate</w:t>
            </w:r>
          </w:p>
        </w:tc>
        <w:tc>
          <w:tcPr>
            <w:tcW w:w="1134" w:type="dxa"/>
          </w:tcPr>
          <w:p w:rsidR="00A76E51" w:rsidRPr="00B7421E" w:rsidRDefault="00A76E51" w:rsidP="00A76E51">
            <w:pPr>
              <w:autoSpaceDE w:val="0"/>
              <w:autoSpaceDN w:val="0"/>
              <w:adjustRightInd w:val="0"/>
              <w:rPr>
                <w:rFonts w:cs="Arial"/>
                <w:bCs/>
                <w:sz w:val="20"/>
                <w:szCs w:val="20"/>
                <w:lang w:val="en-AU" w:eastAsia="en-AU"/>
              </w:rPr>
            </w:pPr>
            <w:r w:rsidRPr="00B7421E">
              <w:rPr>
                <w:rFonts w:cs="Arial"/>
                <w:sz w:val="20"/>
                <w:szCs w:val="20"/>
                <w:lang w:val="en-AU" w:eastAsia="en-AU"/>
              </w:rPr>
              <w:t xml:space="preserve">95% CI </w:t>
            </w:r>
          </w:p>
        </w:tc>
        <w:tc>
          <w:tcPr>
            <w:tcW w:w="1124" w:type="dxa"/>
          </w:tcPr>
          <w:p w:rsidR="00A76E51" w:rsidRPr="00B7421E" w:rsidRDefault="00A76E51" w:rsidP="00A76E51">
            <w:pPr>
              <w:autoSpaceDE w:val="0"/>
              <w:autoSpaceDN w:val="0"/>
              <w:adjustRightInd w:val="0"/>
              <w:rPr>
                <w:rFonts w:cs="Arial"/>
                <w:sz w:val="20"/>
                <w:szCs w:val="20"/>
                <w:lang w:val="en-AU" w:eastAsia="en-AU"/>
              </w:rPr>
            </w:pPr>
            <w:r w:rsidRPr="00B7421E">
              <w:rPr>
                <w:rFonts w:cs="Arial"/>
                <w:sz w:val="20"/>
                <w:szCs w:val="20"/>
                <w:lang w:val="en-AU" w:eastAsia="en-AU"/>
              </w:rPr>
              <w:t>p-value</w:t>
            </w:r>
          </w:p>
        </w:tc>
        <w:tc>
          <w:tcPr>
            <w:tcW w:w="1073" w:type="dxa"/>
          </w:tcPr>
          <w:p w:rsidR="00A76E51" w:rsidRPr="00B7421E" w:rsidRDefault="00A76E51" w:rsidP="00A76E51">
            <w:pPr>
              <w:autoSpaceDE w:val="0"/>
              <w:autoSpaceDN w:val="0"/>
              <w:adjustRightInd w:val="0"/>
              <w:rPr>
                <w:rFonts w:cs="Arial"/>
                <w:sz w:val="20"/>
                <w:szCs w:val="20"/>
                <w:lang w:val="en-AU" w:eastAsia="en-AU"/>
              </w:rPr>
            </w:pPr>
            <w:r w:rsidRPr="00B7421E">
              <w:rPr>
                <w:rFonts w:cs="Arial"/>
                <w:sz w:val="20"/>
                <w:szCs w:val="20"/>
                <w:lang w:val="en-AU" w:eastAsia="en-AU"/>
              </w:rPr>
              <w:t>Adjusted</w:t>
            </w:r>
          </w:p>
          <w:p w:rsidR="00A76E51" w:rsidRPr="006B1651" w:rsidRDefault="00A76E51" w:rsidP="00A76E51">
            <w:pPr>
              <w:pStyle w:val="Text"/>
              <w:spacing w:before="0" w:after="0"/>
              <w:rPr>
                <w:rFonts w:ascii="Arial" w:hAnsi="Arial" w:cs="Arial"/>
                <w:bCs/>
                <w:sz w:val="22"/>
                <w:szCs w:val="22"/>
                <w:lang w:val="en-AU" w:eastAsia="en-AU"/>
              </w:rPr>
            </w:pPr>
            <w:r w:rsidRPr="00B7421E">
              <w:rPr>
                <w:rFonts w:ascii="Arial" w:hAnsi="Arial" w:cs="Arial"/>
                <w:sz w:val="20"/>
                <w:lang w:val="en-AU" w:eastAsia="en-AU"/>
              </w:rPr>
              <w:t>p-value</w:t>
            </w:r>
            <w:r>
              <w:rPr>
                <w:rFonts w:cs="Arial"/>
                <w:szCs w:val="22"/>
                <w:vertAlign w:val="superscript"/>
                <w:lang w:val="en-AU" w:eastAsia="en-AU"/>
              </w:rPr>
              <w:t>d</w:t>
            </w:r>
          </w:p>
          <w:p w:rsidR="00A76E51" w:rsidRPr="006B1651" w:rsidRDefault="00A76E51" w:rsidP="00A76E51">
            <w:pPr>
              <w:pStyle w:val="Text"/>
              <w:spacing w:before="0" w:after="0"/>
              <w:rPr>
                <w:rFonts w:ascii="Arial" w:hAnsi="Arial" w:cs="Arial"/>
                <w:bCs/>
                <w:sz w:val="22"/>
                <w:szCs w:val="22"/>
                <w:lang w:val="en-AU" w:eastAsia="en-AU"/>
              </w:rPr>
            </w:pPr>
          </w:p>
        </w:tc>
      </w:tr>
      <w:tr w:rsidR="00A76E51" w:rsidRPr="006B1651" w:rsidTr="00A76E51">
        <w:tc>
          <w:tcPr>
            <w:tcW w:w="2830" w:type="dxa"/>
          </w:tcPr>
          <w:p w:rsidR="00A76E51" w:rsidRPr="008F76A8" w:rsidRDefault="00A76E51" w:rsidP="00A76E51">
            <w:pPr>
              <w:autoSpaceDE w:val="0"/>
              <w:autoSpaceDN w:val="0"/>
              <w:adjustRightInd w:val="0"/>
              <w:rPr>
                <w:rFonts w:cs="Arial"/>
                <w:sz w:val="20"/>
                <w:szCs w:val="20"/>
                <w:lang w:val="en-AU" w:eastAsia="en-AU"/>
              </w:rPr>
            </w:pPr>
            <w:r>
              <w:rPr>
                <w:rFonts w:cs="Arial"/>
                <w:szCs w:val="22"/>
                <w:lang w:val="en-AU" w:eastAsia="en-AU"/>
              </w:rPr>
              <w:t xml:space="preserve">Primary </w:t>
            </w:r>
            <w:r w:rsidRPr="006B1651">
              <w:rPr>
                <w:rFonts w:cs="Arial"/>
                <w:szCs w:val="22"/>
                <w:lang w:val="en-AU" w:eastAsia="en-AU"/>
              </w:rPr>
              <w:t>Endpoint</w:t>
            </w:r>
          </w:p>
        </w:tc>
        <w:tc>
          <w:tcPr>
            <w:tcW w:w="1276" w:type="dxa"/>
          </w:tcPr>
          <w:p w:rsidR="00A76E51" w:rsidRPr="008F76A8" w:rsidRDefault="00A76E51" w:rsidP="00A76E51">
            <w:pPr>
              <w:pStyle w:val="Text"/>
              <w:spacing w:before="0" w:after="0"/>
              <w:rPr>
                <w:rFonts w:ascii="Arial" w:hAnsi="Arial" w:cs="Arial"/>
                <w:bCs/>
                <w:sz w:val="20"/>
                <w:lang w:val="en-AU" w:eastAsia="en-AU"/>
              </w:rPr>
            </w:pPr>
          </w:p>
        </w:tc>
        <w:tc>
          <w:tcPr>
            <w:tcW w:w="1134" w:type="dxa"/>
          </w:tcPr>
          <w:p w:rsidR="00A76E51" w:rsidRPr="008F76A8" w:rsidRDefault="00A76E51" w:rsidP="00A76E51">
            <w:pPr>
              <w:pStyle w:val="Text"/>
              <w:spacing w:before="0" w:after="0"/>
              <w:rPr>
                <w:rFonts w:ascii="Arial" w:hAnsi="Arial" w:cs="Arial"/>
                <w:bCs/>
                <w:sz w:val="20"/>
                <w:lang w:val="en-AU" w:eastAsia="en-AU"/>
              </w:rPr>
            </w:pPr>
          </w:p>
        </w:tc>
        <w:tc>
          <w:tcPr>
            <w:tcW w:w="1134" w:type="dxa"/>
          </w:tcPr>
          <w:p w:rsidR="00A76E51" w:rsidRPr="008F76A8" w:rsidRDefault="00A76E51" w:rsidP="00A76E51">
            <w:pPr>
              <w:pStyle w:val="Text"/>
              <w:spacing w:before="0" w:after="0"/>
              <w:rPr>
                <w:rFonts w:ascii="Arial" w:hAnsi="Arial" w:cs="Arial"/>
                <w:bCs/>
                <w:sz w:val="20"/>
                <w:lang w:val="en-AU" w:eastAsia="en-AU"/>
              </w:rPr>
            </w:pPr>
          </w:p>
        </w:tc>
        <w:tc>
          <w:tcPr>
            <w:tcW w:w="1134" w:type="dxa"/>
          </w:tcPr>
          <w:p w:rsidR="00A76E51" w:rsidRPr="008F76A8" w:rsidRDefault="00A76E51" w:rsidP="00A76E51">
            <w:pPr>
              <w:pStyle w:val="Text"/>
              <w:spacing w:before="0" w:after="0"/>
              <w:rPr>
                <w:rFonts w:ascii="Arial" w:hAnsi="Arial" w:cs="Arial"/>
                <w:bCs/>
                <w:sz w:val="20"/>
                <w:lang w:val="en-AU" w:eastAsia="en-AU"/>
              </w:rPr>
            </w:pPr>
          </w:p>
        </w:tc>
        <w:tc>
          <w:tcPr>
            <w:tcW w:w="1124" w:type="dxa"/>
          </w:tcPr>
          <w:p w:rsidR="00A76E51" w:rsidRPr="008F76A8" w:rsidRDefault="00A76E51" w:rsidP="00A76E51">
            <w:pPr>
              <w:pStyle w:val="Text"/>
              <w:spacing w:before="0" w:after="0"/>
              <w:rPr>
                <w:rFonts w:ascii="Arial" w:hAnsi="Arial" w:cs="Arial"/>
                <w:bCs/>
                <w:sz w:val="20"/>
                <w:lang w:val="en-AU" w:eastAsia="en-AU"/>
              </w:rPr>
            </w:pPr>
          </w:p>
        </w:tc>
        <w:tc>
          <w:tcPr>
            <w:tcW w:w="1073" w:type="dxa"/>
          </w:tcPr>
          <w:p w:rsidR="00A76E51" w:rsidRPr="008F76A8" w:rsidRDefault="00A76E51" w:rsidP="00A76E51">
            <w:pPr>
              <w:pStyle w:val="Text"/>
              <w:spacing w:before="0" w:after="0"/>
              <w:rPr>
                <w:rFonts w:ascii="Arial" w:hAnsi="Arial" w:cs="Arial"/>
                <w:bCs/>
                <w:sz w:val="20"/>
                <w:lang w:val="en-AU" w:eastAsia="en-AU"/>
              </w:rPr>
            </w:pPr>
          </w:p>
        </w:tc>
      </w:tr>
      <w:tr w:rsidR="00A76E51" w:rsidRPr="006B1651" w:rsidTr="00A76E51">
        <w:tc>
          <w:tcPr>
            <w:tcW w:w="2830" w:type="dxa"/>
          </w:tcPr>
          <w:p w:rsidR="00A76E51" w:rsidRPr="006B1651" w:rsidRDefault="00A76E51" w:rsidP="00A76E51">
            <w:pPr>
              <w:autoSpaceDE w:val="0"/>
              <w:autoSpaceDN w:val="0"/>
              <w:adjustRightInd w:val="0"/>
              <w:rPr>
                <w:rFonts w:cs="Arial"/>
                <w:szCs w:val="22"/>
                <w:lang w:val="en-AU" w:eastAsia="en-AU"/>
              </w:rPr>
            </w:pPr>
            <w:r w:rsidRPr="008F76A8">
              <w:rPr>
                <w:rFonts w:cs="Arial"/>
                <w:sz w:val="20"/>
                <w:szCs w:val="20"/>
                <w:lang w:val="en-AU" w:eastAsia="en-AU"/>
              </w:rPr>
              <w:t>Lumbar spine BMD Percent change from baseline at Month 24</w:t>
            </w:r>
            <w:r w:rsidRPr="006B1651">
              <w:rPr>
                <w:rFonts w:cs="Arial"/>
                <w:szCs w:val="22"/>
                <w:vertAlign w:val="superscript"/>
                <w:lang w:val="en-AU" w:eastAsia="en-AU"/>
              </w:rPr>
              <w:t>a</w:t>
            </w:r>
          </w:p>
        </w:tc>
        <w:tc>
          <w:tcPr>
            <w:tcW w:w="1276" w:type="dxa"/>
          </w:tcPr>
          <w:p w:rsidR="00A76E51" w:rsidRPr="008F76A8" w:rsidRDefault="00A76E51" w:rsidP="00A76E51">
            <w:pPr>
              <w:pStyle w:val="Text"/>
              <w:spacing w:before="0" w:after="0"/>
              <w:rPr>
                <w:rFonts w:ascii="Arial" w:hAnsi="Arial" w:cs="Arial"/>
                <w:bCs/>
                <w:sz w:val="20"/>
                <w:lang w:val="en-AU" w:eastAsia="en-AU"/>
              </w:rPr>
            </w:pPr>
            <w:r w:rsidRPr="008F76A8">
              <w:rPr>
                <w:rFonts w:ascii="Arial" w:hAnsi="Arial" w:cs="Arial"/>
                <w:bCs/>
                <w:sz w:val="20"/>
                <w:lang w:val="en-AU" w:eastAsia="en-AU"/>
              </w:rPr>
              <w:t>714</w:t>
            </w:r>
          </w:p>
        </w:tc>
        <w:tc>
          <w:tcPr>
            <w:tcW w:w="1134" w:type="dxa"/>
          </w:tcPr>
          <w:p w:rsidR="00A76E51" w:rsidRPr="008F76A8" w:rsidRDefault="00A76E51" w:rsidP="00A76E51">
            <w:pPr>
              <w:pStyle w:val="Text"/>
              <w:spacing w:before="0" w:after="0"/>
              <w:rPr>
                <w:rFonts w:ascii="Arial" w:hAnsi="Arial" w:cs="Arial"/>
                <w:bCs/>
                <w:sz w:val="20"/>
                <w:lang w:val="en-AU" w:eastAsia="en-AU"/>
              </w:rPr>
            </w:pPr>
            <w:r w:rsidRPr="008F76A8">
              <w:rPr>
                <w:rFonts w:ascii="Arial" w:hAnsi="Arial" w:cs="Arial"/>
                <w:bCs/>
                <w:sz w:val="20"/>
                <w:lang w:val="en-AU" w:eastAsia="en-AU"/>
              </w:rPr>
              <w:t>716</w:t>
            </w:r>
          </w:p>
        </w:tc>
        <w:tc>
          <w:tcPr>
            <w:tcW w:w="1134" w:type="dxa"/>
          </w:tcPr>
          <w:p w:rsidR="00A76E51" w:rsidRPr="008F76A8" w:rsidRDefault="00A76E51" w:rsidP="00A76E51">
            <w:pPr>
              <w:pStyle w:val="Text"/>
              <w:spacing w:before="0" w:after="0"/>
              <w:rPr>
                <w:rFonts w:ascii="Arial" w:hAnsi="Arial" w:cs="Arial"/>
                <w:bCs/>
                <w:sz w:val="20"/>
                <w:lang w:val="en-AU" w:eastAsia="en-AU"/>
              </w:rPr>
            </w:pPr>
            <w:r w:rsidRPr="008F76A8">
              <w:rPr>
                <w:rFonts w:ascii="Arial" w:hAnsi="Arial" w:cs="Arial"/>
                <w:bCs/>
                <w:sz w:val="20"/>
                <w:lang w:val="en-AU" w:eastAsia="en-AU"/>
              </w:rPr>
              <w:t>6.7</w:t>
            </w:r>
          </w:p>
        </w:tc>
        <w:tc>
          <w:tcPr>
            <w:tcW w:w="1134" w:type="dxa"/>
          </w:tcPr>
          <w:p w:rsidR="00A76E51" w:rsidRPr="008F76A8" w:rsidRDefault="00A76E51" w:rsidP="00A76E51">
            <w:pPr>
              <w:pStyle w:val="Text"/>
              <w:spacing w:before="0" w:after="0"/>
              <w:rPr>
                <w:rFonts w:ascii="Arial" w:hAnsi="Arial" w:cs="Arial"/>
                <w:bCs/>
                <w:sz w:val="20"/>
                <w:lang w:val="en-AU" w:eastAsia="en-AU"/>
              </w:rPr>
            </w:pPr>
            <w:r w:rsidRPr="008F76A8">
              <w:rPr>
                <w:rFonts w:ascii="Arial" w:hAnsi="Arial" w:cs="Arial"/>
                <w:bCs/>
                <w:sz w:val="20"/>
                <w:lang w:val="en-AU" w:eastAsia="en-AU"/>
              </w:rPr>
              <w:t>(6.2, 7.1)</w:t>
            </w:r>
          </w:p>
        </w:tc>
        <w:tc>
          <w:tcPr>
            <w:tcW w:w="1124" w:type="dxa"/>
          </w:tcPr>
          <w:p w:rsidR="00A76E51" w:rsidRPr="008F76A8" w:rsidRDefault="00A76E51" w:rsidP="00A76E51">
            <w:pPr>
              <w:pStyle w:val="Text"/>
              <w:spacing w:before="0" w:after="0"/>
              <w:rPr>
                <w:rFonts w:ascii="Arial" w:hAnsi="Arial" w:cs="Arial"/>
                <w:bCs/>
                <w:sz w:val="20"/>
                <w:lang w:val="en-AU" w:eastAsia="en-AU"/>
              </w:rPr>
            </w:pPr>
            <w:r w:rsidRPr="008F76A8">
              <w:rPr>
                <w:rFonts w:ascii="Arial" w:hAnsi="Arial" w:cs="Arial"/>
                <w:bCs/>
                <w:sz w:val="20"/>
                <w:lang w:val="en-AU" w:eastAsia="en-AU"/>
              </w:rPr>
              <w:t>&lt;0.0001</w:t>
            </w:r>
          </w:p>
        </w:tc>
        <w:tc>
          <w:tcPr>
            <w:tcW w:w="1073" w:type="dxa"/>
          </w:tcPr>
          <w:p w:rsidR="00A76E51" w:rsidRPr="008F76A8" w:rsidRDefault="00A76E51" w:rsidP="00A76E51">
            <w:pPr>
              <w:pStyle w:val="Text"/>
              <w:spacing w:before="0" w:after="0"/>
              <w:rPr>
                <w:rFonts w:ascii="Arial" w:hAnsi="Arial" w:cs="Arial"/>
                <w:bCs/>
                <w:sz w:val="20"/>
                <w:lang w:val="en-AU" w:eastAsia="en-AU"/>
              </w:rPr>
            </w:pPr>
            <w:r w:rsidRPr="008F76A8">
              <w:rPr>
                <w:rFonts w:ascii="Arial" w:hAnsi="Arial" w:cs="Arial"/>
                <w:bCs/>
                <w:sz w:val="20"/>
                <w:lang w:val="en-AU" w:eastAsia="en-AU"/>
              </w:rPr>
              <w:t>&lt;0.0001</w:t>
            </w:r>
          </w:p>
        </w:tc>
      </w:tr>
      <w:tr w:rsidR="00A76E51" w:rsidRPr="006B1651" w:rsidTr="00A76E51">
        <w:tc>
          <w:tcPr>
            <w:tcW w:w="2830" w:type="dxa"/>
          </w:tcPr>
          <w:p w:rsidR="00A76E51" w:rsidRDefault="00A76E51" w:rsidP="00A76E51">
            <w:pPr>
              <w:autoSpaceDE w:val="0"/>
              <w:autoSpaceDN w:val="0"/>
              <w:adjustRightInd w:val="0"/>
              <w:rPr>
                <w:rFonts w:cs="Arial"/>
                <w:sz w:val="20"/>
                <w:szCs w:val="20"/>
                <w:lang w:val="en-AU" w:eastAsia="en-AU"/>
              </w:rPr>
            </w:pPr>
            <w:r w:rsidRPr="008F76A8">
              <w:rPr>
                <w:rFonts w:cs="Arial"/>
                <w:szCs w:val="22"/>
                <w:lang w:val="en-AU" w:eastAsia="en-AU"/>
              </w:rPr>
              <w:t>Secondary Endpoints</w:t>
            </w:r>
          </w:p>
        </w:tc>
        <w:tc>
          <w:tcPr>
            <w:tcW w:w="1276" w:type="dxa"/>
          </w:tcPr>
          <w:p w:rsidR="00A76E51" w:rsidRPr="008F76A8" w:rsidRDefault="00A76E51" w:rsidP="00A76E51">
            <w:pPr>
              <w:pStyle w:val="Text"/>
              <w:spacing w:before="0" w:after="0"/>
              <w:rPr>
                <w:rFonts w:ascii="Arial" w:hAnsi="Arial" w:cs="Arial"/>
                <w:bCs/>
                <w:sz w:val="20"/>
                <w:lang w:val="en-AU" w:eastAsia="en-AU"/>
              </w:rPr>
            </w:pPr>
          </w:p>
        </w:tc>
        <w:tc>
          <w:tcPr>
            <w:tcW w:w="1134" w:type="dxa"/>
          </w:tcPr>
          <w:p w:rsidR="00A76E51" w:rsidRPr="008F76A8" w:rsidRDefault="00A76E51" w:rsidP="00A76E51">
            <w:pPr>
              <w:pStyle w:val="Text"/>
              <w:spacing w:before="0" w:after="0"/>
              <w:rPr>
                <w:rFonts w:ascii="Arial" w:hAnsi="Arial" w:cs="Arial"/>
                <w:bCs/>
                <w:sz w:val="20"/>
                <w:lang w:val="en-AU" w:eastAsia="en-AU"/>
              </w:rPr>
            </w:pPr>
          </w:p>
        </w:tc>
        <w:tc>
          <w:tcPr>
            <w:tcW w:w="1134" w:type="dxa"/>
          </w:tcPr>
          <w:p w:rsidR="00A76E51" w:rsidRPr="008F76A8" w:rsidRDefault="00A76E51" w:rsidP="00A76E51">
            <w:pPr>
              <w:pStyle w:val="Text"/>
              <w:spacing w:before="0" w:after="0"/>
              <w:rPr>
                <w:rFonts w:ascii="Arial" w:hAnsi="Arial" w:cs="Arial"/>
                <w:bCs/>
                <w:sz w:val="20"/>
                <w:lang w:val="en-AU" w:eastAsia="en-AU"/>
              </w:rPr>
            </w:pPr>
          </w:p>
        </w:tc>
        <w:tc>
          <w:tcPr>
            <w:tcW w:w="1134" w:type="dxa"/>
          </w:tcPr>
          <w:p w:rsidR="00A76E51" w:rsidRPr="008F76A8" w:rsidRDefault="00A76E51" w:rsidP="00A76E51">
            <w:pPr>
              <w:pStyle w:val="Text"/>
              <w:spacing w:before="0" w:after="0"/>
              <w:rPr>
                <w:rFonts w:ascii="Arial" w:hAnsi="Arial" w:cs="Arial"/>
                <w:bCs/>
                <w:sz w:val="20"/>
                <w:lang w:val="en-AU" w:eastAsia="en-AU"/>
              </w:rPr>
            </w:pPr>
          </w:p>
        </w:tc>
        <w:tc>
          <w:tcPr>
            <w:tcW w:w="1124" w:type="dxa"/>
          </w:tcPr>
          <w:p w:rsidR="00A76E51" w:rsidRPr="008F76A8" w:rsidRDefault="00A76E51" w:rsidP="00A76E51">
            <w:pPr>
              <w:pStyle w:val="Text"/>
              <w:spacing w:before="0" w:after="0"/>
              <w:rPr>
                <w:rFonts w:ascii="Arial" w:hAnsi="Arial" w:cs="Arial"/>
                <w:bCs/>
                <w:sz w:val="20"/>
                <w:lang w:val="en-AU" w:eastAsia="en-AU"/>
              </w:rPr>
            </w:pPr>
          </w:p>
        </w:tc>
        <w:tc>
          <w:tcPr>
            <w:tcW w:w="1073" w:type="dxa"/>
          </w:tcPr>
          <w:p w:rsidR="00A76E51" w:rsidRPr="008F76A8" w:rsidRDefault="00A76E51" w:rsidP="00A76E51">
            <w:pPr>
              <w:pStyle w:val="Text"/>
              <w:spacing w:before="0" w:after="0"/>
              <w:rPr>
                <w:rFonts w:ascii="Arial" w:hAnsi="Arial" w:cs="Arial"/>
                <w:bCs/>
                <w:sz w:val="20"/>
                <w:lang w:val="en-AU" w:eastAsia="en-AU"/>
              </w:rPr>
            </w:pPr>
          </w:p>
        </w:tc>
      </w:tr>
      <w:tr w:rsidR="00A76E51" w:rsidRPr="006B1651" w:rsidTr="00A76E51">
        <w:tc>
          <w:tcPr>
            <w:tcW w:w="2830" w:type="dxa"/>
          </w:tcPr>
          <w:p w:rsidR="00A76E51" w:rsidRDefault="00A76E51" w:rsidP="00A76E51">
            <w:pPr>
              <w:autoSpaceDE w:val="0"/>
              <w:autoSpaceDN w:val="0"/>
              <w:adjustRightInd w:val="0"/>
              <w:rPr>
                <w:rFonts w:cs="Arial"/>
                <w:sz w:val="20"/>
                <w:szCs w:val="20"/>
                <w:lang w:val="en-AU" w:eastAsia="en-AU"/>
              </w:rPr>
            </w:pPr>
            <w:r>
              <w:rPr>
                <w:rFonts w:cs="Arial"/>
                <w:sz w:val="20"/>
                <w:szCs w:val="20"/>
                <w:lang w:val="en-AU" w:eastAsia="en-AU"/>
              </w:rPr>
              <w:t>Femoral neck BMD:</w:t>
            </w:r>
          </w:p>
          <w:p w:rsidR="00A76E51" w:rsidRPr="006B1651" w:rsidRDefault="00A76E51" w:rsidP="00A76E51">
            <w:pPr>
              <w:autoSpaceDE w:val="0"/>
              <w:autoSpaceDN w:val="0"/>
              <w:adjustRightInd w:val="0"/>
              <w:rPr>
                <w:rFonts w:cs="Arial"/>
                <w:szCs w:val="22"/>
                <w:lang w:val="en-AU" w:eastAsia="en-AU"/>
              </w:rPr>
            </w:pPr>
            <w:r w:rsidRPr="008F76A8">
              <w:rPr>
                <w:rFonts w:cs="Arial"/>
                <w:sz w:val="20"/>
                <w:szCs w:val="20"/>
                <w:lang w:val="en-AU" w:eastAsia="en-AU"/>
              </w:rPr>
              <w:t>Percent change from baseline at Month 24</w:t>
            </w:r>
            <w:r w:rsidRPr="006B1651">
              <w:rPr>
                <w:rFonts w:cs="Arial"/>
                <w:szCs w:val="22"/>
                <w:vertAlign w:val="superscript"/>
                <w:lang w:val="en-AU" w:eastAsia="en-AU"/>
              </w:rPr>
              <w:t>a</w:t>
            </w:r>
          </w:p>
        </w:tc>
        <w:tc>
          <w:tcPr>
            <w:tcW w:w="1276" w:type="dxa"/>
          </w:tcPr>
          <w:p w:rsidR="00A76E51" w:rsidRPr="008F76A8" w:rsidRDefault="00A76E51" w:rsidP="00A76E51">
            <w:pPr>
              <w:pStyle w:val="Text"/>
              <w:spacing w:before="0" w:after="0"/>
              <w:rPr>
                <w:rFonts w:ascii="Arial" w:hAnsi="Arial" w:cs="Arial"/>
                <w:bCs/>
                <w:sz w:val="20"/>
                <w:lang w:val="en-AU" w:eastAsia="en-AU"/>
              </w:rPr>
            </w:pPr>
            <w:r w:rsidRPr="008F76A8">
              <w:rPr>
                <w:rFonts w:ascii="Arial" w:hAnsi="Arial" w:cs="Arial"/>
                <w:bCs/>
                <w:sz w:val="20"/>
                <w:lang w:val="en-AU" w:eastAsia="en-AU"/>
              </w:rPr>
              <w:t>701</w:t>
            </w:r>
          </w:p>
        </w:tc>
        <w:tc>
          <w:tcPr>
            <w:tcW w:w="1134" w:type="dxa"/>
          </w:tcPr>
          <w:p w:rsidR="00A76E51" w:rsidRPr="008F76A8" w:rsidRDefault="00A76E51" w:rsidP="00A76E51">
            <w:pPr>
              <w:pStyle w:val="Text"/>
              <w:spacing w:before="0" w:after="0"/>
              <w:rPr>
                <w:rFonts w:ascii="Arial" w:hAnsi="Arial" w:cs="Arial"/>
                <w:bCs/>
                <w:sz w:val="20"/>
                <w:lang w:val="en-AU" w:eastAsia="en-AU"/>
              </w:rPr>
            </w:pPr>
            <w:r w:rsidRPr="008F76A8">
              <w:rPr>
                <w:rFonts w:ascii="Arial" w:hAnsi="Arial" w:cs="Arial"/>
                <w:bCs/>
                <w:sz w:val="20"/>
                <w:lang w:val="en-AU" w:eastAsia="en-AU"/>
              </w:rPr>
              <w:t>706</w:t>
            </w:r>
          </w:p>
        </w:tc>
        <w:tc>
          <w:tcPr>
            <w:tcW w:w="1134" w:type="dxa"/>
          </w:tcPr>
          <w:p w:rsidR="00A76E51" w:rsidRPr="008F76A8" w:rsidRDefault="00A76E51" w:rsidP="00A76E51">
            <w:pPr>
              <w:pStyle w:val="Text"/>
              <w:spacing w:before="0" w:after="0"/>
              <w:rPr>
                <w:rFonts w:ascii="Arial" w:hAnsi="Arial" w:cs="Arial"/>
                <w:bCs/>
                <w:sz w:val="20"/>
                <w:lang w:val="en-AU" w:eastAsia="en-AU"/>
              </w:rPr>
            </w:pPr>
            <w:r w:rsidRPr="008F76A8">
              <w:rPr>
                <w:rFonts w:ascii="Arial" w:hAnsi="Arial" w:cs="Arial"/>
                <w:bCs/>
                <w:sz w:val="20"/>
                <w:lang w:val="en-AU" w:eastAsia="en-AU"/>
              </w:rPr>
              <w:t>3.9</w:t>
            </w:r>
          </w:p>
        </w:tc>
        <w:tc>
          <w:tcPr>
            <w:tcW w:w="1134" w:type="dxa"/>
          </w:tcPr>
          <w:p w:rsidR="00A76E51" w:rsidRPr="008F76A8" w:rsidRDefault="00A76E51" w:rsidP="00A76E51">
            <w:pPr>
              <w:pStyle w:val="Text"/>
              <w:spacing w:before="0" w:after="0"/>
              <w:rPr>
                <w:rFonts w:ascii="Arial" w:hAnsi="Arial" w:cs="Arial"/>
                <w:bCs/>
                <w:sz w:val="20"/>
                <w:lang w:val="en-AU" w:eastAsia="en-AU"/>
              </w:rPr>
            </w:pPr>
            <w:r w:rsidRPr="008F76A8">
              <w:rPr>
                <w:rFonts w:ascii="Arial" w:hAnsi="Arial" w:cs="Arial"/>
                <w:bCs/>
                <w:sz w:val="20"/>
                <w:lang w:val="en-AU" w:eastAsia="en-AU"/>
              </w:rPr>
              <w:t>(3.5, 4.4)</w:t>
            </w:r>
          </w:p>
        </w:tc>
        <w:tc>
          <w:tcPr>
            <w:tcW w:w="1124" w:type="dxa"/>
          </w:tcPr>
          <w:p w:rsidR="00A76E51" w:rsidRPr="008F76A8" w:rsidRDefault="00A76E51" w:rsidP="00A76E51">
            <w:pPr>
              <w:pStyle w:val="Text"/>
              <w:spacing w:before="0" w:after="0"/>
              <w:rPr>
                <w:rFonts w:ascii="Arial" w:hAnsi="Arial" w:cs="Arial"/>
                <w:bCs/>
                <w:sz w:val="20"/>
                <w:lang w:val="en-AU" w:eastAsia="en-AU"/>
              </w:rPr>
            </w:pPr>
            <w:r w:rsidRPr="008F76A8">
              <w:rPr>
                <w:rFonts w:ascii="Arial" w:hAnsi="Arial" w:cs="Arial"/>
                <w:bCs/>
                <w:sz w:val="20"/>
                <w:lang w:val="en-AU" w:eastAsia="en-AU"/>
              </w:rPr>
              <w:t>&lt;0.0001</w:t>
            </w:r>
          </w:p>
        </w:tc>
        <w:tc>
          <w:tcPr>
            <w:tcW w:w="1073" w:type="dxa"/>
          </w:tcPr>
          <w:p w:rsidR="00A76E51" w:rsidRPr="008F76A8" w:rsidRDefault="00A76E51" w:rsidP="00A76E51">
            <w:pPr>
              <w:pStyle w:val="Text"/>
              <w:spacing w:before="0" w:after="0"/>
              <w:rPr>
                <w:rFonts w:ascii="Arial" w:hAnsi="Arial" w:cs="Arial"/>
                <w:bCs/>
                <w:sz w:val="20"/>
                <w:lang w:val="en-AU" w:eastAsia="en-AU"/>
              </w:rPr>
            </w:pPr>
            <w:r w:rsidRPr="008F76A8">
              <w:rPr>
                <w:rFonts w:ascii="Arial" w:hAnsi="Arial" w:cs="Arial"/>
                <w:bCs/>
                <w:sz w:val="20"/>
                <w:lang w:val="en-AU" w:eastAsia="en-AU"/>
              </w:rPr>
              <w:t>&lt;0.0001</w:t>
            </w:r>
          </w:p>
        </w:tc>
      </w:tr>
      <w:tr w:rsidR="00A76E51" w:rsidRPr="006B1651" w:rsidTr="00A76E51">
        <w:tc>
          <w:tcPr>
            <w:tcW w:w="2830" w:type="dxa"/>
          </w:tcPr>
          <w:p w:rsidR="00A76E51" w:rsidRPr="006B1651" w:rsidRDefault="00A76E51" w:rsidP="00A76E51">
            <w:pPr>
              <w:autoSpaceDE w:val="0"/>
              <w:autoSpaceDN w:val="0"/>
              <w:adjustRightInd w:val="0"/>
              <w:rPr>
                <w:rFonts w:cs="Arial"/>
                <w:szCs w:val="22"/>
                <w:lang w:val="en-AU" w:eastAsia="en-AU"/>
              </w:rPr>
            </w:pPr>
            <w:r>
              <w:rPr>
                <w:rFonts w:cs="Arial"/>
                <w:sz w:val="20"/>
                <w:szCs w:val="20"/>
                <w:lang w:val="en-AU" w:eastAsia="en-AU"/>
              </w:rPr>
              <w:t>Total hip BMD:</w:t>
            </w:r>
            <w:r>
              <w:rPr>
                <w:rFonts w:cs="Arial"/>
                <w:sz w:val="20"/>
                <w:szCs w:val="20"/>
                <w:lang w:val="en-AU" w:eastAsia="en-AU"/>
              </w:rPr>
              <w:br/>
            </w:r>
            <w:r w:rsidRPr="008F76A8">
              <w:rPr>
                <w:rFonts w:cs="Arial"/>
                <w:sz w:val="20"/>
                <w:szCs w:val="20"/>
                <w:lang w:val="en-AU" w:eastAsia="en-AU"/>
              </w:rPr>
              <w:t>Percent change from baseline at Month 24</w:t>
            </w:r>
            <w:r w:rsidRPr="006B1651">
              <w:rPr>
                <w:rFonts w:cs="Arial"/>
                <w:szCs w:val="22"/>
                <w:vertAlign w:val="superscript"/>
                <w:lang w:val="en-AU" w:eastAsia="en-AU"/>
              </w:rPr>
              <w:t>a</w:t>
            </w:r>
          </w:p>
        </w:tc>
        <w:tc>
          <w:tcPr>
            <w:tcW w:w="1276" w:type="dxa"/>
          </w:tcPr>
          <w:p w:rsidR="00A76E51" w:rsidRPr="008F76A8" w:rsidRDefault="00A76E51" w:rsidP="00A76E51">
            <w:pPr>
              <w:pStyle w:val="Text"/>
              <w:spacing w:before="0" w:after="0"/>
              <w:rPr>
                <w:rFonts w:ascii="Arial" w:hAnsi="Arial" w:cs="Arial"/>
                <w:bCs/>
                <w:sz w:val="20"/>
                <w:lang w:val="en-AU" w:eastAsia="en-AU"/>
              </w:rPr>
            </w:pPr>
            <w:r w:rsidRPr="008F76A8">
              <w:rPr>
                <w:rFonts w:ascii="Arial" w:hAnsi="Arial" w:cs="Arial"/>
                <w:bCs/>
                <w:sz w:val="20"/>
                <w:lang w:val="en-AU" w:eastAsia="en-AU"/>
              </w:rPr>
              <w:t>701</w:t>
            </w:r>
          </w:p>
        </w:tc>
        <w:tc>
          <w:tcPr>
            <w:tcW w:w="1134" w:type="dxa"/>
          </w:tcPr>
          <w:p w:rsidR="00A76E51" w:rsidRPr="008F76A8" w:rsidRDefault="00A76E51" w:rsidP="00A76E51">
            <w:pPr>
              <w:pStyle w:val="Text"/>
              <w:spacing w:before="0" w:after="0"/>
              <w:rPr>
                <w:rFonts w:ascii="Arial" w:hAnsi="Arial" w:cs="Arial"/>
                <w:bCs/>
                <w:sz w:val="20"/>
                <w:lang w:val="en-AU" w:eastAsia="en-AU"/>
              </w:rPr>
            </w:pPr>
            <w:r w:rsidRPr="008F76A8">
              <w:rPr>
                <w:rFonts w:ascii="Arial" w:hAnsi="Arial" w:cs="Arial"/>
                <w:bCs/>
                <w:sz w:val="20"/>
                <w:lang w:val="en-AU" w:eastAsia="en-AU"/>
              </w:rPr>
              <w:t>706</w:t>
            </w:r>
          </w:p>
        </w:tc>
        <w:tc>
          <w:tcPr>
            <w:tcW w:w="1134" w:type="dxa"/>
          </w:tcPr>
          <w:p w:rsidR="00A76E51" w:rsidRPr="008F76A8" w:rsidRDefault="00A76E51" w:rsidP="00A76E51">
            <w:pPr>
              <w:pStyle w:val="Text"/>
              <w:spacing w:before="0" w:after="0"/>
              <w:rPr>
                <w:rFonts w:ascii="Arial" w:hAnsi="Arial" w:cs="Arial"/>
                <w:bCs/>
                <w:sz w:val="20"/>
                <w:lang w:val="en-AU" w:eastAsia="en-AU"/>
              </w:rPr>
            </w:pPr>
            <w:r w:rsidRPr="008F76A8">
              <w:rPr>
                <w:rFonts w:ascii="Arial" w:hAnsi="Arial" w:cs="Arial"/>
                <w:bCs/>
                <w:sz w:val="20"/>
                <w:lang w:val="en-AU" w:eastAsia="en-AU"/>
              </w:rPr>
              <w:t>4.8</w:t>
            </w:r>
          </w:p>
        </w:tc>
        <w:tc>
          <w:tcPr>
            <w:tcW w:w="1134" w:type="dxa"/>
          </w:tcPr>
          <w:p w:rsidR="00A76E51" w:rsidRPr="008F76A8" w:rsidRDefault="00A76E51" w:rsidP="00A76E51">
            <w:pPr>
              <w:pStyle w:val="Text"/>
              <w:spacing w:before="0" w:after="0"/>
              <w:rPr>
                <w:rFonts w:ascii="Arial" w:hAnsi="Arial" w:cs="Arial"/>
                <w:bCs/>
                <w:sz w:val="20"/>
                <w:lang w:val="en-AU" w:eastAsia="en-AU"/>
              </w:rPr>
            </w:pPr>
            <w:r w:rsidRPr="008F76A8">
              <w:rPr>
                <w:rFonts w:ascii="Arial" w:hAnsi="Arial" w:cs="Arial"/>
                <w:bCs/>
                <w:sz w:val="20"/>
                <w:lang w:val="en-AU" w:eastAsia="en-AU"/>
              </w:rPr>
              <w:t>(4.4, 5.1)</w:t>
            </w:r>
          </w:p>
        </w:tc>
        <w:tc>
          <w:tcPr>
            <w:tcW w:w="1124" w:type="dxa"/>
          </w:tcPr>
          <w:p w:rsidR="00A76E51" w:rsidRPr="008F76A8" w:rsidRDefault="00A76E51" w:rsidP="00A76E51">
            <w:pPr>
              <w:pStyle w:val="Text"/>
              <w:spacing w:before="0" w:after="0"/>
              <w:rPr>
                <w:rFonts w:ascii="Arial" w:hAnsi="Arial" w:cs="Arial"/>
                <w:bCs/>
                <w:sz w:val="20"/>
                <w:lang w:val="en-AU" w:eastAsia="en-AU"/>
              </w:rPr>
            </w:pPr>
            <w:r w:rsidRPr="008F76A8">
              <w:rPr>
                <w:rFonts w:ascii="Arial" w:hAnsi="Arial" w:cs="Arial"/>
                <w:bCs/>
                <w:sz w:val="20"/>
                <w:lang w:val="en-AU" w:eastAsia="en-AU"/>
              </w:rPr>
              <w:t>&lt;0.0001</w:t>
            </w:r>
          </w:p>
        </w:tc>
        <w:tc>
          <w:tcPr>
            <w:tcW w:w="1073" w:type="dxa"/>
          </w:tcPr>
          <w:p w:rsidR="00A76E51" w:rsidRPr="008F76A8" w:rsidRDefault="00A76E51" w:rsidP="00A76E51">
            <w:pPr>
              <w:pStyle w:val="Text"/>
              <w:spacing w:before="0" w:after="0"/>
              <w:rPr>
                <w:rFonts w:ascii="Arial" w:hAnsi="Arial" w:cs="Arial"/>
                <w:bCs/>
                <w:sz w:val="20"/>
                <w:lang w:val="en-AU" w:eastAsia="en-AU"/>
              </w:rPr>
            </w:pPr>
            <w:r w:rsidRPr="008F76A8">
              <w:rPr>
                <w:rFonts w:ascii="Arial" w:hAnsi="Arial" w:cs="Arial"/>
                <w:bCs/>
                <w:sz w:val="20"/>
                <w:lang w:val="en-AU" w:eastAsia="en-AU"/>
              </w:rPr>
              <w:t>&lt;0.0001</w:t>
            </w:r>
          </w:p>
        </w:tc>
      </w:tr>
      <w:tr w:rsidR="00A76E51" w:rsidRPr="006B1651" w:rsidTr="00A76E51">
        <w:tc>
          <w:tcPr>
            <w:tcW w:w="2830" w:type="dxa"/>
          </w:tcPr>
          <w:p w:rsidR="00A76E51" w:rsidRPr="006B1651" w:rsidRDefault="00A76E51" w:rsidP="00A76E51">
            <w:pPr>
              <w:autoSpaceDE w:val="0"/>
              <w:autoSpaceDN w:val="0"/>
              <w:adjustRightInd w:val="0"/>
              <w:rPr>
                <w:rFonts w:cs="Arial"/>
                <w:szCs w:val="22"/>
                <w:lang w:val="en-AU" w:eastAsia="en-AU"/>
              </w:rPr>
            </w:pPr>
            <w:r>
              <w:rPr>
                <w:rFonts w:cs="Arial"/>
                <w:sz w:val="20"/>
                <w:szCs w:val="20"/>
                <w:lang w:val="en-AU" w:eastAsia="en-AU"/>
              </w:rPr>
              <w:t>Lumbar spine:</w:t>
            </w:r>
            <w:r>
              <w:rPr>
                <w:rFonts w:cs="Arial"/>
                <w:sz w:val="20"/>
                <w:szCs w:val="20"/>
                <w:lang w:val="en-AU" w:eastAsia="en-AU"/>
              </w:rPr>
              <w:br/>
            </w:r>
            <w:r w:rsidRPr="008F76A8">
              <w:rPr>
                <w:rFonts w:cs="Arial"/>
                <w:sz w:val="20"/>
                <w:szCs w:val="20"/>
                <w:lang w:val="en-AU" w:eastAsia="en-AU"/>
              </w:rPr>
              <w:t>BMD Percent change from baseline at Month 36</w:t>
            </w:r>
            <w:r w:rsidRPr="006B1651">
              <w:rPr>
                <w:rFonts w:cs="Arial"/>
                <w:szCs w:val="22"/>
                <w:vertAlign w:val="superscript"/>
                <w:lang w:val="en-AU" w:eastAsia="en-AU"/>
              </w:rPr>
              <w:t>a</w:t>
            </w:r>
          </w:p>
        </w:tc>
        <w:tc>
          <w:tcPr>
            <w:tcW w:w="1276" w:type="dxa"/>
          </w:tcPr>
          <w:p w:rsidR="00A76E51" w:rsidRPr="008F76A8" w:rsidRDefault="00A76E51" w:rsidP="00A76E51">
            <w:pPr>
              <w:pStyle w:val="Text"/>
              <w:spacing w:before="0" w:after="0"/>
              <w:rPr>
                <w:rFonts w:ascii="Arial" w:hAnsi="Arial" w:cs="Arial"/>
                <w:bCs/>
                <w:sz w:val="20"/>
                <w:lang w:val="en-AU" w:eastAsia="en-AU"/>
              </w:rPr>
            </w:pPr>
            <w:r w:rsidRPr="008F76A8">
              <w:rPr>
                <w:rFonts w:ascii="Arial" w:hAnsi="Arial" w:cs="Arial"/>
                <w:bCs/>
                <w:sz w:val="20"/>
                <w:lang w:val="en-AU" w:eastAsia="en-AU"/>
              </w:rPr>
              <w:t>714</w:t>
            </w:r>
          </w:p>
        </w:tc>
        <w:tc>
          <w:tcPr>
            <w:tcW w:w="1134" w:type="dxa"/>
          </w:tcPr>
          <w:p w:rsidR="00A76E51" w:rsidRPr="008F76A8" w:rsidRDefault="00A76E51" w:rsidP="00A76E51">
            <w:pPr>
              <w:pStyle w:val="Text"/>
              <w:spacing w:before="0" w:after="0"/>
              <w:rPr>
                <w:rFonts w:ascii="Arial" w:hAnsi="Arial" w:cs="Arial"/>
                <w:bCs/>
                <w:sz w:val="20"/>
                <w:lang w:val="en-AU" w:eastAsia="en-AU"/>
              </w:rPr>
            </w:pPr>
            <w:r w:rsidRPr="008F76A8">
              <w:rPr>
                <w:rFonts w:ascii="Arial" w:hAnsi="Arial" w:cs="Arial"/>
                <w:bCs/>
                <w:sz w:val="20"/>
                <w:lang w:val="en-AU" w:eastAsia="en-AU"/>
              </w:rPr>
              <w:t>716</w:t>
            </w:r>
          </w:p>
        </w:tc>
        <w:tc>
          <w:tcPr>
            <w:tcW w:w="1134" w:type="dxa"/>
          </w:tcPr>
          <w:p w:rsidR="00A76E51" w:rsidRPr="008F76A8" w:rsidRDefault="00A76E51" w:rsidP="00A76E51">
            <w:pPr>
              <w:pStyle w:val="Text"/>
              <w:spacing w:before="0" w:after="0"/>
              <w:rPr>
                <w:rFonts w:ascii="Arial" w:hAnsi="Arial" w:cs="Arial"/>
                <w:bCs/>
                <w:sz w:val="20"/>
                <w:lang w:val="en-AU" w:eastAsia="en-AU"/>
              </w:rPr>
            </w:pPr>
            <w:r w:rsidRPr="008F76A8">
              <w:rPr>
                <w:rFonts w:ascii="Arial" w:hAnsi="Arial" w:cs="Arial"/>
                <w:bCs/>
                <w:sz w:val="20"/>
                <w:lang w:val="en-AU" w:eastAsia="en-AU"/>
              </w:rPr>
              <w:t>7.9</w:t>
            </w:r>
          </w:p>
        </w:tc>
        <w:tc>
          <w:tcPr>
            <w:tcW w:w="1134" w:type="dxa"/>
          </w:tcPr>
          <w:p w:rsidR="00A76E51" w:rsidRPr="008F76A8" w:rsidRDefault="00A76E51" w:rsidP="00A76E51">
            <w:pPr>
              <w:pStyle w:val="Text"/>
              <w:spacing w:before="0" w:after="0"/>
              <w:rPr>
                <w:rFonts w:ascii="Arial" w:hAnsi="Arial" w:cs="Arial"/>
                <w:bCs/>
                <w:sz w:val="20"/>
                <w:lang w:val="en-AU" w:eastAsia="en-AU"/>
              </w:rPr>
            </w:pPr>
            <w:r w:rsidRPr="008F76A8">
              <w:rPr>
                <w:rFonts w:ascii="Arial" w:hAnsi="Arial" w:cs="Arial"/>
                <w:bCs/>
                <w:sz w:val="20"/>
                <w:lang w:val="en-AU" w:eastAsia="en-AU"/>
              </w:rPr>
              <w:t>(7.4, 8.4)</w:t>
            </w:r>
          </w:p>
        </w:tc>
        <w:tc>
          <w:tcPr>
            <w:tcW w:w="1124" w:type="dxa"/>
          </w:tcPr>
          <w:p w:rsidR="00A76E51" w:rsidRPr="008F76A8" w:rsidRDefault="00A76E51" w:rsidP="00A76E51">
            <w:pPr>
              <w:pStyle w:val="Text"/>
              <w:spacing w:before="0" w:after="0"/>
              <w:rPr>
                <w:rFonts w:ascii="Arial" w:hAnsi="Arial" w:cs="Arial"/>
                <w:bCs/>
                <w:sz w:val="20"/>
                <w:lang w:val="en-AU" w:eastAsia="en-AU"/>
              </w:rPr>
            </w:pPr>
            <w:r w:rsidRPr="008F76A8">
              <w:rPr>
                <w:rFonts w:ascii="Arial" w:hAnsi="Arial" w:cs="Arial"/>
                <w:bCs/>
                <w:sz w:val="20"/>
                <w:lang w:val="en-AU" w:eastAsia="en-AU"/>
              </w:rPr>
              <w:t>&lt;0.0001</w:t>
            </w:r>
          </w:p>
        </w:tc>
        <w:tc>
          <w:tcPr>
            <w:tcW w:w="1073" w:type="dxa"/>
          </w:tcPr>
          <w:p w:rsidR="00A76E51" w:rsidRPr="008F76A8" w:rsidRDefault="00A76E51" w:rsidP="00A76E51">
            <w:pPr>
              <w:pStyle w:val="Text"/>
              <w:spacing w:before="0" w:after="0"/>
              <w:rPr>
                <w:rFonts w:ascii="Arial" w:hAnsi="Arial" w:cs="Arial"/>
                <w:bCs/>
                <w:sz w:val="20"/>
                <w:lang w:val="en-AU" w:eastAsia="en-AU"/>
              </w:rPr>
            </w:pPr>
            <w:r w:rsidRPr="008F76A8">
              <w:rPr>
                <w:rFonts w:ascii="Arial" w:hAnsi="Arial" w:cs="Arial"/>
                <w:bCs/>
                <w:sz w:val="20"/>
                <w:lang w:val="en-AU" w:eastAsia="en-AU"/>
              </w:rPr>
              <w:t>&lt;0.0001</w:t>
            </w:r>
          </w:p>
        </w:tc>
      </w:tr>
      <w:tr w:rsidR="00A76E51" w:rsidRPr="006B1651" w:rsidTr="00A76E51">
        <w:tc>
          <w:tcPr>
            <w:tcW w:w="2830" w:type="dxa"/>
          </w:tcPr>
          <w:p w:rsidR="00A76E51" w:rsidRPr="006B1651" w:rsidRDefault="00A76E51" w:rsidP="00A76E51">
            <w:pPr>
              <w:autoSpaceDE w:val="0"/>
              <w:autoSpaceDN w:val="0"/>
              <w:adjustRightInd w:val="0"/>
              <w:rPr>
                <w:rFonts w:cs="Arial"/>
                <w:szCs w:val="22"/>
                <w:lang w:val="en-AU" w:eastAsia="en-AU"/>
              </w:rPr>
            </w:pPr>
            <w:r>
              <w:rPr>
                <w:rFonts w:cs="Arial"/>
                <w:sz w:val="20"/>
                <w:szCs w:val="20"/>
                <w:lang w:val="en-AU" w:eastAsia="en-AU"/>
              </w:rPr>
              <w:t>Femoral neck BMD:</w:t>
            </w:r>
            <w:r>
              <w:rPr>
                <w:rFonts w:cs="Arial"/>
                <w:sz w:val="20"/>
                <w:szCs w:val="20"/>
                <w:lang w:val="en-AU" w:eastAsia="en-AU"/>
              </w:rPr>
              <w:br/>
            </w:r>
            <w:r w:rsidRPr="008F76A8">
              <w:rPr>
                <w:rFonts w:cs="Arial"/>
                <w:sz w:val="20"/>
                <w:szCs w:val="20"/>
                <w:lang w:val="en-AU" w:eastAsia="en-AU"/>
              </w:rPr>
              <w:t>Percent change from baseline at Month 36</w:t>
            </w:r>
            <w:r w:rsidRPr="006B1651">
              <w:rPr>
                <w:rFonts w:cs="Arial"/>
                <w:szCs w:val="22"/>
                <w:vertAlign w:val="superscript"/>
                <w:lang w:val="en-AU" w:eastAsia="en-AU"/>
              </w:rPr>
              <w:t>a</w:t>
            </w:r>
          </w:p>
        </w:tc>
        <w:tc>
          <w:tcPr>
            <w:tcW w:w="1276" w:type="dxa"/>
          </w:tcPr>
          <w:p w:rsidR="00A76E51" w:rsidRPr="008F76A8" w:rsidRDefault="00A76E51" w:rsidP="00A76E51">
            <w:pPr>
              <w:pStyle w:val="Text"/>
              <w:spacing w:before="0" w:after="0"/>
              <w:rPr>
                <w:rFonts w:ascii="Arial" w:hAnsi="Arial" w:cs="Arial"/>
                <w:bCs/>
                <w:sz w:val="20"/>
                <w:lang w:val="en-AU" w:eastAsia="en-AU"/>
              </w:rPr>
            </w:pPr>
            <w:r w:rsidRPr="008F76A8">
              <w:rPr>
                <w:rFonts w:ascii="Arial" w:hAnsi="Arial" w:cs="Arial"/>
                <w:bCs/>
                <w:sz w:val="20"/>
                <w:lang w:val="en-AU" w:eastAsia="en-AU"/>
              </w:rPr>
              <w:t>701</w:t>
            </w:r>
          </w:p>
        </w:tc>
        <w:tc>
          <w:tcPr>
            <w:tcW w:w="1134" w:type="dxa"/>
          </w:tcPr>
          <w:p w:rsidR="00A76E51" w:rsidRPr="008F76A8" w:rsidRDefault="00A76E51" w:rsidP="00A76E51">
            <w:pPr>
              <w:pStyle w:val="Text"/>
              <w:spacing w:before="0" w:after="0"/>
              <w:rPr>
                <w:rFonts w:ascii="Arial" w:hAnsi="Arial" w:cs="Arial"/>
                <w:bCs/>
                <w:sz w:val="20"/>
                <w:lang w:val="en-AU" w:eastAsia="en-AU"/>
              </w:rPr>
            </w:pPr>
            <w:r w:rsidRPr="008F76A8">
              <w:rPr>
                <w:rFonts w:ascii="Arial" w:hAnsi="Arial" w:cs="Arial"/>
                <w:bCs/>
                <w:sz w:val="20"/>
                <w:lang w:val="en-AU" w:eastAsia="en-AU"/>
              </w:rPr>
              <w:t>706</w:t>
            </w:r>
          </w:p>
        </w:tc>
        <w:tc>
          <w:tcPr>
            <w:tcW w:w="1134" w:type="dxa"/>
          </w:tcPr>
          <w:p w:rsidR="00A76E51" w:rsidRPr="008F76A8" w:rsidRDefault="00A76E51" w:rsidP="00A76E51">
            <w:pPr>
              <w:pStyle w:val="Text"/>
              <w:spacing w:before="0" w:after="0"/>
              <w:rPr>
                <w:rFonts w:ascii="Arial" w:hAnsi="Arial" w:cs="Arial"/>
                <w:bCs/>
                <w:sz w:val="20"/>
                <w:lang w:val="en-AU" w:eastAsia="en-AU"/>
              </w:rPr>
            </w:pPr>
            <w:r w:rsidRPr="008F76A8">
              <w:rPr>
                <w:rFonts w:ascii="Arial" w:hAnsi="Arial" w:cs="Arial"/>
                <w:bCs/>
                <w:sz w:val="20"/>
                <w:lang w:val="en-AU" w:eastAsia="en-AU"/>
              </w:rPr>
              <w:t>4.9</w:t>
            </w:r>
          </w:p>
        </w:tc>
        <w:tc>
          <w:tcPr>
            <w:tcW w:w="1134" w:type="dxa"/>
          </w:tcPr>
          <w:p w:rsidR="00A76E51" w:rsidRPr="008F76A8" w:rsidRDefault="00A76E51" w:rsidP="00A76E51">
            <w:pPr>
              <w:pStyle w:val="Text"/>
              <w:spacing w:before="0" w:after="0"/>
              <w:rPr>
                <w:rFonts w:ascii="Arial" w:hAnsi="Arial" w:cs="Arial"/>
                <w:bCs/>
                <w:sz w:val="20"/>
                <w:lang w:val="en-AU" w:eastAsia="en-AU"/>
              </w:rPr>
            </w:pPr>
            <w:r w:rsidRPr="008F76A8">
              <w:rPr>
                <w:rFonts w:ascii="Arial" w:hAnsi="Arial" w:cs="Arial"/>
                <w:bCs/>
                <w:sz w:val="20"/>
                <w:lang w:val="en-AU" w:eastAsia="en-AU"/>
              </w:rPr>
              <w:t>(4.4, 5.4)</w:t>
            </w:r>
          </w:p>
        </w:tc>
        <w:tc>
          <w:tcPr>
            <w:tcW w:w="1124" w:type="dxa"/>
          </w:tcPr>
          <w:p w:rsidR="00A76E51" w:rsidRPr="008F76A8" w:rsidRDefault="00A76E51" w:rsidP="00A76E51">
            <w:pPr>
              <w:pStyle w:val="Text"/>
              <w:spacing w:before="0" w:after="0"/>
              <w:rPr>
                <w:rFonts w:ascii="Arial" w:hAnsi="Arial" w:cs="Arial"/>
                <w:bCs/>
                <w:sz w:val="20"/>
                <w:lang w:val="en-AU" w:eastAsia="en-AU"/>
              </w:rPr>
            </w:pPr>
            <w:r w:rsidRPr="008F76A8">
              <w:rPr>
                <w:rFonts w:ascii="Arial" w:hAnsi="Arial" w:cs="Arial"/>
                <w:bCs/>
                <w:sz w:val="20"/>
                <w:lang w:val="en-AU" w:eastAsia="en-AU"/>
              </w:rPr>
              <w:t>&lt;0.0001</w:t>
            </w:r>
          </w:p>
        </w:tc>
        <w:tc>
          <w:tcPr>
            <w:tcW w:w="1073" w:type="dxa"/>
          </w:tcPr>
          <w:p w:rsidR="00A76E51" w:rsidRPr="008F76A8" w:rsidRDefault="00A76E51" w:rsidP="00A76E51">
            <w:pPr>
              <w:pStyle w:val="Text"/>
              <w:spacing w:before="0" w:after="0"/>
              <w:rPr>
                <w:rFonts w:ascii="Arial" w:hAnsi="Arial" w:cs="Arial"/>
                <w:bCs/>
                <w:sz w:val="20"/>
                <w:lang w:val="en-AU" w:eastAsia="en-AU"/>
              </w:rPr>
            </w:pPr>
            <w:r w:rsidRPr="008F76A8">
              <w:rPr>
                <w:rFonts w:ascii="Arial" w:hAnsi="Arial" w:cs="Arial"/>
                <w:bCs/>
                <w:sz w:val="20"/>
                <w:lang w:val="en-AU" w:eastAsia="en-AU"/>
              </w:rPr>
              <w:t>&lt;0.0001</w:t>
            </w:r>
          </w:p>
        </w:tc>
      </w:tr>
      <w:tr w:rsidR="00A76E51" w:rsidRPr="006B1651" w:rsidTr="00A76E51">
        <w:tc>
          <w:tcPr>
            <w:tcW w:w="2830" w:type="dxa"/>
          </w:tcPr>
          <w:p w:rsidR="00A76E51" w:rsidRPr="006B1651" w:rsidRDefault="00A76E51" w:rsidP="00A76E51">
            <w:pPr>
              <w:autoSpaceDE w:val="0"/>
              <w:autoSpaceDN w:val="0"/>
              <w:adjustRightInd w:val="0"/>
              <w:rPr>
                <w:rFonts w:cs="Arial"/>
                <w:szCs w:val="22"/>
                <w:lang w:val="en-AU" w:eastAsia="en-AU"/>
              </w:rPr>
            </w:pPr>
            <w:r>
              <w:rPr>
                <w:rFonts w:cs="Arial"/>
                <w:sz w:val="20"/>
                <w:szCs w:val="20"/>
                <w:lang w:val="en-AU" w:eastAsia="en-AU"/>
              </w:rPr>
              <w:t>Total hip BMD:</w:t>
            </w:r>
            <w:r>
              <w:rPr>
                <w:rFonts w:cs="Arial"/>
                <w:sz w:val="20"/>
                <w:szCs w:val="20"/>
                <w:lang w:val="en-AU" w:eastAsia="en-AU"/>
              </w:rPr>
              <w:br/>
            </w:r>
            <w:r w:rsidRPr="008F76A8">
              <w:rPr>
                <w:rFonts w:cs="Arial"/>
                <w:sz w:val="20"/>
                <w:szCs w:val="20"/>
                <w:lang w:val="en-AU" w:eastAsia="en-AU"/>
              </w:rPr>
              <w:t>Percent change from baseline at Month 36</w:t>
            </w:r>
            <w:r w:rsidRPr="006B1651">
              <w:rPr>
                <w:rFonts w:cs="Arial"/>
                <w:szCs w:val="22"/>
                <w:vertAlign w:val="superscript"/>
                <w:lang w:val="en-AU" w:eastAsia="en-AU"/>
              </w:rPr>
              <w:t>a</w:t>
            </w:r>
          </w:p>
        </w:tc>
        <w:tc>
          <w:tcPr>
            <w:tcW w:w="1276" w:type="dxa"/>
          </w:tcPr>
          <w:p w:rsidR="00A76E51" w:rsidRPr="008F76A8" w:rsidRDefault="00A76E51" w:rsidP="00A76E51">
            <w:pPr>
              <w:pStyle w:val="Text"/>
              <w:spacing w:before="0" w:after="0"/>
              <w:rPr>
                <w:rFonts w:ascii="Arial" w:hAnsi="Arial" w:cs="Arial"/>
                <w:bCs/>
                <w:sz w:val="20"/>
                <w:lang w:val="en-AU" w:eastAsia="en-AU"/>
              </w:rPr>
            </w:pPr>
            <w:r w:rsidRPr="008F76A8">
              <w:rPr>
                <w:rFonts w:ascii="Arial" w:hAnsi="Arial" w:cs="Arial"/>
                <w:bCs/>
                <w:sz w:val="20"/>
                <w:lang w:val="en-AU" w:eastAsia="en-AU"/>
              </w:rPr>
              <w:t>701</w:t>
            </w:r>
          </w:p>
        </w:tc>
        <w:tc>
          <w:tcPr>
            <w:tcW w:w="1134" w:type="dxa"/>
          </w:tcPr>
          <w:p w:rsidR="00A76E51" w:rsidRPr="008F76A8" w:rsidRDefault="00A76E51" w:rsidP="00A76E51">
            <w:pPr>
              <w:pStyle w:val="Text"/>
              <w:spacing w:before="0" w:after="0"/>
              <w:rPr>
                <w:rFonts w:ascii="Arial" w:hAnsi="Arial" w:cs="Arial"/>
                <w:bCs/>
                <w:sz w:val="20"/>
                <w:lang w:val="en-AU" w:eastAsia="en-AU"/>
              </w:rPr>
            </w:pPr>
            <w:r w:rsidRPr="008F76A8">
              <w:rPr>
                <w:rFonts w:ascii="Arial" w:hAnsi="Arial" w:cs="Arial"/>
                <w:bCs/>
                <w:sz w:val="20"/>
                <w:lang w:val="en-AU" w:eastAsia="en-AU"/>
              </w:rPr>
              <w:t>706</w:t>
            </w:r>
          </w:p>
        </w:tc>
        <w:tc>
          <w:tcPr>
            <w:tcW w:w="1134" w:type="dxa"/>
          </w:tcPr>
          <w:p w:rsidR="00A76E51" w:rsidRPr="008F76A8" w:rsidRDefault="00A76E51" w:rsidP="00A76E51">
            <w:pPr>
              <w:pStyle w:val="Text"/>
              <w:spacing w:before="0" w:after="0"/>
              <w:rPr>
                <w:rFonts w:ascii="Arial" w:hAnsi="Arial" w:cs="Arial"/>
                <w:bCs/>
                <w:sz w:val="20"/>
                <w:lang w:val="en-AU" w:eastAsia="en-AU"/>
              </w:rPr>
            </w:pPr>
            <w:r w:rsidRPr="008F76A8">
              <w:rPr>
                <w:rFonts w:ascii="Arial" w:hAnsi="Arial" w:cs="Arial"/>
                <w:bCs/>
                <w:sz w:val="20"/>
                <w:lang w:val="en-AU" w:eastAsia="en-AU"/>
              </w:rPr>
              <w:t>5.7</w:t>
            </w:r>
          </w:p>
        </w:tc>
        <w:tc>
          <w:tcPr>
            <w:tcW w:w="1134" w:type="dxa"/>
          </w:tcPr>
          <w:p w:rsidR="00A76E51" w:rsidRPr="008F76A8" w:rsidRDefault="00A76E51" w:rsidP="00A76E51">
            <w:pPr>
              <w:pStyle w:val="Text"/>
              <w:spacing w:before="0" w:after="0"/>
              <w:rPr>
                <w:rFonts w:ascii="Arial" w:hAnsi="Arial" w:cs="Arial"/>
                <w:bCs/>
                <w:sz w:val="20"/>
                <w:lang w:val="en-AU" w:eastAsia="en-AU"/>
              </w:rPr>
            </w:pPr>
            <w:r w:rsidRPr="008F76A8">
              <w:rPr>
                <w:rFonts w:ascii="Arial" w:hAnsi="Arial" w:cs="Arial"/>
                <w:bCs/>
                <w:sz w:val="20"/>
                <w:lang w:val="en-AU" w:eastAsia="en-AU"/>
              </w:rPr>
              <w:t>(5.4, 6.1)</w:t>
            </w:r>
          </w:p>
        </w:tc>
        <w:tc>
          <w:tcPr>
            <w:tcW w:w="1124" w:type="dxa"/>
          </w:tcPr>
          <w:p w:rsidR="00A76E51" w:rsidRPr="008F76A8" w:rsidRDefault="00A76E51" w:rsidP="00A76E51">
            <w:pPr>
              <w:pStyle w:val="Text"/>
              <w:spacing w:before="0" w:after="0"/>
              <w:rPr>
                <w:rFonts w:ascii="Arial" w:hAnsi="Arial" w:cs="Arial"/>
                <w:bCs/>
                <w:sz w:val="20"/>
                <w:lang w:val="en-AU" w:eastAsia="en-AU"/>
              </w:rPr>
            </w:pPr>
            <w:r w:rsidRPr="008F76A8">
              <w:rPr>
                <w:rFonts w:ascii="Arial" w:hAnsi="Arial" w:cs="Arial"/>
                <w:bCs/>
                <w:sz w:val="20"/>
                <w:lang w:val="en-AU" w:eastAsia="en-AU"/>
              </w:rPr>
              <w:t>&lt;0.0001</w:t>
            </w:r>
          </w:p>
        </w:tc>
        <w:tc>
          <w:tcPr>
            <w:tcW w:w="1073" w:type="dxa"/>
          </w:tcPr>
          <w:p w:rsidR="00A76E51" w:rsidRPr="008F76A8" w:rsidRDefault="00A76E51" w:rsidP="00A76E51">
            <w:pPr>
              <w:pStyle w:val="Text"/>
              <w:spacing w:before="0" w:after="0"/>
              <w:rPr>
                <w:rFonts w:ascii="Arial" w:hAnsi="Arial" w:cs="Arial"/>
                <w:bCs/>
                <w:sz w:val="20"/>
                <w:lang w:val="en-AU" w:eastAsia="en-AU"/>
              </w:rPr>
            </w:pPr>
            <w:r w:rsidRPr="008F76A8">
              <w:rPr>
                <w:rFonts w:ascii="Arial" w:hAnsi="Arial" w:cs="Arial"/>
                <w:bCs/>
                <w:sz w:val="20"/>
                <w:lang w:val="en-AU" w:eastAsia="en-AU"/>
              </w:rPr>
              <w:t>&lt;0.0001</w:t>
            </w:r>
          </w:p>
        </w:tc>
      </w:tr>
      <w:tr w:rsidR="00A76E51" w:rsidRPr="006B1651" w:rsidTr="00A76E51">
        <w:tc>
          <w:tcPr>
            <w:tcW w:w="2830" w:type="dxa"/>
          </w:tcPr>
          <w:p w:rsidR="00A76E51" w:rsidRPr="006B1651" w:rsidRDefault="00A76E51" w:rsidP="00A76E51">
            <w:pPr>
              <w:autoSpaceDE w:val="0"/>
              <w:autoSpaceDN w:val="0"/>
              <w:adjustRightInd w:val="0"/>
              <w:rPr>
                <w:rFonts w:cs="Arial"/>
                <w:szCs w:val="22"/>
                <w:lang w:val="en-AU" w:eastAsia="en-AU"/>
              </w:rPr>
            </w:pPr>
            <w:r w:rsidRPr="008F76A8">
              <w:rPr>
                <w:rFonts w:cs="Arial"/>
                <w:sz w:val="20"/>
                <w:szCs w:val="20"/>
                <w:lang w:val="en-AU" w:eastAsia="en-AU"/>
              </w:rPr>
              <w:t>Subject incidence of new vertebral fracture through Month 36</w:t>
            </w:r>
            <w:r w:rsidRPr="006B1651">
              <w:rPr>
                <w:rFonts w:cs="Arial"/>
                <w:szCs w:val="22"/>
                <w:vertAlign w:val="superscript"/>
                <w:lang w:val="en-AU" w:eastAsia="en-AU"/>
              </w:rPr>
              <w:t>b</w:t>
            </w:r>
            <w:r>
              <w:rPr>
                <w:rFonts w:cs="Arial"/>
                <w:szCs w:val="22"/>
                <w:vertAlign w:val="superscript"/>
                <w:lang w:val="en-AU" w:eastAsia="en-AU"/>
              </w:rPr>
              <w:t>,e</w:t>
            </w:r>
          </w:p>
        </w:tc>
        <w:tc>
          <w:tcPr>
            <w:tcW w:w="1276" w:type="dxa"/>
          </w:tcPr>
          <w:p w:rsidR="00A76E51" w:rsidRPr="008F76A8" w:rsidRDefault="00A76E51" w:rsidP="00A76E51">
            <w:pPr>
              <w:pStyle w:val="Text"/>
              <w:spacing w:before="0" w:after="0"/>
              <w:rPr>
                <w:rFonts w:ascii="Arial" w:hAnsi="Arial" w:cs="Arial"/>
                <w:bCs/>
                <w:sz w:val="20"/>
                <w:lang w:val="en-AU" w:eastAsia="en-AU"/>
              </w:rPr>
            </w:pPr>
            <w:r w:rsidRPr="008F76A8">
              <w:rPr>
                <w:rFonts w:ascii="Arial" w:hAnsi="Arial" w:cs="Arial"/>
                <w:bCs/>
                <w:sz w:val="20"/>
                <w:lang w:val="en-AU" w:eastAsia="en-AU"/>
              </w:rPr>
              <w:t>1.5% (10/679)</w:t>
            </w:r>
          </w:p>
        </w:tc>
        <w:tc>
          <w:tcPr>
            <w:tcW w:w="1134" w:type="dxa"/>
          </w:tcPr>
          <w:p w:rsidR="00A76E51" w:rsidRPr="008F76A8" w:rsidRDefault="00A76E51" w:rsidP="00A76E51">
            <w:pPr>
              <w:pStyle w:val="Text"/>
              <w:spacing w:before="0" w:after="0"/>
              <w:rPr>
                <w:rFonts w:ascii="Arial" w:hAnsi="Arial" w:cs="Arial"/>
                <w:bCs/>
                <w:sz w:val="20"/>
                <w:lang w:val="en-AU" w:eastAsia="en-AU"/>
              </w:rPr>
            </w:pPr>
            <w:r w:rsidRPr="008F76A8">
              <w:rPr>
                <w:rFonts w:ascii="Arial" w:hAnsi="Arial" w:cs="Arial"/>
                <w:bCs/>
                <w:sz w:val="20"/>
                <w:lang w:val="en-AU" w:eastAsia="en-AU"/>
              </w:rPr>
              <w:t>3.9% (26/673)</w:t>
            </w:r>
          </w:p>
        </w:tc>
        <w:tc>
          <w:tcPr>
            <w:tcW w:w="1134" w:type="dxa"/>
          </w:tcPr>
          <w:p w:rsidR="00A76E51" w:rsidRPr="008F76A8" w:rsidRDefault="00A76E51" w:rsidP="00A76E51">
            <w:pPr>
              <w:pStyle w:val="Text"/>
              <w:spacing w:before="0" w:after="0"/>
              <w:rPr>
                <w:rFonts w:ascii="Arial" w:hAnsi="Arial" w:cs="Arial"/>
                <w:bCs/>
                <w:sz w:val="20"/>
                <w:lang w:val="en-AU" w:eastAsia="en-AU"/>
              </w:rPr>
            </w:pPr>
            <w:r w:rsidRPr="008F76A8">
              <w:rPr>
                <w:rFonts w:ascii="Arial" w:hAnsi="Arial" w:cs="Arial"/>
                <w:bCs/>
                <w:sz w:val="20"/>
                <w:lang w:val="en-AU" w:eastAsia="en-AU"/>
              </w:rPr>
              <w:t>0.37</w:t>
            </w:r>
          </w:p>
        </w:tc>
        <w:tc>
          <w:tcPr>
            <w:tcW w:w="1134" w:type="dxa"/>
          </w:tcPr>
          <w:p w:rsidR="00A76E51" w:rsidRPr="008F76A8" w:rsidRDefault="00A76E51" w:rsidP="00A76E51">
            <w:pPr>
              <w:pStyle w:val="Text"/>
              <w:spacing w:before="0" w:after="0"/>
              <w:rPr>
                <w:rFonts w:ascii="Arial" w:hAnsi="Arial" w:cs="Arial"/>
                <w:bCs/>
                <w:sz w:val="20"/>
                <w:lang w:val="en-AU" w:eastAsia="en-AU"/>
              </w:rPr>
            </w:pPr>
            <w:r w:rsidRPr="008F76A8">
              <w:rPr>
                <w:rFonts w:ascii="Arial" w:hAnsi="Arial" w:cs="Arial"/>
                <w:bCs/>
                <w:sz w:val="20"/>
                <w:lang w:val="en-AU" w:eastAsia="en-AU"/>
              </w:rPr>
              <w:t>(0.18, 0.78)</w:t>
            </w:r>
          </w:p>
        </w:tc>
        <w:tc>
          <w:tcPr>
            <w:tcW w:w="1124" w:type="dxa"/>
          </w:tcPr>
          <w:p w:rsidR="00A76E51" w:rsidRPr="008F76A8" w:rsidRDefault="00A76E51" w:rsidP="00A76E51">
            <w:pPr>
              <w:pStyle w:val="Text"/>
              <w:spacing w:before="0" w:after="0"/>
              <w:rPr>
                <w:rFonts w:ascii="Arial" w:hAnsi="Arial" w:cs="Arial"/>
                <w:bCs/>
                <w:sz w:val="20"/>
                <w:lang w:val="en-AU" w:eastAsia="en-AU"/>
              </w:rPr>
            </w:pPr>
            <w:r w:rsidRPr="008F76A8">
              <w:rPr>
                <w:rFonts w:ascii="Arial" w:hAnsi="Arial" w:cs="Arial"/>
                <w:bCs/>
                <w:sz w:val="20"/>
                <w:lang w:val="en-AU" w:eastAsia="en-AU"/>
              </w:rPr>
              <w:t>0.0063</w:t>
            </w:r>
          </w:p>
        </w:tc>
        <w:tc>
          <w:tcPr>
            <w:tcW w:w="1073" w:type="dxa"/>
          </w:tcPr>
          <w:p w:rsidR="00A76E51" w:rsidRPr="008F76A8" w:rsidRDefault="00A76E51" w:rsidP="00A76E51">
            <w:pPr>
              <w:pStyle w:val="Text"/>
              <w:spacing w:before="0" w:after="0"/>
              <w:rPr>
                <w:rFonts w:ascii="Arial" w:hAnsi="Arial" w:cs="Arial"/>
                <w:bCs/>
                <w:sz w:val="20"/>
                <w:lang w:val="en-AU" w:eastAsia="en-AU"/>
              </w:rPr>
            </w:pPr>
            <w:r w:rsidRPr="008F76A8">
              <w:rPr>
                <w:rFonts w:ascii="Arial" w:hAnsi="Arial" w:cs="Arial"/>
                <w:bCs/>
                <w:sz w:val="20"/>
                <w:lang w:val="en-AU" w:eastAsia="en-AU"/>
              </w:rPr>
              <w:t>0.0125</w:t>
            </w:r>
          </w:p>
        </w:tc>
      </w:tr>
      <w:tr w:rsidR="00A76E51" w:rsidRPr="006B1651" w:rsidTr="00A76E51">
        <w:tc>
          <w:tcPr>
            <w:tcW w:w="2830" w:type="dxa"/>
          </w:tcPr>
          <w:p w:rsidR="00A76E51" w:rsidRPr="006B1651" w:rsidRDefault="00A76E51" w:rsidP="00A76E51">
            <w:pPr>
              <w:autoSpaceDE w:val="0"/>
              <w:autoSpaceDN w:val="0"/>
              <w:adjustRightInd w:val="0"/>
              <w:rPr>
                <w:rFonts w:cs="Arial"/>
                <w:szCs w:val="22"/>
                <w:lang w:val="en-AU" w:eastAsia="en-AU"/>
              </w:rPr>
            </w:pPr>
            <w:r w:rsidRPr="008F76A8">
              <w:rPr>
                <w:rFonts w:cs="Arial"/>
                <w:sz w:val="20"/>
                <w:szCs w:val="20"/>
                <w:lang w:val="en-AU" w:eastAsia="en-AU"/>
              </w:rPr>
              <w:t>Subject incidence of any fracture through Month 36</w:t>
            </w:r>
            <w:r w:rsidRPr="006B1651">
              <w:rPr>
                <w:rFonts w:cs="Arial"/>
                <w:szCs w:val="22"/>
                <w:vertAlign w:val="superscript"/>
                <w:lang w:val="en-AU" w:eastAsia="en-AU"/>
              </w:rPr>
              <w:t>b</w:t>
            </w:r>
          </w:p>
        </w:tc>
        <w:tc>
          <w:tcPr>
            <w:tcW w:w="1276" w:type="dxa"/>
          </w:tcPr>
          <w:p w:rsidR="00A76E51" w:rsidRPr="008F76A8" w:rsidRDefault="00A76E51" w:rsidP="00A76E51">
            <w:pPr>
              <w:pStyle w:val="Text"/>
              <w:spacing w:before="0" w:after="0"/>
              <w:rPr>
                <w:rFonts w:ascii="Arial" w:hAnsi="Arial" w:cs="Arial"/>
                <w:bCs/>
                <w:sz w:val="20"/>
                <w:lang w:val="en-AU" w:eastAsia="en-AU"/>
              </w:rPr>
            </w:pPr>
            <w:r w:rsidRPr="008F76A8">
              <w:rPr>
                <w:rFonts w:ascii="Arial" w:hAnsi="Arial" w:cs="Arial"/>
                <w:bCs/>
                <w:sz w:val="20"/>
                <w:lang w:val="en-AU" w:eastAsia="en-AU"/>
              </w:rPr>
              <w:t>5.2% (38/734)</w:t>
            </w:r>
          </w:p>
        </w:tc>
        <w:tc>
          <w:tcPr>
            <w:tcW w:w="1134" w:type="dxa"/>
          </w:tcPr>
          <w:p w:rsidR="00A76E51" w:rsidRPr="008F76A8" w:rsidRDefault="00A76E51" w:rsidP="00A76E51">
            <w:pPr>
              <w:pStyle w:val="Text"/>
              <w:spacing w:before="0" w:after="0"/>
              <w:rPr>
                <w:rFonts w:ascii="Arial" w:hAnsi="Arial" w:cs="Arial"/>
                <w:bCs/>
                <w:sz w:val="20"/>
                <w:lang w:val="en-AU" w:eastAsia="en-AU"/>
              </w:rPr>
            </w:pPr>
            <w:r w:rsidRPr="008F76A8">
              <w:rPr>
                <w:rFonts w:ascii="Arial" w:hAnsi="Arial" w:cs="Arial"/>
                <w:bCs/>
                <w:sz w:val="20"/>
                <w:lang w:val="en-AU" w:eastAsia="en-AU"/>
              </w:rPr>
              <w:t>7.2% (53/734)</w:t>
            </w:r>
          </w:p>
        </w:tc>
        <w:tc>
          <w:tcPr>
            <w:tcW w:w="1134" w:type="dxa"/>
          </w:tcPr>
          <w:p w:rsidR="00A76E51" w:rsidRPr="008F76A8" w:rsidRDefault="00A76E51" w:rsidP="00A76E51">
            <w:pPr>
              <w:pStyle w:val="Text"/>
              <w:spacing w:before="0" w:after="0"/>
              <w:rPr>
                <w:rFonts w:ascii="Arial" w:hAnsi="Arial" w:cs="Arial"/>
                <w:bCs/>
                <w:sz w:val="20"/>
                <w:lang w:val="en-AU" w:eastAsia="en-AU"/>
              </w:rPr>
            </w:pPr>
            <w:r w:rsidRPr="008F76A8">
              <w:rPr>
                <w:rFonts w:ascii="Arial" w:hAnsi="Arial" w:cs="Arial"/>
                <w:bCs/>
                <w:sz w:val="20"/>
                <w:lang w:val="en-AU" w:eastAsia="en-AU"/>
              </w:rPr>
              <w:t>0.7</w:t>
            </w:r>
          </w:p>
        </w:tc>
        <w:tc>
          <w:tcPr>
            <w:tcW w:w="1134" w:type="dxa"/>
          </w:tcPr>
          <w:p w:rsidR="00A76E51" w:rsidRPr="008F76A8" w:rsidRDefault="00A76E51" w:rsidP="00A76E51">
            <w:pPr>
              <w:pStyle w:val="Text"/>
              <w:spacing w:before="0" w:after="0"/>
              <w:rPr>
                <w:rFonts w:ascii="Arial" w:hAnsi="Arial" w:cs="Arial"/>
                <w:bCs/>
                <w:sz w:val="20"/>
                <w:lang w:val="en-AU" w:eastAsia="en-AU"/>
              </w:rPr>
            </w:pPr>
            <w:r w:rsidRPr="008F76A8">
              <w:rPr>
                <w:rFonts w:ascii="Arial" w:hAnsi="Arial" w:cs="Arial"/>
                <w:bCs/>
                <w:sz w:val="20"/>
                <w:lang w:val="en-AU" w:eastAsia="en-AU"/>
              </w:rPr>
              <w:t>(0.46, 1.08)</w:t>
            </w:r>
          </w:p>
        </w:tc>
        <w:tc>
          <w:tcPr>
            <w:tcW w:w="1124" w:type="dxa"/>
          </w:tcPr>
          <w:p w:rsidR="00A76E51" w:rsidRPr="008F76A8" w:rsidRDefault="00A76E51" w:rsidP="00A76E51">
            <w:pPr>
              <w:pStyle w:val="Text"/>
              <w:spacing w:before="0" w:after="0"/>
              <w:rPr>
                <w:rFonts w:ascii="Arial" w:hAnsi="Arial" w:cs="Arial"/>
                <w:bCs/>
                <w:sz w:val="20"/>
                <w:lang w:val="en-AU" w:eastAsia="en-AU"/>
              </w:rPr>
            </w:pPr>
            <w:r w:rsidRPr="008F76A8">
              <w:rPr>
                <w:rFonts w:ascii="Arial" w:hAnsi="Arial" w:cs="Arial"/>
                <w:bCs/>
                <w:sz w:val="20"/>
                <w:lang w:val="en-AU" w:eastAsia="en-AU"/>
              </w:rPr>
              <w:t>0.1048</w:t>
            </w:r>
          </w:p>
        </w:tc>
        <w:tc>
          <w:tcPr>
            <w:tcW w:w="1073" w:type="dxa"/>
          </w:tcPr>
          <w:p w:rsidR="00A76E51" w:rsidRPr="008F76A8" w:rsidRDefault="00A76E51" w:rsidP="00A76E51">
            <w:pPr>
              <w:pStyle w:val="Text"/>
              <w:spacing w:before="0" w:after="0"/>
              <w:rPr>
                <w:rFonts w:ascii="Arial" w:hAnsi="Arial" w:cs="Arial"/>
                <w:bCs/>
                <w:sz w:val="20"/>
                <w:lang w:val="en-AU" w:eastAsia="en-AU"/>
              </w:rPr>
            </w:pPr>
            <w:r w:rsidRPr="008F76A8">
              <w:rPr>
                <w:rFonts w:ascii="Arial" w:hAnsi="Arial" w:cs="Arial"/>
                <w:bCs/>
                <w:sz w:val="20"/>
                <w:lang w:val="en-AU" w:eastAsia="en-AU"/>
              </w:rPr>
              <w:t>0.1048</w:t>
            </w:r>
          </w:p>
        </w:tc>
      </w:tr>
      <w:tr w:rsidR="00A76E51" w:rsidRPr="006B1651" w:rsidTr="00A76E51">
        <w:tc>
          <w:tcPr>
            <w:tcW w:w="2830" w:type="dxa"/>
          </w:tcPr>
          <w:p w:rsidR="00A76E51" w:rsidRPr="006B1651" w:rsidRDefault="00A76E51" w:rsidP="00A76E51">
            <w:pPr>
              <w:autoSpaceDE w:val="0"/>
              <w:autoSpaceDN w:val="0"/>
              <w:adjustRightInd w:val="0"/>
              <w:rPr>
                <w:rFonts w:cs="Arial"/>
                <w:szCs w:val="22"/>
                <w:lang w:val="en-AU" w:eastAsia="en-AU"/>
              </w:rPr>
            </w:pPr>
            <w:r w:rsidRPr="008F76A8">
              <w:rPr>
                <w:rFonts w:cs="Arial"/>
                <w:sz w:val="20"/>
                <w:szCs w:val="20"/>
                <w:lang w:val="en-AU" w:eastAsia="en-AU"/>
              </w:rPr>
              <w:t>Time to first clinical fracture through Month 36</w:t>
            </w:r>
            <w:r w:rsidRPr="006B1651">
              <w:rPr>
                <w:rFonts w:cs="Arial"/>
                <w:szCs w:val="22"/>
                <w:vertAlign w:val="superscript"/>
                <w:lang w:val="en-AU" w:eastAsia="en-AU"/>
              </w:rPr>
              <w:t>c</w:t>
            </w:r>
          </w:p>
        </w:tc>
        <w:tc>
          <w:tcPr>
            <w:tcW w:w="1276" w:type="dxa"/>
          </w:tcPr>
          <w:p w:rsidR="00A76E51" w:rsidRPr="008F76A8" w:rsidRDefault="00A76E51" w:rsidP="00A76E51">
            <w:pPr>
              <w:pStyle w:val="Text"/>
              <w:spacing w:before="0" w:after="0"/>
              <w:rPr>
                <w:rFonts w:ascii="Arial" w:hAnsi="Arial" w:cs="Arial"/>
                <w:bCs/>
                <w:sz w:val="20"/>
                <w:lang w:val="en-AU" w:eastAsia="en-AU"/>
              </w:rPr>
            </w:pPr>
            <w:r w:rsidRPr="008F76A8">
              <w:rPr>
                <w:rFonts w:ascii="Arial" w:hAnsi="Arial" w:cs="Arial"/>
                <w:bCs/>
                <w:sz w:val="20"/>
                <w:lang w:val="en-AU" w:eastAsia="en-AU"/>
              </w:rPr>
              <w:t>4.1% (30/734)</w:t>
            </w:r>
          </w:p>
        </w:tc>
        <w:tc>
          <w:tcPr>
            <w:tcW w:w="1134" w:type="dxa"/>
          </w:tcPr>
          <w:p w:rsidR="00A76E51" w:rsidRPr="008F76A8" w:rsidRDefault="00A76E51" w:rsidP="00A76E51">
            <w:pPr>
              <w:pStyle w:val="Text"/>
              <w:spacing w:before="0" w:after="0"/>
              <w:rPr>
                <w:rFonts w:ascii="Arial" w:hAnsi="Arial" w:cs="Arial"/>
                <w:bCs/>
                <w:sz w:val="20"/>
                <w:lang w:val="en-AU" w:eastAsia="en-AU"/>
              </w:rPr>
            </w:pPr>
            <w:r w:rsidRPr="008F76A8">
              <w:rPr>
                <w:rFonts w:ascii="Arial" w:hAnsi="Arial" w:cs="Arial"/>
                <w:bCs/>
                <w:sz w:val="20"/>
                <w:lang w:val="en-AU" w:eastAsia="en-AU"/>
              </w:rPr>
              <w:t>4.2% (31/734)</w:t>
            </w:r>
          </w:p>
        </w:tc>
        <w:tc>
          <w:tcPr>
            <w:tcW w:w="1134" w:type="dxa"/>
          </w:tcPr>
          <w:p w:rsidR="00A76E51" w:rsidRPr="008F76A8" w:rsidRDefault="00A76E51" w:rsidP="00A76E51">
            <w:pPr>
              <w:pStyle w:val="Text"/>
              <w:spacing w:before="0" w:after="0"/>
              <w:rPr>
                <w:rFonts w:ascii="Arial" w:hAnsi="Arial" w:cs="Arial"/>
                <w:bCs/>
                <w:sz w:val="20"/>
                <w:lang w:val="en-AU" w:eastAsia="en-AU"/>
              </w:rPr>
            </w:pPr>
            <w:r w:rsidRPr="008F76A8">
              <w:rPr>
                <w:rFonts w:ascii="Arial" w:hAnsi="Arial" w:cs="Arial"/>
                <w:bCs/>
                <w:sz w:val="20"/>
                <w:lang w:val="en-AU" w:eastAsia="en-AU"/>
              </w:rPr>
              <w:t>0.94</w:t>
            </w:r>
          </w:p>
        </w:tc>
        <w:tc>
          <w:tcPr>
            <w:tcW w:w="1134" w:type="dxa"/>
          </w:tcPr>
          <w:p w:rsidR="00A76E51" w:rsidRPr="008F76A8" w:rsidRDefault="00A76E51" w:rsidP="00A76E51">
            <w:pPr>
              <w:pStyle w:val="Text"/>
              <w:spacing w:before="0" w:after="0"/>
              <w:rPr>
                <w:rFonts w:ascii="Arial" w:hAnsi="Arial" w:cs="Arial"/>
                <w:bCs/>
                <w:sz w:val="20"/>
                <w:lang w:val="en-AU" w:eastAsia="en-AU"/>
              </w:rPr>
            </w:pPr>
            <w:r w:rsidRPr="008F76A8">
              <w:rPr>
                <w:rFonts w:ascii="Arial" w:hAnsi="Arial" w:cs="Arial"/>
                <w:bCs/>
                <w:sz w:val="20"/>
                <w:lang w:val="en-AU" w:eastAsia="en-AU"/>
              </w:rPr>
              <w:t>(0.57, 1.55)</w:t>
            </w:r>
          </w:p>
        </w:tc>
        <w:tc>
          <w:tcPr>
            <w:tcW w:w="1124" w:type="dxa"/>
          </w:tcPr>
          <w:p w:rsidR="00A76E51" w:rsidRPr="008F76A8" w:rsidRDefault="00A76E51" w:rsidP="00A76E51">
            <w:pPr>
              <w:pStyle w:val="Text"/>
              <w:spacing w:before="0" w:after="0"/>
              <w:rPr>
                <w:rFonts w:ascii="Arial" w:hAnsi="Arial" w:cs="Arial"/>
                <w:bCs/>
                <w:sz w:val="20"/>
                <w:lang w:val="en-AU" w:eastAsia="en-AU"/>
              </w:rPr>
            </w:pPr>
            <w:r w:rsidRPr="008F76A8">
              <w:rPr>
                <w:rFonts w:ascii="Arial" w:hAnsi="Arial" w:cs="Arial"/>
                <w:bCs/>
                <w:sz w:val="20"/>
                <w:lang w:val="en-AU" w:eastAsia="en-AU"/>
              </w:rPr>
              <w:t xml:space="preserve">Not tested </w:t>
            </w:r>
          </w:p>
        </w:tc>
        <w:tc>
          <w:tcPr>
            <w:tcW w:w="1073" w:type="dxa"/>
          </w:tcPr>
          <w:p w:rsidR="00A76E51" w:rsidRPr="008F76A8" w:rsidRDefault="00A76E51" w:rsidP="00A76E51">
            <w:pPr>
              <w:pStyle w:val="Text"/>
              <w:spacing w:before="0" w:after="0"/>
              <w:rPr>
                <w:rFonts w:ascii="Arial" w:hAnsi="Arial" w:cs="Arial"/>
                <w:bCs/>
                <w:sz w:val="20"/>
                <w:lang w:val="en-AU" w:eastAsia="en-AU"/>
              </w:rPr>
            </w:pPr>
            <w:r w:rsidRPr="008F76A8">
              <w:rPr>
                <w:rFonts w:ascii="Arial" w:hAnsi="Arial" w:cs="Arial"/>
                <w:bCs/>
                <w:sz w:val="20"/>
                <w:lang w:val="en-AU" w:eastAsia="en-AU"/>
              </w:rPr>
              <w:t xml:space="preserve">Not tested </w:t>
            </w:r>
          </w:p>
        </w:tc>
      </w:tr>
      <w:tr w:rsidR="00A76E51" w:rsidRPr="006B1651" w:rsidTr="00A76E51">
        <w:tc>
          <w:tcPr>
            <w:tcW w:w="2830" w:type="dxa"/>
          </w:tcPr>
          <w:p w:rsidR="00A76E51" w:rsidRPr="006B1651" w:rsidRDefault="00A76E51" w:rsidP="00A76E51">
            <w:pPr>
              <w:autoSpaceDE w:val="0"/>
              <w:autoSpaceDN w:val="0"/>
              <w:adjustRightInd w:val="0"/>
              <w:rPr>
                <w:rFonts w:cs="Arial"/>
                <w:szCs w:val="22"/>
                <w:lang w:val="en-AU" w:eastAsia="en-AU"/>
              </w:rPr>
            </w:pPr>
            <w:r w:rsidRPr="008F76A8">
              <w:rPr>
                <w:rFonts w:cs="Arial"/>
                <w:sz w:val="20"/>
                <w:szCs w:val="20"/>
                <w:lang w:val="en-AU" w:eastAsia="en-AU"/>
              </w:rPr>
              <w:t>Subject incidence of any fracture through Month 24</w:t>
            </w:r>
            <w:r w:rsidRPr="006B1651">
              <w:rPr>
                <w:rFonts w:cs="Arial"/>
                <w:szCs w:val="22"/>
                <w:vertAlign w:val="superscript"/>
                <w:lang w:val="en-AU" w:eastAsia="en-AU"/>
              </w:rPr>
              <w:t>b</w:t>
            </w:r>
          </w:p>
        </w:tc>
        <w:tc>
          <w:tcPr>
            <w:tcW w:w="1276" w:type="dxa"/>
          </w:tcPr>
          <w:p w:rsidR="00A76E51" w:rsidRPr="008F76A8" w:rsidRDefault="00A76E51" w:rsidP="00A76E51">
            <w:pPr>
              <w:pStyle w:val="Text"/>
              <w:spacing w:before="0" w:after="0"/>
              <w:rPr>
                <w:rFonts w:ascii="Arial" w:hAnsi="Arial" w:cs="Arial"/>
                <w:bCs/>
                <w:sz w:val="20"/>
                <w:lang w:val="en-AU" w:eastAsia="en-AU"/>
              </w:rPr>
            </w:pPr>
            <w:r w:rsidRPr="008F76A8">
              <w:rPr>
                <w:rFonts w:ascii="Arial" w:hAnsi="Arial" w:cs="Arial"/>
                <w:bCs/>
                <w:sz w:val="20"/>
                <w:lang w:val="en-AU" w:eastAsia="en-AU"/>
              </w:rPr>
              <w:t>4.4% (32/734)</w:t>
            </w:r>
          </w:p>
        </w:tc>
        <w:tc>
          <w:tcPr>
            <w:tcW w:w="1134" w:type="dxa"/>
          </w:tcPr>
          <w:p w:rsidR="00A76E51" w:rsidRPr="008F76A8" w:rsidRDefault="00A76E51" w:rsidP="00A76E51">
            <w:pPr>
              <w:pStyle w:val="Text"/>
              <w:spacing w:before="0" w:after="0"/>
              <w:rPr>
                <w:rFonts w:ascii="Arial" w:hAnsi="Arial" w:cs="Arial"/>
                <w:bCs/>
                <w:sz w:val="20"/>
                <w:lang w:val="en-AU" w:eastAsia="en-AU"/>
              </w:rPr>
            </w:pPr>
            <w:r w:rsidRPr="008F76A8">
              <w:rPr>
                <w:rFonts w:ascii="Arial" w:hAnsi="Arial" w:cs="Arial"/>
                <w:bCs/>
                <w:sz w:val="20"/>
                <w:lang w:val="en-AU" w:eastAsia="en-AU"/>
              </w:rPr>
              <w:t>6.1% (45/734)</w:t>
            </w:r>
          </w:p>
        </w:tc>
        <w:tc>
          <w:tcPr>
            <w:tcW w:w="1134" w:type="dxa"/>
          </w:tcPr>
          <w:p w:rsidR="00A76E51" w:rsidRPr="008F76A8" w:rsidRDefault="00A76E51" w:rsidP="00A76E51">
            <w:pPr>
              <w:pStyle w:val="Text"/>
              <w:spacing w:before="0" w:after="0"/>
              <w:rPr>
                <w:rFonts w:ascii="Arial" w:hAnsi="Arial" w:cs="Arial"/>
                <w:bCs/>
                <w:sz w:val="20"/>
                <w:lang w:val="en-AU" w:eastAsia="en-AU"/>
              </w:rPr>
            </w:pPr>
            <w:r w:rsidRPr="008F76A8">
              <w:rPr>
                <w:rFonts w:ascii="Arial" w:hAnsi="Arial" w:cs="Arial"/>
                <w:bCs/>
                <w:sz w:val="20"/>
                <w:lang w:val="en-AU" w:eastAsia="en-AU"/>
              </w:rPr>
              <w:t>0.70</w:t>
            </w:r>
          </w:p>
        </w:tc>
        <w:tc>
          <w:tcPr>
            <w:tcW w:w="1134" w:type="dxa"/>
          </w:tcPr>
          <w:p w:rsidR="00A76E51" w:rsidRPr="008F76A8" w:rsidRDefault="00A76E51" w:rsidP="00A76E51">
            <w:pPr>
              <w:pStyle w:val="Text"/>
              <w:spacing w:before="0" w:after="0"/>
              <w:rPr>
                <w:rFonts w:ascii="Arial" w:hAnsi="Arial" w:cs="Arial"/>
                <w:bCs/>
                <w:sz w:val="20"/>
                <w:lang w:val="en-AU" w:eastAsia="en-AU"/>
              </w:rPr>
            </w:pPr>
            <w:r w:rsidRPr="008F76A8">
              <w:rPr>
                <w:rFonts w:ascii="Arial" w:hAnsi="Arial" w:cs="Arial"/>
                <w:bCs/>
                <w:sz w:val="20"/>
                <w:lang w:val="en-AU" w:eastAsia="en-AU"/>
              </w:rPr>
              <w:t>(0.44, 1.11)</w:t>
            </w:r>
          </w:p>
        </w:tc>
        <w:tc>
          <w:tcPr>
            <w:tcW w:w="1124" w:type="dxa"/>
          </w:tcPr>
          <w:p w:rsidR="00A76E51" w:rsidRPr="008F76A8" w:rsidRDefault="00A76E51" w:rsidP="00A76E51">
            <w:pPr>
              <w:pStyle w:val="Text"/>
              <w:spacing w:before="0" w:after="0"/>
              <w:rPr>
                <w:rFonts w:ascii="Arial" w:hAnsi="Arial" w:cs="Arial"/>
                <w:bCs/>
                <w:sz w:val="20"/>
                <w:lang w:val="en-AU" w:eastAsia="en-AU"/>
              </w:rPr>
            </w:pPr>
            <w:r w:rsidRPr="008F76A8">
              <w:rPr>
                <w:rFonts w:ascii="Arial" w:hAnsi="Arial" w:cs="Arial"/>
                <w:bCs/>
                <w:sz w:val="20"/>
                <w:lang w:val="en-AU" w:eastAsia="en-AU"/>
              </w:rPr>
              <w:t xml:space="preserve">Not tested </w:t>
            </w:r>
          </w:p>
        </w:tc>
        <w:tc>
          <w:tcPr>
            <w:tcW w:w="1073" w:type="dxa"/>
          </w:tcPr>
          <w:p w:rsidR="00A76E51" w:rsidRPr="008F76A8" w:rsidRDefault="00A76E51" w:rsidP="00A76E51">
            <w:pPr>
              <w:pStyle w:val="Text"/>
              <w:spacing w:before="0" w:after="0"/>
              <w:rPr>
                <w:rFonts w:ascii="Arial" w:hAnsi="Arial" w:cs="Arial"/>
                <w:bCs/>
                <w:sz w:val="20"/>
                <w:lang w:val="en-AU" w:eastAsia="en-AU"/>
              </w:rPr>
            </w:pPr>
            <w:r w:rsidRPr="008F76A8">
              <w:rPr>
                <w:rFonts w:ascii="Arial" w:hAnsi="Arial" w:cs="Arial"/>
                <w:bCs/>
                <w:sz w:val="20"/>
                <w:lang w:val="en-AU" w:eastAsia="en-AU"/>
              </w:rPr>
              <w:t xml:space="preserve">Not tested </w:t>
            </w:r>
          </w:p>
        </w:tc>
      </w:tr>
    </w:tbl>
    <w:p w:rsidR="00A76E51" w:rsidRPr="006B1651" w:rsidRDefault="00A76E51" w:rsidP="00A76E51">
      <w:pPr>
        <w:autoSpaceDE w:val="0"/>
        <w:autoSpaceDN w:val="0"/>
        <w:adjustRightInd w:val="0"/>
        <w:rPr>
          <w:rFonts w:cs="Arial"/>
          <w:sz w:val="16"/>
          <w:szCs w:val="16"/>
          <w:lang w:val="en-AU" w:eastAsia="en-AU"/>
        </w:rPr>
      </w:pPr>
      <w:r w:rsidRPr="00BB78F8">
        <w:rPr>
          <w:rFonts w:cs="Arial"/>
          <w:sz w:val="16"/>
          <w:szCs w:val="16"/>
          <w:lang w:val="en-AU" w:eastAsia="en-AU"/>
        </w:rPr>
        <w:t>N = Number of subjects randomised. N1 =</w:t>
      </w:r>
      <w:r>
        <w:rPr>
          <w:rFonts w:cs="Arial"/>
          <w:sz w:val="16"/>
          <w:szCs w:val="16"/>
          <w:lang w:val="en-AU" w:eastAsia="en-AU"/>
        </w:rPr>
        <w:t xml:space="preserve"> Number of subjects analys</w:t>
      </w:r>
      <w:r w:rsidRPr="00BB78F8">
        <w:rPr>
          <w:rFonts w:cs="Arial"/>
          <w:sz w:val="16"/>
          <w:szCs w:val="16"/>
          <w:lang w:val="en-AU" w:eastAsia="en-AU"/>
        </w:rPr>
        <w:t>ed; n = Number of subjects with fracture events</w:t>
      </w:r>
      <w:r>
        <w:rPr>
          <w:rFonts w:cs="Arial"/>
          <w:sz w:val="16"/>
          <w:szCs w:val="16"/>
          <w:lang w:val="en-AU" w:eastAsia="en-AU"/>
        </w:rPr>
        <w:t>.</w:t>
      </w:r>
    </w:p>
    <w:p w:rsidR="00A76E51" w:rsidRPr="006B1651" w:rsidRDefault="00A76E51" w:rsidP="00A76E51">
      <w:pPr>
        <w:tabs>
          <w:tab w:val="left" w:pos="284"/>
        </w:tabs>
        <w:autoSpaceDE w:val="0"/>
        <w:autoSpaceDN w:val="0"/>
        <w:adjustRightInd w:val="0"/>
        <w:ind w:left="284" w:hanging="284"/>
        <w:rPr>
          <w:rFonts w:cs="Arial"/>
          <w:sz w:val="16"/>
          <w:szCs w:val="16"/>
          <w:lang w:val="en-AU" w:eastAsia="en-AU"/>
        </w:rPr>
      </w:pPr>
      <w:r w:rsidRPr="006B1651">
        <w:rPr>
          <w:rFonts w:cs="Arial"/>
          <w:sz w:val="16"/>
          <w:szCs w:val="16"/>
          <w:vertAlign w:val="superscript"/>
          <w:lang w:val="en-AU" w:eastAsia="en-AU"/>
        </w:rPr>
        <w:t>a</w:t>
      </w:r>
      <w:r>
        <w:rPr>
          <w:rFonts w:cs="Arial"/>
          <w:sz w:val="16"/>
          <w:szCs w:val="16"/>
          <w:vertAlign w:val="superscript"/>
          <w:lang w:val="en-AU" w:eastAsia="en-AU"/>
        </w:rPr>
        <w:tab/>
      </w:r>
      <w:r w:rsidRPr="006B1651">
        <w:rPr>
          <w:rFonts w:cs="Arial"/>
          <w:sz w:val="16"/>
          <w:szCs w:val="16"/>
          <w:lang w:val="en-AU" w:eastAsia="en-AU"/>
        </w:rPr>
        <w:t>Difference from placebo based on ANCOVA model adjusting for age group, ADT duration at study entry, baseline value, machine type, and baseline value-by -machine type interaction.</w:t>
      </w:r>
    </w:p>
    <w:p w:rsidR="00A76E51" w:rsidRPr="006B1651" w:rsidRDefault="00A76E51" w:rsidP="00A76E51">
      <w:pPr>
        <w:tabs>
          <w:tab w:val="left" w:pos="279"/>
        </w:tabs>
        <w:autoSpaceDE w:val="0"/>
        <w:autoSpaceDN w:val="0"/>
        <w:adjustRightInd w:val="0"/>
        <w:ind w:left="284" w:hanging="284"/>
        <w:rPr>
          <w:rFonts w:cs="Arial"/>
          <w:sz w:val="16"/>
          <w:szCs w:val="16"/>
          <w:lang w:val="en-AU" w:eastAsia="en-AU"/>
        </w:rPr>
      </w:pPr>
      <w:r w:rsidRPr="006B1651">
        <w:rPr>
          <w:rFonts w:cs="Arial"/>
          <w:sz w:val="16"/>
          <w:szCs w:val="16"/>
          <w:vertAlign w:val="superscript"/>
          <w:lang w:val="en-AU" w:eastAsia="en-AU"/>
        </w:rPr>
        <w:t>b</w:t>
      </w:r>
      <w:r>
        <w:rPr>
          <w:rFonts w:cs="Arial"/>
          <w:sz w:val="16"/>
          <w:szCs w:val="16"/>
          <w:vertAlign w:val="superscript"/>
          <w:lang w:val="en-AU" w:eastAsia="en-AU"/>
        </w:rPr>
        <w:tab/>
      </w:r>
      <w:r w:rsidRPr="006B1651">
        <w:rPr>
          <w:rFonts w:cs="Arial"/>
          <w:sz w:val="16"/>
          <w:szCs w:val="16"/>
          <w:lang w:val="en-AU" w:eastAsia="en-AU"/>
        </w:rPr>
        <w:t>Odds ratio relative to placebo based on logistic regression model adjusting for the stratification variables of age group and ADT duration at study entry.</w:t>
      </w:r>
    </w:p>
    <w:p w:rsidR="00A76E51" w:rsidRPr="006B1651" w:rsidRDefault="00A76E51" w:rsidP="00A76E51">
      <w:pPr>
        <w:tabs>
          <w:tab w:val="left" w:pos="269"/>
        </w:tabs>
        <w:autoSpaceDE w:val="0"/>
        <w:autoSpaceDN w:val="0"/>
        <w:adjustRightInd w:val="0"/>
        <w:ind w:left="284" w:hanging="284"/>
        <w:rPr>
          <w:rFonts w:cs="Arial"/>
          <w:sz w:val="16"/>
          <w:szCs w:val="16"/>
          <w:lang w:val="en-AU" w:eastAsia="en-AU"/>
        </w:rPr>
      </w:pPr>
      <w:r w:rsidRPr="006B1651">
        <w:rPr>
          <w:rFonts w:cs="Arial"/>
          <w:sz w:val="16"/>
          <w:szCs w:val="16"/>
          <w:vertAlign w:val="superscript"/>
          <w:lang w:val="en-AU" w:eastAsia="en-AU"/>
        </w:rPr>
        <w:t>c</w:t>
      </w:r>
      <w:r>
        <w:rPr>
          <w:rFonts w:cs="Arial"/>
          <w:sz w:val="16"/>
          <w:szCs w:val="16"/>
          <w:vertAlign w:val="superscript"/>
          <w:lang w:val="en-AU" w:eastAsia="en-AU"/>
        </w:rPr>
        <w:tab/>
      </w:r>
      <w:r w:rsidRPr="006B1651">
        <w:rPr>
          <w:rFonts w:cs="Arial"/>
          <w:sz w:val="16"/>
          <w:szCs w:val="16"/>
          <w:lang w:val="en-AU" w:eastAsia="en-AU"/>
        </w:rPr>
        <w:t>Hazard ratio relative to placebo based on Cox proportional hazards model stratified by the stratification variables of age group and ADT duration at study entry.</w:t>
      </w:r>
    </w:p>
    <w:p w:rsidR="00A76E51" w:rsidRPr="00BB78F8" w:rsidRDefault="00A76E51" w:rsidP="00A76E51">
      <w:pPr>
        <w:tabs>
          <w:tab w:val="left" w:pos="269"/>
        </w:tabs>
        <w:autoSpaceDE w:val="0"/>
        <w:autoSpaceDN w:val="0"/>
        <w:ind w:left="284" w:hanging="284"/>
      </w:pPr>
      <w:r w:rsidRPr="006B1651">
        <w:rPr>
          <w:rFonts w:cs="Arial"/>
          <w:sz w:val="16"/>
          <w:szCs w:val="16"/>
          <w:vertAlign w:val="superscript"/>
          <w:lang w:val="en-AU" w:eastAsia="en-AU"/>
        </w:rPr>
        <w:t>d</w:t>
      </w:r>
      <w:r>
        <w:rPr>
          <w:rFonts w:cs="Arial"/>
          <w:sz w:val="16"/>
          <w:szCs w:val="16"/>
          <w:vertAlign w:val="superscript"/>
          <w:lang w:val="en-AU" w:eastAsia="en-AU"/>
        </w:rPr>
        <w:tab/>
      </w:r>
      <w:r w:rsidRPr="00BB78F8">
        <w:rPr>
          <w:rFonts w:cs="Arial"/>
          <w:sz w:val="16"/>
          <w:szCs w:val="16"/>
          <w:lang w:val="en-AU" w:eastAsia="en-AU"/>
        </w:rPr>
        <w:t>P-values for the primary and secondary endpoints are adjusted for multiplicity according to a pre</w:t>
      </w:r>
      <w:r>
        <w:rPr>
          <w:rFonts w:cs="Arial"/>
          <w:sz w:val="16"/>
          <w:szCs w:val="16"/>
          <w:lang w:val="en-AU" w:eastAsia="en-AU"/>
        </w:rPr>
        <w:t>-</w:t>
      </w:r>
      <w:r w:rsidRPr="00BB78F8">
        <w:rPr>
          <w:rFonts w:cs="Arial"/>
          <w:sz w:val="16"/>
          <w:szCs w:val="16"/>
          <w:lang w:val="en-AU" w:eastAsia="en-AU"/>
        </w:rPr>
        <w:t>specifie</w:t>
      </w:r>
      <w:r>
        <w:rPr>
          <w:rFonts w:cs="Arial"/>
          <w:sz w:val="16"/>
          <w:szCs w:val="16"/>
          <w:lang w:val="en-AU" w:eastAsia="en-AU"/>
        </w:rPr>
        <w:t xml:space="preserve">d sequential testing strategy.  </w:t>
      </w:r>
      <w:r w:rsidRPr="00BB78F8">
        <w:rPr>
          <w:rFonts w:cs="Arial"/>
          <w:sz w:val="16"/>
          <w:szCs w:val="16"/>
          <w:lang w:val="en-AU" w:eastAsia="en-AU"/>
        </w:rPr>
        <w:t>Subject incidence of any fracture thro</w:t>
      </w:r>
      <w:r>
        <w:rPr>
          <w:rFonts w:cs="Arial"/>
          <w:sz w:val="16"/>
          <w:szCs w:val="16"/>
          <w:lang w:val="en-AU" w:eastAsia="en-AU"/>
        </w:rPr>
        <w:t>ugh month 36 did not reach sign</w:t>
      </w:r>
      <w:r w:rsidRPr="00BB78F8">
        <w:rPr>
          <w:rFonts w:cs="Arial"/>
          <w:sz w:val="16"/>
          <w:szCs w:val="16"/>
          <w:lang w:val="en-AU" w:eastAsia="en-AU"/>
        </w:rPr>
        <w:t>ificance; therefore no further testing was performed for time to first clin</w:t>
      </w:r>
      <w:r>
        <w:rPr>
          <w:rFonts w:cs="Arial"/>
          <w:sz w:val="16"/>
          <w:szCs w:val="16"/>
          <w:lang w:val="en-AU" w:eastAsia="en-AU"/>
        </w:rPr>
        <w:t xml:space="preserve">ical fracture through month 36 </w:t>
      </w:r>
      <w:r w:rsidRPr="00BB78F8">
        <w:rPr>
          <w:rFonts w:cs="Arial"/>
          <w:sz w:val="16"/>
          <w:szCs w:val="16"/>
          <w:lang w:val="en-AU" w:eastAsia="en-AU"/>
        </w:rPr>
        <w:t>and subject incidence of any fracture through month 24.</w:t>
      </w:r>
    </w:p>
    <w:p w:rsidR="00A76E51" w:rsidRDefault="00A76E51" w:rsidP="00A76E51">
      <w:proofErr w:type="gramStart"/>
      <w:r w:rsidRPr="006B1651">
        <w:rPr>
          <w:rFonts w:cs="Arial"/>
          <w:sz w:val="16"/>
          <w:szCs w:val="16"/>
          <w:vertAlign w:val="superscript"/>
          <w:lang w:val="en-AU" w:eastAsia="en-AU"/>
        </w:rPr>
        <w:t>e</w:t>
      </w:r>
      <w:proofErr w:type="gramEnd"/>
      <w:r>
        <w:rPr>
          <w:rFonts w:cs="Arial"/>
          <w:sz w:val="16"/>
          <w:szCs w:val="16"/>
          <w:vertAlign w:val="superscript"/>
          <w:lang w:val="en-AU" w:eastAsia="en-AU"/>
        </w:rPr>
        <w:tab/>
      </w:r>
      <w:r w:rsidRPr="006B1651">
        <w:rPr>
          <w:rFonts w:cs="Arial"/>
          <w:sz w:val="16"/>
          <w:szCs w:val="16"/>
          <w:lang w:val="en-AU" w:eastAsia="en-AU"/>
        </w:rPr>
        <w:t xml:space="preserve">Only subjects with a non-missing baseline and </w:t>
      </w:r>
      <w:r w:rsidRPr="006B1651">
        <w:rPr>
          <w:rFonts w:eastAsia="SymbolMT" w:cs="Arial"/>
          <w:sz w:val="16"/>
          <w:szCs w:val="16"/>
          <w:lang w:val="en-AU" w:eastAsia="en-AU"/>
        </w:rPr>
        <w:t>≥</w:t>
      </w:r>
      <w:r w:rsidRPr="006B1651">
        <w:rPr>
          <w:rFonts w:cs="Arial"/>
          <w:sz w:val="16"/>
          <w:szCs w:val="16"/>
          <w:lang w:val="en-AU" w:eastAsia="en-AU"/>
        </w:rPr>
        <w:t>1 post baseline assessment were included.</w:t>
      </w:r>
    </w:p>
    <w:p w:rsidR="00A76E51" w:rsidRDefault="00A76E51"/>
    <w:p w:rsidR="00A76E51" w:rsidRPr="005802D1" w:rsidRDefault="00A76E51" w:rsidP="00A76E51">
      <w:pPr>
        <w:pStyle w:val="Text"/>
        <w:tabs>
          <w:tab w:val="left" w:pos="567"/>
        </w:tabs>
        <w:spacing w:before="0" w:after="0"/>
        <w:rPr>
          <w:rFonts w:ascii="Arial" w:hAnsi="Arial" w:cs="Arial"/>
          <w:noProof/>
          <w:color w:val="000000"/>
          <w:sz w:val="22"/>
          <w:szCs w:val="22"/>
          <w:lang w:val="en-GB"/>
        </w:rPr>
      </w:pPr>
      <w:proofErr w:type="spellStart"/>
      <w:r w:rsidRPr="005802D1">
        <w:rPr>
          <w:rFonts w:ascii="Arial" w:hAnsi="Arial" w:cs="Arial"/>
          <w:sz w:val="22"/>
          <w:szCs w:val="22"/>
        </w:rPr>
        <w:t>Prolia</w:t>
      </w:r>
      <w:proofErr w:type="spellEnd"/>
      <w:r w:rsidRPr="005802D1">
        <w:rPr>
          <w:rFonts w:ascii="Arial" w:hAnsi="Arial" w:cs="Arial"/>
          <w:sz w:val="22"/>
          <w:szCs w:val="22"/>
          <w:vertAlign w:val="superscript"/>
        </w:rPr>
        <w:t>®</w:t>
      </w:r>
      <w:r w:rsidRPr="005802D1">
        <w:rPr>
          <w:rFonts w:ascii="Arial" w:hAnsi="Arial" w:cs="Arial"/>
          <w:b/>
          <w:noProof/>
          <w:sz w:val="22"/>
          <w:szCs w:val="22"/>
        </w:rPr>
        <w:t xml:space="preserve"> </w:t>
      </w:r>
      <w:r w:rsidRPr="005802D1">
        <w:rPr>
          <w:rFonts w:ascii="Arial" w:hAnsi="Arial" w:cs="Arial"/>
          <w:noProof/>
          <w:color w:val="000000"/>
          <w:sz w:val="22"/>
          <w:szCs w:val="22"/>
          <w:lang w:val="en-GB"/>
        </w:rPr>
        <w:t xml:space="preserve">significantly increased BMD at all clinical sites measured, relative to treatment with placebo at 3 years: 7.9% at the lumbar spine, 5.7% at the total hip, 4.9% at the femoral neck, 6.9% at the hip trochanter, 6.9% at the distal 1/3 radius and 4.7% at the total body (all p &lt; 0.0001).  Significant increases in BMD were observed at the lumbar spine, total hip, femoral neck and the hip trochanter as early as 1 month after the initial dose.  Consistent effects on BMD were observed at the lumbar </w:t>
      </w:r>
      <w:r w:rsidRPr="005802D1">
        <w:rPr>
          <w:rFonts w:ascii="Arial" w:hAnsi="Arial" w:cs="Arial"/>
          <w:noProof/>
          <w:color w:val="000000"/>
          <w:sz w:val="22"/>
          <w:szCs w:val="22"/>
          <w:lang w:val="en-GB"/>
        </w:rPr>
        <w:lastRenderedPageBreak/>
        <w:t xml:space="preserve">spine across subgroups of men regardless of baseline age, race, geographical region, weight/BMI, </w:t>
      </w:r>
      <w:r>
        <w:rPr>
          <w:rFonts w:ascii="Arial" w:hAnsi="Arial" w:cs="Arial"/>
          <w:noProof/>
          <w:color w:val="000000"/>
          <w:sz w:val="22"/>
          <w:szCs w:val="22"/>
          <w:lang w:val="en-GB"/>
        </w:rPr>
        <w:t xml:space="preserve">lumbar spine </w:t>
      </w:r>
      <w:r w:rsidRPr="005802D1">
        <w:rPr>
          <w:rFonts w:ascii="Arial" w:hAnsi="Arial" w:cs="Arial"/>
          <w:noProof/>
          <w:color w:val="000000"/>
          <w:sz w:val="22"/>
          <w:szCs w:val="22"/>
          <w:lang w:val="en-GB"/>
        </w:rPr>
        <w:t>BMD</w:t>
      </w:r>
      <w:r>
        <w:rPr>
          <w:rFonts w:ascii="Arial" w:hAnsi="Arial" w:cs="Arial"/>
          <w:noProof/>
          <w:color w:val="000000"/>
          <w:sz w:val="22"/>
          <w:szCs w:val="22"/>
          <w:lang w:val="en-GB"/>
        </w:rPr>
        <w:t xml:space="preserve"> T-score</w:t>
      </w:r>
      <w:r w:rsidRPr="005802D1">
        <w:rPr>
          <w:rFonts w:ascii="Arial" w:hAnsi="Arial" w:cs="Arial"/>
          <w:noProof/>
          <w:color w:val="000000"/>
          <w:sz w:val="22"/>
          <w:szCs w:val="22"/>
          <w:lang w:val="en-GB"/>
        </w:rPr>
        <w:t>, bone turnover level; duration of androgen deprivation and presence of vertebral fracture at baseline.</w:t>
      </w:r>
    </w:p>
    <w:p w:rsidR="00A76E51" w:rsidRPr="005802D1" w:rsidRDefault="00A76E51" w:rsidP="00A76E51">
      <w:pPr>
        <w:pStyle w:val="Text"/>
        <w:tabs>
          <w:tab w:val="left" w:pos="567"/>
        </w:tabs>
        <w:spacing w:before="0" w:after="0"/>
        <w:rPr>
          <w:rFonts w:ascii="Arial" w:hAnsi="Arial" w:cs="Arial"/>
          <w:noProof/>
          <w:color w:val="000000"/>
          <w:sz w:val="22"/>
          <w:szCs w:val="22"/>
          <w:lang w:val="en-GB"/>
        </w:rPr>
      </w:pPr>
    </w:p>
    <w:p w:rsidR="00A76E51" w:rsidRDefault="00A76E51" w:rsidP="00A76E51">
      <w:proofErr w:type="spellStart"/>
      <w:r w:rsidRPr="005802D1">
        <w:rPr>
          <w:rFonts w:cs="Arial"/>
          <w:szCs w:val="22"/>
        </w:rPr>
        <w:t>Prolia</w:t>
      </w:r>
      <w:proofErr w:type="spellEnd"/>
      <w:r w:rsidRPr="005802D1">
        <w:rPr>
          <w:rFonts w:cs="Arial"/>
          <w:szCs w:val="22"/>
          <w:vertAlign w:val="superscript"/>
        </w:rPr>
        <w:t>®</w:t>
      </w:r>
      <w:r w:rsidRPr="005802D1">
        <w:rPr>
          <w:rFonts w:cs="Arial"/>
          <w:noProof/>
          <w:szCs w:val="22"/>
        </w:rPr>
        <w:t xml:space="preserve"> demonstrated a significant relative risk reduction of new vertebral fractures as early as 1 year: 85% (1.6% absolute risk reduction) at 1 year, 69% (2.2% absolute risk reduction) at 2 years and 62% (2.4% absolute risk reduction) at 3 years (all p &lt; 0.01).</w:t>
      </w:r>
    </w:p>
    <w:p w:rsidR="00A76E51" w:rsidRDefault="00A76E51" w:rsidP="00A76E51"/>
    <w:p w:rsidR="00A76E51" w:rsidRPr="00FC08C0" w:rsidRDefault="00A76E51" w:rsidP="00A76E51">
      <w:pPr>
        <w:pStyle w:val="Heading1"/>
        <w:keepNext w:val="0"/>
        <w:spacing w:after="0"/>
        <w:rPr>
          <w:lang w:val="en-AU"/>
        </w:rPr>
      </w:pPr>
      <w:r w:rsidRPr="00FC08C0">
        <w:rPr>
          <w:lang w:val="en-AU"/>
        </w:rPr>
        <w:t>INDICATIONS</w:t>
      </w:r>
    </w:p>
    <w:p w:rsidR="00A76E51" w:rsidRPr="00FC08C0" w:rsidRDefault="00A76E51" w:rsidP="00A76E51">
      <w:pPr>
        <w:rPr>
          <w:lang w:val="en-AU"/>
        </w:rPr>
      </w:pPr>
    </w:p>
    <w:p w:rsidR="00A76E51" w:rsidRPr="00FC08C0" w:rsidRDefault="00A76E51" w:rsidP="00A76E51">
      <w:pPr>
        <w:pStyle w:val="Heading1"/>
        <w:keepNext w:val="0"/>
        <w:spacing w:before="0" w:after="0"/>
        <w:rPr>
          <w:b w:val="0"/>
          <w:color w:val="000000"/>
          <w:szCs w:val="22"/>
        </w:rPr>
      </w:pPr>
      <w:r w:rsidRPr="00FC08C0">
        <w:rPr>
          <w:b w:val="0"/>
          <w:color w:val="000000"/>
          <w:szCs w:val="22"/>
        </w:rPr>
        <w:t xml:space="preserve">The treatment of osteoporosis in postmenopausal women.  </w:t>
      </w:r>
      <w:proofErr w:type="spellStart"/>
      <w:r w:rsidRPr="00FC08C0">
        <w:rPr>
          <w:b w:val="0"/>
        </w:rPr>
        <w:t>Prolia</w:t>
      </w:r>
      <w:proofErr w:type="spellEnd"/>
      <w:r w:rsidRPr="00FC08C0">
        <w:rPr>
          <w:b w:val="0"/>
          <w:vertAlign w:val="superscript"/>
        </w:rPr>
        <w:t>®</w:t>
      </w:r>
      <w:r w:rsidRPr="00FC08C0">
        <w:rPr>
          <w:b w:val="0"/>
          <w:color w:val="000000"/>
          <w:szCs w:val="22"/>
        </w:rPr>
        <w:t xml:space="preserve"> significantly reduces the risk of vertebral, non-vertebral and hip fractures.</w:t>
      </w:r>
    </w:p>
    <w:p w:rsidR="00A76E51" w:rsidRDefault="00A76E51" w:rsidP="00A76E51"/>
    <w:p w:rsidR="00A76E51" w:rsidRPr="007309F6" w:rsidRDefault="00A76E51" w:rsidP="00A76E51">
      <w:pPr>
        <w:rPr>
          <w:noProof/>
          <w:szCs w:val="22"/>
          <w:highlight w:val="yellow"/>
        </w:rPr>
      </w:pPr>
      <w:r>
        <w:t xml:space="preserve">Treatment to increase bone mass in men with </w:t>
      </w:r>
      <w:proofErr w:type="spellStart"/>
      <w:r>
        <w:t>osteopaenia</w:t>
      </w:r>
      <w:proofErr w:type="spellEnd"/>
      <w:r>
        <w:t xml:space="preserve"> receiving androgen deprivation therapy for non-metastatic prostate cancer (see </w:t>
      </w:r>
      <w:r w:rsidRPr="009F3143">
        <w:rPr>
          <w:b/>
        </w:rPr>
        <w:t>Clinical Trials</w:t>
      </w:r>
      <w:r>
        <w:t>).</w:t>
      </w:r>
    </w:p>
    <w:p w:rsidR="00A76E51" w:rsidRDefault="00A76E51" w:rsidP="00A76E51">
      <w:pPr>
        <w:rPr>
          <w:noProof/>
          <w:szCs w:val="22"/>
          <w:highlight w:val="yellow"/>
        </w:rPr>
      </w:pPr>
    </w:p>
    <w:p w:rsidR="00A76E51" w:rsidRDefault="00A76E51" w:rsidP="00A76E51">
      <w:r w:rsidRPr="0006750D">
        <w:rPr>
          <w:noProof/>
          <w:color w:val="000000"/>
          <w:szCs w:val="22"/>
        </w:rPr>
        <w:t>Treatment to increase bone mass in men with osteoporosis at increased risk of fracture.</w:t>
      </w:r>
      <w:r w:rsidRPr="0006750D">
        <w:rPr>
          <w:noProof/>
          <w:color w:val="000000"/>
          <w:szCs w:val="22"/>
          <w:vertAlign w:val="superscript"/>
        </w:rPr>
        <w:t>#</w:t>
      </w:r>
    </w:p>
    <w:p w:rsidR="00A76E51" w:rsidRDefault="00A76E51" w:rsidP="00A76E51"/>
    <w:p w:rsidR="00A76E51" w:rsidRPr="00FC08C0" w:rsidRDefault="00A76E51" w:rsidP="00A76E51">
      <w:pPr>
        <w:pStyle w:val="Heading1"/>
        <w:keepNext w:val="0"/>
        <w:spacing w:after="0"/>
        <w:rPr>
          <w:lang w:val="en-AU"/>
        </w:rPr>
      </w:pPr>
      <w:r w:rsidRPr="008B1E2A">
        <w:t>CONTRA</w:t>
      </w:r>
      <w:r w:rsidRPr="00FC08C0">
        <w:rPr>
          <w:lang w:val="en-AU"/>
        </w:rPr>
        <w:t>INDICATIONS</w:t>
      </w:r>
    </w:p>
    <w:p w:rsidR="00A76E51" w:rsidRPr="00FC08C0" w:rsidRDefault="00A76E51" w:rsidP="00A76E51">
      <w:pPr>
        <w:rPr>
          <w:lang w:val="en-AU"/>
        </w:rPr>
      </w:pPr>
    </w:p>
    <w:p w:rsidR="00A76E51" w:rsidRPr="00FC08C0" w:rsidRDefault="00A76E51" w:rsidP="00A76E51">
      <w:pPr>
        <w:rPr>
          <w:szCs w:val="22"/>
        </w:rPr>
      </w:pPr>
      <w:r w:rsidRPr="00FC08C0">
        <w:rPr>
          <w:szCs w:val="22"/>
        </w:rPr>
        <w:t xml:space="preserve">Hypocalcaemia (See </w:t>
      </w:r>
      <w:r w:rsidRPr="00FC08C0">
        <w:rPr>
          <w:b/>
          <w:szCs w:val="22"/>
        </w:rPr>
        <w:t>PRECAUTIONS</w:t>
      </w:r>
      <w:r w:rsidRPr="00FC08C0">
        <w:rPr>
          <w:szCs w:val="22"/>
        </w:rPr>
        <w:t>).</w:t>
      </w:r>
    </w:p>
    <w:p w:rsidR="00A76E51" w:rsidRPr="00FC08C0" w:rsidRDefault="00A76E51" w:rsidP="00A76E51">
      <w:pPr>
        <w:rPr>
          <w:szCs w:val="22"/>
        </w:rPr>
      </w:pPr>
    </w:p>
    <w:p w:rsidR="00A76E51" w:rsidRPr="00FC08C0" w:rsidRDefault="00A76E51" w:rsidP="00A76E51">
      <w:pPr>
        <w:rPr>
          <w:rFonts w:cs="Arial"/>
          <w:color w:val="000000"/>
          <w:szCs w:val="22"/>
        </w:rPr>
      </w:pPr>
      <w:r w:rsidRPr="00FC08C0">
        <w:rPr>
          <w:rFonts w:cs="Arial"/>
          <w:color w:val="000000"/>
          <w:szCs w:val="22"/>
        </w:rPr>
        <w:t xml:space="preserve">Hypersensitivity to the active substance, to CHO-derived proteins or to any of the excipients (see </w:t>
      </w:r>
      <w:r w:rsidRPr="00FC08C0">
        <w:rPr>
          <w:rFonts w:cs="Arial"/>
          <w:b/>
          <w:color w:val="000000"/>
          <w:szCs w:val="22"/>
        </w:rPr>
        <w:t>DESCRIPTION</w:t>
      </w:r>
      <w:r w:rsidRPr="00FC08C0">
        <w:rPr>
          <w:rFonts w:cs="Arial"/>
          <w:color w:val="000000"/>
          <w:szCs w:val="22"/>
        </w:rPr>
        <w:t>).</w:t>
      </w:r>
    </w:p>
    <w:p w:rsidR="00A76E51" w:rsidRDefault="00A76E51" w:rsidP="00A76E51"/>
    <w:p w:rsidR="00A76E51" w:rsidRPr="00FC08C0" w:rsidRDefault="00A76E51" w:rsidP="00A76E51">
      <w:pPr>
        <w:pStyle w:val="Heading1"/>
        <w:keepNext w:val="0"/>
        <w:spacing w:after="0"/>
        <w:rPr>
          <w:lang w:val="en-AU"/>
        </w:rPr>
      </w:pPr>
      <w:r w:rsidRPr="00FC08C0">
        <w:rPr>
          <w:lang w:val="en-AU"/>
        </w:rPr>
        <w:t>PRECAUTIONS</w:t>
      </w:r>
    </w:p>
    <w:p w:rsidR="00A76E51" w:rsidRPr="00FC08C0" w:rsidRDefault="00A76E51" w:rsidP="00A76E51">
      <w:pPr>
        <w:rPr>
          <w:lang w:val="en-AU"/>
        </w:rPr>
      </w:pPr>
    </w:p>
    <w:p w:rsidR="00A76E51" w:rsidRPr="00FC08C0" w:rsidRDefault="00A76E51" w:rsidP="00A76E51">
      <w:pPr>
        <w:autoSpaceDE w:val="0"/>
        <w:autoSpaceDN w:val="0"/>
        <w:adjustRightInd w:val="0"/>
        <w:rPr>
          <w:rFonts w:cs="Arial"/>
          <w:b/>
          <w:szCs w:val="22"/>
        </w:rPr>
      </w:pPr>
      <w:r w:rsidRPr="00FC08C0">
        <w:rPr>
          <w:rFonts w:cs="Arial"/>
          <w:b/>
          <w:szCs w:val="22"/>
        </w:rPr>
        <w:t>Hypocalcaemia</w:t>
      </w:r>
      <w:r w:rsidRPr="000D01E4">
        <w:rPr>
          <w:rFonts w:cs="Arial"/>
          <w:szCs w:val="22"/>
          <w:vertAlign w:val="superscript"/>
        </w:rPr>
        <w:t>#</w:t>
      </w:r>
    </w:p>
    <w:p w:rsidR="00A76E51" w:rsidRDefault="00A76E51" w:rsidP="00A76E51">
      <w:pPr>
        <w:autoSpaceDE w:val="0"/>
        <w:autoSpaceDN w:val="0"/>
        <w:adjustRightInd w:val="0"/>
        <w:rPr>
          <w:rFonts w:cs="Arial"/>
          <w:szCs w:val="22"/>
        </w:rPr>
      </w:pPr>
      <w:r w:rsidRPr="00FC08C0">
        <w:rPr>
          <w:rFonts w:cs="Arial"/>
          <w:szCs w:val="22"/>
        </w:rPr>
        <w:t>Hypocalcaemia must be corrected prior to initiating therapy with</w:t>
      </w:r>
      <w:r w:rsidRPr="008B1E2A">
        <w:t xml:space="preserve"> </w:t>
      </w:r>
      <w:proofErr w:type="spellStart"/>
      <w:r>
        <w:t>Prolia</w:t>
      </w:r>
      <w:proofErr w:type="spellEnd"/>
      <w:r w:rsidRPr="00FC08C0">
        <w:rPr>
          <w:rFonts w:cs="Arial"/>
          <w:vertAlign w:val="superscript"/>
        </w:rPr>
        <w:t>®</w:t>
      </w:r>
      <w:r w:rsidRPr="00FC08C0">
        <w:rPr>
          <w:rFonts w:cs="Arial"/>
          <w:szCs w:val="22"/>
        </w:rPr>
        <w:t xml:space="preserve">.  In patients predisposed to hypocalcaemia (e.g. history of </w:t>
      </w:r>
      <w:proofErr w:type="spellStart"/>
      <w:r w:rsidRPr="00FC08C0">
        <w:rPr>
          <w:rFonts w:cs="Arial"/>
          <w:szCs w:val="22"/>
        </w:rPr>
        <w:t>hypoparathyroidism</w:t>
      </w:r>
      <w:proofErr w:type="spellEnd"/>
      <w:r w:rsidRPr="00FC08C0">
        <w:rPr>
          <w:rFonts w:cs="Arial"/>
          <w:szCs w:val="22"/>
        </w:rPr>
        <w:t xml:space="preserve">, thyroid surgery, parathyroid surgery, </w:t>
      </w:r>
      <w:proofErr w:type="spellStart"/>
      <w:r w:rsidRPr="00FC08C0">
        <w:rPr>
          <w:rFonts w:cs="Arial"/>
          <w:szCs w:val="22"/>
        </w:rPr>
        <w:t>malabsorption</w:t>
      </w:r>
      <w:proofErr w:type="spellEnd"/>
      <w:r w:rsidRPr="00FC08C0">
        <w:rPr>
          <w:rFonts w:cs="Arial"/>
          <w:szCs w:val="22"/>
        </w:rPr>
        <w:t xml:space="preserve"> syndromes, excision of small intestine, severe renal impairment [creatinine clearance &lt;</w:t>
      </w:r>
      <w:r w:rsidRPr="00967DD2">
        <w:rPr>
          <w:noProof/>
        </w:rPr>
        <w:t> </w:t>
      </w:r>
      <w:r w:rsidRPr="00FC08C0">
        <w:rPr>
          <w:rFonts w:cs="Arial"/>
          <w:szCs w:val="22"/>
        </w:rPr>
        <w:t>30</w:t>
      </w:r>
      <w:r w:rsidRPr="00967DD2">
        <w:rPr>
          <w:noProof/>
        </w:rPr>
        <w:t> </w:t>
      </w:r>
      <w:r w:rsidRPr="00FC08C0">
        <w:rPr>
          <w:rFonts w:cs="Arial"/>
          <w:szCs w:val="22"/>
        </w:rPr>
        <w:t>mL/min] or receiving dialysis), clinical monitoring of calcium levels is recommended.</w:t>
      </w:r>
    </w:p>
    <w:p w:rsidR="00A76E51" w:rsidRDefault="00A76E51" w:rsidP="00A76E51">
      <w:pPr>
        <w:autoSpaceDE w:val="0"/>
        <w:autoSpaceDN w:val="0"/>
        <w:adjustRightInd w:val="0"/>
        <w:rPr>
          <w:rFonts w:cs="Arial"/>
          <w:szCs w:val="22"/>
        </w:rPr>
      </w:pPr>
    </w:p>
    <w:p w:rsidR="00A76E51" w:rsidRPr="00824BB3" w:rsidRDefault="00A76E51" w:rsidP="00A76E51">
      <w:pPr>
        <w:autoSpaceDE w:val="0"/>
        <w:autoSpaceDN w:val="0"/>
        <w:adjustRightInd w:val="0"/>
        <w:rPr>
          <w:rFonts w:cs="Arial"/>
          <w:szCs w:val="22"/>
        </w:rPr>
      </w:pPr>
      <w:r w:rsidRPr="00824BB3">
        <w:rPr>
          <w:rFonts w:cs="Arial"/>
          <w:szCs w:val="22"/>
        </w:rPr>
        <w:t xml:space="preserve">Hypocalcaemia following </w:t>
      </w:r>
      <w:proofErr w:type="spellStart"/>
      <w:r w:rsidRPr="00824BB3">
        <w:rPr>
          <w:rFonts w:cs="Arial"/>
          <w:szCs w:val="22"/>
        </w:rPr>
        <w:t>Prolia</w:t>
      </w:r>
      <w:proofErr w:type="spellEnd"/>
      <w:r w:rsidRPr="00824BB3">
        <w:rPr>
          <w:rFonts w:cs="Arial"/>
          <w:szCs w:val="22"/>
        </w:rPr>
        <w:t xml:space="preserve"> administration is a significant risk in patients with severe renal impairment [creatinine clearance &lt; 30 mL/min] or receiving dialysis. Instruct all patients with severe renal impairment, including those receiving dialysis, about the symptoms of </w:t>
      </w:r>
      <w:proofErr w:type="spellStart"/>
      <w:r w:rsidRPr="00824BB3">
        <w:rPr>
          <w:rFonts w:cs="Arial"/>
          <w:szCs w:val="22"/>
        </w:rPr>
        <w:t>hypocalcemia</w:t>
      </w:r>
      <w:proofErr w:type="spellEnd"/>
      <w:r w:rsidRPr="00824BB3">
        <w:rPr>
          <w:rFonts w:cs="Arial"/>
          <w:szCs w:val="22"/>
        </w:rPr>
        <w:t xml:space="preserve"> and the importance of maintaining calcium levels with adequate calcium and vitamin D supplementation.</w:t>
      </w:r>
    </w:p>
    <w:p w:rsidR="00A76E51" w:rsidRPr="008B1E2A" w:rsidRDefault="00A76E51" w:rsidP="00A76E51"/>
    <w:p w:rsidR="00A76E51" w:rsidRDefault="00A76E51" w:rsidP="00A76E51">
      <w:r w:rsidRPr="00FC08C0">
        <w:rPr>
          <w:rFonts w:cs="Arial"/>
          <w:szCs w:val="22"/>
        </w:rPr>
        <w:t>Adequate intake of calcium and vitamin D is important in all patients (</w:t>
      </w:r>
      <w:r w:rsidRPr="00FC08C0">
        <w:rPr>
          <w:rFonts w:cs="Arial"/>
          <w:iCs/>
          <w:szCs w:val="22"/>
        </w:rPr>
        <w:t xml:space="preserve">see </w:t>
      </w:r>
      <w:r w:rsidRPr="00FC08C0">
        <w:rPr>
          <w:rFonts w:cs="Arial"/>
          <w:b/>
          <w:iCs/>
          <w:szCs w:val="22"/>
        </w:rPr>
        <w:t>DOSAGE AND ADMINISTRATION</w:t>
      </w:r>
      <w:r w:rsidRPr="00FC08C0">
        <w:rPr>
          <w:rFonts w:cs="Arial"/>
          <w:iCs/>
          <w:szCs w:val="22"/>
        </w:rPr>
        <w:t xml:space="preserve"> and </w:t>
      </w:r>
      <w:r w:rsidRPr="00FC08C0">
        <w:rPr>
          <w:rFonts w:cs="Arial"/>
          <w:b/>
          <w:iCs/>
          <w:szCs w:val="22"/>
        </w:rPr>
        <w:t>ADVERSE EFFECTS</w:t>
      </w:r>
      <w:r w:rsidRPr="00FC08C0">
        <w:rPr>
          <w:rFonts w:cs="Arial"/>
          <w:szCs w:val="22"/>
        </w:rPr>
        <w:t>).</w:t>
      </w:r>
    </w:p>
    <w:p w:rsidR="00A76E51" w:rsidRDefault="00A76E51"/>
    <w:p w:rsidR="00A76E51" w:rsidRPr="00FC08C0" w:rsidRDefault="00A76E51" w:rsidP="00A76E51">
      <w:pPr>
        <w:autoSpaceDE w:val="0"/>
        <w:autoSpaceDN w:val="0"/>
        <w:adjustRightInd w:val="0"/>
        <w:spacing w:before="240" w:after="60"/>
        <w:rPr>
          <w:rFonts w:cs="Arial"/>
          <w:b/>
          <w:szCs w:val="22"/>
        </w:rPr>
      </w:pPr>
      <w:r w:rsidRPr="00FC08C0">
        <w:rPr>
          <w:rFonts w:cs="Arial"/>
          <w:b/>
          <w:szCs w:val="22"/>
        </w:rPr>
        <w:t>Skin Infections</w:t>
      </w:r>
    </w:p>
    <w:p w:rsidR="00A76E51" w:rsidRDefault="00A76E51" w:rsidP="00A76E51">
      <w:r w:rsidRPr="008B1E2A">
        <w:rPr>
          <w:noProof/>
        </w:rPr>
        <w:t xml:space="preserve">Patients receiving </w:t>
      </w:r>
      <w:proofErr w:type="spellStart"/>
      <w:r>
        <w:t>Prolia</w:t>
      </w:r>
      <w:proofErr w:type="spellEnd"/>
      <w:r w:rsidRPr="00FC08C0">
        <w:rPr>
          <w:rFonts w:cs="Arial"/>
          <w:vertAlign w:val="superscript"/>
        </w:rPr>
        <w:t>®</w:t>
      </w:r>
      <w:r w:rsidRPr="00FC08C0">
        <w:rPr>
          <w:noProof/>
          <w:color w:val="000000"/>
        </w:rPr>
        <w:t xml:space="preserve"> </w:t>
      </w:r>
      <w:r w:rsidRPr="008B1E2A">
        <w:rPr>
          <w:noProof/>
        </w:rPr>
        <w:t>may develop skin infections (predo</w:t>
      </w:r>
      <w:smartTag w:uri="urn:schemas-microsoft-com:office:smarttags" w:element="PersonName">
        <w:r w:rsidRPr="008B1E2A">
          <w:rPr>
            <w:noProof/>
          </w:rPr>
          <w:t>mina</w:t>
        </w:r>
      </w:smartTag>
      <w:r w:rsidRPr="008B1E2A">
        <w:rPr>
          <w:noProof/>
        </w:rPr>
        <w:t xml:space="preserve">ntly cellulitis) leading to hospitalisation (see </w:t>
      </w:r>
      <w:r w:rsidRPr="00FC08C0">
        <w:rPr>
          <w:rFonts w:cs="Arial"/>
          <w:b/>
          <w:iCs/>
          <w:szCs w:val="22"/>
        </w:rPr>
        <w:t>ADVERSE EFFECTS</w:t>
      </w:r>
      <w:r w:rsidRPr="008B1E2A">
        <w:rPr>
          <w:noProof/>
        </w:rPr>
        <w:t>).  Patients should be advised to seek prompt medical attention if they develop signs or symptoms of cellulitis.</w:t>
      </w:r>
    </w:p>
    <w:p w:rsidR="00A76E51" w:rsidRPr="00FC08C0" w:rsidRDefault="00A76E51" w:rsidP="00A76E51">
      <w:pPr>
        <w:autoSpaceDE w:val="0"/>
        <w:autoSpaceDN w:val="0"/>
        <w:adjustRightInd w:val="0"/>
        <w:spacing w:before="240" w:after="60"/>
        <w:rPr>
          <w:rFonts w:cs="Arial"/>
          <w:b/>
          <w:szCs w:val="22"/>
        </w:rPr>
      </w:pPr>
      <w:r w:rsidRPr="00FC08C0">
        <w:rPr>
          <w:rFonts w:cs="Arial"/>
          <w:b/>
          <w:szCs w:val="22"/>
        </w:rPr>
        <w:lastRenderedPageBreak/>
        <w:t>Osteonecrosis of the Jaw</w:t>
      </w:r>
    </w:p>
    <w:p w:rsidR="00A76E51" w:rsidRPr="00FC08C0" w:rsidRDefault="00A76E51" w:rsidP="00A76E51">
      <w:pPr>
        <w:ind w:left="1"/>
        <w:rPr>
          <w:rFonts w:cs="Arial"/>
          <w:szCs w:val="22"/>
          <w:lang w:eastAsia="en-AU"/>
        </w:rPr>
      </w:pPr>
      <w:r w:rsidRPr="00FC08C0">
        <w:rPr>
          <w:rFonts w:cs="Arial"/>
          <w:szCs w:val="22"/>
          <w:lang w:eastAsia="en-AU"/>
        </w:rPr>
        <w:t xml:space="preserve">Osteonecrosis of the jaw (ONJ) has been reported in patients treated with </w:t>
      </w:r>
      <w:proofErr w:type="spellStart"/>
      <w:r w:rsidRPr="00FC08C0">
        <w:rPr>
          <w:rFonts w:cs="Arial"/>
          <w:szCs w:val="22"/>
          <w:lang w:eastAsia="en-AU"/>
        </w:rPr>
        <w:t>denosumab</w:t>
      </w:r>
      <w:proofErr w:type="spellEnd"/>
      <w:r w:rsidRPr="00FC08C0">
        <w:rPr>
          <w:rFonts w:cs="Arial"/>
          <w:i/>
          <w:iCs/>
          <w:szCs w:val="22"/>
          <w:lang w:eastAsia="en-AU"/>
        </w:rPr>
        <w:t xml:space="preserve"> </w:t>
      </w:r>
      <w:r w:rsidRPr="00FC08C0">
        <w:rPr>
          <w:rFonts w:cs="Arial"/>
          <w:szCs w:val="22"/>
          <w:lang w:eastAsia="en-AU"/>
        </w:rPr>
        <w:t>or bisphosphonates, another class of anti-</w:t>
      </w:r>
      <w:proofErr w:type="spellStart"/>
      <w:r w:rsidRPr="00FC08C0">
        <w:rPr>
          <w:rFonts w:cs="Arial"/>
          <w:szCs w:val="22"/>
          <w:lang w:eastAsia="en-AU"/>
        </w:rPr>
        <w:t>resorptive</w:t>
      </w:r>
      <w:proofErr w:type="spellEnd"/>
      <w:r w:rsidRPr="00FC08C0">
        <w:rPr>
          <w:rFonts w:cs="Arial"/>
          <w:szCs w:val="22"/>
          <w:lang w:eastAsia="en-AU"/>
        </w:rPr>
        <w:t xml:space="preserve"> agents. </w:t>
      </w:r>
      <w:r w:rsidRPr="00FC08C0">
        <w:rPr>
          <w:rFonts w:cs="Arial"/>
          <w:color w:val="000000"/>
          <w:szCs w:val="22"/>
          <w:lang w:eastAsia="en-AU"/>
        </w:rPr>
        <w:t xml:space="preserve"> </w:t>
      </w:r>
      <w:r w:rsidRPr="00FC08C0">
        <w:rPr>
          <w:rFonts w:cs="Arial"/>
          <w:szCs w:val="22"/>
          <w:lang w:eastAsia="en-AU"/>
        </w:rPr>
        <w:t xml:space="preserve">Most cases have been in cancer patients; however some have occurred in patients with osteoporosis. </w:t>
      </w:r>
    </w:p>
    <w:p w:rsidR="00A76E51" w:rsidRPr="00FC08C0" w:rsidRDefault="00A76E51" w:rsidP="00A76E51">
      <w:pPr>
        <w:ind w:left="1"/>
        <w:rPr>
          <w:rFonts w:cs="Arial"/>
          <w:szCs w:val="22"/>
          <w:lang w:eastAsia="en-AU"/>
        </w:rPr>
      </w:pPr>
    </w:p>
    <w:p w:rsidR="00A76E51" w:rsidRPr="00FC08C0" w:rsidRDefault="00A76E51" w:rsidP="00A76E51">
      <w:pPr>
        <w:ind w:left="1"/>
        <w:rPr>
          <w:rFonts w:cs="Arial"/>
          <w:szCs w:val="22"/>
          <w:lang w:eastAsia="en-AU"/>
        </w:rPr>
      </w:pPr>
      <w:r w:rsidRPr="00FC08C0">
        <w:rPr>
          <w:rFonts w:cs="Arial"/>
          <w:szCs w:val="22"/>
          <w:lang w:eastAsia="en-AU"/>
        </w:rPr>
        <w:t xml:space="preserve">ONJ has been reported rarely in clinical studies in patients receiving </w:t>
      </w:r>
      <w:proofErr w:type="spellStart"/>
      <w:r w:rsidRPr="00FC08C0">
        <w:rPr>
          <w:rFonts w:cs="Arial"/>
          <w:szCs w:val="22"/>
          <w:lang w:eastAsia="en-AU"/>
        </w:rPr>
        <w:t>denosumab</w:t>
      </w:r>
      <w:proofErr w:type="spellEnd"/>
      <w:r w:rsidRPr="00FC08C0">
        <w:rPr>
          <w:rFonts w:cs="Arial"/>
          <w:szCs w:val="22"/>
          <w:lang w:eastAsia="en-AU"/>
        </w:rPr>
        <w:t xml:space="preserve"> at a dose of 60</w:t>
      </w:r>
      <w:r w:rsidRPr="00FC08C0">
        <w:rPr>
          <w:rFonts w:cs="Arial"/>
          <w:szCs w:val="22"/>
        </w:rPr>
        <w:t> </w:t>
      </w:r>
      <w:r w:rsidRPr="00FC08C0">
        <w:rPr>
          <w:rFonts w:cs="Arial"/>
          <w:szCs w:val="22"/>
          <w:lang w:eastAsia="en-AU"/>
        </w:rPr>
        <w:t>mg every 6</w:t>
      </w:r>
      <w:r w:rsidRPr="00FC08C0">
        <w:rPr>
          <w:rFonts w:cs="Arial"/>
          <w:szCs w:val="22"/>
        </w:rPr>
        <w:t> </w:t>
      </w:r>
      <w:r w:rsidRPr="00FC08C0">
        <w:rPr>
          <w:rFonts w:cs="Arial"/>
          <w:szCs w:val="22"/>
          <w:lang w:eastAsia="en-AU"/>
        </w:rPr>
        <w:t xml:space="preserve">months for osteoporosis. </w:t>
      </w:r>
      <w:r>
        <w:rPr>
          <w:rFonts w:cs="Arial"/>
          <w:szCs w:val="22"/>
          <w:lang w:eastAsia="en-AU"/>
        </w:rPr>
        <w:t xml:space="preserve"> </w:t>
      </w:r>
      <w:r w:rsidRPr="00FC08C0">
        <w:rPr>
          <w:rFonts w:cs="Arial"/>
          <w:szCs w:val="22"/>
          <w:lang w:eastAsia="en-AU"/>
        </w:rPr>
        <w:t xml:space="preserve">There have been reports of ONJ in clinical studies in patients with advanced cancer treated with </w:t>
      </w:r>
      <w:proofErr w:type="spellStart"/>
      <w:r w:rsidRPr="00FC08C0">
        <w:rPr>
          <w:rFonts w:cs="Arial"/>
          <w:szCs w:val="22"/>
          <w:lang w:eastAsia="en-AU"/>
        </w:rPr>
        <w:t>denosumab</w:t>
      </w:r>
      <w:proofErr w:type="spellEnd"/>
      <w:r w:rsidRPr="00FC08C0">
        <w:rPr>
          <w:rFonts w:cs="Arial"/>
          <w:szCs w:val="22"/>
          <w:lang w:eastAsia="en-AU"/>
        </w:rPr>
        <w:t xml:space="preserve"> at the studied dose of 120 mg administered monthly.</w:t>
      </w:r>
    </w:p>
    <w:p w:rsidR="00A76E51" w:rsidRPr="00FC08C0" w:rsidRDefault="00A76E51" w:rsidP="00A76E51">
      <w:pPr>
        <w:rPr>
          <w:rFonts w:cs="Arial"/>
          <w:szCs w:val="22"/>
          <w:lang w:val="en-AU" w:eastAsia="en-AU"/>
        </w:rPr>
      </w:pPr>
    </w:p>
    <w:p w:rsidR="00A76E51" w:rsidRPr="00FC08C0" w:rsidRDefault="00A76E51" w:rsidP="00A76E51">
      <w:pPr>
        <w:rPr>
          <w:rFonts w:cs="Arial"/>
          <w:szCs w:val="22"/>
          <w:lang w:val="en-AU" w:eastAsia="en-AU"/>
        </w:rPr>
      </w:pPr>
      <w:r w:rsidRPr="00FC08C0">
        <w:rPr>
          <w:rFonts w:cs="Arial"/>
          <w:szCs w:val="22"/>
          <w:lang w:val="en-AU" w:eastAsia="en-AU"/>
        </w:rPr>
        <w:t xml:space="preserve">Known risk factors for ONJ include a diagnosis of cancer with bone lesions, concomitant therapies (e.g. chemotherapy, </w:t>
      </w:r>
      <w:proofErr w:type="spellStart"/>
      <w:r w:rsidRPr="00FC08C0">
        <w:rPr>
          <w:rFonts w:cs="Arial"/>
          <w:color w:val="000000"/>
          <w:szCs w:val="22"/>
          <w:lang w:val="en-AU" w:eastAsia="en-AU"/>
        </w:rPr>
        <w:t>antiangiogenic</w:t>
      </w:r>
      <w:proofErr w:type="spellEnd"/>
      <w:r w:rsidRPr="00FC08C0">
        <w:rPr>
          <w:rFonts w:cs="Arial"/>
          <w:color w:val="000000"/>
          <w:szCs w:val="22"/>
          <w:lang w:val="en-AU" w:eastAsia="en-AU"/>
        </w:rPr>
        <w:t xml:space="preserve"> biologics,</w:t>
      </w:r>
      <w:r w:rsidRPr="00FC08C0">
        <w:rPr>
          <w:rFonts w:cs="Arial"/>
          <w:szCs w:val="22"/>
          <w:lang w:val="en-AU" w:eastAsia="en-AU"/>
        </w:rPr>
        <w:t xml:space="preserve"> corticosteroids, radiotherapy to head and neck), poor oral hygiene, dental extractions, and co-morbid disorders (e.g. pre-existing dental disease, anaemia,</w:t>
      </w:r>
      <w:r w:rsidRPr="00FC08C0">
        <w:rPr>
          <w:rFonts w:cs="Arial"/>
          <w:color w:val="000000"/>
          <w:szCs w:val="22"/>
          <w:lang w:val="en-AU" w:eastAsia="en-AU"/>
        </w:rPr>
        <w:t xml:space="preserve"> co</w:t>
      </w:r>
      <w:r w:rsidRPr="00FC08C0">
        <w:rPr>
          <w:rFonts w:cs="Arial"/>
          <w:szCs w:val="22"/>
          <w:lang w:val="en-AU" w:eastAsia="en-AU"/>
        </w:rPr>
        <w:t>agulopathy, infection).</w:t>
      </w:r>
    </w:p>
    <w:p w:rsidR="00A76E51" w:rsidRPr="00FC08C0" w:rsidRDefault="00A76E51" w:rsidP="00A76E51">
      <w:pPr>
        <w:autoSpaceDE w:val="0"/>
        <w:autoSpaceDN w:val="0"/>
        <w:adjustRightInd w:val="0"/>
        <w:spacing w:after="60"/>
        <w:rPr>
          <w:rFonts w:cs="Arial"/>
          <w:szCs w:val="22"/>
        </w:rPr>
      </w:pPr>
    </w:p>
    <w:p w:rsidR="00A76E51" w:rsidRDefault="00A76E51" w:rsidP="00A76E51">
      <w:r w:rsidRPr="00FC08C0">
        <w:rPr>
          <w:lang w:val="en-AU" w:eastAsia="en-AU"/>
        </w:rPr>
        <w:t xml:space="preserve">Good oral hygiene practices should be maintained during treatment with </w:t>
      </w:r>
      <w:proofErr w:type="spellStart"/>
      <w:r w:rsidRPr="00FC08C0">
        <w:rPr>
          <w:lang w:val="en-AU" w:eastAsia="en-AU"/>
        </w:rPr>
        <w:t>Prolia</w:t>
      </w:r>
      <w:proofErr w:type="spellEnd"/>
      <w:r w:rsidRPr="00FC08C0">
        <w:rPr>
          <w:vertAlign w:val="superscript"/>
        </w:rPr>
        <w:t>®</w:t>
      </w:r>
      <w:r w:rsidRPr="00FC08C0">
        <w:rPr>
          <w:lang w:val="en-AU" w:eastAsia="en-AU"/>
        </w:rPr>
        <w:t xml:space="preserve">.  If ONJ occurs during treatment with </w:t>
      </w:r>
      <w:proofErr w:type="spellStart"/>
      <w:r w:rsidRPr="00FC08C0">
        <w:rPr>
          <w:lang w:val="en-AU" w:eastAsia="en-AU"/>
        </w:rPr>
        <w:t>Prolia</w:t>
      </w:r>
      <w:proofErr w:type="spellEnd"/>
      <w:r w:rsidRPr="00FC08C0">
        <w:rPr>
          <w:vertAlign w:val="superscript"/>
        </w:rPr>
        <w:t>®</w:t>
      </w:r>
      <w:r w:rsidRPr="00FC08C0">
        <w:rPr>
          <w:lang w:val="en-AU" w:eastAsia="en-AU"/>
        </w:rPr>
        <w:t>, use clinical judgment and guide the management plan of each patient based on individual benefit/risk evaluation.</w:t>
      </w:r>
    </w:p>
    <w:p w:rsidR="00A76E51" w:rsidRDefault="00A76E51"/>
    <w:p w:rsidR="00A76E51" w:rsidRPr="00B33FFC" w:rsidRDefault="00A76E51" w:rsidP="00A76E51">
      <w:pPr>
        <w:autoSpaceDE w:val="0"/>
        <w:autoSpaceDN w:val="0"/>
        <w:adjustRightInd w:val="0"/>
        <w:spacing w:before="240" w:after="60"/>
        <w:rPr>
          <w:rFonts w:cs="Arial"/>
          <w:b/>
          <w:bCs/>
          <w:i/>
          <w:iCs/>
          <w:color w:val="000000"/>
          <w:szCs w:val="22"/>
          <w:lang w:val="en-AU" w:eastAsia="en-AU"/>
        </w:rPr>
      </w:pPr>
      <w:r w:rsidRPr="00B33FFC">
        <w:rPr>
          <w:rFonts w:cs="Arial"/>
          <w:b/>
          <w:color w:val="000000"/>
          <w:szCs w:val="22"/>
        </w:rPr>
        <w:t>Atypical Femoral Fractures</w:t>
      </w:r>
      <w:r w:rsidRPr="00B33FFC">
        <w:rPr>
          <w:rFonts w:cs="Arial"/>
          <w:b/>
          <w:color w:val="000000"/>
          <w:szCs w:val="22"/>
          <w:vertAlign w:val="superscript"/>
        </w:rPr>
        <w:t>#</w:t>
      </w:r>
    </w:p>
    <w:p w:rsidR="00A76E51" w:rsidRDefault="00A76E51" w:rsidP="00A76E51">
      <w:r w:rsidRPr="00B33FFC">
        <w:rPr>
          <w:rFonts w:eastAsia="TimesNewRoman" w:cs="Arial"/>
          <w:color w:val="000000"/>
          <w:szCs w:val="22"/>
          <w:lang w:val="en-AU" w:eastAsia="en-AU"/>
        </w:rPr>
        <w:t xml:space="preserve">Atypical femoral fractures have been reported in patients receiving </w:t>
      </w:r>
      <w:proofErr w:type="spellStart"/>
      <w:r w:rsidRPr="00B33FFC">
        <w:rPr>
          <w:rFonts w:eastAsia="TimesNewRoman" w:cs="Arial"/>
          <w:color w:val="000000"/>
          <w:szCs w:val="22"/>
          <w:lang w:val="en-AU" w:eastAsia="en-AU"/>
        </w:rPr>
        <w:t>Prolia</w:t>
      </w:r>
      <w:proofErr w:type="spellEnd"/>
      <w:r w:rsidRPr="00B33FFC">
        <w:rPr>
          <w:color w:val="000000"/>
          <w:vertAlign w:val="superscript"/>
        </w:rPr>
        <w:t>®</w:t>
      </w:r>
      <w:r w:rsidRPr="00B33FFC">
        <w:rPr>
          <w:rFonts w:eastAsia="TimesNewRoman" w:cs="Arial"/>
          <w:color w:val="000000"/>
          <w:szCs w:val="22"/>
          <w:lang w:val="en-AU" w:eastAsia="en-AU"/>
        </w:rPr>
        <w:t xml:space="preserve">.  Atypical femoral fractures may occur with little or no trauma in the </w:t>
      </w:r>
      <w:proofErr w:type="spellStart"/>
      <w:r w:rsidRPr="00B33FFC">
        <w:rPr>
          <w:rFonts w:eastAsia="TimesNewRoman" w:cs="Arial"/>
          <w:color w:val="000000"/>
          <w:szCs w:val="22"/>
          <w:lang w:val="en-AU" w:eastAsia="en-AU"/>
        </w:rPr>
        <w:t>subtrochanteric</w:t>
      </w:r>
      <w:proofErr w:type="spellEnd"/>
      <w:r w:rsidRPr="00B33FFC">
        <w:rPr>
          <w:rFonts w:eastAsia="TimesNewRoman" w:cs="Arial"/>
          <w:color w:val="000000"/>
          <w:szCs w:val="22"/>
          <w:lang w:val="en-AU" w:eastAsia="en-AU"/>
        </w:rPr>
        <w:t xml:space="preserve"> and </w:t>
      </w:r>
      <w:proofErr w:type="spellStart"/>
      <w:r w:rsidRPr="00B33FFC">
        <w:rPr>
          <w:rFonts w:eastAsia="TimesNewRoman" w:cs="Arial"/>
          <w:color w:val="000000"/>
          <w:szCs w:val="22"/>
          <w:lang w:val="en-AU" w:eastAsia="en-AU"/>
        </w:rPr>
        <w:t>diaphyseal</w:t>
      </w:r>
      <w:proofErr w:type="spellEnd"/>
      <w:r w:rsidRPr="00B33FFC">
        <w:rPr>
          <w:rFonts w:eastAsia="TimesNewRoman" w:cs="Arial"/>
          <w:color w:val="000000"/>
          <w:szCs w:val="22"/>
          <w:lang w:val="en-AU" w:eastAsia="en-AU"/>
        </w:rPr>
        <w:t xml:space="preserve"> regions of the femur and may be bilateral.  Specific radiographic findings characterise these events.  Atypical femoral fractures have also been reported in patients wi</w:t>
      </w:r>
      <w:r>
        <w:rPr>
          <w:rFonts w:eastAsia="TimesNewRoman" w:cs="Arial"/>
          <w:color w:val="000000"/>
          <w:szCs w:val="22"/>
          <w:lang w:val="en-AU" w:eastAsia="en-AU"/>
        </w:rPr>
        <w:t xml:space="preserve">th certain co-morbid conditions </w:t>
      </w:r>
      <w:r w:rsidRPr="00B33FFC">
        <w:rPr>
          <w:rFonts w:eastAsia="TimesNewRoman" w:cs="Arial"/>
          <w:color w:val="000000"/>
          <w:szCs w:val="22"/>
          <w:lang w:val="en-AU" w:eastAsia="en-AU"/>
        </w:rPr>
        <w:t xml:space="preserve">(e.g. vitamin D deficiency, rheumatoid arthritis, </w:t>
      </w:r>
      <w:proofErr w:type="spellStart"/>
      <w:r w:rsidRPr="00B33FFC">
        <w:rPr>
          <w:rFonts w:eastAsia="TimesNewRoman" w:cs="Arial"/>
          <w:color w:val="000000"/>
          <w:szCs w:val="22"/>
          <w:lang w:val="en-AU" w:eastAsia="en-AU"/>
        </w:rPr>
        <w:t>hypophosphatasia</w:t>
      </w:r>
      <w:proofErr w:type="spellEnd"/>
      <w:r w:rsidRPr="00B33FFC">
        <w:rPr>
          <w:rFonts w:eastAsia="TimesNewRoman" w:cs="Arial"/>
          <w:color w:val="000000"/>
          <w:szCs w:val="22"/>
          <w:lang w:val="en-AU" w:eastAsia="en-AU"/>
        </w:rPr>
        <w:t xml:space="preserve">) and with use of certain pharmaceutical agents (e.g. bisphosphonates, glucocorticoids, proton pump inhibitors).  These events have also occurred without </w:t>
      </w:r>
      <w:proofErr w:type="spellStart"/>
      <w:r w:rsidRPr="00B33FFC">
        <w:rPr>
          <w:rFonts w:eastAsia="TimesNewRoman" w:cs="Arial"/>
          <w:color w:val="000000"/>
          <w:szCs w:val="22"/>
          <w:lang w:val="en-AU" w:eastAsia="en-AU"/>
        </w:rPr>
        <w:t>antiresorptive</w:t>
      </w:r>
      <w:proofErr w:type="spellEnd"/>
      <w:r w:rsidRPr="00B33FFC">
        <w:rPr>
          <w:rFonts w:eastAsia="TimesNewRoman" w:cs="Arial"/>
          <w:color w:val="000000"/>
          <w:szCs w:val="22"/>
          <w:lang w:val="en-AU" w:eastAsia="en-AU"/>
        </w:rPr>
        <w:t xml:space="preserve"> therapy.  During </w:t>
      </w:r>
      <w:proofErr w:type="spellStart"/>
      <w:r w:rsidRPr="00B33FFC">
        <w:rPr>
          <w:rFonts w:eastAsia="TimesNewRoman" w:cs="Arial"/>
          <w:color w:val="000000"/>
          <w:szCs w:val="22"/>
          <w:lang w:val="en-AU" w:eastAsia="en-AU"/>
        </w:rPr>
        <w:t>Prolia</w:t>
      </w:r>
      <w:proofErr w:type="spellEnd"/>
      <w:r w:rsidRPr="00B33FFC">
        <w:rPr>
          <w:color w:val="000000"/>
          <w:vertAlign w:val="superscript"/>
        </w:rPr>
        <w:t>®</w:t>
      </w:r>
      <w:r w:rsidRPr="00B33FFC">
        <w:rPr>
          <w:rFonts w:eastAsia="TimesNewRoman" w:cs="Arial"/>
          <w:color w:val="000000"/>
          <w:szCs w:val="22"/>
          <w:lang w:val="en-AU" w:eastAsia="en-AU"/>
        </w:rPr>
        <w:t xml:space="preserve"> treatment, patients should be advised to report new or unusual thigh, hip, or groin pain.  Patients presenting with such symptoms should be evaluated for an incomplete femoral fracture, and the contralateral femur should also be examined.</w:t>
      </w:r>
    </w:p>
    <w:p w:rsidR="00A76E51" w:rsidRDefault="00A76E51"/>
    <w:p w:rsidR="00A76E51" w:rsidRPr="00B33FFC" w:rsidRDefault="00A76E51" w:rsidP="00A76E51">
      <w:pPr>
        <w:autoSpaceDE w:val="0"/>
        <w:autoSpaceDN w:val="0"/>
        <w:adjustRightInd w:val="0"/>
        <w:spacing w:before="240" w:after="60"/>
        <w:rPr>
          <w:rFonts w:cs="Arial"/>
          <w:b/>
          <w:color w:val="000000"/>
          <w:szCs w:val="22"/>
        </w:rPr>
      </w:pPr>
      <w:r w:rsidRPr="00B33FFC">
        <w:rPr>
          <w:rFonts w:cs="Arial"/>
          <w:b/>
          <w:color w:val="000000"/>
          <w:szCs w:val="22"/>
        </w:rPr>
        <w:t>Drugs with Same Active Ingredient</w:t>
      </w:r>
      <w:r w:rsidRPr="00B33FFC">
        <w:rPr>
          <w:rFonts w:cs="Arial"/>
          <w:b/>
          <w:color w:val="000000"/>
          <w:szCs w:val="22"/>
          <w:vertAlign w:val="superscript"/>
        </w:rPr>
        <w:t>#</w:t>
      </w:r>
    </w:p>
    <w:p w:rsidR="00A76E51" w:rsidRDefault="00A76E51" w:rsidP="00A76E51">
      <w:proofErr w:type="spellStart"/>
      <w:r w:rsidRPr="00B33FFC">
        <w:rPr>
          <w:rFonts w:cs="Arial"/>
          <w:color w:val="000000"/>
          <w:szCs w:val="22"/>
        </w:rPr>
        <w:t>Prolia</w:t>
      </w:r>
      <w:proofErr w:type="spellEnd"/>
      <w:r w:rsidRPr="00B33FFC">
        <w:rPr>
          <w:color w:val="000000"/>
          <w:vertAlign w:val="superscript"/>
        </w:rPr>
        <w:t>®</w:t>
      </w:r>
      <w:r w:rsidRPr="00B33FFC">
        <w:rPr>
          <w:rFonts w:cs="Arial"/>
          <w:color w:val="000000"/>
          <w:szCs w:val="22"/>
        </w:rPr>
        <w:t xml:space="preserve"> contains the same active ingredient found in </w:t>
      </w:r>
      <w:proofErr w:type="spellStart"/>
      <w:r w:rsidRPr="00B33FFC">
        <w:rPr>
          <w:rFonts w:cs="Arial"/>
          <w:color w:val="000000"/>
          <w:szCs w:val="22"/>
        </w:rPr>
        <w:t>Xgeva</w:t>
      </w:r>
      <w:proofErr w:type="spellEnd"/>
      <w:r w:rsidRPr="00B33FFC">
        <w:rPr>
          <w:color w:val="000000"/>
          <w:vertAlign w:val="superscript"/>
        </w:rPr>
        <w:t>®</w:t>
      </w:r>
      <w:r w:rsidRPr="00B33FFC">
        <w:rPr>
          <w:rFonts w:cs="Arial"/>
          <w:color w:val="000000"/>
          <w:szCs w:val="22"/>
        </w:rPr>
        <w:t xml:space="preserve"> (</w:t>
      </w:r>
      <w:proofErr w:type="spellStart"/>
      <w:r w:rsidRPr="00B33FFC">
        <w:rPr>
          <w:rFonts w:cs="Arial"/>
          <w:color w:val="000000"/>
          <w:szCs w:val="22"/>
        </w:rPr>
        <w:t>denosumab</w:t>
      </w:r>
      <w:proofErr w:type="spellEnd"/>
      <w:r w:rsidRPr="00B33FFC">
        <w:rPr>
          <w:rFonts w:cs="Arial"/>
          <w:color w:val="000000"/>
          <w:szCs w:val="22"/>
        </w:rPr>
        <w:t xml:space="preserve">), used for the treatment of skeletal related events in patients with bone metastasis from solid </w:t>
      </w:r>
      <w:proofErr w:type="spellStart"/>
      <w:r w:rsidRPr="00B33FFC">
        <w:rPr>
          <w:rFonts w:cs="Arial"/>
          <w:color w:val="000000"/>
          <w:szCs w:val="22"/>
        </w:rPr>
        <w:t>tumours</w:t>
      </w:r>
      <w:proofErr w:type="spellEnd"/>
      <w:r w:rsidRPr="00B33FFC">
        <w:rPr>
          <w:rFonts w:cs="Arial"/>
          <w:color w:val="000000"/>
          <w:szCs w:val="22"/>
        </w:rPr>
        <w:t xml:space="preserve">.  Patients being treated with </w:t>
      </w:r>
      <w:proofErr w:type="spellStart"/>
      <w:r w:rsidRPr="00B33FFC">
        <w:rPr>
          <w:rFonts w:cs="Arial"/>
          <w:color w:val="000000"/>
          <w:szCs w:val="22"/>
        </w:rPr>
        <w:t>Prolia</w:t>
      </w:r>
      <w:proofErr w:type="spellEnd"/>
      <w:r w:rsidRPr="00B33FFC">
        <w:rPr>
          <w:color w:val="000000"/>
          <w:vertAlign w:val="superscript"/>
        </w:rPr>
        <w:t>®</w:t>
      </w:r>
      <w:r w:rsidRPr="00B33FFC">
        <w:rPr>
          <w:rFonts w:cs="Arial"/>
          <w:color w:val="000000"/>
          <w:szCs w:val="22"/>
        </w:rPr>
        <w:t xml:space="preserve"> should not be treated with </w:t>
      </w:r>
      <w:proofErr w:type="spellStart"/>
      <w:r w:rsidRPr="00B33FFC">
        <w:rPr>
          <w:rFonts w:cs="Arial"/>
          <w:color w:val="000000"/>
          <w:szCs w:val="22"/>
        </w:rPr>
        <w:t>Xgeva</w:t>
      </w:r>
      <w:proofErr w:type="spellEnd"/>
      <w:r w:rsidRPr="00B33FFC">
        <w:rPr>
          <w:color w:val="000000"/>
          <w:vertAlign w:val="superscript"/>
        </w:rPr>
        <w:t>®</w:t>
      </w:r>
      <w:r w:rsidRPr="00B33FFC">
        <w:rPr>
          <w:rFonts w:cs="Arial"/>
          <w:color w:val="000000"/>
          <w:szCs w:val="22"/>
        </w:rPr>
        <w:t xml:space="preserve"> concomitantly.</w:t>
      </w:r>
    </w:p>
    <w:p w:rsidR="00A76E51" w:rsidRDefault="00A76E51"/>
    <w:p w:rsidR="00A76E51" w:rsidRPr="00FC08C0" w:rsidRDefault="00A76E51" w:rsidP="00A76E51">
      <w:pPr>
        <w:pStyle w:val="Heading2"/>
        <w:keepNext w:val="0"/>
        <w:rPr>
          <w:u w:val="none"/>
        </w:rPr>
      </w:pPr>
      <w:proofErr w:type="spellStart"/>
      <w:r w:rsidRPr="00FC08C0">
        <w:rPr>
          <w:u w:val="none"/>
        </w:rPr>
        <w:t>Paediatric</w:t>
      </w:r>
      <w:proofErr w:type="spellEnd"/>
      <w:r w:rsidRPr="00FC08C0">
        <w:rPr>
          <w:u w:val="none"/>
        </w:rPr>
        <w:t xml:space="preserve"> Use</w:t>
      </w:r>
    </w:p>
    <w:p w:rsidR="00A76E51" w:rsidRDefault="00A76E51" w:rsidP="00A76E51">
      <w:r w:rsidRPr="006F275E">
        <w:t xml:space="preserve">The safety and efficacy of </w:t>
      </w:r>
      <w:proofErr w:type="spellStart"/>
      <w:r w:rsidRPr="00FC08C0">
        <w:rPr>
          <w:rFonts w:cs="Arial"/>
          <w:szCs w:val="22"/>
        </w:rPr>
        <w:t>Prolia</w:t>
      </w:r>
      <w:proofErr w:type="spellEnd"/>
      <w:r w:rsidRPr="00FC08C0">
        <w:rPr>
          <w:rFonts w:cs="Arial"/>
          <w:szCs w:val="22"/>
          <w:vertAlign w:val="superscript"/>
        </w:rPr>
        <w:t>®</w:t>
      </w:r>
      <w:r w:rsidRPr="006F275E">
        <w:t xml:space="preserve"> in </w:t>
      </w:r>
      <w:proofErr w:type="spellStart"/>
      <w:r w:rsidRPr="006F275E">
        <w:t>p</w:t>
      </w:r>
      <w:r>
        <w:t>a</w:t>
      </w:r>
      <w:r w:rsidRPr="006F275E">
        <w:t>ediatric</w:t>
      </w:r>
      <w:proofErr w:type="spellEnd"/>
      <w:r w:rsidRPr="006F275E">
        <w:t xml:space="preserve"> patients have not been established.  </w:t>
      </w:r>
      <w:proofErr w:type="spellStart"/>
      <w:r w:rsidRPr="00FC08C0">
        <w:rPr>
          <w:rFonts w:cs="Arial"/>
          <w:szCs w:val="22"/>
        </w:rPr>
        <w:t>Prolia</w:t>
      </w:r>
      <w:proofErr w:type="spellEnd"/>
      <w:r w:rsidRPr="00FC08C0">
        <w:rPr>
          <w:rFonts w:cs="Arial"/>
          <w:szCs w:val="22"/>
          <w:vertAlign w:val="superscript"/>
        </w:rPr>
        <w:t>®</w:t>
      </w:r>
      <w:r w:rsidRPr="006F275E">
        <w:t xml:space="preserve"> is not recommended </w:t>
      </w:r>
      <w:r>
        <w:t xml:space="preserve">for use </w:t>
      </w:r>
      <w:r w:rsidRPr="006F275E">
        <w:t xml:space="preserve">in </w:t>
      </w:r>
      <w:proofErr w:type="spellStart"/>
      <w:r w:rsidRPr="006F275E">
        <w:t>p</w:t>
      </w:r>
      <w:r>
        <w:t>a</w:t>
      </w:r>
      <w:r w:rsidRPr="006F275E">
        <w:t>ediatric</w:t>
      </w:r>
      <w:proofErr w:type="spellEnd"/>
      <w:r w:rsidRPr="006F275E">
        <w:t xml:space="preserve"> patients.  </w:t>
      </w:r>
      <w:r>
        <w:t xml:space="preserve">Adolescent primates dosed with </w:t>
      </w:r>
      <w:proofErr w:type="spellStart"/>
      <w:r>
        <w:t>denosumab</w:t>
      </w:r>
      <w:proofErr w:type="spellEnd"/>
      <w:r>
        <w:t xml:space="preserve"> at 27 and 150 times (10 and 50</w:t>
      </w:r>
      <w:r w:rsidRPr="00967DD2">
        <w:rPr>
          <w:noProof/>
        </w:rPr>
        <w:t> </w:t>
      </w:r>
      <w:r>
        <w:t xml:space="preserve">mg/kg dose) the clinical exposure based on AUC had abnormal growth plates.  </w:t>
      </w:r>
      <w:r w:rsidRPr="00FC08C0">
        <w:rPr>
          <w:szCs w:val="20"/>
        </w:rPr>
        <w:t xml:space="preserve">In neonatal rats, inhibition of RANKL (target of </w:t>
      </w:r>
      <w:proofErr w:type="spellStart"/>
      <w:r w:rsidRPr="00FC08C0">
        <w:rPr>
          <w:szCs w:val="20"/>
        </w:rPr>
        <w:t>denosumab</w:t>
      </w:r>
      <w:proofErr w:type="spellEnd"/>
      <w:r w:rsidRPr="00FC08C0">
        <w:rPr>
          <w:szCs w:val="20"/>
        </w:rPr>
        <w:t xml:space="preserve"> therapy) </w:t>
      </w:r>
      <w:r w:rsidRPr="00FC08C0">
        <w:rPr>
          <w:iCs/>
          <w:szCs w:val="20"/>
        </w:rPr>
        <w:t xml:space="preserve">with a construct of </w:t>
      </w:r>
      <w:proofErr w:type="spellStart"/>
      <w:r w:rsidRPr="00FC08C0">
        <w:rPr>
          <w:iCs/>
          <w:szCs w:val="20"/>
        </w:rPr>
        <w:t>osteoprotegerin</w:t>
      </w:r>
      <w:proofErr w:type="spellEnd"/>
      <w:r w:rsidRPr="00FC08C0">
        <w:rPr>
          <w:iCs/>
          <w:szCs w:val="20"/>
        </w:rPr>
        <w:t xml:space="preserve"> bound to Fc (OPG-Fc)</w:t>
      </w:r>
      <w:r w:rsidRPr="00FC08C0">
        <w:rPr>
          <w:szCs w:val="20"/>
        </w:rPr>
        <w:t xml:space="preserve"> at high doses was associated with inhibition of bone growth and tooth eruption.  Therefore, treatment with </w:t>
      </w:r>
      <w:proofErr w:type="spellStart"/>
      <w:r w:rsidRPr="00FC08C0">
        <w:rPr>
          <w:szCs w:val="20"/>
        </w:rPr>
        <w:t>denosumab</w:t>
      </w:r>
      <w:proofErr w:type="spellEnd"/>
      <w:r w:rsidRPr="00FC08C0">
        <w:rPr>
          <w:szCs w:val="20"/>
        </w:rPr>
        <w:t xml:space="preserve"> may impair bone growth in children with open growth plates and may inhibit eruption of dentition.</w:t>
      </w:r>
    </w:p>
    <w:p w:rsidR="00A76E51" w:rsidRDefault="00A76E51">
      <w:pPr>
        <w:rPr>
          <w:rFonts w:cs="Arial"/>
          <w:b/>
          <w:bCs/>
          <w:iCs/>
          <w:szCs w:val="28"/>
        </w:rPr>
      </w:pPr>
      <w:r>
        <w:br w:type="page"/>
      </w:r>
    </w:p>
    <w:p w:rsidR="00A76E51" w:rsidRPr="00FC08C0" w:rsidRDefault="00A76E51" w:rsidP="00A76E51">
      <w:pPr>
        <w:pStyle w:val="Heading2"/>
        <w:keepNext w:val="0"/>
        <w:rPr>
          <w:u w:val="none"/>
        </w:rPr>
      </w:pPr>
      <w:r w:rsidRPr="00FC08C0">
        <w:rPr>
          <w:u w:val="none"/>
        </w:rPr>
        <w:lastRenderedPageBreak/>
        <w:t>Use in the Elderly</w:t>
      </w:r>
    </w:p>
    <w:p w:rsidR="00A76E51" w:rsidRDefault="00A76E51" w:rsidP="00A76E51">
      <w:r w:rsidRPr="00FC6410">
        <w:t xml:space="preserve">Of the total number of patients in clinical studies of </w:t>
      </w:r>
      <w:proofErr w:type="spellStart"/>
      <w:r>
        <w:t>Prolia</w:t>
      </w:r>
      <w:proofErr w:type="spellEnd"/>
      <w:r w:rsidRPr="00FC08C0">
        <w:rPr>
          <w:vertAlign w:val="superscript"/>
        </w:rPr>
        <w:t>®</w:t>
      </w:r>
      <w:r w:rsidRPr="00FC6410">
        <w:t>, 9</w:t>
      </w:r>
      <w:r>
        <w:t>,</w:t>
      </w:r>
      <w:r w:rsidRPr="00FC6410">
        <w:t>943 patients were ≥</w:t>
      </w:r>
      <w:r w:rsidRPr="00967DD2">
        <w:rPr>
          <w:noProof/>
        </w:rPr>
        <w:t> </w:t>
      </w:r>
      <w:r w:rsidRPr="00FC6410">
        <w:t>65 years, while 3</w:t>
      </w:r>
      <w:r>
        <w:t>,</w:t>
      </w:r>
      <w:r w:rsidRPr="00FC6410">
        <w:t>576 were ≥</w:t>
      </w:r>
      <w:r w:rsidRPr="00967DD2">
        <w:rPr>
          <w:noProof/>
        </w:rPr>
        <w:t> </w:t>
      </w:r>
      <w:r w:rsidRPr="00FC6410">
        <w:t xml:space="preserve">75 years.  No overall differences in safety or </w:t>
      </w:r>
      <w:r>
        <w:t>efficacy</w:t>
      </w:r>
      <w:r w:rsidRPr="00FC6410">
        <w:t xml:space="preserve"> </w:t>
      </w:r>
      <w:r>
        <w:t>were</w:t>
      </w:r>
      <w:r w:rsidRPr="00FC6410">
        <w:t xml:space="preserve"> observed between these patients and younger patients.</w:t>
      </w:r>
    </w:p>
    <w:p w:rsidR="00A76E51" w:rsidRDefault="00A76E51" w:rsidP="00A76E51"/>
    <w:p w:rsidR="00A76E51" w:rsidRDefault="00A76E51" w:rsidP="00A76E51">
      <w:r w:rsidRPr="0006750D">
        <w:rPr>
          <w:rFonts w:cs="TimesNewRomanPSMT"/>
          <w:b/>
          <w:color w:val="000000"/>
        </w:rPr>
        <w:t>Of the patients in the osteoporosis study in men, 133 patients (</w:t>
      </w:r>
      <w:r>
        <w:rPr>
          <w:rFonts w:cs="TimesNewRomanPSMT"/>
          <w:b/>
          <w:color w:val="000000"/>
        </w:rPr>
        <w:t>55%) were ≥ 65 years old, while</w:t>
      </w:r>
      <w:r>
        <w:rPr>
          <w:rFonts w:cs="TimesNewRomanPSMT"/>
          <w:b/>
          <w:color w:val="000000"/>
        </w:rPr>
        <w:br/>
      </w:r>
      <w:r w:rsidRPr="0006750D">
        <w:rPr>
          <w:rFonts w:cs="TimesNewRomanPSMT"/>
          <w:b/>
          <w:color w:val="000000"/>
        </w:rPr>
        <w:t>39 patients (16%) were ≥ 75 years old.</w:t>
      </w:r>
      <w:r w:rsidRPr="0006750D">
        <w:rPr>
          <w:rFonts w:cs="TimesNewRomanPSMT"/>
          <w:b/>
          <w:color w:val="000000"/>
          <w:vertAlign w:val="superscript"/>
        </w:rPr>
        <w:t>#</w:t>
      </w:r>
    </w:p>
    <w:p w:rsidR="00A76E51" w:rsidRDefault="00A76E51" w:rsidP="00A76E51"/>
    <w:p w:rsidR="00A76E51" w:rsidRPr="00FC08C0" w:rsidRDefault="00A76E51" w:rsidP="00A76E51">
      <w:pPr>
        <w:pStyle w:val="Heading2"/>
        <w:keepNext w:val="0"/>
        <w:rPr>
          <w:u w:val="none"/>
        </w:rPr>
      </w:pPr>
      <w:r w:rsidRPr="00FC08C0">
        <w:rPr>
          <w:u w:val="none"/>
        </w:rPr>
        <w:t>Effects on fertility</w:t>
      </w:r>
    </w:p>
    <w:p w:rsidR="00A76E51" w:rsidRDefault="00A76E51" w:rsidP="00A76E51">
      <w:r w:rsidRPr="00FC08C0">
        <w:rPr>
          <w:lang w:val="en-GB"/>
        </w:rPr>
        <w:t xml:space="preserve">No data are available on the effect of </w:t>
      </w:r>
      <w:proofErr w:type="spellStart"/>
      <w:r w:rsidRPr="00FC08C0">
        <w:rPr>
          <w:lang w:val="en-GB"/>
        </w:rPr>
        <w:t>denosumab</w:t>
      </w:r>
      <w:proofErr w:type="spellEnd"/>
      <w:r w:rsidRPr="00FC08C0">
        <w:rPr>
          <w:lang w:val="en-GB"/>
        </w:rPr>
        <w:t xml:space="preserve"> on human fertility.  </w:t>
      </w:r>
      <w:proofErr w:type="spellStart"/>
      <w:r w:rsidRPr="00B818A5">
        <w:t>Denosumab</w:t>
      </w:r>
      <w:proofErr w:type="spellEnd"/>
      <w:r w:rsidRPr="00B818A5">
        <w:t xml:space="preserve"> had no effect on female fertility or male reproductive organs </w:t>
      </w:r>
      <w:r>
        <w:t xml:space="preserve">or sperm motility </w:t>
      </w:r>
      <w:r w:rsidRPr="00B818A5">
        <w:t xml:space="preserve">in </w:t>
      </w:r>
      <w:proofErr w:type="spellStart"/>
      <w:r>
        <w:t>cynomolgus</w:t>
      </w:r>
      <w:proofErr w:type="spellEnd"/>
      <w:r>
        <w:t xml:space="preserve"> </w:t>
      </w:r>
      <w:r w:rsidRPr="00B818A5">
        <w:t xml:space="preserve">monkeys at </w:t>
      </w:r>
      <w:r>
        <w:t>subcutaneous doses up to 12.5</w:t>
      </w:r>
      <w:r w:rsidRPr="00967DD2">
        <w:rPr>
          <w:noProof/>
        </w:rPr>
        <w:t> </w:t>
      </w:r>
      <w:r>
        <w:t>mg/kg/week (females) or 50</w:t>
      </w:r>
      <w:r w:rsidRPr="00967DD2">
        <w:rPr>
          <w:noProof/>
        </w:rPr>
        <w:t> </w:t>
      </w:r>
      <w:r>
        <w:t xml:space="preserve">mg/kg/month (males), yielding </w:t>
      </w:r>
      <w:r w:rsidRPr="00B818A5">
        <w:t xml:space="preserve">exposures that were </w:t>
      </w:r>
      <w:r>
        <w:t xml:space="preserve">approximately </w:t>
      </w:r>
      <w:r w:rsidRPr="00B818A5">
        <w:t>150-fold higher than the human exposure at 60</w:t>
      </w:r>
      <w:r w:rsidRPr="00967DD2">
        <w:rPr>
          <w:noProof/>
        </w:rPr>
        <w:t> </w:t>
      </w:r>
      <w:r w:rsidRPr="00B818A5">
        <w:t xml:space="preserve">mg </w:t>
      </w:r>
      <w:r>
        <w:t>subcutaneous</w:t>
      </w:r>
      <w:r w:rsidRPr="00B818A5">
        <w:t xml:space="preserve"> administered once every 6</w:t>
      </w:r>
      <w:r w:rsidRPr="00FC08C0">
        <w:rPr>
          <w:rFonts w:cs="Arial"/>
          <w:szCs w:val="22"/>
        </w:rPr>
        <w:t> </w:t>
      </w:r>
      <w:r w:rsidRPr="00B818A5">
        <w:t>months.</w:t>
      </w:r>
    </w:p>
    <w:p w:rsidR="00A76E51" w:rsidRDefault="00A76E51" w:rsidP="00A76E51"/>
    <w:p w:rsidR="00A76E51" w:rsidRPr="00FC08C0" w:rsidRDefault="00A76E51" w:rsidP="00A76E51">
      <w:pPr>
        <w:pStyle w:val="Heading2"/>
        <w:keepNext w:val="0"/>
        <w:rPr>
          <w:u w:val="none"/>
        </w:rPr>
      </w:pPr>
      <w:r w:rsidRPr="00FC08C0">
        <w:rPr>
          <w:u w:val="none"/>
        </w:rPr>
        <w:t>Use in Pregnancy</w:t>
      </w:r>
    </w:p>
    <w:p w:rsidR="00A76E51" w:rsidRDefault="00A76E51" w:rsidP="00A76E51">
      <w:pPr>
        <w:pStyle w:val="Heading3"/>
        <w:keepNext w:val="0"/>
        <w:spacing w:before="60" w:after="120"/>
      </w:pPr>
      <w:r w:rsidRPr="00AD67B6">
        <w:t xml:space="preserve">Pregnancy Category: </w:t>
      </w:r>
      <w:r>
        <w:t>D</w:t>
      </w:r>
    </w:p>
    <w:p w:rsidR="00A76E51" w:rsidRPr="00FC08C0" w:rsidRDefault="00A76E51" w:rsidP="00A76E51">
      <w:pPr>
        <w:pStyle w:val="Text"/>
        <w:tabs>
          <w:tab w:val="left" w:pos="567"/>
        </w:tabs>
        <w:spacing w:before="0" w:after="0"/>
        <w:rPr>
          <w:rFonts w:ascii="Arial" w:hAnsi="Arial" w:cs="Arial"/>
          <w:noProof/>
          <w:color w:val="000000"/>
          <w:sz w:val="22"/>
          <w:szCs w:val="22"/>
          <w:lang w:val="en-GB"/>
        </w:rPr>
      </w:pPr>
      <w:r w:rsidRPr="00FC08C0">
        <w:rPr>
          <w:rFonts w:ascii="Arial" w:hAnsi="Arial" w:cs="Arial"/>
          <w:color w:val="000000"/>
          <w:sz w:val="22"/>
          <w:szCs w:val="22"/>
        </w:rPr>
        <w:t xml:space="preserve">There are no adequate and well-controlled studies of </w:t>
      </w:r>
      <w:proofErr w:type="spellStart"/>
      <w:r w:rsidRPr="00FC08C0">
        <w:rPr>
          <w:rFonts w:ascii="Arial" w:hAnsi="Arial" w:cs="Arial"/>
          <w:sz w:val="22"/>
          <w:szCs w:val="22"/>
        </w:rPr>
        <w:t>Prolia</w:t>
      </w:r>
      <w:proofErr w:type="spellEnd"/>
      <w:r w:rsidRPr="00FC08C0">
        <w:rPr>
          <w:rFonts w:ascii="Arial" w:hAnsi="Arial" w:cs="Arial"/>
          <w:sz w:val="22"/>
          <w:szCs w:val="22"/>
          <w:vertAlign w:val="superscript"/>
        </w:rPr>
        <w:t>®</w:t>
      </w:r>
      <w:r w:rsidRPr="00FC08C0">
        <w:rPr>
          <w:rFonts w:ascii="Arial" w:hAnsi="Arial" w:cs="Arial"/>
          <w:color w:val="000000"/>
          <w:sz w:val="22"/>
          <w:szCs w:val="22"/>
        </w:rPr>
        <w:t xml:space="preserve"> in pregnant women.  </w:t>
      </w:r>
      <w:proofErr w:type="spellStart"/>
      <w:r w:rsidRPr="00FC08C0">
        <w:rPr>
          <w:rFonts w:ascii="Arial" w:hAnsi="Arial" w:cs="Arial"/>
          <w:sz w:val="22"/>
          <w:szCs w:val="22"/>
        </w:rPr>
        <w:t>Prolia</w:t>
      </w:r>
      <w:proofErr w:type="spellEnd"/>
      <w:r w:rsidRPr="00FC08C0">
        <w:rPr>
          <w:rFonts w:ascii="Arial" w:hAnsi="Arial" w:cs="Arial"/>
          <w:sz w:val="22"/>
          <w:szCs w:val="22"/>
          <w:vertAlign w:val="superscript"/>
        </w:rPr>
        <w:t>®</w:t>
      </w:r>
      <w:r w:rsidRPr="00FC08C0">
        <w:rPr>
          <w:rFonts w:ascii="Arial" w:hAnsi="Arial" w:cs="Arial"/>
          <w:color w:val="000000"/>
          <w:sz w:val="22"/>
          <w:szCs w:val="22"/>
        </w:rPr>
        <w:t xml:space="preserve"> </w:t>
      </w:r>
      <w:r w:rsidRPr="00FC08C0">
        <w:rPr>
          <w:rFonts w:ascii="Arial" w:hAnsi="Arial" w:cs="Arial"/>
          <w:noProof/>
          <w:color w:val="000000"/>
          <w:sz w:val="22"/>
          <w:szCs w:val="22"/>
          <w:lang w:val="en-GB"/>
        </w:rPr>
        <w:t>is not recommended for use during pregnancy.</w:t>
      </w:r>
    </w:p>
    <w:p w:rsidR="00A76E51" w:rsidRPr="00FC08C0" w:rsidRDefault="00A76E51" w:rsidP="00A76E51">
      <w:pPr>
        <w:pStyle w:val="Text"/>
        <w:tabs>
          <w:tab w:val="left" w:pos="567"/>
        </w:tabs>
        <w:spacing w:before="0" w:after="0"/>
        <w:rPr>
          <w:rFonts w:ascii="Arial" w:hAnsi="Arial" w:cs="Arial"/>
          <w:noProof/>
          <w:color w:val="000000"/>
          <w:sz w:val="22"/>
          <w:szCs w:val="22"/>
          <w:lang w:val="en-GB"/>
        </w:rPr>
      </w:pPr>
    </w:p>
    <w:p w:rsidR="00A76E51" w:rsidRPr="00FC08C0" w:rsidRDefault="00A76E51" w:rsidP="00A76E51">
      <w:pPr>
        <w:pStyle w:val="Text"/>
        <w:tabs>
          <w:tab w:val="left" w:pos="567"/>
        </w:tabs>
        <w:spacing w:before="0" w:after="0"/>
        <w:rPr>
          <w:rFonts w:ascii="Arial" w:hAnsi="Arial" w:cs="Arial"/>
          <w:noProof/>
          <w:color w:val="000000"/>
          <w:sz w:val="22"/>
          <w:szCs w:val="22"/>
          <w:lang w:val="en-GB"/>
        </w:rPr>
      </w:pPr>
      <w:r w:rsidRPr="00FC08C0">
        <w:rPr>
          <w:rFonts w:ascii="Arial" w:hAnsi="Arial" w:cs="Arial"/>
          <w:sz w:val="22"/>
          <w:szCs w:val="22"/>
        </w:rPr>
        <w:t xml:space="preserve">Developmental toxicity studies have been performed with </w:t>
      </w:r>
      <w:proofErr w:type="spellStart"/>
      <w:r w:rsidRPr="00FC08C0">
        <w:rPr>
          <w:rFonts w:ascii="Arial" w:hAnsi="Arial" w:cs="Arial"/>
          <w:sz w:val="22"/>
          <w:szCs w:val="22"/>
        </w:rPr>
        <w:t>denosumab</w:t>
      </w:r>
      <w:proofErr w:type="spellEnd"/>
      <w:r w:rsidRPr="00FC08C0">
        <w:rPr>
          <w:rFonts w:ascii="Arial" w:hAnsi="Arial" w:cs="Arial"/>
          <w:sz w:val="22"/>
          <w:szCs w:val="22"/>
        </w:rPr>
        <w:t xml:space="preserve"> in </w:t>
      </w:r>
      <w:proofErr w:type="spellStart"/>
      <w:r w:rsidRPr="00FC08C0">
        <w:rPr>
          <w:rFonts w:ascii="Arial" w:hAnsi="Arial" w:cs="Arial"/>
          <w:sz w:val="22"/>
          <w:szCs w:val="22"/>
        </w:rPr>
        <w:t>cynomolgus</w:t>
      </w:r>
      <w:proofErr w:type="spellEnd"/>
      <w:r w:rsidRPr="00FC08C0">
        <w:rPr>
          <w:rFonts w:ascii="Arial" w:hAnsi="Arial" w:cs="Arial"/>
          <w:sz w:val="22"/>
          <w:szCs w:val="22"/>
        </w:rPr>
        <w:t xml:space="preserve"> monkeys at subcutaneous doses up to 12.5</w:t>
      </w:r>
      <w:r w:rsidRPr="00967DD2">
        <w:rPr>
          <w:noProof/>
        </w:rPr>
        <w:t> </w:t>
      </w:r>
      <w:r w:rsidRPr="00FC08C0">
        <w:rPr>
          <w:rFonts w:ascii="Arial" w:hAnsi="Arial" w:cs="Arial"/>
          <w:sz w:val="22"/>
          <w:szCs w:val="22"/>
        </w:rPr>
        <w:t xml:space="preserve">mg/kg/week, yielding exposures up to 100-fold higher than the human exposure.  No evidence of harm to the fetus was observed.  </w:t>
      </w:r>
      <w:r w:rsidRPr="00FC08C0">
        <w:rPr>
          <w:rFonts w:ascii="Arial" w:hAnsi="Arial" w:cs="Arial"/>
          <w:noProof/>
          <w:color w:val="000000"/>
          <w:sz w:val="22"/>
          <w:szCs w:val="22"/>
          <w:lang w:val="en-GB"/>
        </w:rPr>
        <w:t xml:space="preserve">Preclinical studies in RANK/RANKL-knockout mice suggest absence of RANKL could interfere with the development of lymph nodes in the fetus; the potential for adverse effects on lymph </w:t>
      </w:r>
      <w:r w:rsidRPr="0065233B">
        <w:rPr>
          <w:rFonts w:ascii="Arial" w:hAnsi="Arial" w:cs="Arial"/>
          <w:noProof/>
          <w:sz w:val="22"/>
          <w:szCs w:val="22"/>
          <w:lang w:val="en-GB"/>
        </w:rPr>
        <w:t xml:space="preserve">node </w:t>
      </w:r>
      <w:r w:rsidRPr="00FC08C0">
        <w:rPr>
          <w:rFonts w:ascii="Arial" w:hAnsi="Arial" w:cs="Arial"/>
          <w:noProof/>
          <w:color w:val="000000"/>
          <w:sz w:val="22"/>
          <w:szCs w:val="22"/>
          <w:lang w:val="en-GB"/>
        </w:rPr>
        <w:t xml:space="preserve">development was not examined in studies with denosumab in monkeys.  Knockout mice lacking RANK or RANKL also exhibited decreased body weight, reduced bone growth and a lack of tooth eruption.  Similar </w:t>
      </w:r>
      <w:r>
        <w:rPr>
          <w:rFonts w:ascii="Arial" w:hAnsi="Arial" w:cs="Arial"/>
          <w:noProof/>
          <w:color w:val="000000"/>
          <w:sz w:val="22"/>
          <w:szCs w:val="22"/>
          <w:lang w:val="en-GB"/>
        </w:rPr>
        <w:t>phenotypic</w:t>
      </w:r>
      <w:r w:rsidRPr="00FC08C0">
        <w:rPr>
          <w:rFonts w:ascii="Arial" w:hAnsi="Arial" w:cs="Arial"/>
          <w:noProof/>
          <w:color w:val="000000"/>
          <w:sz w:val="22"/>
          <w:szCs w:val="22"/>
          <w:lang w:val="en-GB"/>
        </w:rPr>
        <w:t xml:space="preserve"> changes (inhibition of bone growth and tooth eruption) were observed in a study in neonatal rats using a surrogate for denosumab, the RANKL inhibitor osteoprotegerin bound to FC (OPG-Fc).  Therefore, treatment with denosumab may impair bone growth in children with open growth plates and may inhibit eruption of dentition.  The reversibility of the effects of OPG-Fc has not been examined.</w:t>
      </w:r>
    </w:p>
    <w:p w:rsidR="00A76E51" w:rsidRPr="00FC08C0" w:rsidRDefault="00A76E51" w:rsidP="00A76E51">
      <w:pPr>
        <w:pStyle w:val="Text"/>
        <w:tabs>
          <w:tab w:val="left" w:pos="567"/>
        </w:tabs>
        <w:spacing w:before="0" w:after="0"/>
        <w:rPr>
          <w:rFonts w:ascii="Arial" w:hAnsi="Arial" w:cs="Arial"/>
          <w:noProof/>
          <w:color w:val="000000"/>
          <w:sz w:val="22"/>
          <w:szCs w:val="22"/>
          <w:lang w:val="en-GB"/>
        </w:rPr>
      </w:pPr>
    </w:p>
    <w:p w:rsidR="00A76E51" w:rsidRDefault="00A76E51" w:rsidP="00A76E51">
      <w:r w:rsidRPr="00FC08C0">
        <w:rPr>
          <w:rFonts w:cs="Arial"/>
          <w:noProof/>
          <w:szCs w:val="22"/>
        </w:rPr>
        <w:t>Preclinical studies in RANK/RANKL-knockout mice suggest absence of RANKL during pregnancy may interfere with maturation of the mammary gland leading to impaired lactation post-partum.</w:t>
      </w:r>
    </w:p>
    <w:p w:rsidR="00A76E51" w:rsidRDefault="00A76E51" w:rsidP="00A76E51"/>
    <w:p w:rsidR="00A76E51" w:rsidRPr="00FC08C0" w:rsidRDefault="00A76E51" w:rsidP="00A76E51">
      <w:pPr>
        <w:pStyle w:val="Heading2"/>
        <w:keepNext w:val="0"/>
        <w:rPr>
          <w:u w:val="none"/>
        </w:rPr>
      </w:pPr>
      <w:r w:rsidRPr="00FC08C0">
        <w:rPr>
          <w:u w:val="none"/>
        </w:rPr>
        <w:t>Use in Lactation</w:t>
      </w:r>
    </w:p>
    <w:p w:rsidR="00A76E51" w:rsidRDefault="00A76E51" w:rsidP="00A76E51">
      <w:r w:rsidRPr="00FC08C0">
        <w:rPr>
          <w:rFonts w:cs="Arial"/>
          <w:noProof/>
          <w:szCs w:val="22"/>
        </w:rPr>
        <w:t xml:space="preserve">It is unknown whether denosumab is excreted in human milk.  </w:t>
      </w:r>
      <w:r w:rsidRPr="00FC08C0">
        <w:rPr>
          <w:rFonts w:eastAsia="MS Mincho" w:cs="Arial"/>
          <w:noProof/>
          <w:color w:val="000000"/>
          <w:szCs w:val="22"/>
          <w:lang w:eastAsia="ja-JP"/>
        </w:rPr>
        <w:t xml:space="preserve">A decision on whether to abstain from breast-feeding or to abstain from therapy with </w:t>
      </w:r>
      <w:proofErr w:type="spellStart"/>
      <w:r w:rsidRPr="00FC08C0">
        <w:rPr>
          <w:rFonts w:cs="Arial"/>
          <w:szCs w:val="22"/>
        </w:rPr>
        <w:t>Prolia</w:t>
      </w:r>
      <w:proofErr w:type="spellEnd"/>
      <w:r w:rsidRPr="00FC08C0">
        <w:rPr>
          <w:rFonts w:cs="Arial"/>
          <w:szCs w:val="22"/>
          <w:vertAlign w:val="superscript"/>
        </w:rPr>
        <w:t>®</w:t>
      </w:r>
      <w:r w:rsidRPr="00FC08C0">
        <w:rPr>
          <w:rFonts w:cs="Arial"/>
          <w:color w:val="000000"/>
          <w:szCs w:val="22"/>
        </w:rPr>
        <w:t xml:space="preserve"> </w:t>
      </w:r>
      <w:r w:rsidRPr="00FC08C0">
        <w:rPr>
          <w:rFonts w:eastAsia="MS Mincho" w:cs="Arial"/>
          <w:noProof/>
          <w:color w:val="000000"/>
          <w:szCs w:val="22"/>
          <w:lang w:eastAsia="ja-JP"/>
        </w:rPr>
        <w:t xml:space="preserve">should be made, taking into account the benefit of breast-feeding to the newborn/infant and the benefit of </w:t>
      </w:r>
      <w:proofErr w:type="spellStart"/>
      <w:r w:rsidRPr="00FC08C0">
        <w:rPr>
          <w:rFonts w:cs="Arial"/>
          <w:szCs w:val="22"/>
        </w:rPr>
        <w:t>Prolia</w:t>
      </w:r>
      <w:proofErr w:type="spellEnd"/>
      <w:r w:rsidRPr="00FC08C0">
        <w:rPr>
          <w:rFonts w:cs="Arial"/>
          <w:szCs w:val="22"/>
          <w:vertAlign w:val="superscript"/>
        </w:rPr>
        <w:t>®</w:t>
      </w:r>
      <w:r w:rsidRPr="00FC08C0">
        <w:rPr>
          <w:rFonts w:eastAsia="MS Mincho" w:cs="Arial"/>
          <w:noProof/>
          <w:color w:val="000000"/>
          <w:szCs w:val="22"/>
          <w:lang w:eastAsia="ja-JP"/>
        </w:rPr>
        <w:t xml:space="preserve"> therapy to the woman</w:t>
      </w:r>
    </w:p>
    <w:p w:rsidR="00A76E51" w:rsidRDefault="00A76E51" w:rsidP="00A76E51"/>
    <w:p w:rsidR="00A76E51" w:rsidRPr="00FC08C0" w:rsidRDefault="00A76E51" w:rsidP="00A76E51">
      <w:pPr>
        <w:pStyle w:val="Heading2"/>
        <w:keepNext w:val="0"/>
        <w:rPr>
          <w:u w:val="none"/>
        </w:rPr>
      </w:pPr>
      <w:r w:rsidRPr="00FC08C0">
        <w:rPr>
          <w:u w:val="none"/>
        </w:rPr>
        <w:t>Use in Renal Impairment</w:t>
      </w:r>
    </w:p>
    <w:p w:rsidR="00A76E51" w:rsidRPr="00FC08C0" w:rsidRDefault="00A76E51" w:rsidP="00A76E51">
      <w:pPr>
        <w:rPr>
          <w:szCs w:val="22"/>
        </w:rPr>
      </w:pPr>
      <w:r w:rsidRPr="00FC08C0">
        <w:rPr>
          <w:szCs w:val="22"/>
        </w:rPr>
        <w:t>No dose adjustment is necessary in patients with renal impairment.</w:t>
      </w:r>
    </w:p>
    <w:p w:rsidR="00A76E51" w:rsidRPr="00FC08C0" w:rsidRDefault="00A76E51" w:rsidP="00A76E51">
      <w:pPr>
        <w:rPr>
          <w:szCs w:val="22"/>
        </w:rPr>
      </w:pPr>
    </w:p>
    <w:p w:rsidR="00A76E51" w:rsidRDefault="00A76E51" w:rsidP="00A76E51">
      <w:r w:rsidRPr="00B96087">
        <w:lastRenderedPageBreak/>
        <w:t>In clinical studies, patients with severe renal impairment (creatinine clearance &lt; 30 mL/min) or receiving dialysis were at greater risk of developing hypocalc</w:t>
      </w:r>
      <w:r>
        <w:t>a</w:t>
      </w:r>
      <w:r w:rsidRPr="00B96087">
        <w:t xml:space="preserve">emia.  Adequate intake of calcium and vitamin D is important in patients with severe renal impairment or receiving dialysis </w:t>
      </w:r>
      <w:r>
        <w:t>(</w:t>
      </w:r>
      <w:r w:rsidRPr="00B96087">
        <w:t xml:space="preserve">see </w:t>
      </w:r>
      <w:r w:rsidRPr="00FC08C0">
        <w:rPr>
          <w:b/>
        </w:rPr>
        <w:t>PRECAUTIONS, Hypocalcaemia</w:t>
      </w:r>
      <w:r w:rsidRPr="00B96087">
        <w:t>)</w:t>
      </w:r>
      <w:r>
        <w:t>.</w:t>
      </w:r>
    </w:p>
    <w:p w:rsidR="00A76E51" w:rsidRPr="00FC08C0" w:rsidRDefault="00A76E51" w:rsidP="00A76E51">
      <w:pPr>
        <w:pStyle w:val="Heading2"/>
        <w:keepNext w:val="0"/>
        <w:rPr>
          <w:u w:val="none"/>
        </w:rPr>
      </w:pPr>
      <w:r w:rsidRPr="00FC08C0">
        <w:rPr>
          <w:u w:val="none"/>
        </w:rPr>
        <w:t>Use in Hepatic Impairment</w:t>
      </w:r>
    </w:p>
    <w:p w:rsidR="00A76E51" w:rsidRPr="00A76E51" w:rsidRDefault="00A76E51" w:rsidP="00A76E51">
      <w:r w:rsidRPr="00A76E51">
        <w:t xml:space="preserve">The safety and efficacy of </w:t>
      </w:r>
      <w:proofErr w:type="spellStart"/>
      <w:r w:rsidRPr="00A76E51">
        <w:t>Prolia</w:t>
      </w:r>
      <w:proofErr w:type="spellEnd"/>
      <w:r w:rsidRPr="00A76E51">
        <w:rPr>
          <w:vertAlign w:val="superscript"/>
        </w:rPr>
        <w:t>®</w:t>
      </w:r>
      <w:r w:rsidRPr="00A76E51">
        <w:t xml:space="preserve"> has not been studied in patients with hepatic impairment.</w:t>
      </w:r>
    </w:p>
    <w:p w:rsidR="00A76E51" w:rsidRPr="00FC08C0" w:rsidRDefault="00A76E51" w:rsidP="00A76E51">
      <w:pPr>
        <w:pStyle w:val="Heading2"/>
        <w:keepNext w:val="0"/>
        <w:rPr>
          <w:u w:val="none"/>
        </w:rPr>
      </w:pPr>
      <w:r w:rsidRPr="00FC08C0">
        <w:rPr>
          <w:u w:val="none"/>
        </w:rPr>
        <w:t>Carcinogenicity</w:t>
      </w:r>
    </w:p>
    <w:p w:rsidR="00A76E51" w:rsidRDefault="00A76E51" w:rsidP="00A76E51">
      <w:r w:rsidRPr="00FC4A3F">
        <w:t xml:space="preserve">The carcinogenic potential of </w:t>
      </w:r>
      <w:proofErr w:type="spellStart"/>
      <w:r w:rsidRPr="00FC4A3F">
        <w:t>denosumab</w:t>
      </w:r>
      <w:proofErr w:type="spellEnd"/>
      <w:r w:rsidRPr="00FC4A3F">
        <w:t xml:space="preserve"> has not been evaluated in long-term animal studies.  In view of the mechanism of action of </w:t>
      </w:r>
      <w:proofErr w:type="spellStart"/>
      <w:r w:rsidRPr="00FC4A3F">
        <w:t>denosumab</w:t>
      </w:r>
      <w:proofErr w:type="spellEnd"/>
      <w:r w:rsidRPr="00FC4A3F">
        <w:t>, it is unlikely that the molecule would be capable of inducing tumor development or proliferation.</w:t>
      </w:r>
    </w:p>
    <w:p w:rsidR="00A76E51" w:rsidRPr="00FC08C0" w:rsidRDefault="00A76E51" w:rsidP="00A76E51">
      <w:pPr>
        <w:pStyle w:val="Heading2"/>
        <w:keepNext w:val="0"/>
        <w:rPr>
          <w:u w:val="none"/>
        </w:rPr>
      </w:pPr>
      <w:proofErr w:type="spellStart"/>
      <w:r w:rsidRPr="00FC08C0">
        <w:rPr>
          <w:u w:val="none"/>
        </w:rPr>
        <w:t>Genotoxicity</w:t>
      </w:r>
      <w:proofErr w:type="spellEnd"/>
    </w:p>
    <w:p w:rsidR="00A76E51" w:rsidRDefault="00A76E51" w:rsidP="00A76E51">
      <w:r w:rsidRPr="00FC4A3F">
        <w:t xml:space="preserve">The </w:t>
      </w:r>
      <w:proofErr w:type="spellStart"/>
      <w:r w:rsidRPr="00FC4A3F">
        <w:t>genotoxic</w:t>
      </w:r>
      <w:proofErr w:type="spellEnd"/>
      <w:r w:rsidRPr="00FC4A3F">
        <w:t xml:space="preserve"> potential of </w:t>
      </w:r>
      <w:proofErr w:type="spellStart"/>
      <w:r w:rsidRPr="00FC4A3F">
        <w:t>denosumab</w:t>
      </w:r>
      <w:proofErr w:type="spellEnd"/>
      <w:r w:rsidRPr="00FC4A3F">
        <w:t xml:space="preserve"> has not been evaluated.  </w:t>
      </w:r>
      <w:proofErr w:type="spellStart"/>
      <w:r w:rsidRPr="00FC08C0">
        <w:rPr>
          <w:szCs w:val="22"/>
        </w:rPr>
        <w:t>Denosumab</w:t>
      </w:r>
      <w:proofErr w:type="spellEnd"/>
      <w:r w:rsidRPr="00FC08C0">
        <w:rPr>
          <w:szCs w:val="22"/>
        </w:rPr>
        <w:t xml:space="preserve"> is a recombinant protein comprised entirely of naturally occurring amino acids and contains no inorganic or synthetic organic linkers or other non-protein portions.  Therefore, it is unlikely that </w:t>
      </w:r>
      <w:proofErr w:type="spellStart"/>
      <w:r w:rsidRPr="00FC08C0">
        <w:rPr>
          <w:szCs w:val="22"/>
        </w:rPr>
        <w:t>denosumab</w:t>
      </w:r>
      <w:proofErr w:type="spellEnd"/>
      <w:r w:rsidRPr="00FC08C0">
        <w:rPr>
          <w:szCs w:val="22"/>
        </w:rPr>
        <w:t xml:space="preserve"> or any of its derived fragments would react with DNA or other chromosomal material.</w:t>
      </w:r>
    </w:p>
    <w:p w:rsidR="00A76E51" w:rsidRDefault="00A76E51" w:rsidP="00A76E51">
      <w:pPr>
        <w:pStyle w:val="Heading2"/>
        <w:keepNext w:val="0"/>
        <w:rPr>
          <w:u w:val="none"/>
        </w:rPr>
      </w:pPr>
      <w:r w:rsidRPr="00FC08C0">
        <w:rPr>
          <w:u w:val="none"/>
        </w:rPr>
        <w:t>In</w:t>
      </w:r>
      <w:r w:rsidR="00554E4F">
        <w:rPr>
          <w:u w:val="none"/>
        </w:rPr>
        <w:t>teractions with Other Medicines</w:t>
      </w:r>
    </w:p>
    <w:p w:rsidR="00554E4F" w:rsidRPr="00554E4F" w:rsidRDefault="00554E4F" w:rsidP="00554E4F">
      <w:r w:rsidRPr="00554E4F">
        <w:t>No drug-drug interaction studies have been conducted.</w:t>
      </w:r>
    </w:p>
    <w:p w:rsidR="00554E4F" w:rsidRDefault="00554E4F" w:rsidP="00554E4F"/>
    <w:p w:rsidR="00554E4F" w:rsidRPr="00FC08C0" w:rsidRDefault="00554E4F" w:rsidP="00554E4F">
      <w:pPr>
        <w:pStyle w:val="Heading2"/>
        <w:keepNext w:val="0"/>
        <w:spacing w:before="0"/>
        <w:rPr>
          <w:color w:val="000000"/>
        </w:rPr>
      </w:pPr>
      <w:r w:rsidRPr="00FC08C0">
        <w:rPr>
          <w:color w:val="000000"/>
          <w:u w:val="none"/>
        </w:rPr>
        <w:t>Effects on Laboratory Tests</w:t>
      </w:r>
    </w:p>
    <w:p w:rsidR="00554E4F" w:rsidRPr="00554E4F" w:rsidRDefault="00554E4F" w:rsidP="00554E4F">
      <w:r w:rsidRPr="00554E4F">
        <w:t>No interactions with laboratory and diagnostic tests have been identified.</w:t>
      </w:r>
    </w:p>
    <w:p w:rsidR="00554E4F" w:rsidRPr="00FC08C0" w:rsidRDefault="00554E4F" w:rsidP="00554E4F">
      <w:pPr>
        <w:spacing w:before="240" w:after="60"/>
        <w:outlineLvl w:val="0"/>
        <w:rPr>
          <w:b/>
        </w:rPr>
      </w:pPr>
      <w:r w:rsidRPr="00FC08C0">
        <w:rPr>
          <w:b/>
        </w:rPr>
        <w:t>Effects on Ability to Drive and Use Machines</w:t>
      </w:r>
    </w:p>
    <w:p w:rsidR="00554E4F" w:rsidRDefault="00554E4F" w:rsidP="00554E4F">
      <w:r>
        <w:t>No studies on the effects on the ability to drive or use machinery have been performed.</w:t>
      </w:r>
    </w:p>
    <w:p w:rsidR="00554E4F" w:rsidRDefault="00554E4F" w:rsidP="00A76E51"/>
    <w:p w:rsidR="00554E4F" w:rsidRDefault="00554E4F" w:rsidP="00A76E51">
      <w:r w:rsidRPr="00C04803">
        <w:t>ADVERSE EFFECTS</w:t>
      </w:r>
    </w:p>
    <w:p w:rsidR="00554E4F" w:rsidRDefault="00554E4F" w:rsidP="00A76E51">
      <w:r w:rsidRPr="00FC08C0">
        <w:rPr>
          <w:rFonts w:cs="Arial"/>
          <w:b/>
          <w:i/>
          <w:szCs w:val="22"/>
          <w:u w:val="single"/>
        </w:rPr>
        <w:t>Treatment of Postmenopausal Osteoporosis</w:t>
      </w:r>
    </w:p>
    <w:p w:rsidR="00554E4F" w:rsidRPr="00FC08C0" w:rsidRDefault="00554E4F" w:rsidP="00554E4F">
      <w:pPr>
        <w:rPr>
          <w:rFonts w:cs="Arial"/>
          <w:szCs w:val="22"/>
        </w:rPr>
      </w:pPr>
      <w:proofErr w:type="spellStart"/>
      <w:r w:rsidRPr="00FC08C0">
        <w:rPr>
          <w:rFonts w:cs="Arial"/>
          <w:szCs w:val="22"/>
        </w:rPr>
        <w:t>Prolia</w:t>
      </w:r>
      <w:proofErr w:type="spellEnd"/>
      <w:r w:rsidRPr="00FC08C0">
        <w:rPr>
          <w:rFonts w:cs="Arial"/>
          <w:szCs w:val="22"/>
          <w:vertAlign w:val="superscript"/>
        </w:rPr>
        <w:t>®</w:t>
      </w:r>
      <w:r w:rsidRPr="006F275E">
        <w:t xml:space="preserve"> </w:t>
      </w:r>
      <w:r>
        <w:t>has been studied in over 10,500 women with postmenopausal osteoporosis in clinical trials of up to 5 years duration.</w:t>
      </w:r>
    </w:p>
    <w:p w:rsidR="00554E4F" w:rsidRPr="00FC08C0" w:rsidRDefault="00554E4F" w:rsidP="00554E4F">
      <w:pPr>
        <w:rPr>
          <w:rFonts w:cs="Arial"/>
          <w:szCs w:val="22"/>
        </w:rPr>
      </w:pPr>
    </w:p>
    <w:p w:rsidR="00554E4F" w:rsidRPr="00FC08C0" w:rsidRDefault="00554E4F" w:rsidP="00554E4F">
      <w:pPr>
        <w:tabs>
          <w:tab w:val="left" w:pos="72"/>
          <w:tab w:val="left" w:pos="162"/>
        </w:tabs>
        <w:overflowPunct w:val="0"/>
        <w:autoSpaceDE w:val="0"/>
        <w:autoSpaceDN w:val="0"/>
        <w:adjustRightInd w:val="0"/>
        <w:textAlignment w:val="baseline"/>
        <w:rPr>
          <w:rFonts w:cs="Arial"/>
          <w:szCs w:val="22"/>
        </w:rPr>
      </w:pPr>
      <w:r w:rsidRPr="00FC08C0">
        <w:rPr>
          <w:rFonts w:cs="Arial"/>
          <w:szCs w:val="22"/>
        </w:rPr>
        <w:t xml:space="preserve">The safety of </w:t>
      </w:r>
      <w:proofErr w:type="spellStart"/>
      <w:r>
        <w:t>Prolia</w:t>
      </w:r>
      <w:proofErr w:type="spellEnd"/>
      <w:r w:rsidRPr="00FC08C0">
        <w:rPr>
          <w:vertAlign w:val="superscript"/>
        </w:rPr>
        <w:t>®</w:t>
      </w:r>
      <w:r w:rsidRPr="00FC08C0">
        <w:rPr>
          <w:rFonts w:cs="Arial"/>
          <w:szCs w:val="22"/>
        </w:rPr>
        <w:t xml:space="preserve"> in the treatment of postmenopausal osteoporosis was assessed in FREEDOM, a large, 3-year, </w:t>
      </w:r>
      <w:proofErr w:type="spellStart"/>
      <w:r w:rsidRPr="00FC08C0">
        <w:rPr>
          <w:rFonts w:cs="Arial"/>
          <w:szCs w:val="22"/>
        </w:rPr>
        <w:t>randomised</w:t>
      </w:r>
      <w:proofErr w:type="spellEnd"/>
      <w:r w:rsidRPr="00FC08C0">
        <w:rPr>
          <w:rFonts w:cs="Arial"/>
          <w:szCs w:val="22"/>
        </w:rPr>
        <w:t xml:space="preserve">, double-blind, placebo-controlled, multinational phase III study of 7,808 postmenopausal women aged 60 to 91 years with osteoporosis.  A total of 3,886 women were exposed to </w:t>
      </w:r>
      <w:proofErr w:type="spellStart"/>
      <w:r>
        <w:t>Prolia</w:t>
      </w:r>
      <w:proofErr w:type="spellEnd"/>
      <w:r w:rsidRPr="00FC08C0">
        <w:rPr>
          <w:vertAlign w:val="superscript"/>
        </w:rPr>
        <w:t>®</w:t>
      </w:r>
      <w:r w:rsidRPr="00FC08C0">
        <w:rPr>
          <w:rFonts w:cs="Arial"/>
          <w:szCs w:val="22"/>
        </w:rPr>
        <w:t xml:space="preserve"> and 3,876 women were exposed to placebo administered once every 6 months as a single 60</w:t>
      </w:r>
      <w:r w:rsidRPr="00967DD2">
        <w:rPr>
          <w:noProof/>
        </w:rPr>
        <w:t> </w:t>
      </w:r>
      <w:r w:rsidRPr="00FC08C0">
        <w:rPr>
          <w:rFonts w:cs="Arial"/>
          <w:szCs w:val="22"/>
        </w:rPr>
        <w:t>mg subcutaneous dose.</w:t>
      </w:r>
    </w:p>
    <w:p w:rsidR="00554E4F" w:rsidRPr="00FC08C0" w:rsidRDefault="00554E4F" w:rsidP="00554E4F">
      <w:pPr>
        <w:tabs>
          <w:tab w:val="left" w:pos="72"/>
          <w:tab w:val="left" w:pos="162"/>
        </w:tabs>
        <w:overflowPunct w:val="0"/>
        <w:autoSpaceDE w:val="0"/>
        <w:autoSpaceDN w:val="0"/>
        <w:adjustRightInd w:val="0"/>
        <w:textAlignment w:val="baseline"/>
        <w:rPr>
          <w:rFonts w:cs="Arial"/>
          <w:szCs w:val="22"/>
        </w:rPr>
      </w:pPr>
    </w:p>
    <w:p w:rsidR="00554E4F" w:rsidRPr="00FC08C0" w:rsidRDefault="00554E4F" w:rsidP="00554E4F">
      <w:pPr>
        <w:tabs>
          <w:tab w:val="left" w:pos="72"/>
          <w:tab w:val="left" w:pos="162"/>
        </w:tabs>
        <w:overflowPunct w:val="0"/>
        <w:autoSpaceDE w:val="0"/>
        <w:autoSpaceDN w:val="0"/>
        <w:adjustRightInd w:val="0"/>
        <w:textAlignment w:val="baseline"/>
        <w:rPr>
          <w:rFonts w:cs="Arial"/>
          <w:szCs w:val="22"/>
        </w:rPr>
      </w:pPr>
      <w:r w:rsidRPr="00FC08C0">
        <w:rPr>
          <w:rFonts w:cs="Arial"/>
          <w:szCs w:val="22"/>
        </w:rPr>
        <w:t xml:space="preserve">The safety of </w:t>
      </w:r>
      <w:proofErr w:type="spellStart"/>
      <w:r w:rsidRPr="00FC08C0">
        <w:rPr>
          <w:rFonts w:cs="Arial"/>
          <w:szCs w:val="22"/>
        </w:rPr>
        <w:t>Prolia</w:t>
      </w:r>
      <w:proofErr w:type="spellEnd"/>
      <w:r w:rsidRPr="00FC08C0">
        <w:rPr>
          <w:vertAlign w:val="superscript"/>
        </w:rPr>
        <w:t>®</w:t>
      </w:r>
      <w:r w:rsidRPr="00FC08C0">
        <w:rPr>
          <w:rFonts w:cs="Arial"/>
          <w:szCs w:val="22"/>
        </w:rPr>
        <w:t xml:space="preserve"> was also assessed in a second phase 3 study of similar design.  A total of 322 postmenopausal women aged 43 to 83 years with low bone mass were enrolled in this 2-year study.</w:t>
      </w:r>
      <w:r w:rsidRPr="00FC08C0">
        <w:rPr>
          <w:szCs w:val="22"/>
        </w:rPr>
        <w:t xml:space="preserve">  A total of 164 women were exposed to </w:t>
      </w:r>
      <w:proofErr w:type="spellStart"/>
      <w:r>
        <w:t>Prolia</w:t>
      </w:r>
      <w:proofErr w:type="spellEnd"/>
      <w:r w:rsidRPr="00FC08C0">
        <w:rPr>
          <w:vertAlign w:val="superscript"/>
        </w:rPr>
        <w:t>®</w:t>
      </w:r>
      <w:r w:rsidRPr="00FC08C0">
        <w:rPr>
          <w:rFonts w:cs="Arial"/>
          <w:szCs w:val="22"/>
        </w:rPr>
        <w:t xml:space="preserve"> and </w:t>
      </w:r>
      <w:r w:rsidRPr="00FC08C0">
        <w:rPr>
          <w:szCs w:val="22"/>
        </w:rPr>
        <w:t>165 women were exposed to placebo administered once every 6</w:t>
      </w:r>
      <w:r w:rsidRPr="00FC08C0">
        <w:rPr>
          <w:rFonts w:cs="Arial"/>
          <w:szCs w:val="22"/>
        </w:rPr>
        <w:t> </w:t>
      </w:r>
      <w:r w:rsidRPr="00FC08C0">
        <w:rPr>
          <w:szCs w:val="22"/>
        </w:rPr>
        <w:t>months as a single 60</w:t>
      </w:r>
      <w:r w:rsidRPr="00967DD2">
        <w:rPr>
          <w:noProof/>
        </w:rPr>
        <w:t> </w:t>
      </w:r>
      <w:r w:rsidRPr="00FC08C0">
        <w:rPr>
          <w:szCs w:val="22"/>
        </w:rPr>
        <w:t>mg subcutaneous dose.</w:t>
      </w:r>
    </w:p>
    <w:p w:rsidR="00554E4F" w:rsidRPr="00FC08C0" w:rsidRDefault="00554E4F" w:rsidP="00554E4F">
      <w:pPr>
        <w:autoSpaceDE w:val="0"/>
        <w:autoSpaceDN w:val="0"/>
        <w:adjustRightInd w:val="0"/>
        <w:rPr>
          <w:szCs w:val="22"/>
        </w:rPr>
      </w:pPr>
    </w:p>
    <w:p w:rsidR="00554E4F" w:rsidRPr="00FC08C0" w:rsidRDefault="00554E4F" w:rsidP="00554E4F">
      <w:pPr>
        <w:rPr>
          <w:szCs w:val="22"/>
        </w:rPr>
      </w:pPr>
      <w:r w:rsidRPr="00FC08C0">
        <w:rPr>
          <w:szCs w:val="22"/>
        </w:rPr>
        <w:t>In both studies, all women received at least 1000</w:t>
      </w:r>
      <w:r w:rsidRPr="00967DD2">
        <w:rPr>
          <w:noProof/>
        </w:rPr>
        <w:t> </w:t>
      </w:r>
      <w:r w:rsidRPr="00FC08C0">
        <w:rPr>
          <w:szCs w:val="22"/>
        </w:rPr>
        <w:t>mg of calcium and 400</w:t>
      </w:r>
      <w:r w:rsidRPr="00967DD2">
        <w:rPr>
          <w:noProof/>
        </w:rPr>
        <w:t> </w:t>
      </w:r>
      <w:r w:rsidRPr="00FC08C0">
        <w:rPr>
          <w:szCs w:val="22"/>
        </w:rPr>
        <w:t>IU of vitamin D supplementation per day.</w:t>
      </w:r>
    </w:p>
    <w:p w:rsidR="00554E4F" w:rsidRPr="00FC08C0" w:rsidRDefault="00554E4F" w:rsidP="00554E4F">
      <w:pPr>
        <w:rPr>
          <w:szCs w:val="22"/>
        </w:rPr>
      </w:pPr>
    </w:p>
    <w:p w:rsidR="00554E4F" w:rsidRPr="00FC08C0" w:rsidRDefault="00554E4F" w:rsidP="00554E4F">
      <w:pPr>
        <w:tabs>
          <w:tab w:val="left" w:pos="72"/>
          <w:tab w:val="left" w:pos="162"/>
        </w:tabs>
        <w:overflowPunct w:val="0"/>
        <w:autoSpaceDE w:val="0"/>
        <w:autoSpaceDN w:val="0"/>
        <w:adjustRightInd w:val="0"/>
        <w:textAlignment w:val="baseline"/>
        <w:rPr>
          <w:rFonts w:cs="Arial"/>
          <w:szCs w:val="22"/>
        </w:rPr>
      </w:pPr>
      <w:r w:rsidRPr="00FC08C0">
        <w:rPr>
          <w:szCs w:val="22"/>
        </w:rPr>
        <w:lastRenderedPageBreak/>
        <w:t>Across the two phase III studies t</w:t>
      </w:r>
      <w:r w:rsidRPr="00FC08C0">
        <w:rPr>
          <w:rFonts w:cs="Arial"/>
          <w:szCs w:val="22"/>
        </w:rPr>
        <w:t>he incidence of all-cause mortality was 1.7% (n</w:t>
      </w:r>
      <w:r w:rsidRPr="00967DD2">
        <w:rPr>
          <w:noProof/>
        </w:rPr>
        <w:t> </w:t>
      </w:r>
      <w:r w:rsidRPr="00FC08C0">
        <w:rPr>
          <w:rFonts w:cs="Arial"/>
          <w:szCs w:val="22"/>
        </w:rPr>
        <w:t>=</w:t>
      </w:r>
      <w:r w:rsidRPr="00967DD2">
        <w:rPr>
          <w:noProof/>
        </w:rPr>
        <w:t> </w:t>
      </w:r>
      <w:r w:rsidRPr="00FC08C0">
        <w:rPr>
          <w:rFonts w:cs="Arial"/>
          <w:szCs w:val="22"/>
        </w:rPr>
        <w:t xml:space="preserve">70) in the </w:t>
      </w:r>
      <w:proofErr w:type="spellStart"/>
      <w:r>
        <w:t>Prolia</w:t>
      </w:r>
      <w:proofErr w:type="spellEnd"/>
      <w:r w:rsidRPr="00FC08C0">
        <w:rPr>
          <w:vertAlign w:val="superscript"/>
        </w:rPr>
        <w:t>®</w:t>
      </w:r>
      <w:r w:rsidRPr="00FC08C0">
        <w:rPr>
          <w:rFonts w:cs="Arial"/>
          <w:szCs w:val="22"/>
        </w:rPr>
        <w:t xml:space="preserve"> group and 2.2% (n</w:t>
      </w:r>
      <w:r w:rsidRPr="00967DD2">
        <w:rPr>
          <w:noProof/>
        </w:rPr>
        <w:t> </w:t>
      </w:r>
      <w:r w:rsidRPr="00FC08C0">
        <w:rPr>
          <w:rFonts w:cs="Arial"/>
          <w:szCs w:val="22"/>
        </w:rPr>
        <w:t>=</w:t>
      </w:r>
      <w:r w:rsidRPr="00967DD2">
        <w:rPr>
          <w:noProof/>
        </w:rPr>
        <w:t> </w:t>
      </w:r>
      <w:r w:rsidRPr="00FC08C0">
        <w:rPr>
          <w:rFonts w:cs="Arial"/>
          <w:szCs w:val="22"/>
        </w:rPr>
        <w:t xml:space="preserve">90) in the placebo group.  The incidence of serious adverse events was 25.3% in the </w:t>
      </w:r>
      <w:proofErr w:type="spellStart"/>
      <w:r>
        <w:t>Prolia</w:t>
      </w:r>
      <w:proofErr w:type="spellEnd"/>
      <w:r w:rsidRPr="00FC08C0">
        <w:rPr>
          <w:vertAlign w:val="superscript"/>
        </w:rPr>
        <w:t>®</w:t>
      </w:r>
      <w:r w:rsidRPr="00FC08C0">
        <w:rPr>
          <w:rFonts w:cs="Arial"/>
          <w:szCs w:val="22"/>
        </w:rPr>
        <w:t xml:space="preserve"> group and 24.3% in the placebo group.  The percentage of patients who withdrew from the studies due to adverse events was 2.3% and 2.1% for the </w:t>
      </w:r>
      <w:proofErr w:type="spellStart"/>
      <w:r>
        <w:t>Prolia</w:t>
      </w:r>
      <w:proofErr w:type="spellEnd"/>
      <w:r w:rsidRPr="00FC08C0">
        <w:rPr>
          <w:vertAlign w:val="superscript"/>
        </w:rPr>
        <w:t>®</w:t>
      </w:r>
      <w:r w:rsidRPr="00FC08C0">
        <w:rPr>
          <w:rFonts w:cs="Arial"/>
          <w:szCs w:val="22"/>
        </w:rPr>
        <w:t xml:space="preserve"> and placebo groups, respectively.</w:t>
      </w:r>
    </w:p>
    <w:p w:rsidR="00554E4F" w:rsidRPr="00FC08C0" w:rsidRDefault="00554E4F" w:rsidP="00554E4F">
      <w:pPr>
        <w:tabs>
          <w:tab w:val="left" w:pos="72"/>
          <w:tab w:val="left" w:pos="162"/>
        </w:tabs>
        <w:overflowPunct w:val="0"/>
        <w:autoSpaceDE w:val="0"/>
        <w:autoSpaceDN w:val="0"/>
        <w:adjustRightInd w:val="0"/>
        <w:textAlignment w:val="baseline"/>
        <w:rPr>
          <w:rFonts w:cs="Arial"/>
          <w:szCs w:val="22"/>
        </w:rPr>
      </w:pPr>
    </w:p>
    <w:p w:rsidR="00554E4F" w:rsidRPr="00FC08C0" w:rsidRDefault="00554E4F" w:rsidP="00554E4F">
      <w:pPr>
        <w:pStyle w:val="default0"/>
        <w:rPr>
          <w:rFonts w:ascii="Arial" w:hAnsi="Arial" w:cs="Arial"/>
          <w:sz w:val="22"/>
          <w:szCs w:val="22"/>
        </w:rPr>
      </w:pPr>
      <w:r w:rsidRPr="00FC08C0">
        <w:rPr>
          <w:rFonts w:ascii="Arial" w:hAnsi="Arial" w:cs="Arial"/>
          <w:sz w:val="22"/>
          <w:szCs w:val="22"/>
          <w:lang w:val="en-US"/>
        </w:rPr>
        <w:t>T</w:t>
      </w:r>
      <w:r w:rsidRPr="00FC08C0">
        <w:rPr>
          <w:rFonts w:ascii="Arial" w:hAnsi="Arial" w:cs="Arial"/>
          <w:sz w:val="22"/>
          <w:szCs w:val="22"/>
        </w:rPr>
        <w:t>he most common adverse events reported in studies of women with postmenopausal osteoporosis or low bone mass (n</w:t>
      </w:r>
      <w:r w:rsidRPr="00967DD2">
        <w:rPr>
          <w:noProof/>
        </w:rPr>
        <w:t> </w:t>
      </w:r>
      <w:r w:rsidRPr="00FC08C0">
        <w:rPr>
          <w:rFonts w:ascii="Arial" w:hAnsi="Arial" w:cs="Arial"/>
          <w:sz w:val="22"/>
          <w:szCs w:val="22"/>
        </w:rPr>
        <w:t>=</w:t>
      </w:r>
      <w:r w:rsidRPr="00967DD2">
        <w:rPr>
          <w:noProof/>
        </w:rPr>
        <w:t> </w:t>
      </w:r>
      <w:r w:rsidRPr="00FC08C0">
        <w:rPr>
          <w:rFonts w:ascii="Arial" w:hAnsi="Arial" w:cs="Arial"/>
          <w:sz w:val="22"/>
          <w:szCs w:val="22"/>
        </w:rPr>
        <w:t xml:space="preserve">8,091), occurring in ≥ 10% of patients either in the </w:t>
      </w:r>
      <w:proofErr w:type="spellStart"/>
      <w:r w:rsidRPr="00FC08C0">
        <w:rPr>
          <w:rFonts w:ascii="Arial" w:hAnsi="Arial" w:cs="Arial"/>
          <w:sz w:val="22"/>
          <w:szCs w:val="22"/>
        </w:rPr>
        <w:t>Prolia</w:t>
      </w:r>
      <w:proofErr w:type="spellEnd"/>
      <w:r w:rsidRPr="00FC08C0">
        <w:rPr>
          <w:rFonts w:ascii="Arial" w:hAnsi="Arial" w:cs="Arial"/>
          <w:sz w:val="22"/>
          <w:szCs w:val="22"/>
          <w:vertAlign w:val="superscript"/>
        </w:rPr>
        <w:t>®</w:t>
      </w:r>
      <w:r w:rsidRPr="00FC08C0">
        <w:rPr>
          <w:rFonts w:ascii="Arial" w:hAnsi="Arial" w:cs="Arial"/>
          <w:sz w:val="22"/>
          <w:szCs w:val="22"/>
        </w:rPr>
        <w:t xml:space="preserve">-treated or placebo group, were back pain (34.1% </w:t>
      </w:r>
      <w:proofErr w:type="spellStart"/>
      <w:r w:rsidRPr="00FC08C0">
        <w:rPr>
          <w:rFonts w:ascii="Arial" w:hAnsi="Arial" w:cs="Arial"/>
          <w:sz w:val="22"/>
          <w:szCs w:val="22"/>
        </w:rPr>
        <w:t>Prolia</w:t>
      </w:r>
      <w:proofErr w:type="spellEnd"/>
      <w:r w:rsidRPr="00FC08C0">
        <w:rPr>
          <w:rFonts w:ascii="Arial" w:hAnsi="Arial" w:cs="Arial"/>
          <w:sz w:val="22"/>
          <w:szCs w:val="22"/>
          <w:vertAlign w:val="superscript"/>
        </w:rPr>
        <w:t>®</w:t>
      </w:r>
      <w:r w:rsidRPr="00FC08C0">
        <w:rPr>
          <w:rFonts w:ascii="Arial" w:hAnsi="Arial" w:cs="Arial"/>
          <w:sz w:val="22"/>
          <w:szCs w:val="22"/>
        </w:rPr>
        <w:t xml:space="preserve">, 34.0% placebo), arthralgia (20.4% in each group), hypertension (15.3% </w:t>
      </w:r>
      <w:proofErr w:type="spellStart"/>
      <w:r w:rsidRPr="00FC08C0">
        <w:rPr>
          <w:rFonts w:ascii="Arial" w:hAnsi="Arial" w:cs="Arial"/>
          <w:sz w:val="22"/>
          <w:szCs w:val="22"/>
        </w:rPr>
        <w:t>Prolia</w:t>
      </w:r>
      <w:proofErr w:type="spellEnd"/>
      <w:r w:rsidRPr="00FC08C0">
        <w:rPr>
          <w:rFonts w:ascii="Arial" w:hAnsi="Arial" w:cs="Arial"/>
          <w:sz w:val="22"/>
          <w:szCs w:val="22"/>
          <w:vertAlign w:val="superscript"/>
        </w:rPr>
        <w:t>®</w:t>
      </w:r>
      <w:r w:rsidRPr="00FC08C0">
        <w:rPr>
          <w:rFonts w:ascii="Arial" w:hAnsi="Arial" w:cs="Arial"/>
          <w:sz w:val="22"/>
          <w:szCs w:val="22"/>
        </w:rPr>
        <w:t xml:space="preserve">, 16.1% placebo), </w:t>
      </w:r>
      <w:proofErr w:type="spellStart"/>
      <w:r w:rsidRPr="00FC08C0">
        <w:rPr>
          <w:rFonts w:ascii="Arial" w:hAnsi="Arial" w:cs="Arial"/>
          <w:sz w:val="22"/>
          <w:szCs w:val="22"/>
        </w:rPr>
        <w:t>nasopharyngitis</w:t>
      </w:r>
      <w:proofErr w:type="spellEnd"/>
      <w:r w:rsidRPr="00FC08C0">
        <w:rPr>
          <w:rFonts w:ascii="Arial" w:hAnsi="Arial" w:cs="Arial"/>
          <w:sz w:val="22"/>
          <w:szCs w:val="22"/>
        </w:rPr>
        <w:t xml:space="preserve"> (14.8% </w:t>
      </w:r>
      <w:proofErr w:type="spellStart"/>
      <w:r w:rsidRPr="00FC08C0">
        <w:rPr>
          <w:rFonts w:ascii="Arial" w:hAnsi="Arial" w:cs="Arial"/>
          <w:sz w:val="22"/>
          <w:szCs w:val="22"/>
        </w:rPr>
        <w:t>Prolia</w:t>
      </w:r>
      <w:proofErr w:type="spellEnd"/>
      <w:r w:rsidRPr="00FC08C0">
        <w:rPr>
          <w:rFonts w:ascii="Arial" w:hAnsi="Arial" w:cs="Arial"/>
          <w:sz w:val="22"/>
          <w:szCs w:val="22"/>
          <w:vertAlign w:val="superscript"/>
        </w:rPr>
        <w:t>®</w:t>
      </w:r>
      <w:r w:rsidRPr="00FC08C0">
        <w:rPr>
          <w:rFonts w:ascii="Arial" w:hAnsi="Arial" w:cs="Arial"/>
          <w:sz w:val="22"/>
          <w:szCs w:val="22"/>
        </w:rPr>
        <w:t xml:space="preserve">, 15.6% placebo), pain in extremity (11.8% </w:t>
      </w:r>
      <w:proofErr w:type="spellStart"/>
      <w:r w:rsidRPr="00FC08C0">
        <w:rPr>
          <w:rFonts w:ascii="Arial" w:hAnsi="Arial" w:cs="Arial"/>
          <w:sz w:val="22"/>
          <w:szCs w:val="22"/>
        </w:rPr>
        <w:t>Prolia</w:t>
      </w:r>
      <w:proofErr w:type="spellEnd"/>
      <w:r w:rsidRPr="00FC08C0">
        <w:rPr>
          <w:rFonts w:ascii="Arial" w:hAnsi="Arial" w:cs="Arial"/>
          <w:sz w:val="22"/>
          <w:szCs w:val="22"/>
          <w:vertAlign w:val="superscript"/>
        </w:rPr>
        <w:t>®</w:t>
      </w:r>
      <w:r w:rsidRPr="00FC08C0">
        <w:rPr>
          <w:rFonts w:ascii="Arial" w:hAnsi="Arial" w:cs="Arial"/>
          <w:sz w:val="22"/>
          <w:szCs w:val="22"/>
        </w:rPr>
        <w:t xml:space="preserve">, 11.2% placebo) and osteoarthritis (10.9% </w:t>
      </w:r>
      <w:proofErr w:type="spellStart"/>
      <w:r w:rsidRPr="00FC08C0">
        <w:rPr>
          <w:rFonts w:ascii="Arial" w:hAnsi="Arial" w:cs="Arial"/>
          <w:sz w:val="22"/>
          <w:szCs w:val="22"/>
        </w:rPr>
        <w:t>Prolia</w:t>
      </w:r>
      <w:proofErr w:type="spellEnd"/>
      <w:r w:rsidRPr="00FC08C0">
        <w:rPr>
          <w:rFonts w:ascii="Arial" w:hAnsi="Arial" w:cs="Arial"/>
          <w:sz w:val="22"/>
          <w:szCs w:val="22"/>
          <w:vertAlign w:val="superscript"/>
        </w:rPr>
        <w:t>®</w:t>
      </w:r>
      <w:r w:rsidRPr="00FC08C0">
        <w:rPr>
          <w:rFonts w:ascii="Arial" w:hAnsi="Arial" w:cs="Arial"/>
          <w:sz w:val="22"/>
          <w:szCs w:val="22"/>
        </w:rPr>
        <w:t>, 11.1% placebo).</w:t>
      </w:r>
    </w:p>
    <w:p w:rsidR="00554E4F" w:rsidRPr="00FC08C0" w:rsidRDefault="00554E4F" w:rsidP="00554E4F">
      <w:pPr>
        <w:tabs>
          <w:tab w:val="left" w:pos="72"/>
          <w:tab w:val="left" w:pos="162"/>
        </w:tabs>
        <w:overflowPunct w:val="0"/>
        <w:autoSpaceDE w:val="0"/>
        <w:autoSpaceDN w:val="0"/>
        <w:adjustRightInd w:val="0"/>
        <w:textAlignment w:val="baseline"/>
        <w:rPr>
          <w:rFonts w:cs="Arial"/>
          <w:szCs w:val="22"/>
          <w:lang w:val="en-AU"/>
        </w:rPr>
      </w:pPr>
    </w:p>
    <w:p w:rsidR="00554E4F" w:rsidRPr="00FC08C0" w:rsidRDefault="00554E4F" w:rsidP="00554E4F">
      <w:pPr>
        <w:rPr>
          <w:rFonts w:cs="Arial"/>
          <w:szCs w:val="22"/>
          <w:lang w:eastAsia="en-AU"/>
        </w:rPr>
      </w:pPr>
      <w:r w:rsidRPr="00FC08C0">
        <w:rPr>
          <w:rFonts w:cs="Arial"/>
          <w:szCs w:val="22"/>
          <w:lang w:eastAsia="en-AU"/>
        </w:rPr>
        <w:t>Adverse reactions defined as adverse events reported in at least 2% of postmenopausal women with osteoporosis or low bone mass (</w:t>
      </w:r>
      <w:r w:rsidRPr="00FC08C0">
        <w:rPr>
          <w:rFonts w:cs="Arial"/>
          <w:szCs w:val="22"/>
        </w:rPr>
        <w:t>n</w:t>
      </w:r>
      <w:r w:rsidRPr="00967DD2">
        <w:rPr>
          <w:noProof/>
        </w:rPr>
        <w:t> </w:t>
      </w:r>
      <w:r w:rsidRPr="00FC08C0">
        <w:rPr>
          <w:rFonts w:cs="Arial"/>
          <w:szCs w:val="22"/>
        </w:rPr>
        <w:t>=</w:t>
      </w:r>
      <w:r w:rsidRPr="00967DD2">
        <w:rPr>
          <w:noProof/>
        </w:rPr>
        <w:t> </w:t>
      </w:r>
      <w:r w:rsidRPr="00FC08C0">
        <w:rPr>
          <w:rFonts w:cs="Arial"/>
          <w:szCs w:val="22"/>
        </w:rPr>
        <w:t>8,091</w:t>
      </w:r>
      <w:r w:rsidRPr="00FC08C0">
        <w:rPr>
          <w:rFonts w:cs="Arial"/>
          <w:szCs w:val="22"/>
          <w:lang w:eastAsia="en-AU"/>
        </w:rPr>
        <w:t xml:space="preserve">) and at least 1% more frequently in the </w:t>
      </w:r>
      <w:proofErr w:type="spellStart"/>
      <w:r w:rsidRPr="00FC08C0">
        <w:rPr>
          <w:rFonts w:cs="Arial"/>
          <w:szCs w:val="22"/>
          <w:lang w:eastAsia="en-AU"/>
        </w:rPr>
        <w:t>Prolia</w:t>
      </w:r>
      <w:proofErr w:type="spellEnd"/>
      <w:r w:rsidRPr="00FC08C0">
        <w:rPr>
          <w:rFonts w:cs="Arial"/>
          <w:szCs w:val="22"/>
          <w:vertAlign w:val="superscript"/>
        </w:rPr>
        <w:t>®</w:t>
      </w:r>
      <w:r w:rsidRPr="00FC08C0">
        <w:rPr>
          <w:rFonts w:cs="Arial"/>
          <w:szCs w:val="22"/>
          <w:lang w:eastAsia="en-AU"/>
        </w:rPr>
        <w:t xml:space="preserve">-treated women than in the placebo-treated women were: hypercholesterolemia (7.0% </w:t>
      </w:r>
      <w:proofErr w:type="spellStart"/>
      <w:r w:rsidRPr="00FC08C0">
        <w:rPr>
          <w:rFonts w:cs="Arial"/>
          <w:szCs w:val="22"/>
          <w:lang w:eastAsia="en-AU"/>
        </w:rPr>
        <w:t>Prolia</w:t>
      </w:r>
      <w:proofErr w:type="spellEnd"/>
      <w:r w:rsidRPr="00FC08C0">
        <w:rPr>
          <w:rFonts w:cs="Arial"/>
          <w:szCs w:val="22"/>
          <w:vertAlign w:val="superscript"/>
        </w:rPr>
        <w:t>®</w:t>
      </w:r>
      <w:r w:rsidRPr="00FC08C0">
        <w:rPr>
          <w:rFonts w:cs="Arial"/>
          <w:szCs w:val="22"/>
          <w:lang w:eastAsia="en-AU"/>
        </w:rPr>
        <w:t xml:space="preserve">, </w:t>
      </w:r>
      <w:r w:rsidRPr="00FC08C0">
        <w:rPr>
          <w:rFonts w:cs="Arial"/>
          <w:szCs w:val="22"/>
          <w:lang w:eastAsia="en-AU"/>
        </w:rPr>
        <w:br/>
        <w:t xml:space="preserve">5.9% placebo) and eczema (includes dermatitis, allergic dermatitis, atopic dermatitis and contact dermatitis) (3.1% </w:t>
      </w:r>
      <w:proofErr w:type="spellStart"/>
      <w:r w:rsidRPr="00FC08C0">
        <w:rPr>
          <w:rFonts w:cs="Arial"/>
          <w:szCs w:val="22"/>
          <w:lang w:eastAsia="en-AU"/>
        </w:rPr>
        <w:t>Prolia</w:t>
      </w:r>
      <w:proofErr w:type="spellEnd"/>
      <w:r w:rsidRPr="00FC08C0">
        <w:rPr>
          <w:rFonts w:cs="Arial"/>
          <w:szCs w:val="22"/>
          <w:vertAlign w:val="superscript"/>
        </w:rPr>
        <w:t>®</w:t>
      </w:r>
      <w:r w:rsidRPr="00FC08C0">
        <w:rPr>
          <w:rFonts w:cs="Arial"/>
          <w:szCs w:val="22"/>
          <w:lang w:eastAsia="en-AU"/>
        </w:rPr>
        <w:t>, 1.7% placebo).</w:t>
      </w:r>
    </w:p>
    <w:p w:rsidR="00554E4F" w:rsidRDefault="00554E4F" w:rsidP="00554E4F">
      <w:pPr>
        <w:rPr>
          <w:rFonts w:cs="Arial"/>
          <w:szCs w:val="22"/>
        </w:rPr>
      </w:pPr>
    </w:p>
    <w:p w:rsidR="00554E4F" w:rsidRDefault="00554E4F" w:rsidP="00554E4F">
      <w:pPr>
        <w:rPr>
          <w:b/>
        </w:rPr>
      </w:pPr>
      <w:r>
        <w:rPr>
          <w:rFonts w:cs="Arial"/>
          <w:szCs w:val="22"/>
        </w:rPr>
        <w:t xml:space="preserve">In STAND, a double-blind, </w:t>
      </w:r>
      <w:proofErr w:type="spellStart"/>
      <w:r>
        <w:rPr>
          <w:rFonts w:cs="Arial"/>
          <w:szCs w:val="22"/>
        </w:rPr>
        <w:t>randomised</w:t>
      </w:r>
      <w:proofErr w:type="spellEnd"/>
      <w:r>
        <w:rPr>
          <w:rFonts w:cs="Arial"/>
          <w:szCs w:val="22"/>
        </w:rPr>
        <w:t xml:space="preserve">, alendronate-controlled, study in postmenopausal women with low bone mass who had received alendronate for at least 6 months preceding study entry, patients received either </w:t>
      </w:r>
      <w:proofErr w:type="spellStart"/>
      <w:r>
        <w:rPr>
          <w:rFonts w:cs="Arial"/>
          <w:szCs w:val="22"/>
        </w:rPr>
        <w:t>Prolia</w:t>
      </w:r>
      <w:proofErr w:type="spellEnd"/>
      <w:r>
        <w:rPr>
          <w:rFonts w:cs="Arial"/>
          <w:szCs w:val="22"/>
          <w:vertAlign w:val="superscript"/>
        </w:rPr>
        <w:t>®</w:t>
      </w:r>
      <w:r>
        <w:rPr>
          <w:rFonts w:cs="Arial"/>
          <w:szCs w:val="22"/>
        </w:rPr>
        <w:t xml:space="preserve"> 60 mg Q6M SC (n = 253) or alendronate orally 70 mg weekly for 12 months (n = 249).  </w:t>
      </w:r>
      <w:r w:rsidRPr="00A920CA">
        <w:rPr>
          <w:rFonts w:cs="Arial"/>
          <w:szCs w:val="22"/>
        </w:rPr>
        <w:t>The safety profile was similar for</w:t>
      </w:r>
      <w:r>
        <w:rPr>
          <w:rFonts w:cs="Arial"/>
          <w:szCs w:val="22"/>
        </w:rPr>
        <w:t xml:space="preserve"> patients</w:t>
      </w:r>
      <w:r w:rsidRPr="00A920CA">
        <w:rPr>
          <w:rFonts w:cs="Arial"/>
          <w:szCs w:val="22"/>
        </w:rPr>
        <w:t xml:space="preserve"> transitioning from alendronate to </w:t>
      </w:r>
      <w:proofErr w:type="spellStart"/>
      <w:r w:rsidRPr="00A920CA">
        <w:rPr>
          <w:rFonts w:cs="Arial"/>
          <w:szCs w:val="22"/>
        </w:rPr>
        <w:t>denosumab</w:t>
      </w:r>
      <w:proofErr w:type="spellEnd"/>
      <w:r w:rsidRPr="00A920CA">
        <w:rPr>
          <w:rFonts w:cs="Arial"/>
          <w:szCs w:val="22"/>
        </w:rPr>
        <w:t xml:space="preserve"> and those continuing on alendronate therapy, including the overall incidence of adverse events</w:t>
      </w:r>
      <w:r>
        <w:rPr>
          <w:rFonts w:cs="Arial"/>
          <w:szCs w:val="22"/>
        </w:rPr>
        <w:t xml:space="preserve"> and</w:t>
      </w:r>
      <w:r w:rsidRPr="00A920CA">
        <w:rPr>
          <w:rFonts w:cs="Arial"/>
          <w:szCs w:val="22"/>
        </w:rPr>
        <w:t xml:space="preserve"> serious adverse events.</w:t>
      </w:r>
      <w:r>
        <w:rPr>
          <w:rFonts w:cs="Arial"/>
          <w:szCs w:val="22"/>
        </w:rPr>
        <w:t xml:space="preserve">  Eight patients (3.2%) in the </w:t>
      </w:r>
      <w:proofErr w:type="spellStart"/>
      <w:r>
        <w:rPr>
          <w:rFonts w:cs="Arial"/>
          <w:szCs w:val="22"/>
        </w:rPr>
        <w:t>Prolia</w:t>
      </w:r>
      <w:proofErr w:type="spellEnd"/>
      <w:r>
        <w:rPr>
          <w:rFonts w:cs="Arial"/>
          <w:szCs w:val="22"/>
          <w:vertAlign w:val="superscript"/>
        </w:rPr>
        <w:t>®</w:t>
      </w:r>
      <w:r>
        <w:rPr>
          <w:rFonts w:cs="Arial"/>
          <w:szCs w:val="22"/>
        </w:rPr>
        <w:t xml:space="preserve"> group and 4 patients (1.6%) in the alendronate group reported adverse events of fracture.</w:t>
      </w:r>
    </w:p>
    <w:p w:rsidR="00554E4F" w:rsidRDefault="00554E4F" w:rsidP="00A76E51"/>
    <w:p w:rsidR="00554E4F" w:rsidRPr="00FC08C0" w:rsidRDefault="00554E4F" w:rsidP="00554E4F">
      <w:pPr>
        <w:autoSpaceDE w:val="0"/>
        <w:autoSpaceDN w:val="0"/>
        <w:adjustRightInd w:val="0"/>
        <w:rPr>
          <w:rFonts w:cs="Arial"/>
          <w:b/>
          <w:i/>
          <w:iCs/>
          <w:szCs w:val="22"/>
        </w:rPr>
      </w:pPr>
      <w:r w:rsidRPr="00FC08C0">
        <w:rPr>
          <w:rFonts w:cs="Arial"/>
          <w:b/>
          <w:i/>
          <w:iCs/>
          <w:szCs w:val="22"/>
        </w:rPr>
        <w:t>Hypocalcaemia</w:t>
      </w:r>
    </w:p>
    <w:p w:rsidR="00554E4F" w:rsidRPr="00FC08C0" w:rsidRDefault="00554E4F" w:rsidP="00554E4F">
      <w:pPr>
        <w:autoSpaceDE w:val="0"/>
        <w:autoSpaceDN w:val="0"/>
        <w:adjustRightInd w:val="0"/>
        <w:rPr>
          <w:noProof/>
          <w:szCs w:val="22"/>
        </w:rPr>
      </w:pPr>
      <w:r w:rsidRPr="00FC08C0">
        <w:rPr>
          <w:noProof/>
          <w:szCs w:val="22"/>
        </w:rPr>
        <w:t xml:space="preserve">In two </w:t>
      </w:r>
      <w:r w:rsidRPr="00FC08C0">
        <w:rPr>
          <w:noProof/>
          <w:color w:val="000000"/>
          <w:szCs w:val="22"/>
        </w:rPr>
        <w:t>phase III placebo-controlled clinical trials</w:t>
      </w:r>
      <w:r w:rsidRPr="00FC08C0">
        <w:rPr>
          <w:noProof/>
          <w:szCs w:val="22"/>
        </w:rPr>
        <w:t xml:space="preserve"> </w:t>
      </w:r>
      <w:r w:rsidRPr="00FC08C0">
        <w:rPr>
          <w:iCs/>
          <w:noProof/>
          <w:szCs w:val="22"/>
        </w:rPr>
        <w:t>in postmenopausal women with osteoporosis</w:t>
      </w:r>
      <w:r w:rsidRPr="00FC08C0">
        <w:rPr>
          <w:noProof/>
          <w:szCs w:val="22"/>
        </w:rPr>
        <w:t xml:space="preserve">, approximately </w:t>
      </w:r>
      <w:r w:rsidRPr="00FC08C0">
        <w:rPr>
          <w:rFonts w:eastAsia="@Arial Unicode MS"/>
          <w:noProof/>
          <w:szCs w:val="22"/>
        </w:rPr>
        <w:t>0.05% (2 of 4,050)</w:t>
      </w:r>
      <w:r w:rsidRPr="00FC08C0">
        <w:rPr>
          <w:noProof/>
          <w:szCs w:val="22"/>
        </w:rPr>
        <w:t xml:space="preserve"> of patients had declines of serum calcium levels (less than 1.88 mmol/l) following </w:t>
      </w:r>
      <w:proofErr w:type="spellStart"/>
      <w:r>
        <w:t>Prolia</w:t>
      </w:r>
      <w:proofErr w:type="spellEnd"/>
      <w:r w:rsidRPr="00FC08C0">
        <w:rPr>
          <w:vertAlign w:val="superscript"/>
        </w:rPr>
        <w:t>®</w:t>
      </w:r>
      <w:r w:rsidRPr="00FC08C0">
        <w:rPr>
          <w:rFonts w:cs="Arial"/>
          <w:iCs/>
          <w:szCs w:val="22"/>
        </w:rPr>
        <w:t xml:space="preserve"> </w:t>
      </w:r>
      <w:r w:rsidRPr="00FC08C0">
        <w:rPr>
          <w:noProof/>
          <w:szCs w:val="22"/>
        </w:rPr>
        <w:t>administration.</w:t>
      </w:r>
    </w:p>
    <w:p w:rsidR="00554E4F" w:rsidRDefault="00554E4F" w:rsidP="00A76E51"/>
    <w:p w:rsidR="00554E4F" w:rsidRPr="00FC08C0" w:rsidRDefault="00554E4F" w:rsidP="00554E4F">
      <w:pPr>
        <w:autoSpaceDE w:val="0"/>
        <w:autoSpaceDN w:val="0"/>
        <w:adjustRightInd w:val="0"/>
        <w:rPr>
          <w:rFonts w:cs="Arial"/>
          <w:b/>
          <w:i/>
          <w:iCs/>
          <w:szCs w:val="22"/>
        </w:rPr>
      </w:pPr>
      <w:r w:rsidRPr="00FC08C0">
        <w:rPr>
          <w:rFonts w:cs="Arial"/>
          <w:b/>
          <w:i/>
          <w:iCs/>
          <w:szCs w:val="22"/>
        </w:rPr>
        <w:t>Skin Infections</w:t>
      </w:r>
    </w:p>
    <w:p w:rsidR="00554E4F" w:rsidRPr="00FC08C0" w:rsidRDefault="00554E4F" w:rsidP="00554E4F">
      <w:pPr>
        <w:rPr>
          <w:iCs/>
        </w:rPr>
      </w:pPr>
      <w:bookmarkStart w:id="7" w:name="OLE_LINK21"/>
      <w:bookmarkStart w:id="8" w:name="OLE_LINK22"/>
      <w:r w:rsidRPr="00FC08C0">
        <w:rPr>
          <w:noProof/>
          <w:szCs w:val="22"/>
        </w:rPr>
        <w:t>In</w:t>
      </w:r>
      <w:r w:rsidRPr="00FC08C0">
        <w:rPr>
          <w:noProof/>
          <w:color w:val="000000"/>
          <w:szCs w:val="22"/>
        </w:rPr>
        <w:t xml:space="preserve"> two phase III placebo-controlled clinical trials </w:t>
      </w:r>
      <w:r w:rsidRPr="00FC08C0">
        <w:rPr>
          <w:iCs/>
          <w:noProof/>
        </w:rPr>
        <w:t xml:space="preserve">in </w:t>
      </w:r>
      <w:r w:rsidRPr="00FC08C0">
        <w:rPr>
          <w:bCs/>
          <w:noProof/>
          <w:color w:val="000000"/>
          <w:szCs w:val="22"/>
        </w:rPr>
        <w:t>postmenopausal women with osteoporosis</w:t>
      </w:r>
      <w:r w:rsidRPr="00FC08C0">
        <w:rPr>
          <w:iCs/>
          <w:noProof/>
        </w:rPr>
        <w:t xml:space="preserve">, </w:t>
      </w:r>
      <w:r w:rsidRPr="00FC08C0">
        <w:rPr>
          <w:iCs/>
        </w:rPr>
        <w:t xml:space="preserve">skin infections leading to </w:t>
      </w:r>
      <w:proofErr w:type="spellStart"/>
      <w:r w:rsidRPr="00FC08C0">
        <w:rPr>
          <w:iCs/>
        </w:rPr>
        <w:t>hospitalisation</w:t>
      </w:r>
      <w:proofErr w:type="spellEnd"/>
      <w:r w:rsidRPr="00FC08C0">
        <w:rPr>
          <w:iCs/>
        </w:rPr>
        <w:t xml:space="preserve"> were reported more frequently in the </w:t>
      </w:r>
      <w:proofErr w:type="spellStart"/>
      <w:r>
        <w:t>Prolia</w:t>
      </w:r>
      <w:proofErr w:type="spellEnd"/>
      <w:r w:rsidRPr="00FC08C0">
        <w:rPr>
          <w:vertAlign w:val="superscript"/>
        </w:rPr>
        <w:t>®</w:t>
      </w:r>
      <w:r w:rsidRPr="00FC08C0">
        <w:rPr>
          <w:rFonts w:cs="Arial"/>
          <w:szCs w:val="22"/>
        </w:rPr>
        <w:t xml:space="preserve"> </w:t>
      </w:r>
      <w:r w:rsidRPr="00FC08C0">
        <w:rPr>
          <w:iCs/>
        </w:rPr>
        <w:t>(0.4%, 16 of 4,050) versus the placebo (0.1%, 3 of 4,041) groups, respectively.</w:t>
      </w:r>
      <w:bookmarkEnd w:id="7"/>
      <w:bookmarkEnd w:id="8"/>
      <w:r w:rsidRPr="00FC08C0">
        <w:rPr>
          <w:iCs/>
        </w:rPr>
        <w:t xml:space="preserve">  These cases were predominantly cellulitis.  The overall incidence of skin infections was similar between the </w:t>
      </w:r>
      <w:proofErr w:type="spellStart"/>
      <w:r>
        <w:t>Prolia</w:t>
      </w:r>
      <w:proofErr w:type="spellEnd"/>
      <w:r w:rsidRPr="00FC08C0">
        <w:rPr>
          <w:vertAlign w:val="superscript"/>
        </w:rPr>
        <w:t>®</w:t>
      </w:r>
      <w:r w:rsidRPr="00FC08C0">
        <w:rPr>
          <w:rFonts w:cs="Arial"/>
          <w:szCs w:val="22"/>
        </w:rPr>
        <w:t xml:space="preserve"> (</w:t>
      </w:r>
      <w:r w:rsidRPr="00FC08C0">
        <w:rPr>
          <w:bCs/>
          <w:noProof/>
          <w:color w:val="000000"/>
          <w:szCs w:val="22"/>
        </w:rPr>
        <w:t>1.5%, 59 of 4,050</w:t>
      </w:r>
      <w:r w:rsidRPr="00FC08C0">
        <w:rPr>
          <w:rFonts w:cs="Arial"/>
          <w:szCs w:val="22"/>
        </w:rPr>
        <w:t xml:space="preserve">) and placebo </w:t>
      </w:r>
      <w:r w:rsidRPr="00FC08C0">
        <w:rPr>
          <w:iCs/>
        </w:rPr>
        <w:t>groups (</w:t>
      </w:r>
      <w:r w:rsidRPr="00FC08C0">
        <w:rPr>
          <w:bCs/>
          <w:noProof/>
          <w:color w:val="000000"/>
          <w:szCs w:val="22"/>
        </w:rPr>
        <w:t>1.2%, 50 of 4,041</w:t>
      </w:r>
      <w:r w:rsidRPr="00FC08C0">
        <w:rPr>
          <w:iCs/>
        </w:rPr>
        <w:t>).</w:t>
      </w:r>
    </w:p>
    <w:p w:rsidR="00554E4F" w:rsidRDefault="00554E4F" w:rsidP="00A76E51"/>
    <w:p w:rsidR="00554E4F" w:rsidRPr="00FC08C0" w:rsidRDefault="00554E4F" w:rsidP="00554E4F">
      <w:pPr>
        <w:autoSpaceDE w:val="0"/>
        <w:autoSpaceDN w:val="0"/>
        <w:adjustRightInd w:val="0"/>
        <w:rPr>
          <w:rFonts w:cs="Arial"/>
          <w:b/>
          <w:i/>
          <w:iCs/>
          <w:color w:val="000000"/>
          <w:szCs w:val="22"/>
        </w:rPr>
      </w:pPr>
      <w:r w:rsidRPr="00FC08C0">
        <w:rPr>
          <w:rFonts w:cs="Arial"/>
          <w:b/>
          <w:i/>
          <w:iCs/>
          <w:color w:val="000000"/>
          <w:szCs w:val="22"/>
        </w:rPr>
        <w:t>Pancreatitis</w:t>
      </w:r>
    </w:p>
    <w:p w:rsidR="00554E4F" w:rsidRPr="00FC08C0" w:rsidRDefault="00554E4F" w:rsidP="00554E4F">
      <w:pPr>
        <w:autoSpaceDE w:val="0"/>
        <w:autoSpaceDN w:val="0"/>
        <w:adjustRightInd w:val="0"/>
        <w:rPr>
          <w:rFonts w:cs="Arial"/>
          <w:iCs/>
          <w:color w:val="000000"/>
          <w:szCs w:val="22"/>
        </w:rPr>
      </w:pPr>
      <w:r w:rsidRPr="00FC08C0">
        <w:rPr>
          <w:rFonts w:cs="Arial"/>
          <w:iCs/>
          <w:color w:val="000000"/>
          <w:szCs w:val="22"/>
        </w:rPr>
        <w:t xml:space="preserve">Pancreatitis was reported in 4 patients (0.1%) in the placebo and 8 patients (0.2%) in the </w:t>
      </w:r>
      <w:proofErr w:type="spellStart"/>
      <w:r w:rsidRPr="00FC08C0">
        <w:rPr>
          <w:rFonts w:cs="Arial"/>
          <w:iCs/>
          <w:color w:val="000000"/>
          <w:szCs w:val="22"/>
        </w:rPr>
        <w:t>Prolia</w:t>
      </w:r>
      <w:proofErr w:type="spellEnd"/>
      <w:r w:rsidRPr="00FC08C0">
        <w:rPr>
          <w:rFonts w:cs="Arial"/>
          <w:vertAlign w:val="superscript"/>
        </w:rPr>
        <w:t>®</w:t>
      </w:r>
      <w:r w:rsidRPr="00FC08C0">
        <w:rPr>
          <w:rFonts w:cs="Arial"/>
          <w:iCs/>
          <w:color w:val="000000"/>
          <w:szCs w:val="22"/>
        </w:rPr>
        <w:t xml:space="preserve"> groups.  Several patients had a prior history of pancreatitis or a confounding event (e.g. gallstones).  The time from product administration to event occurrence was variable.</w:t>
      </w:r>
    </w:p>
    <w:p w:rsidR="00554E4F" w:rsidRDefault="00554E4F" w:rsidP="00A76E51"/>
    <w:p w:rsidR="00554E4F" w:rsidRPr="00FC08C0" w:rsidRDefault="00554E4F" w:rsidP="00554E4F">
      <w:pPr>
        <w:autoSpaceDE w:val="0"/>
        <w:autoSpaceDN w:val="0"/>
        <w:adjustRightInd w:val="0"/>
        <w:rPr>
          <w:b/>
          <w:i/>
          <w:szCs w:val="22"/>
        </w:rPr>
      </w:pPr>
      <w:r w:rsidRPr="00FC08C0">
        <w:rPr>
          <w:b/>
          <w:i/>
          <w:szCs w:val="22"/>
        </w:rPr>
        <w:t>Osteonecrosis of the Jaw (ONJ)</w:t>
      </w:r>
    </w:p>
    <w:p w:rsidR="00554E4F" w:rsidRDefault="00554E4F" w:rsidP="00554E4F">
      <w:pPr>
        <w:autoSpaceDE w:val="0"/>
        <w:autoSpaceDN w:val="0"/>
        <w:adjustRightInd w:val="0"/>
        <w:rPr>
          <w:rFonts w:cs="Arial"/>
          <w:szCs w:val="22"/>
        </w:rPr>
      </w:pPr>
      <w:r w:rsidRPr="00FC08C0">
        <w:rPr>
          <w:szCs w:val="22"/>
        </w:rPr>
        <w:t xml:space="preserve">In the osteoporosis clinical trial program, ONJ was reported rarely in patients treated with </w:t>
      </w:r>
      <w:proofErr w:type="spellStart"/>
      <w:r w:rsidRPr="00FC08C0">
        <w:rPr>
          <w:szCs w:val="22"/>
        </w:rPr>
        <w:t>Prolia</w:t>
      </w:r>
      <w:proofErr w:type="spellEnd"/>
      <w:r w:rsidRPr="00FC08C0">
        <w:rPr>
          <w:rFonts w:cs="Arial"/>
          <w:szCs w:val="22"/>
          <w:vertAlign w:val="superscript"/>
        </w:rPr>
        <w:t>®</w:t>
      </w:r>
      <w:r w:rsidRPr="00FC08C0">
        <w:rPr>
          <w:rFonts w:cs="Arial"/>
          <w:szCs w:val="22"/>
        </w:rPr>
        <w:t>.</w:t>
      </w:r>
    </w:p>
    <w:p w:rsidR="00554E4F" w:rsidRDefault="00554E4F" w:rsidP="00554E4F">
      <w:pPr>
        <w:autoSpaceDE w:val="0"/>
        <w:autoSpaceDN w:val="0"/>
        <w:adjustRightInd w:val="0"/>
        <w:rPr>
          <w:rFonts w:cs="Arial"/>
          <w:szCs w:val="22"/>
        </w:rPr>
      </w:pPr>
    </w:p>
    <w:p w:rsidR="00554E4F" w:rsidRPr="00B33FFC" w:rsidRDefault="00554E4F" w:rsidP="00554E4F">
      <w:pPr>
        <w:autoSpaceDE w:val="0"/>
        <w:autoSpaceDN w:val="0"/>
        <w:adjustRightInd w:val="0"/>
        <w:rPr>
          <w:rFonts w:cs="Arial"/>
          <w:b/>
          <w:bCs/>
          <w:i/>
          <w:iCs/>
          <w:color w:val="000000"/>
          <w:szCs w:val="22"/>
          <w:lang w:val="en-AU" w:eastAsia="en-AU"/>
        </w:rPr>
      </w:pPr>
      <w:r w:rsidRPr="00B33FFC">
        <w:rPr>
          <w:rFonts w:cs="Arial"/>
          <w:b/>
          <w:color w:val="000000"/>
          <w:szCs w:val="22"/>
        </w:rPr>
        <w:t>Atypical Femoral Fractures</w:t>
      </w:r>
      <w:r w:rsidRPr="00B33FFC">
        <w:rPr>
          <w:rFonts w:cs="Arial"/>
          <w:b/>
          <w:color w:val="000000"/>
          <w:vertAlign w:val="superscript"/>
        </w:rPr>
        <w:t>#</w:t>
      </w:r>
    </w:p>
    <w:p w:rsidR="00554E4F" w:rsidRPr="00B33FFC" w:rsidRDefault="00554E4F" w:rsidP="00554E4F">
      <w:pPr>
        <w:autoSpaceDE w:val="0"/>
        <w:autoSpaceDN w:val="0"/>
        <w:adjustRightInd w:val="0"/>
        <w:rPr>
          <w:rFonts w:eastAsia="TimesNewRoman" w:cs="Arial"/>
          <w:color w:val="000000"/>
          <w:szCs w:val="22"/>
          <w:lang w:val="en-AU" w:eastAsia="en-AU"/>
        </w:rPr>
      </w:pPr>
      <w:r w:rsidRPr="00B33FFC">
        <w:rPr>
          <w:rFonts w:eastAsia="TimesNewRoman" w:cs="Arial"/>
          <w:color w:val="000000"/>
          <w:szCs w:val="22"/>
          <w:lang w:val="en-AU" w:eastAsia="en-AU"/>
        </w:rPr>
        <w:t xml:space="preserve">In the osteoporosis clinical trial program, atypical femoral fractures were reported very rarely in patients treated with </w:t>
      </w:r>
      <w:proofErr w:type="spellStart"/>
      <w:r w:rsidRPr="00B33FFC">
        <w:rPr>
          <w:rFonts w:eastAsia="TimesNewRoman" w:cs="Arial"/>
          <w:color w:val="000000"/>
          <w:szCs w:val="22"/>
          <w:lang w:val="en-AU" w:eastAsia="en-AU"/>
        </w:rPr>
        <w:t>Prolia</w:t>
      </w:r>
      <w:proofErr w:type="spellEnd"/>
      <w:r w:rsidRPr="00B33FFC">
        <w:rPr>
          <w:rFonts w:cs="Arial"/>
          <w:color w:val="000000"/>
          <w:szCs w:val="22"/>
          <w:vertAlign w:val="superscript"/>
        </w:rPr>
        <w:t>®</w:t>
      </w:r>
      <w:r w:rsidRPr="00B33FFC">
        <w:rPr>
          <w:rFonts w:eastAsia="TimesNewRoman" w:cs="Arial"/>
          <w:color w:val="000000"/>
          <w:szCs w:val="22"/>
          <w:lang w:val="en-AU" w:eastAsia="en-AU"/>
        </w:rPr>
        <w:t>.</w:t>
      </w:r>
    </w:p>
    <w:p w:rsidR="00554E4F" w:rsidRDefault="00554E4F" w:rsidP="00554E4F">
      <w:pPr>
        <w:autoSpaceDE w:val="0"/>
        <w:autoSpaceDN w:val="0"/>
        <w:adjustRightInd w:val="0"/>
        <w:rPr>
          <w:rFonts w:cs="Arial"/>
          <w:szCs w:val="22"/>
        </w:rPr>
      </w:pPr>
    </w:p>
    <w:p w:rsidR="00554E4F" w:rsidRPr="0006750D" w:rsidRDefault="00554E4F" w:rsidP="00554E4F">
      <w:pPr>
        <w:autoSpaceDE w:val="0"/>
        <w:autoSpaceDN w:val="0"/>
        <w:adjustRightInd w:val="0"/>
        <w:rPr>
          <w:rFonts w:cs="TimesNewRomanPSMT"/>
          <w:b/>
          <w:color w:val="000000"/>
        </w:rPr>
      </w:pPr>
      <w:r w:rsidRPr="0006750D">
        <w:rPr>
          <w:rFonts w:cs="TimesNewRomanPSMT"/>
          <w:b/>
          <w:color w:val="000000"/>
        </w:rPr>
        <w:t>Treatment of Osteoporosis in Men</w:t>
      </w:r>
      <w:r w:rsidRPr="0006750D">
        <w:rPr>
          <w:rFonts w:cs="TimesNewRomanPSMT"/>
          <w:b/>
          <w:color w:val="000000"/>
          <w:vertAlign w:val="superscript"/>
        </w:rPr>
        <w:t>#</w:t>
      </w:r>
    </w:p>
    <w:p w:rsidR="00554E4F" w:rsidRPr="0006750D" w:rsidRDefault="00554E4F" w:rsidP="00554E4F">
      <w:pPr>
        <w:autoSpaceDE w:val="0"/>
        <w:autoSpaceDN w:val="0"/>
        <w:adjustRightInd w:val="0"/>
        <w:rPr>
          <w:rFonts w:cs="TimesNewRomanPS-BoldMT"/>
          <w:b/>
          <w:bCs/>
          <w:color w:val="000000"/>
        </w:rPr>
      </w:pPr>
      <w:r w:rsidRPr="0006750D">
        <w:rPr>
          <w:rFonts w:cs="TimesNewRomanPSMT"/>
          <w:color w:val="000000"/>
        </w:rPr>
        <w:t xml:space="preserve">The safety of </w:t>
      </w:r>
      <w:proofErr w:type="spellStart"/>
      <w:r w:rsidRPr="0006750D">
        <w:rPr>
          <w:rFonts w:cs="TimesNewRomanPSMT"/>
          <w:color w:val="000000"/>
        </w:rPr>
        <w:t>Prolia</w:t>
      </w:r>
      <w:proofErr w:type="spellEnd"/>
      <w:r w:rsidRPr="0006750D">
        <w:rPr>
          <w:rFonts w:cs="Arial"/>
          <w:color w:val="000000"/>
          <w:szCs w:val="22"/>
          <w:vertAlign w:val="superscript"/>
        </w:rPr>
        <w:t>®</w:t>
      </w:r>
      <w:r w:rsidRPr="0006750D">
        <w:rPr>
          <w:rFonts w:cs="TimesNewRomanPSMT"/>
          <w:color w:val="000000"/>
        </w:rPr>
        <w:t xml:space="preserve"> in the treatment of men with osteoporosis was assessed in ADAMO, a </w:t>
      </w:r>
      <w:proofErr w:type="spellStart"/>
      <w:r w:rsidRPr="0006750D">
        <w:rPr>
          <w:rFonts w:cs="TimesNewRomanPSMT"/>
          <w:color w:val="000000"/>
        </w:rPr>
        <w:t>randomised</w:t>
      </w:r>
      <w:proofErr w:type="spellEnd"/>
      <w:r w:rsidRPr="0006750D">
        <w:rPr>
          <w:rFonts w:cs="TimesNewRomanPSMT"/>
          <w:color w:val="000000"/>
        </w:rPr>
        <w:t>, double-blind, placebo-controlled study; a 1 year double-blind phase followed by a 1 year open-label extension.</w:t>
      </w:r>
      <w:r w:rsidRPr="0006750D">
        <w:rPr>
          <w:rFonts w:cs="TimesNewRomanPS-BoldMT"/>
          <w:bCs/>
          <w:color w:val="000000"/>
        </w:rPr>
        <w:t xml:space="preserve">  </w:t>
      </w:r>
      <w:r w:rsidRPr="0006750D">
        <w:rPr>
          <w:rFonts w:cs="TimesNewRomanPSMT"/>
          <w:color w:val="000000"/>
        </w:rPr>
        <w:t xml:space="preserve">During the double-blind phase, a total of 120 men were exposed to </w:t>
      </w:r>
      <w:proofErr w:type="spellStart"/>
      <w:r w:rsidRPr="0006750D">
        <w:rPr>
          <w:rFonts w:cs="TimesNewRomanPSMT"/>
          <w:color w:val="000000"/>
        </w:rPr>
        <w:t>Prolia</w:t>
      </w:r>
      <w:proofErr w:type="spellEnd"/>
      <w:r w:rsidRPr="0006750D">
        <w:rPr>
          <w:rFonts w:cs="Arial"/>
          <w:color w:val="000000"/>
          <w:szCs w:val="22"/>
          <w:vertAlign w:val="superscript"/>
        </w:rPr>
        <w:t>®</w:t>
      </w:r>
      <w:r w:rsidRPr="0006750D">
        <w:rPr>
          <w:rFonts w:cs="TimesNewRomanPSMT"/>
          <w:color w:val="000000"/>
        </w:rPr>
        <w:t xml:space="preserve"> and 120 men were exposed placebo administered subcutaneously once every 6 months as a single 60 mg dose.</w:t>
      </w:r>
      <w:r w:rsidRPr="0006750D">
        <w:rPr>
          <w:rFonts w:cs="TimesNewRomanPS-BoldMT"/>
          <w:bCs/>
          <w:color w:val="000000"/>
        </w:rPr>
        <w:t xml:space="preserve">  </w:t>
      </w:r>
      <w:r w:rsidRPr="0006750D">
        <w:rPr>
          <w:rFonts w:cs="TimesNewRomanPSMT"/>
          <w:color w:val="000000"/>
        </w:rPr>
        <w:t>All men were instructed to take at least 1000 mg of calcium and 800 IU of vitamin D supplementation per day.</w:t>
      </w:r>
    </w:p>
    <w:p w:rsidR="00554E4F" w:rsidRDefault="00554E4F" w:rsidP="00554E4F">
      <w:pPr>
        <w:autoSpaceDE w:val="0"/>
        <w:autoSpaceDN w:val="0"/>
        <w:adjustRightInd w:val="0"/>
        <w:rPr>
          <w:rFonts w:cs="Arial"/>
          <w:szCs w:val="22"/>
        </w:rPr>
      </w:pPr>
    </w:p>
    <w:p w:rsidR="00554E4F" w:rsidRPr="0006750D" w:rsidRDefault="00554E4F" w:rsidP="00554E4F">
      <w:pPr>
        <w:autoSpaceDE w:val="0"/>
        <w:autoSpaceDN w:val="0"/>
        <w:adjustRightInd w:val="0"/>
        <w:rPr>
          <w:rFonts w:cs="TimesNewRomanPSMT"/>
          <w:color w:val="000000"/>
        </w:rPr>
      </w:pPr>
      <w:r w:rsidRPr="0006750D">
        <w:rPr>
          <w:rFonts w:cs="TimesNewRomanPSMT"/>
          <w:color w:val="000000"/>
        </w:rPr>
        <w:t xml:space="preserve">The incidence of all-cause mortality was 0.8% (n = 1) in the </w:t>
      </w:r>
      <w:proofErr w:type="spellStart"/>
      <w:r w:rsidRPr="0006750D">
        <w:rPr>
          <w:rFonts w:cs="TimesNewRomanPSMT"/>
          <w:color w:val="000000"/>
        </w:rPr>
        <w:t>Prolia</w:t>
      </w:r>
      <w:proofErr w:type="spellEnd"/>
      <w:r w:rsidRPr="0006750D">
        <w:rPr>
          <w:rFonts w:cs="Arial"/>
          <w:color w:val="000000"/>
          <w:szCs w:val="22"/>
          <w:vertAlign w:val="superscript"/>
        </w:rPr>
        <w:t>®</w:t>
      </w:r>
      <w:r w:rsidRPr="0006750D">
        <w:rPr>
          <w:rFonts w:cs="TimesNewRomanPSMT"/>
          <w:color w:val="000000"/>
        </w:rPr>
        <w:t xml:space="preserve"> group and 0.8% (n = 1) in the placebo group.</w:t>
      </w:r>
      <w:r w:rsidRPr="0006750D">
        <w:rPr>
          <w:rFonts w:cs="TimesNewRomanPS-BoldMT"/>
          <w:bCs/>
          <w:color w:val="000000"/>
        </w:rPr>
        <w:t xml:space="preserve">  </w:t>
      </w:r>
      <w:r w:rsidRPr="0006750D">
        <w:rPr>
          <w:rFonts w:cs="TimesNewRomanPSMT"/>
          <w:color w:val="000000"/>
        </w:rPr>
        <w:t xml:space="preserve">The incidence of serious adverse events was 9.2% in the </w:t>
      </w:r>
      <w:proofErr w:type="spellStart"/>
      <w:r w:rsidRPr="0006750D">
        <w:rPr>
          <w:rFonts w:cs="TimesNewRomanPSMT"/>
          <w:color w:val="000000"/>
        </w:rPr>
        <w:t>Prolia</w:t>
      </w:r>
      <w:proofErr w:type="spellEnd"/>
      <w:r w:rsidRPr="0006750D">
        <w:rPr>
          <w:rFonts w:cs="Arial"/>
          <w:color w:val="000000"/>
          <w:szCs w:val="22"/>
          <w:vertAlign w:val="superscript"/>
        </w:rPr>
        <w:t>®</w:t>
      </w:r>
      <w:r w:rsidRPr="0006750D">
        <w:rPr>
          <w:rFonts w:cs="TimesNewRomanPSMT"/>
          <w:color w:val="000000"/>
        </w:rPr>
        <w:t xml:space="preserve"> group and 8.3% in the placebo group.  The percentage of patients who withdrew from the study due to adverse events was 2.5% and </w:t>
      </w:r>
      <w:r w:rsidRPr="0006750D">
        <w:rPr>
          <w:rFonts w:eastAsia="TimesNewRoman" w:cs="TimesNewRoman"/>
          <w:color w:val="000000"/>
        </w:rPr>
        <w:t>0</w:t>
      </w:r>
      <w:r w:rsidRPr="0006750D">
        <w:rPr>
          <w:rFonts w:cs="TimesNewRomanPSMT"/>
          <w:color w:val="000000"/>
        </w:rPr>
        <w:t xml:space="preserve">% for the </w:t>
      </w:r>
      <w:proofErr w:type="spellStart"/>
      <w:r w:rsidRPr="0006750D">
        <w:rPr>
          <w:rFonts w:cs="TimesNewRomanPSMT"/>
          <w:color w:val="000000"/>
        </w:rPr>
        <w:t>Prolia</w:t>
      </w:r>
      <w:proofErr w:type="spellEnd"/>
      <w:r w:rsidRPr="0006750D">
        <w:rPr>
          <w:rFonts w:cs="Arial"/>
          <w:color w:val="000000"/>
          <w:szCs w:val="22"/>
          <w:vertAlign w:val="superscript"/>
        </w:rPr>
        <w:t>®</w:t>
      </w:r>
      <w:r w:rsidRPr="0006750D">
        <w:rPr>
          <w:rFonts w:cs="TimesNewRomanPSMT"/>
          <w:color w:val="000000"/>
        </w:rPr>
        <w:t xml:space="preserve"> and placebo groups, respectively.</w:t>
      </w:r>
    </w:p>
    <w:p w:rsidR="00554E4F" w:rsidRDefault="00554E4F" w:rsidP="00554E4F">
      <w:pPr>
        <w:autoSpaceDE w:val="0"/>
        <w:autoSpaceDN w:val="0"/>
        <w:adjustRightInd w:val="0"/>
        <w:rPr>
          <w:rFonts w:cs="Arial"/>
          <w:szCs w:val="22"/>
        </w:rPr>
      </w:pPr>
    </w:p>
    <w:p w:rsidR="00554E4F" w:rsidRDefault="00554E4F" w:rsidP="00554E4F">
      <w:pPr>
        <w:autoSpaceDE w:val="0"/>
        <w:autoSpaceDN w:val="0"/>
        <w:adjustRightInd w:val="0"/>
        <w:rPr>
          <w:rFonts w:cs="TimesNewRomanPSMT"/>
          <w:color w:val="000000"/>
        </w:rPr>
      </w:pPr>
      <w:r w:rsidRPr="0006750D">
        <w:rPr>
          <w:rFonts w:cs="TimesNewRomanPSMT"/>
          <w:color w:val="000000"/>
        </w:rPr>
        <w:t xml:space="preserve">Adverse reactions defined as adverse events in men with osteoporosis (n=240) occurring in at least 5% of </w:t>
      </w:r>
      <w:proofErr w:type="spellStart"/>
      <w:r w:rsidRPr="0006750D">
        <w:rPr>
          <w:rFonts w:cs="TimesNewRomanPSMT"/>
          <w:color w:val="000000"/>
        </w:rPr>
        <w:t>Prolia</w:t>
      </w:r>
      <w:proofErr w:type="spellEnd"/>
      <w:r w:rsidRPr="0006750D">
        <w:rPr>
          <w:rFonts w:cs="Arial"/>
          <w:color w:val="000000"/>
          <w:szCs w:val="22"/>
          <w:vertAlign w:val="superscript"/>
        </w:rPr>
        <w:t>®</w:t>
      </w:r>
      <w:r w:rsidRPr="0006750D">
        <w:rPr>
          <w:rFonts w:cs="TimesNewRomanPSMT"/>
          <w:color w:val="000000"/>
        </w:rPr>
        <w:t xml:space="preserve">-treated men and more frequently than in the placebo-treated patients were: back pain (8.3% </w:t>
      </w:r>
      <w:proofErr w:type="spellStart"/>
      <w:r w:rsidRPr="0006750D">
        <w:rPr>
          <w:rFonts w:cs="TimesNewRomanPSMT"/>
          <w:color w:val="000000"/>
        </w:rPr>
        <w:t>Prolia</w:t>
      </w:r>
      <w:proofErr w:type="spellEnd"/>
      <w:r w:rsidRPr="0006750D">
        <w:rPr>
          <w:rFonts w:cs="Arial"/>
          <w:color w:val="000000"/>
          <w:szCs w:val="22"/>
          <w:vertAlign w:val="superscript"/>
        </w:rPr>
        <w:t>®</w:t>
      </w:r>
      <w:r w:rsidRPr="0006750D">
        <w:rPr>
          <w:rFonts w:cs="TimesNewRomanPSMT"/>
          <w:color w:val="000000"/>
        </w:rPr>
        <w:t xml:space="preserve">, 6.7% placebo), arthralgia (6.7% </w:t>
      </w:r>
      <w:proofErr w:type="spellStart"/>
      <w:r w:rsidRPr="0006750D">
        <w:rPr>
          <w:rFonts w:cs="TimesNewRomanPSMT"/>
          <w:color w:val="000000"/>
        </w:rPr>
        <w:t>Prolia</w:t>
      </w:r>
      <w:proofErr w:type="spellEnd"/>
      <w:r w:rsidRPr="0006750D">
        <w:rPr>
          <w:rFonts w:cs="Arial"/>
          <w:color w:val="000000"/>
          <w:szCs w:val="22"/>
          <w:vertAlign w:val="superscript"/>
        </w:rPr>
        <w:t>®</w:t>
      </w:r>
      <w:r w:rsidRPr="0006750D">
        <w:rPr>
          <w:rFonts w:cs="TimesNewRomanPSMT"/>
          <w:color w:val="000000"/>
        </w:rPr>
        <w:t xml:space="preserve">, 5.8% placebo), and </w:t>
      </w:r>
      <w:proofErr w:type="spellStart"/>
      <w:r w:rsidRPr="0006750D">
        <w:rPr>
          <w:rFonts w:cs="TimesNewRomanPSMT"/>
          <w:color w:val="000000"/>
        </w:rPr>
        <w:t>nasopharyngitis</w:t>
      </w:r>
      <w:proofErr w:type="spellEnd"/>
      <w:r w:rsidRPr="0006750D">
        <w:rPr>
          <w:rFonts w:cs="TimesNewRomanPSMT"/>
          <w:color w:val="000000"/>
        </w:rPr>
        <w:t xml:space="preserve"> (6.7% </w:t>
      </w:r>
      <w:proofErr w:type="spellStart"/>
      <w:r w:rsidRPr="0006750D">
        <w:rPr>
          <w:rFonts w:cs="TimesNewRomanPSMT"/>
          <w:color w:val="000000"/>
        </w:rPr>
        <w:t>Prolia</w:t>
      </w:r>
      <w:proofErr w:type="spellEnd"/>
      <w:r w:rsidRPr="0006750D">
        <w:rPr>
          <w:rFonts w:cs="Arial"/>
          <w:color w:val="000000"/>
          <w:szCs w:val="22"/>
          <w:vertAlign w:val="superscript"/>
        </w:rPr>
        <w:t>®</w:t>
      </w:r>
      <w:r w:rsidRPr="0006750D">
        <w:rPr>
          <w:rFonts w:cs="TimesNewRomanPSMT"/>
          <w:color w:val="000000"/>
        </w:rPr>
        <w:t>, 5.8% placebo).</w:t>
      </w:r>
    </w:p>
    <w:p w:rsidR="00554E4F" w:rsidRDefault="00554E4F" w:rsidP="00554E4F">
      <w:pPr>
        <w:autoSpaceDE w:val="0"/>
        <w:autoSpaceDN w:val="0"/>
        <w:adjustRightInd w:val="0"/>
        <w:rPr>
          <w:rFonts w:cs="TimesNewRomanPSMT"/>
          <w:color w:val="000000"/>
        </w:rPr>
      </w:pPr>
    </w:p>
    <w:p w:rsidR="00554E4F" w:rsidRPr="007309F6" w:rsidRDefault="00554E4F" w:rsidP="00554E4F">
      <w:pPr>
        <w:pStyle w:val="Text"/>
        <w:spacing w:before="0" w:after="0"/>
        <w:rPr>
          <w:rFonts w:ascii="Arial" w:hAnsi="Arial" w:cs="Arial"/>
          <w:b/>
          <w:color w:val="000000"/>
          <w:sz w:val="22"/>
          <w:szCs w:val="22"/>
        </w:rPr>
      </w:pPr>
      <w:r w:rsidRPr="004B758C">
        <w:rPr>
          <w:rFonts w:ascii="Arial" w:hAnsi="Arial" w:cs="Arial"/>
          <w:b/>
          <w:color w:val="000000"/>
          <w:sz w:val="22"/>
          <w:szCs w:val="22"/>
        </w:rPr>
        <w:t>Treatment of bone loss associated with androgen deprivation</w:t>
      </w:r>
    </w:p>
    <w:p w:rsidR="00554E4F" w:rsidRPr="004B758C" w:rsidRDefault="00554E4F" w:rsidP="00554E4F">
      <w:pPr>
        <w:rPr>
          <w:rFonts w:cs="Arial"/>
          <w:szCs w:val="22"/>
        </w:rPr>
      </w:pPr>
      <w:r w:rsidRPr="004B758C">
        <w:rPr>
          <w:rFonts w:cs="Arial"/>
          <w:szCs w:val="22"/>
        </w:rPr>
        <w:t xml:space="preserve">The safety of </w:t>
      </w:r>
      <w:proofErr w:type="spellStart"/>
      <w:r w:rsidRPr="004B758C">
        <w:t>Prolia</w:t>
      </w:r>
      <w:proofErr w:type="spellEnd"/>
      <w:r w:rsidRPr="004B758C">
        <w:rPr>
          <w:rFonts w:cs="Arial"/>
          <w:szCs w:val="22"/>
          <w:vertAlign w:val="superscript"/>
        </w:rPr>
        <w:t>®</w:t>
      </w:r>
      <w:r w:rsidRPr="004B758C">
        <w:rPr>
          <w:rFonts w:cs="Arial"/>
          <w:szCs w:val="22"/>
        </w:rPr>
        <w:t xml:space="preserve"> in the treatment of bone loss associated with androgen deprivation in men with non-metastatic prostate cancer was assessed in a 3-year, </w:t>
      </w:r>
      <w:proofErr w:type="spellStart"/>
      <w:r w:rsidRPr="004B758C">
        <w:rPr>
          <w:rFonts w:cs="Arial"/>
          <w:szCs w:val="22"/>
        </w:rPr>
        <w:t>randomised</w:t>
      </w:r>
      <w:proofErr w:type="spellEnd"/>
      <w:r w:rsidRPr="004B758C">
        <w:rPr>
          <w:rFonts w:cs="Arial"/>
          <w:szCs w:val="22"/>
        </w:rPr>
        <w:t xml:space="preserve">, double-blind, placebo-controlled, multinational study of 1,468 men aged 48 to 97 years. A total of 731 men were exposed to </w:t>
      </w:r>
      <w:proofErr w:type="spellStart"/>
      <w:r w:rsidRPr="004B758C">
        <w:t>Prolia</w:t>
      </w:r>
      <w:proofErr w:type="spellEnd"/>
      <w:r w:rsidRPr="004B758C">
        <w:rPr>
          <w:rFonts w:cs="Arial"/>
          <w:szCs w:val="22"/>
          <w:vertAlign w:val="superscript"/>
        </w:rPr>
        <w:t>®</w:t>
      </w:r>
      <w:r w:rsidRPr="004B758C">
        <w:rPr>
          <w:rFonts w:cs="Arial"/>
          <w:szCs w:val="22"/>
        </w:rPr>
        <w:t xml:space="preserve"> and 725 men were exposed to placebo administered once every 6 months as a single 60 mg subcutaneous dose.  The incidence of all-cause mortality was 6.0% (n = 44) in the </w:t>
      </w:r>
      <w:proofErr w:type="spellStart"/>
      <w:r w:rsidRPr="004B758C">
        <w:rPr>
          <w:rFonts w:cs="Arial"/>
          <w:szCs w:val="22"/>
        </w:rPr>
        <w:t>Prolia</w:t>
      </w:r>
      <w:proofErr w:type="spellEnd"/>
      <w:r w:rsidRPr="004B758C">
        <w:rPr>
          <w:rFonts w:cs="Arial"/>
          <w:szCs w:val="22"/>
          <w:vertAlign w:val="superscript"/>
        </w:rPr>
        <w:t>®</w:t>
      </w:r>
      <w:r w:rsidRPr="004B758C">
        <w:rPr>
          <w:rFonts w:cs="Arial"/>
          <w:iCs/>
          <w:szCs w:val="22"/>
        </w:rPr>
        <w:t xml:space="preserve"> </w:t>
      </w:r>
      <w:r w:rsidRPr="004B758C">
        <w:rPr>
          <w:rFonts w:cs="Arial"/>
          <w:szCs w:val="22"/>
        </w:rPr>
        <w:t xml:space="preserve">group and 6.3% (n = 46) in the placebo group. The incidence of serious adverse events was 34.6% in the </w:t>
      </w:r>
      <w:proofErr w:type="spellStart"/>
      <w:r w:rsidRPr="004B758C">
        <w:rPr>
          <w:rFonts w:cs="Arial"/>
          <w:szCs w:val="22"/>
        </w:rPr>
        <w:t>Prolia</w:t>
      </w:r>
      <w:proofErr w:type="spellEnd"/>
      <w:r w:rsidRPr="004B758C">
        <w:rPr>
          <w:rFonts w:cs="Arial"/>
          <w:szCs w:val="22"/>
          <w:vertAlign w:val="superscript"/>
        </w:rPr>
        <w:t>®</w:t>
      </w:r>
      <w:r w:rsidRPr="004B758C">
        <w:rPr>
          <w:rFonts w:cs="Arial"/>
          <w:iCs/>
          <w:szCs w:val="22"/>
        </w:rPr>
        <w:t xml:space="preserve"> </w:t>
      </w:r>
      <w:r w:rsidRPr="004B758C">
        <w:rPr>
          <w:rFonts w:cs="Arial"/>
          <w:szCs w:val="22"/>
        </w:rPr>
        <w:t xml:space="preserve">group and 30.6% in the placebo group.  The percentage of patients who withdrew from the study due to adverse events was 7.0% and 6.1% for the </w:t>
      </w:r>
      <w:proofErr w:type="spellStart"/>
      <w:r w:rsidRPr="004B758C">
        <w:rPr>
          <w:rFonts w:cs="Arial"/>
          <w:szCs w:val="22"/>
        </w:rPr>
        <w:t>Prolia</w:t>
      </w:r>
      <w:proofErr w:type="spellEnd"/>
      <w:r w:rsidRPr="004B758C">
        <w:rPr>
          <w:rFonts w:cs="Arial"/>
          <w:szCs w:val="22"/>
          <w:vertAlign w:val="superscript"/>
        </w:rPr>
        <w:t>®</w:t>
      </w:r>
      <w:r w:rsidRPr="004B758C">
        <w:rPr>
          <w:rFonts w:cs="Arial"/>
          <w:szCs w:val="22"/>
        </w:rPr>
        <w:t xml:space="preserve"> and placebo groups, respectively.</w:t>
      </w:r>
    </w:p>
    <w:p w:rsidR="00554E4F" w:rsidRDefault="00554E4F" w:rsidP="00554E4F">
      <w:pPr>
        <w:autoSpaceDE w:val="0"/>
        <w:autoSpaceDN w:val="0"/>
        <w:adjustRightInd w:val="0"/>
        <w:rPr>
          <w:rFonts w:cs="TimesNewRomanPSMT"/>
          <w:color w:val="000000"/>
        </w:rPr>
      </w:pPr>
    </w:p>
    <w:p w:rsidR="00554E4F" w:rsidRDefault="00554E4F" w:rsidP="00554E4F">
      <w:r w:rsidRPr="004B758C">
        <w:t xml:space="preserve">Adverse reactions defined as adverse events reported in men with bone loss associated with androgen deprivation (n = 1456) occurring in at least 2% of </w:t>
      </w:r>
      <w:proofErr w:type="spellStart"/>
      <w:r w:rsidRPr="004B758C">
        <w:t>Prolia</w:t>
      </w:r>
      <w:proofErr w:type="spellEnd"/>
      <w:r w:rsidRPr="004B758C">
        <w:rPr>
          <w:rFonts w:cs="Arial"/>
          <w:szCs w:val="22"/>
          <w:vertAlign w:val="superscript"/>
        </w:rPr>
        <w:t>®</w:t>
      </w:r>
      <w:r w:rsidRPr="004B758C">
        <w:t xml:space="preserve">-treated men) and at least 1% more frequently in </w:t>
      </w:r>
      <w:proofErr w:type="spellStart"/>
      <w:r w:rsidRPr="004B758C">
        <w:t>Prolia</w:t>
      </w:r>
      <w:proofErr w:type="spellEnd"/>
      <w:r w:rsidRPr="004B758C">
        <w:rPr>
          <w:rFonts w:cs="Arial"/>
          <w:szCs w:val="22"/>
          <w:vertAlign w:val="superscript"/>
        </w:rPr>
        <w:t>®</w:t>
      </w:r>
      <w:r w:rsidRPr="004B758C">
        <w:t xml:space="preserve">-treated men than placebo-treated men were: arthralgia (12.6% </w:t>
      </w:r>
      <w:proofErr w:type="spellStart"/>
      <w:r w:rsidRPr="004B758C">
        <w:t>Prolia</w:t>
      </w:r>
      <w:proofErr w:type="spellEnd"/>
      <w:r w:rsidRPr="004B758C">
        <w:rPr>
          <w:rFonts w:cs="Arial"/>
          <w:szCs w:val="22"/>
          <w:vertAlign w:val="superscript"/>
        </w:rPr>
        <w:t>®</w:t>
      </w:r>
      <w:r w:rsidRPr="004B758C">
        <w:t xml:space="preserve">, 11.0% placebo), pain in extremity (9.0% </w:t>
      </w:r>
      <w:proofErr w:type="spellStart"/>
      <w:r w:rsidRPr="004B758C">
        <w:t>Prolia</w:t>
      </w:r>
      <w:proofErr w:type="spellEnd"/>
      <w:r w:rsidRPr="004B758C">
        <w:rPr>
          <w:rFonts w:cs="Arial"/>
          <w:szCs w:val="22"/>
          <w:vertAlign w:val="superscript"/>
        </w:rPr>
        <w:t>®</w:t>
      </w:r>
      <w:r w:rsidRPr="004B758C">
        <w:t xml:space="preserve">, 7.0% placebo), musculoskeletal pain (5.6% </w:t>
      </w:r>
      <w:proofErr w:type="spellStart"/>
      <w:r w:rsidRPr="004B758C">
        <w:t>Prolia</w:t>
      </w:r>
      <w:proofErr w:type="spellEnd"/>
      <w:r w:rsidRPr="004B758C">
        <w:rPr>
          <w:rFonts w:cs="Arial"/>
          <w:szCs w:val="22"/>
          <w:vertAlign w:val="superscript"/>
        </w:rPr>
        <w:t>®</w:t>
      </w:r>
      <w:r w:rsidRPr="004B758C">
        <w:t xml:space="preserve">, 3.6% placebo), dizziness (5.6% </w:t>
      </w:r>
      <w:proofErr w:type="spellStart"/>
      <w:r w:rsidRPr="004B758C">
        <w:t>Prolia</w:t>
      </w:r>
      <w:proofErr w:type="spellEnd"/>
      <w:r w:rsidRPr="004B758C">
        <w:rPr>
          <w:rFonts w:cs="Arial"/>
          <w:szCs w:val="22"/>
          <w:vertAlign w:val="superscript"/>
        </w:rPr>
        <w:t>®</w:t>
      </w:r>
      <w:r w:rsidRPr="004B758C">
        <w:t xml:space="preserve">, 4.3% placebo), metastases to bone (4.7% </w:t>
      </w:r>
      <w:proofErr w:type="spellStart"/>
      <w:r w:rsidRPr="004B758C">
        <w:t>Prolia</w:t>
      </w:r>
      <w:proofErr w:type="spellEnd"/>
      <w:r w:rsidRPr="004B758C">
        <w:rPr>
          <w:rFonts w:cs="Arial"/>
          <w:szCs w:val="22"/>
          <w:vertAlign w:val="superscript"/>
        </w:rPr>
        <w:t>®</w:t>
      </w:r>
      <w:r w:rsidRPr="004B758C">
        <w:t xml:space="preserve">, 3.4% placebo), osteoarthritis (4.2% </w:t>
      </w:r>
      <w:proofErr w:type="spellStart"/>
      <w:r w:rsidRPr="004B758C">
        <w:t>Prolia</w:t>
      </w:r>
      <w:proofErr w:type="spellEnd"/>
      <w:r w:rsidRPr="004B758C">
        <w:rPr>
          <w:rFonts w:cs="Arial"/>
          <w:szCs w:val="22"/>
          <w:vertAlign w:val="superscript"/>
        </w:rPr>
        <w:t>®</w:t>
      </w:r>
      <w:r w:rsidRPr="004B758C">
        <w:t xml:space="preserve">, 3.2% placebo), cataract (4.7% </w:t>
      </w:r>
      <w:proofErr w:type="spellStart"/>
      <w:r w:rsidRPr="004B758C">
        <w:t>Prolia</w:t>
      </w:r>
      <w:proofErr w:type="spellEnd"/>
      <w:r w:rsidRPr="004B758C">
        <w:rPr>
          <w:rFonts w:cs="Arial"/>
          <w:szCs w:val="22"/>
          <w:vertAlign w:val="superscript"/>
        </w:rPr>
        <w:t>®</w:t>
      </w:r>
      <w:r w:rsidRPr="004B758C">
        <w:t xml:space="preserve">, 1.2% placebo), bronchitis (4.1% </w:t>
      </w:r>
      <w:proofErr w:type="spellStart"/>
      <w:r w:rsidRPr="004B758C">
        <w:t>Prolia</w:t>
      </w:r>
      <w:proofErr w:type="spellEnd"/>
      <w:r w:rsidRPr="004B758C">
        <w:rPr>
          <w:rFonts w:cs="Arial"/>
          <w:szCs w:val="22"/>
          <w:vertAlign w:val="superscript"/>
        </w:rPr>
        <w:t>®</w:t>
      </w:r>
      <w:r w:rsidRPr="004B758C">
        <w:t xml:space="preserve">, 2.9% placebo), urinary retention (3.1% </w:t>
      </w:r>
      <w:proofErr w:type="spellStart"/>
      <w:r w:rsidRPr="004B758C">
        <w:t>Prolia</w:t>
      </w:r>
      <w:proofErr w:type="spellEnd"/>
      <w:r w:rsidRPr="004B758C">
        <w:rPr>
          <w:rFonts w:cs="Arial"/>
          <w:szCs w:val="22"/>
          <w:vertAlign w:val="superscript"/>
        </w:rPr>
        <w:t>®</w:t>
      </w:r>
      <w:r w:rsidRPr="004B758C">
        <w:t xml:space="preserve">, 1.5% placebo), angina pectoris (2.3% </w:t>
      </w:r>
      <w:proofErr w:type="spellStart"/>
      <w:r w:rsidRPr="004B758C">
        <w:t>Prolia</w:t>
      </w:r>
      <w:proofErr w:type="spellEnd"/>
      <w:r w:rsidRPr="004B758C">
        <w:rPr>
          <w:rFonts w:cs="Arial"/>
          <w:szCs w:val="22"/>
          <w:vertAlign w:val="superscript"/>
        </w:rPr>
        <w:t>®</w:t>
      </w:r>
      <w:r w:rsidRPr="004B758C">
        <w:t xml:space="preserve">, 1.1% placebo) and procedural pain (2.1% </w:t>
      </w:r>
      <w:proofErr w:type="spellStart"/>
      <w:r w:rsidRPr="004B758C">
        <w:t>Prolia</w:t>
      </w:r>
      <w:proofErr w:type="spellEnd"/>
      <w:r w:rsidRPr="004B758C">
        <w:rPr>
          <w:rFonts w:cs="Arial"/>
          <w:szCs w:val="22"/>
          <w:vertAlign w:val="superscript"/>
        </w:rPr>
        <w:t>®</w:t>
      </w:r>
      <w:r w:rsidRPr="004B758C">
        <w:t>, 0.4% placebo).</w:t>
      </w:r>
    </w:p>
    <w:p w:rsidR="00554E4F" w:rsidRDefault="00554E4F" w:rsidP="00554E4F">
      <w:pPr>
        <w:autoSpaceDE w:val="0"/>
        <w:autoSpaceDN w:val="0"/>
        <w:adjustRightInd w:val="0"/>
        <w:rPr>
          <w:rFonts w:cs="TimesNewRomanPSMT"/>
          <w:color w:val="000000"/>
        </w:rPr>
      </w:pPr>
    </w:p>
    <w:p w:rsidR="00554E4F" w:rsidRPr="00B33FFC" w:rsidRDefault="00554E4F" w:rsidP="00554E4F">
      <w:pPr>
        <w:autoSpaceDE w:val="0"/>
        <w:autoSpaceDN w:val="0"/>
        <w:adjustRightInd w:val="0"/>
        <w:rPr>
          <w:rFonts w:cs="Arial"/>
          <w:b/>
          <w:color w:val="000000"/>
          <w:szCs w:val="22"/>
        </w:rPr>
      </w:pPr>
      <w:proofErr w:type="spellStart"/>
      <w:r w:rsidRPr="00B33FFC">
        <w:rPr>
          <w:rFonts w:cs="Arial"/>
          <w:b/>
          <w:color w:val="000000"/>
          <w:szCs w:val="22"/>
        </w:rPr>
        <w:t>Postmarketing</w:t>
      </w:r>
      <w:proofErr w:type="spellEnd"/>
      <w:r w:rsidRPr="00B33FFC">
        <w:rPr>
          <w:rFonts w:cs="Arial"/>
          <w:b/>
          <w:color w:val="000000"/>
          <w:szCs w:val="22"/>
        </w:rPr>
        <w:t xml:space="preserve"> Experience</w:t>
      </w:r>
      <w:r w:rsidRPr="00B33FFC">
        <w:rPr>
          <w:rFonts w:cs="Arial"/>
          <w:b/>
          <w:color w:val="000000"/>
          <w:vertAlign w:val="superscript"/>
        </w:rPr>
        <w:t>#</w:t>
      </w:r>
    </w:p>
    <w:p w:rsidR="00554E4F" w:rsidRPr="00B33FFC" w:rsidRDefault="00554E4F" w:rsidP="00554E4F">
      <w:pPr>
        <w:autoSpaceDE w:val="0"/>
        <w:autoSpaceDN w:val="0"/>
        <w:adjustRightInd w:val="0"/>
        <w:rPr>
          <w:rFonts w:cs="Arial"/>
          <w:color w:val="000000"/>
          <w:szCs w:val="22"/>
        </w:rPr>
      </w:pPr>
      <w:r w:rsidRPr="00B33FFC">
        <w:rPr>
          <w:rFonts w:cs="Arial"/>
          <w:color w:val="000000"/>
          <w:szCs w:val="22"/>
        </w:rPr>
        <w:t>Rare events of drug-related hypersensitivity reactions: r</w:t>
      </w:r>
      <w:r>
        <w:rPr>
          <w:rFonts w:cs="Arial"/>
          <w:color w:val="000000"/>
          <w:szCs w:val="22"/>
        </w:rPr>
        <w:t xml:space="preserve">ash, </w:t>
      </w:r>
      <w:proofErr w:type="spellStart"/>
      <w:r>
        <w:rPr>
          <w:rFonts w:cs="Arial"/>
          <w:color w:val="000000"/>
          <w:szCs w:val="22"/>
        </w:rPr>
        <w:t>urticaria</w:t>
      </w:r>
      <w:proofErr w:type="spellEnd"/>
      <w:r>
        <w:rPr>
          <w:rFonts w:cs="Arial"/>
          <w:color w:val="000000"/>
          <w:szCs w:val="22"/>
        </w:rPr>
        <w:t xml:space="preserve">, facial swelling, </w:t>
      </w:r>
      <w:r w:rsidRPr="007309F6">
        <w:rPr>
          <w:rFonts w:cs="Arial"/>
          <w:color w:val="000000"/>
          <w:szCs w:val="22"/>
        </w:rPr>
        <w:t>erythema and anaphylactic reactions.</w:t>
      </w:r>
    </w:p>
    <w:p w:rsidR="00554E4F" w:rsidRPr="00B33FFC" w:rsidRDefault="00554E4F" w:rsidP="00554E4F">
      <w:pPr>
        <w:autoSpaceDE w:val="0"/>
        <w:autoSpaceDN w:val="0"/>
        <w:adjustRightInd w:val="0"/>
        <w:rPr>
          <w:rFonts w:cs="Arial"/>
          <w:color w:val="000000"/>
          <w:szCs w:val="22"/>
        </w:rPr>
      </w:pPr>
    </w:p>
    <w:p w:rsidR="00554E4F" w:rsidRDefault="00554E4F" w:rsidP="00554E4F">
      <w:pPr>
        <w:autoSpaceDE w:val="0"/>
        <w:autoSpaceDN w:val="0"/>
        <w:adjustRightInd w:val="0"/>
        <w:rPr>
          <w:rFonts w:cs="TimesNewRomanPSMT"/>
          <w:color w:val="000000"/>
        </w:rPr>
      </w:pPr>
      <w:r w:rsidRPr="00B33FFC">
        <w:rPr>
          <w:rFonts w:cs="Arial"/>
          <w:color w:val="000000"/>
          <w:szCs w:val="22"/>
        </w:rPr>
        <w:t>Rare events of severe symptomatic hypocalcaemia have been reported in patients at increased risk of hypocalcaemia.</w:t>
      </w:r>
    </w:p>
    <w:p w:rsidR="00554E4F" w:rsidRDefault="00554E4F" w:rsidP="00554E4F">
      <w:pPr>
        <w:autoSpaceDE w:val="0"/>
        <w:autoSpaceDN w:val="0"/>
        <w:adjustRightInd w:val="0"/>
        <w:rPr>
          <w:rFonts w:cs="Arial"/>
          <w:b/>
          <w:i/>
          <w:szCs w:val="22"/>
        </w:rPr>
      </w:pPr>
    </w:p>
    <w:p w:rsidR="00554E4F" w:rsidRDefault="00554E4F" w:rsidP="00554E4F">
      <w:pPr>
        <w:autoSpaceDE w:val="0"/>
        <w:autoSpaceDN w:val="0"/>
        <w:adjustRightInd w:val="0"/>
        <w:rPr>
          <w:rFonts w:cs="TimesNewRomanPSMT"/>
          <w:color w:val="000000"/>
        </w:rPr>
      </w:pPr>
      <w:r w:rsidRPr="00824BB3">
        <w:rPr>
          <w:szCs w:val="22"/>
        </w:rPr>
        <w:t xml:space="preserve">Musculoskeletal pain, including severe cases, has been reported in patients receiving </w:t>
      </w:r>
      <w:proofErr w:type="spellStart"/>
      <w:r w:rsidRPr="00824BB3">
        <w:rPr>
          <w:szCs w:val="22"/>
        </w:rPr>
        <w:t>Prolia</w:t>
      </w:r>
      <w:proofErr w:type="spellEnd"/>
      <w:r w:rsidRPr="00E10684">
        <w:rPr>
          <w:szCs w:val="22"/>
        </w:rPr>
        <w:t>.</w:t>
      </w:r>
    </w:p>
    <w:p w:rsidR="00554E4F" w:rsidRDefault="00554E4F">
      <w:pPr>
        <w:rPr>
          <w:rFonts w:cs="Arial"/>
          <w:b/>
          <w:bCs/>
          <w:kern w:val="32"/>
          <w:szCs w:val="32"/>
        </w:rPr>
      </w:pPr>
      <w:r>
        <w:br w:type="page"/>
      </w:r>
    </w:p>
    <w:p w:rsidR="00554E4F" w:rsidRPr="004B758C" w:rsidRDefault="00554E4F" w:rsidP="00554E4F">
      <w:pPr>
        <w:pStyle w:val="Heading1"/>
        <w:keepNext w:val="0"/>
        <w:spacing w:after="0"/>
      </w:pPr>
      <w:r w:rsidRPr="004B758C">
        <w:lastRenderedPageBreak/>
        <w:t>DOSAGE AND ADMINISTRATION</w:t>
      </w:r>
    </w:p>
    <w:p w:rsidR="00554E4F" w:rsidRPr="004B758C" w:rsidRDefault="00554E4F" w:rsidP="00554E4F"/>
    <w:p w:rsidR="00554E4F" w:rsidRPr="004B758C" w:rsidRDefault="00554E4F" w:rsidP="00554E4F">
      <w:r w:rsidRPr="004B758C">
        <w:t>Administration should be performed by an individual who has been adequately trained in injection techniques.</w:t>
      </w:r>
    </w:p>
    <w:p w:rsidR="00554E4F" w:rsidRPr="004B758C" w:rsidRDefault="00554E4F" w:rsidP="00554E4F"/>
    <w:p w:rsidR="00554E4F" w:rsidRPr="004B758C" w:rsidRDefault="00554E4F" w:rsidP="00554E4F">
      <w:pPr>
        <w:tabs>
          <w:tab w:val="left" w:pos="72"/>
        </w:tabs>
        <w:rPr>
          <w:rFonts w:cs="Arial"/>
          <w:szCs w:val="22"/>
        </w:rPr>
      </w:pPr>
      <w:r w:rsidRPr="004B758C">
        <w:rPr>
          <w:rFonts w:cs="Arial"/>
          <w:szCs w:val="22"/>
        </w:rPr>
        <w:t>The recommended dose of</w:t>
      </w:r>
      <w:r w:rsidRPr="004B758C">
        <w:t xml:space="preserve"> </w:t>
      </w:r>
      <w:proofErr w:type="spellStart"/>
      <w:r w:rsidRPr="004B758C">
        <w:t>Prolia</w:t>
      </w:r>
      <w:proofErr w:type="spellEnd"/>
      <w:r w:rsidRPr="004B758C">
        <w:rPr>
          <w:rFonts w:cs="Arial"/>
          <w:vertAlign w:val="superscript"/>
        </w:rPr>
        <w:t>®</w:t>
      </w:r>
      <w:r w:rsidRPr="004B758C">
        <w:rPr>
          <w:rFonts w:cs="Arial"/>
          <w:szCs w:val="22"/>
        </w:rPr>
        <w:t xml:space="preserve"> is a single subcutaneous (SC) injection of 60</w:t>
      </w:r>
      <w:r w:rsidRPr="004B758C">
        <w:rPr>
          <w:noProof/>
        </w:rPr>
        <w:t> </w:t>
      </w:r>
      <w:r w:rsidRPr="004B758C">
        <w:rPr>
          <w:rFonts w:cs="Arial"/>
          <w:szCs w:val="22"/>
        </w:rPr>
        <w:t>mg, once every 6</w:t>
      </w:r>
      <w:r w:rsidRPr="004B758C">
        <w:rPr>
          <w:noProof/>
        </w:rPr>
        <w:t> </w:t>
      </w:r>
      <w:r w:rsidRPr="004B758C">
        <w:rPr>
          <w:rFonts w:cs="Arial"/>
          <w:szCs w:val="22"/>
        </w:rPr>
        <w:t>months.</w:t>
      </w:r>
    </w:p>
    <w:p w:rsidR="00554E4F" w:rsidRPr="004B758C" w:rsidRDefault="00554E4F" w:rsidP="00554E4F">
      <w:pPr>
        <w:tabs>
          <w:tab w:val="left" w:pos="72"/>
        </w:tabs>
        <w:rPr>
          <w:rFonts w:cs="Arial"/>
          <w:szCs w:val="22"/>
        </w:rPr>
      </w:pPr>
    </w:p>
    <w:p w:rsidR="00554E4F" w:rsidRPr="004B758C" w:rsidRDefault="00554E4F" w:rsidP="00554E4F">
      <w:pPr>
        <w:tabs>
          <w:tab w:val="left" w:pos="72"/>
        </w:tabs>
        <w:rPr>
          <w:rFonts w:cs="Arial"/>
          <w:szCs w:val="22"/>
        </w:rPr>
      </w:pPr>
      <w:r w:rsidRPr="004B758C">
        <w:rPr>
          <w:rFonts w:cs="Arial"/>
          <w:szCs w:val="22"/>
        </w:rPr>
        <w:t xml:space="preserve">To reduce the risk of hypocalcaemia, patients must be adequately supplemented with calcium and vitamin D (see </w:t>
      </w:r>
      <w:r w:rsidRPr="004B758C">
        <w:rPr>
          <w:rFonts w:cs="Arial"/>
          <w:b/>
          <w:szCs w:val="22"/>
        </w:rPr>
        <w:t>PRECAUTIONS, Hypocalcaemia</w:t>
      </w:r>
      <w:r w:rsidRPr="004B758C">
        <w:rPr>
          <w:rFonts w:cs="Arial"/>
          <w:szCs w:val="22"/>
        </w:rPr>
        <w:t xml:space="preserve">).  In the major clinical trials of </w:t>
      </w:r>
      <w:proofErr w:type="spellStart"/>
      <w:r w:rsidRPr="004B758C">
        <w:rPr>
          <w:rFonts w:cs="Arial"/>
          <w:szCs w:val="22"/>
        </w:rPr>
        <w:t>Prolia</w:t>
      </w:r>
      <w:proofErr w:type="spellEnd"/>
      <w:r w:rsidRPr="004B758C">
        <w:rPr>
          <w:rFonts w:cs="Arial"/>
          <w:vertAlign w:val="superscript"/>
        </w:rPr>
        <w:t>®</w:t>
      </w:r>
      <w:r w:rsidRPr="004B758C">
        <w:rPr>
          <w:rFonts w:cs="Arial"/>
          <w:szCs w:val="22"/>
        </w:rPr>
        <w:t>, daily supplementation with 1000</w:t>
      </w:r>
      <w:r w:rsidRPr="004B758C">
        <w:rPr>
          <w:noProof/>
        </w:rPr>
        <w:t> </w:t>
      </w:r>
      <w:r w:rsidRPr="004B758C">
        <w:rPr>
          <w:rFonts w:cs="Arial"/>
          <w:szCs w:val="22"/>
        </w:rPr>
        <w:t>mg of calcium and at least 400</w:t>
      </w:r>
      <w:r w:rsidRPr="004B758C">
        <w:rPr>
          <w:noProof/>
        </w:rPr>
        <w:t> </w:t>
      </w:r>
      <w:r w:rsidRPr="004B758C">
        <w:rPr>
          <w:rFonts w:cs="Arial"/>
          <w:szCs w:val="22"/>
        </w:rPr>
        <w:t>IU vitamin D was recommended.</w:t>
      </w:r>
    </w:p>
    <w:p w:rsidR="00554E4F" w:rsidRPr="004B758C" w:rsidRDefault="00554E4F" w:rsidP="00554E4F">
      <w:pPr>
        <w:tabs>
          <w:tab w:val="left" w:pos="72"/>
        </w:tabs>
        <w:rPr>
          <w:rFonts w:cs="Arial"/>
          <w:szCs w:val="22"/>
        </w:rPr>
      </w:pPr>
    </w:p>
    <w:p w:rsidR="00554E4F" w:rsidRDefault="00554E4F" w:rsidP="00554E4F">
      <w:pPr>
        <w:tabs>
          <w:tab w:val="left" w:pos="72"/>
        </w:tabs>
        <w:rPr>
          <w:rFonts w:cs="Arial"/>
          <w:szCs w:val="22"/>
        </w:rPr>
      </w:pPr>
      <w:r w:rsidRPr="004B758C">
        <w:rPr>
          <w:rFonts w:cs="Arial"/>
          <w:szCs w:val="22"/>
        </w:rPr>
        <w:t xml:space="preserve">No dose adjustment is necessary in elderly patients (see </w:t>
      </w:r>
      <w:r w:rsidRPr="004B758C">
        <w:rPr>
          <w:rFonts w:cs="Arial"/>
          <w:b/>
          <w:szCs w:val="22"/>
        </w:rPr>
        <w:t>PRECAUTIONS, Use in the Elderly</w:t>
      </w:r>
      <w:r w:rsidRPr="004B758C">
        <w:rPr>
          <w:rFonts w:cs="Arial"/>
          <w:szCs w:val="22"/>
        </w:rPr>
        <w:t xml:space="preserve">) or in patients with renal impairment (See </w:t>
      </w:r>
      <w:r w:rsidRPr="004B758C">
        <w:rPr>
          <w:rFonts w:cs="Arial"/>
          <w:b/>
          <w:szCs w:val="22"/>
        </w:rPr>
        <w:t>PRECAUTIONS, Renal Impairment</w:t>
      </w:r>
      <w:r w:rsidRPr="004B758C">
        <w:rPr>
          <w:rFonts w:cs="Arial"/>
          <w:szCs w:val="22"/>
        </w:rPr>
        <w:t>).</w:t>
      </w:r>
    </w:p>
    <w:p w:rsidR="00554E4F" w:rsidRPr="004B758C" w:rsidRDefault="00554E4F" w:rsidP="00554E4F">
      <w:pPr>
        <w:tabs>
          <w:tab w:val="left" w:pos="72"/>
        </w:tabs>
        <w:rPr>
          <w:rFonts w:cs="Arial"/>
          <w:szCs w:val="22"/>
        </w:rPr>
      </w:pPr>
    </w:p>
    <w:p w:rsidR="00554E4F" w:rsidRPr="004B758C" w:rsidRDefault="00554E4F" w:rsidP="00554E4F">
      <w:pPr>
        <w:autoSpaceDE w:val="0"/>
        <w:autoSpaceDN w:val="0"/>
        <w:adjustRightInd w:val="0"/>
        <w:rPr>
          <w:rFonts w:eastAsia="MS Mincho"/>
          <w:noProof/>
          <w:lang w:eastAsia="ja-JP"/>
        </w:rPr>
      </w:pPr>
      <w:proofErr w:type="spellStart"/>
      <w:r w:rsidRPr="004B758C">
        <w:t>Prolia</w:t>
      </w:r>
      <w:proofErr w:type="spellEnd"/>
      <w:r w:rsidRPr="004B758C">
        <w:rPr>
          <w:vertAlign w:val="superscript"/>
        </w:rPr>
        <w:t>®</w:t>
      </w:r>
      <w:r w:rsidRPr="004B758C">
        <w:rPr>
          <w:rFonts w:eastAsia="MS Mincho"/>
          <w:noProof/>
          <w:lang w:eastAsia="ja-JP"/>
        </w:rPr>
        <w:t xml:space="preserve"> is a sterile and preservative-free product.  Before administration, the </w:t>
      </w:r>
      <w:proofErr w:type="spellStart"/>
      <w:r w:rsidRPr="004B758C">
        <w:t>Prolia</w:t>
      </w:r>
      <w:proofErr w:type="spellEnd"/>
      <w:r w:rsidRPr="004B758C">
        <w:rPr>
          <w:vertAlign w:val="superscript"/>
        </w:rPr>
        <w:t>®</w:t>
      </w:r>
      <w:r w:rsidRPr="004B758C">
        <w:t xml:space="preserve"> </w:t>
      </w:r>
      <w:r w:rsidRPr="004B758C">
        <w:rPr>
          <w:rFonts w:eastAsia="MS Mincho"/>
          <w:noProof/>
          <w:lang w:eastAsia="ja-JP"/>
        </w:rPr>
        <w:t>solution should be inspected for</w:t>
      </w:r>
      <w:r w:rsidRPr="004B758C">
        <w:rPr>
          <w:noProof/>
        </w:rPr>
        <w:t xml:space="preserve"> particulate matter and discolouration.</w:t>
      </w:r>
      <w:r w:rsidRPr="004B758C">
        <w:rPr>
          <w:rFonts w:eastAsia="MS Mincho"/>
          <w:noProof/>
          <w:lang w:eastAsia="ja-JP"/>
        </w:rPr>
        <w:t xml:space="preserve">  Do not use if the solution is cloudy or discoloured.  Do not excessively shake the pre-filled syringe or vial.  To avoid discomfort at the site of injection, allow the pre-filled syringe or vial to reach room temperature </w:t>
      </w:r>
      <w:r w:rsidRPr="004B758C">
        <w:rPr>
          <w:noProof/>
        </w:rPr>
        <w:t>(up to 25</w:t>
      </w:r>
      <w:r w:rsidRPr="004B758C">
        <w:rPr>
          <w:rFonts w:cs="Arial"/>
          <w:noProof/>
          <w:color w:val="000000"/>
        </w:rPr>
        <w:t>°</w:t>
      </w:r>
      <w:r w:rsidRPr="004B758C">
        <w:rPr>
          <w:noProof/>
        </w:rPr>
        <w:t xml:space="preserve">C) </w:t>
      </w:r>
      <w:r w:rsidRPr="004B758C">
        <w:rPr>
          <w:rFonts w:eastAsia="MS Mincho"/>
          <w:noProof/>
          <w:lang w:eastAsia="ja-JP"/>
        </w:rPr>
        <w:t>before injecting, and inject slowly.  Inject the entire contents of the pre-filled syringe or vial.</w:t>
      </w:r>
    </w:p>
    <w:p w:rsidR="00554E4F" w:rsidRPr="004B758C" w:rsidRDefault="00554E4F" w:rsidP="00554E4F">
      <w:pPr>
        <w:autoSpaceDE w:val="0"/>
        <w:autoSpaceDN w:val="0"/>
        <w:adjustRightInd w:val="0"/>
        <w:rPr>
          <w:rFonts w:eastAsia="MS Mincho"/>
          <w:noProof/>
          <w:lang w:eastAsia="ja-JP"/>
        </w:rPr>
      </w:pPr>
    </w:p>
    <w:p w:rsidR="00554E4F" w:rsidRPr="004B758C" w:rsidRDefault="00554E4F" w:rsidP="00554E4F">
      <w:pPr>
        <w:tabs>
          <w:tab w:val="left" w:pos="72"/>
        </w:tabs>
        <w:rPr>
          <w:rFonts w:eastAsia="MS Mincho"/>
          <w:noProof/>
          <w:lang w:eastAsia="ja-JP"/>
        </w:rPr>
      </w:pPr>
      <w:r w:rsidRPr="004B758C">
        <w:rPr>
          <w:rFonts w:eastAsia="MS Mincho"/>
          <w:noProof/>
          <w:lang w:eastAsia="ja-JP"/>
        </w:rPr>
        <w:t xml:space="preserve">Product is for single-use in one patient only.  Dispose of any medicinal product remaining in the </w:t>
      </w:r>
      <w:r w:rsidRPr="004B758C">
        <w:rPr>
          <w:rFonts w:eastAsia="MS Mincho"/>
          <w:noProof/>
          <w:lang w:eastAsia="ja-JP"/>
        </w:rPr>
        <w:br/>
        <w:t>pre-filled syringe or vial.</w:t>
      </w:r>
    </w:p>
    <w:p w:rsidR="00554E4F" w:rsidRPr="004B758C" w:rsidRDefault="00554E4F" w:rsidP="00554E4F">
      <w:pPr>
        <w:pStyle w:val="Heading1"/>
        <w:keepNext w:val="0"/>
        <w:spacing w:after="0"/>
      </w:pPr>
      <w:r w:rsidRPr="004B758C">
        <w:t>OVERDOSAGE</w:t>
      </w:r>
    </w:p>
    <w:p w:rsidR="00554E4F" w:rsidRPr="004B758C" w:rsidRDefault="00554E4F" w:rsidP="00554E4F">
      <w:pPr>
        <w:rPr>
          <w:iCs/>
          <w:szCs w:val="22"/>
        </w:rPr>
      </w:pPr>
    </w:p>
    <w:p w:rsidR="00554E4F" w:rsidRPr="004B758C" w:rsidRDefault="00554E4F" w:rsidP="00554E4F">
      <w:pPr>
        <w:rPr>
          <w:color w:val="000000"/>
        </w:rPr>
      </w:pPr>
      <w:r w:rsidRPr="004B758C">
        <w:t xml:space="preserve">There is no experience with </w:t>
      </w:r>
      <w:proofErr w:type="spellStart"/>
      <w:r w:rsidRPr="004B758C">
        <w:t>overdosage</w:t>
      </w:r>
      <w:proofErr w:type="spellEnd"/>
      <w:r w:rsidRPr="004B758C">
        <w:t xml:space="preserve"> with </w:t>
      </w:r>
      <w:proofErr w:type="spellStart"/>
      <w:r w:rsidRPr="004B758C">
        <w:t>Prolia</w:t>
      </w:r>
      <w:proofErr w:type="spellEnd"/>
      <w:r w:rsidRPr="004B758C">
        <w:rPr>
          <w:rFonts w:cs="Arial"/>
          <w:vertAlign w:val="superscript"/>
        </w:rPr>
        <w:t>®</w:t>
      </w:r>
      <w:r w:rsidRPr="004B758C">
        <w:t xml:space="preserve">.  </w:t>
      </w:r>
      <w:proofErr w:type="spellStart"/>
      <w:r w:rsidRPr="004B758C">
        <w:t>Prolia</w:t>
      </w:r>
      <w:proofErr w:type="spellEnd"/>
      <w:r w:rsidRPr="004B758C">
        <w:rPr>
          <w:rFonts w:cs="Arial"/>
          <w:vertAlign w:val="superscript"/>
        </w:rPr>
        <w:t>®</w:t>
      </w:r>
      <w:r w:rsidRPr="004B758C">
        <w:rPr>
          <w:rFonts w:cs="Arial"/>
          <w:szCs w:val="22"/>
        </w:rPr>
        <w:t xml:space="preserve"> </w:t>
      </w:r>
      <w:r w:rsidRPr="004B758C">
        <w:t>has been administered in clinical studies using doses up to 180</w:t>
      </w:r>
      <w:r w:rsidRPr="004B758C">
        <w:rPr>
          <w:noProof/>
        </w:rPr>
        <w:t> </w:t>
      </w:r>
      <w:r w:rsidRPr="004B758C">
        <w:t>mg every 4 weeks (cumulative doses up to 1080</w:t>
      </w:r>
      <w:r w:rsidRPr="004B758C">
        <w:rPr>
          <w:noProof/>
        </w:rPr>
        <w:t> </w:t>
      </w:r>
      <w:r w:rsidRPr="004B758C">
        <w:rPr>
          <w:bCs/>
        </w:rPr>
        <w:t>mg over 6</w:t>
      </w:r>
      <w:r w:rsidRPr="004B758C">
        <w:rPr>
          <w:noProof/>
        </w:rPr>
        <w:t> </w:t>
      </w:r>
      <w:r w:rsidRPr="004B758C">
        <w:rPr>
          <w:bCs/>
        </w:rPr>
        <w:t>months)</w:t>
      </w:r>
      <w:r w:rsidRPr="004B758C">
        <w:t xml:space="preserve">, </w:t>
      </w:r>
      <w:r w:rsidRPr="004B758C">
        <w:rPr>
          <w:color w:val="000000"/>
        </w:rPr>
        <w:t>and no additional adverse effects were observed.</w:t>
      </w:r>
    </w:p>
    <w:p w:rsidR="00554E4F" w:rsidRDefault="00554E4F" w:rsidP="00554E4F">
      <w:pPr>
        <w:pStyle w:val="Heading1"/>
        <w:keepNext w:val="0"/>
        <w:spacing w:after="0"/>
      </w:pPr>
      <w:r w:rsidRPr="00227F24">
        <w:t>PRESENTATION AND STORAGE CONDITIONS</w:t>
      </w:r>
    </w:p>
    <w:p w:rsidR="00554E4F" w:rsidRPr="003C3D50" w:rsidRDefault="00554E4F" w:rsidP="00554E4F"/>
    <w:p w:rsidR="00554E4F" w:rsidRDefault="00554E4F" w:rsidP="00554E4F">
      <w:proofErr w:type="spellStart"/>
      <w:r>
        <w:t>Prolia</w:t>
      </w:r>
      <w:proofErr w:type="spellEnd"/>
      <w:r w:rsidRPr="00FC08C0">
        <w:rPr>
          <w:rFonts w:cs="Arial"/>
          <w:vertAlign w:val="superscript"/>
        </w:rPr>
        <w:t>®</w:t>
      </w:r>
      <w:r w:rsidRPr="00FC08C0">
        <w:rPr>
          <w:rFonts w:cs="Arial"/>
          <w:szCs w:val="22"/>
        </w:rPr>
        <w:t xml:space="preserve"> is supplied as a sterile</w:t>
      </w:r>
      <w:r w:rsidRPr="007C4B42">
        <w:t xml:space="preserve">, preservative-free, clear, </w:t>
      </w:r>
      <w:proofErr w:type="spellStart"/>
      <w:r w:rsidRPr="007C4B42">
        <w:t>colourless</w:t>
      </w:r>
      <w:proofErr w:type="spellEnd"/>
      <w:r w:rsidRPr="007C4B42">
        <w:t xml:space="preserve"> to slightly yellow solution for injection at pH 5.2.  The solution should not be used if cloudy</w:t>
      </w:r>
      <w:r>
        <w:t xml:space="preserve"> or </w:t>
      </w:r>
      <w:proofErr w:type="spellStart"/>
      <w:r>
        <w:t>discoloured</w:t>
      </w:r>
      <w:proofErr w:type="spellEnd"/>
      <w:r w:rsidRPr="007C4B42">
        <w:t xml:space="preserve">.  The solution may contain trace amounts of translucent to white </w:t>
      </w:r>
      <w:proofErr w:type="spellStart"/>
      <w:r w:rsidRPr="007C4B42">
        <w:t>proteinaceous</w:t>
      </w:r>
      <w:proofErr w:type="spellEnd"/>
      <w:r w:rsidRPr="007C4B42">
        <w:t xml:space="preserve"> particles.</w:t>
      </w:r>
    </w:p>
    <w:p w:rsidR="00554E4F" w:rsidRDefault="00554E4F" w:rsidP="00554E4F"/>
    <w:p w:rsidR="00554E4F" w:rsidRPr="0006750D" w:rsidRDefault="00554E4F" w:rsidP="00554E4F">
      <w:pPr>
        <w:autoSpaceDE w:val="0"/>
        <w:autoSpaceDN w:val="0"/>
        <w:adjustRightInd w:val="0"/>
        <w:rPr>
          <w:rFonts w:cs="TimesNewRomanPSMT"/>
          <w:color w:val="000000"/>
        </w:rPr>
      </w:pPr>
      <w:r w:rsidRPr="00FC08C0">
        <w:rPr>
          <w:rFonts w:cs="Arial"/>
          <w:szCs w:val="22"/>
        </w:rPr>
        <w:t>Each 1 mL single-use pre-filled syringe or vial contains 60</w:t>
      </w:r>
      <w:r w:rsidRPr="00967DD2">
        <w:rPr>
          <w:noProof/>
        </w:rPr>
        <w:t> </w:t>
      </w:r>
      <w:r w:rsidRPr="00FC08C0">
        <w:rPr>
          <w:rFonts w:cs="Arial"/>
          <w:szCs w:val="22"/>
        </w:rPr>
        <w:t xml:space="preserve">mg of </w:t>
      </w:r>
      <w:proofErr w:type="spellStart"/>
      <w:r w:rsidRPr="00FC08C0">
        <w:rPr>
          <w:rFonts w:cs="Arial"/>
          <w:szCs w:val="22"/>
        </w:rPr>
        <w:t>denosumab</w:t>
      </w:r>
      <w:proofErr w:type="spellEnd"/>
      <w:r w:rsidRPr="00FC08C0">
        <w:rPr>
          <w:rFonts w:cs="Arial"/>
          <w:szCs w:val="22"/>
        </w:rPr>
        <w:t xml:space="preserve"> in 1</w:t>
      </w:r>
      <w:r w:rsidRPr="00967DD2">
        <w:rPr>
          <w:noProof/>
        </w:rPr>
        <w:t> </w:t>
      </w:r>
      <w:r w:rsidRPr="00FC08C0">
        <w:rPr>
          <w:rFonts w:cs="Arial"/>
          <w:szCs w:val="22"/>
        </w:rPr>
        <w:t>mL (60</w:t>
      </w:r>
      <w:r w:rsidRPr="00967DD2">
        <w:rPr>
          <w:noProof/>
        </w:rPr>
        <w:t> </w:t>
      </w:r>
      <w:r w:rsidRPr="00FC08C0">
        <w:rPr>
          <w:rFonts w:cs="Arial"/>
          <w:szCs w:val="22"/>
        </w:rPr>
        <w:t xml:space="preserve">mg/mL).  </w:t>
      </w:r>
      <w:r w:rsidRPr="00FC08C0">
        <w:rPr>
          <w:rFonts w:eastAsia="MS Mincho"/>
          <w:noProof/>
          <w:lang w:eastAsia="ja-JP"/>
        </w:rPr>
        <w:t xml:space="preserve">Product is for single-use in one patient only.  Dispose of any medicinal product remaining in the </w:t>
      </w:r>
      <w:r w:rsidRPr="00FC08C0">
        <w:rPr>
          <w:rFonts w:eastAsia="MS Mincho"/>
          <w:noProof/>
          <w:lang w:eastAsia="ja-JP"/>
        </w:rPr>
        <w:br/>
        <w:t>pre-filled syringe or vial.</w:t>
      </w:r>
    </w:p>
    <w:p w:rsidR="00554E4F" w:rsidRDefault="00554E4F" w:rsidP="00A76E51"/>
    <w:p w:rsidR="00554E4F" w:rsidRDefault="00554E4F" w:rsidP="00554E4F">
      <w:r>
        <w:t>It is recommended to s</w:t>
      </w:r>
      <w:r w:rsidRPr="007C4B42">
        <w:t>tore pre-filled syringes and vials in a refrigerator at 2</w:t>
      </w:r>
      <w:r w:rsidRPr="00FC08C0">
        <w:rPr>
          <w:rFonts w:cs="Arial"/>
          <w:noProof/>
          <w:color w:val="000000"/>
        </w:rPr>
        <w:t>°</w:t>
      </w:r>
      <w:r>
        <w:t xml:space="preserve"> </w:t>
      </w:r>
      <w:r w:rsidRPr="007C4B42">
        <w:t>to 8</w:t>
      </w:r>
      <w:r w:rsidRPr="00FC08C0">
        <w:rPr>
          <w:rFonts w:cs="Arial"/>
          <w:noProof/>
          <w:color w:val="000000"/>
        </w:rPr>
        <w:t>°</w:t>
      </w:r>
      <w:r w:rsidRPr="007C4B42">
        <w:t>C in the original carton.  Do not freeze.  Protect from direct light.</w:t>
      </w:r>
      <w:r>
        <w:t xml:space="preserve">  </w:t>
      </w:r>
      <w:r w:rsidRPr="00FC08C0">
        <w:rPr>
          <w:rFonts w:eastAsia="MS Mincho" w:cs="Arial"/>
          <w:noProof/>
          <w:color w:val="000000"/>
          <w:szCs w:val="22"/>
          <w:lang w:eastAsia="ja-JP"/>
        </w:rPr>
        <w:t xml:space="preserve">Do not excessively shake the pre-filled syringe or vial.  Do not expose to temperatures above </w:t>
      </w:r>
      <w:r w:rsidRPr="00FC08C0">
        <w:rPr>
          <w:rFonts w:cs="Arial"/>
          <w:noProof/>
          <w:color w:val="000000"/>
        </w:rPr>
        <w:t>25°C.</w:t>
      </w:r>
    </w:p>
    <w:p w:rsidR="00554E4F" w:rsidRDefault="00554E4F" w:rsidP="00554E4F"/>
    <w:p w:rsidR="00554E4F" w:rsidRPr="007C4B42" w:rsidRDefault="00554E4F" w:rsidP="00554E4F">
      <w:pPr>
        <w:autoSpaceDE w:val="0"/>
        <w:autoSpaceDN w:val="0"/>
        <w:adjustRightInd w:val="0"/>
        <w:rPr>
          <w:noProof/>
        </w:rPr>
      </w:pPr>
      <w:r>
        <w:t xml:space="preserve">If removed from the refrigerator, </w:t>
      </w:r>
      <w:proofErr w:type="spellStart"/>
      <w:r>
        <w:t>Prolia</w:t>
      </w:r>
      <w:proofErr w:type="spellEnd"/>
      <w:r w:rsidRPr="00FC08C0">
        <w:rPr>
          <w:rFonts w:cs="Arial"/>
          <w:vertAlign w:val="superscript"/>
        </w:rPr>
        <w:t>®</w:t>
      </w:r>
      <w:r w:rsidRPr="00FC08C0">
        <w:rPr>
          <w:rFonts w:cs="Arial"/>
          <w:szCs w:val="22"/>
        </w:rPr>
        <w:t xml:space="preserve"> should be kept at room temperature </w:t>
      </w:r>
      <w:r w:rsidRPr="00FC08C0">
        <w:rPr>
          <w:rFonts w:cs="Arial"/>
          <w:noProof/>
        </w:rPr>
        <w:t xml:space="preserve">(up to </w:t>
      </w:r>
      <w:r w:rsidRPr="00FC08C0">
        <w:rPr>
          <w:rFonts w:cs="Arial"/>
          <w:noProof/>
          <w:color w:val="000000"/>
        </w:rPr>
        <w:t>25°C</w:t>
      </w:r>
      <w:r w:rsidRPr="00FC08C0">
        <w:rPr>
          <w:rFonts w:cs="Arial"/>
          <w:noProof/>
        </w:rPr>
        <w:t>)</w:t>
      </w:r>
      <w:r>
        <w:rPr>
          <w:noProof/>
        </w:rPr>
        <w:t xml:space="preserve"> in the original container and must be used within 30</w:t>
      </w:r>
      <w:r w:rsidRPr="00FC08C0">
        <w:rPr>
          <w:rFonts w:cs="Arial"/>
          <w:szCs w:val="22"/>
        </w:rPr>
        <w:t> </w:t>
      </w:r>
      <w:r>
        <w:rPr>
          <w:noProof/>
        </w:rPr>
        <w:t>days.</w:t>
      </w:r>
    </w:p>
    <w:p w:rsidR="00554E4F" w:rsidRPr="007C4B42" w:rsidRDefault="00554E4F" w:rsidP="00554E4F"/>
    <w:p w:rsidR="00554E4F" w:rsidRDefault="00554E4F" w:rsidP="00554E4F">
      <w:pPr>
        <w:autoSpaceDE w:val="0"/>
        <w:autoSpaceDN w:val="0"/>
        <w:adjustRightInd w:val="0"/>
        <w:rPr>
          <w:rFonts w:cs="Arial"/>
          <w:b/>
          <w:i/>
        </w:rPr>
      </w:pPr>
      <w:r>
        <w:rPr>
          <w:rFonts w:cs="Arial"/>
          <w:b/>
        </w:rPr>
        <w:t>Pre-filled syringe with automatic needle guard</w:t>
      </w:r>
      <w:r>
        <w:rPr>
          <w:rFonts w:cs="Arial"/>
          <w:b/>
          <w:i/>
        </w:rPr>
        <w:t>;</w:t>
      </w:r>
    </w:p>
    <w:p w:rsidR="00554E4F" w:rsidRPr="00FC08C0" w:rsidRDefault="00554E4F" w:rsidP="00554E4F">
      <w:pPr>
        <w:autoSpaceDE w:val="0"/>
        <w:autoSpaceDN w:val="0"/>
        <w:adjustRightInd w:val="0"/>
        <w:rPr>
          <w:rFonts w:cs="Arial"/>
        </w:rPr>
      </w:pPr>
      <w:r w:rsidRPr="00D90407">
        <w:rPr>
          <w:rFonts w:cs="Arial"/>
          <w:b/>
          <w:i/>
        </w:rPr>
        <w:t>Pre-filled syringe</w:t>
      </w:r>
      <w:r>
        <w:rPr>
          <w:rFonts w:cs="Arial"/>
          <w:b/>
          <w:i/>
        </w:rPr>
        <w:t>*</w:t>
      </w:r>
      <w:r w:rsidRPr="00FC08C0">
        <w:rPr>
          <w:rFonts w:cs="Arial"/>
          <w:b/>
        </w:rPr>
        <w:t>:</w:t>
      </w:r>
    </w:p>
    <w:p w:rsidR="00554E4F" w:rsidRPr="00FC08C0" w:rsidRDefault="00554E4F" w:rsidP="00554E4F">
      <w:pPr>
        <w:autoSpaceDE w:val="0"/>
        <w:autoSpaceDN w:val="0"/>
        <w:adjustRightInd w:val="0"/>
        <w:rPr>
          <w:rFonts w:eastAsia="MS Mincho" w:cs="Arial"/>
          <w:noProof/>
          <w:color w:val="000000"/>
          <w:szCs w:val="22"/>
          <w:lang w:eastAsia="ja-JP"/>
        </w:rPr>
      </w:pPr>
      <w:r w:rsidRPr="00FC08C0">
        <w:rPr>
          <w:rFonts w:eastAsia="MS Mincho" w:cs="Arial"/>
          <w:noProof/>
          <w:color w:val="000000"/>
          <w:szCs w:val="22"/>
          <w:lang w:eastAsia="ja-JP"/>
        </w:rPr>
        <w:lastRenderedPageBreak/>
        <w:t>Pack size of one, presented in blistered (pre-filled syringe with or without an automatic needle guard) or unblistered packaging (pre-filled syringe only).</w:t>
      </w:r>
    </w:p>
    <w:p w:rsidR="00554E4F" w:rsidRPr="00FC08C0" w:rsidRDefault="00554E4F" w:rsidP="00554E4F">
      <w:pPr>
        <w:autoSpaceDE w:val="0"/>
        <w:autoSpaceDN w:val="0"/>
        <w:adjustRightInd w:val="0"/>
        <w:rPr>
          <w:rFonts w:eastAsia="MS Mincho" w:cs="Arial"/>
          <w:noProof/>
          <w:color w:val="000000"/>
          <w:szCs w:val="22"/>
          <w:lang w:eastAsia="ja-JP"/>
        </w:rPr>
      </w:pPr>
    </w:p>
    <w:p w:rsidR="00554E4F" w:rsidRDefault="00554E4F" w:rsidP="00554E4F">
      <w:pPr>
        <w:autoSpaceDE w:val="0"/>
        <w:autoSpaceDN w:val="0"/>
        <w:adjustRightInd w:val="0"/>
        <w:rPr>
          <w:rFonts w:eastAsia="MS Mincho" w:cs="Arial"/>
          <w:noProof/>
          <w:color w:val="000000"/>
          <w:szCs w:val="22"/>
          <w:lang w:eastAsia="ja-JP"/>
        </w:rPr>
      </w:pPr>
      <w:r w:rsidRPr="00FC08C0">
        <w:rPr>
          <w:rFonts w:eastAsia="MS Mincho" w:cs="Arial"/>
          <w:noProof/>
          <w:color w:val="000000"/>
          <w:szCs w:val="22"/>
          <w:lang w:eastAsia="ja-JP"/>
        </w:rPr>
        <w:t>The needle cover of the pre-filled syringe contains dry natural rubber (a derivative of latex), which may cause allergic reactions.</w:t>
      </w:r>
    </w:p>
    <w:p w:rsidR="00554E4F" w:rsidRDefault="00554E4F" w:rsidP="00554E4F">
      <w:pPr>
        <w:autoSpaceDE w:val="0"/>
        <w:autoSpaceDN w:val="0"/>
        <w:adjustRightInd w:val="0"/>
        <w:rPr>
          <w:rFonts w:eastAsia="MS Mincho" w:cs="Arial"/>
          <w:noProof/>
          <w:color w:val="000000"/>
          <w:szCs w:val="22"/>
          <w:lang w:eastAsia="ja-JP"/>
        </w:rPr>
      </w:pPr>
    </w:p>
    <w:p w:rsidR="00554E4F" w:rsidRPr="00D90407" w:rsidRDefault="00554E4F" w:rsidP="00554E4F">
      <w:pPr>
        <w:tabs>
          <w:tab w:val="left" w:pos="279"/>
        </w:tabs>
        <w:autoSpaceDE w:val="0"/>
        <w:autoSpaceDN w:val="0"/>
        <w:adjustRightInd w:val="0"/>
        <w:rPr>
          <w:rFonts w:eastAsia="MS Mincho" w:cs="Arial"/>
          <w:i/>
          <w:noProof/>
          <w:color w:val="000000"/>
          <w:szCs w:val="22"/>
          <w:lang w:eastAsia="ja-JP"/>
        </w:rPr>
      </w:pPr>
      <w:r w:rsidRPr="00D90407">
        <w:rPr>
          <w:rFonts w:eastAsia="MS Mincho" w:cs="Arial"/>
          <w:i/>
          <w:noProof/>
          <w:color w:val="000000"/>
          <w:szCs w:val="22"/>
          <w:lang w:eastAsia="ja-JP"/>
        </w:rPr>
        <w:t>*</w:t>
      </w:r>
      <w:r>
        <w:rPr>
          <w:i/>
        </w:rPr>
        <w:tab/>
      </w:r>
      <w:r w:rsidRPr="00D90407">
        <w:rPr>
          <w:i/>
        </w:rPr>
        <w:t>Not available in Australia.</w:t>
      </w:r>
    </w:p>
    <w:p w:rsidR="00554E4F" w:rsidRPr="007C4B42" w:rsidRDefault="00554E4F" w:rsidP="00554E4F"/>
    <w:p w:rsidR="00554E4F" w:rsidRPr="00D90407" w:rsidRDefault="00554E4F" w:rsidP="00554E4F">
      <w:pPr>
        <w:rPr>
          <w:b/>
          <w:i/>
        </w:rPr>
      </w:pPr>
      <w:r w:rsidRPr="00D90407">
        <w:rPr>
          <w:b/>
          <w:i/>
        </w:rPr>
        <w:t>Vial*:</w:t>
      </w:r>
    </w:p>
    <w:p w:rsidR="00554E4F" w:rsidRPr="00FC08C0" w:rsidRDefault="00554E4F" w:rsidP="00554E4F">
      <w:pPr>
        <w:autoSpaceDE w:val="0"/>
        <w:autoSpaceDN w:val="0"/>
        <w:adjustRightInd w:val="0"/>
        <w:rPr>
          <w:rFonts w:eastAsia="MS Mincho" w:cs="Arial"/>
          <w:noProof/>
          <w:color w:val="000000"/>
          <w:szCs w:val="22"/>
          <w:lang w:eastAsia="ja-JP"/>
        </w:rPr>
      </w:pPr>
      <w:r w:rsidRPr="00FC08C0">
        <w:rPr>
          <w:rFonts w:eastAsia="MS Mincho" w:cs="Arial"/>
          <w:noProof/>
          <w:color w:val="000000"/>
          <w:szCs w:val="22"/>
          <w:lang w:eastAsia="ja-JP"/>
        </w:rPr>
        <w:t>Pack size of one.</w:t>
      </w:r>
    </w:p>
    <w:p w:rsidR="00554E4F" w:rsidRPr="00FC08C0" w:rsidRDefault="00554E4F" w:rsidP="00554E4F">
      <w:pPr>
        <w:rPr>
          <w:rFonts w:cs="Arial"/>
        </w:rPr>
      </w:pPr>
    </w:p>
    <w:p w:rsidR="00554E4F" w:rsidRPr="00FC08C0" w:rsidRDefault="00554E4F" w:rsidP="00554E4F">
      <w:pPr>
        <w:rPr>
          <w:rFonts w:cs="Arial"/>
          <w:noProof/>
          <w:szCs w:val="22"/>
          <w:lang w:val="en-GB"/>
        </w:rPr>
      </w:pPr>
      <w:r w:rsidRPr="00FC08C0">
        <w:rPr>
          <w:rFonts w:cs="Arial"/>
          <w:noProof/>
          <w:color w:val="000000"/>
          <w:szCs w:val="22"/>
          <w:lang w:val="en-GB"/>
        </w:rPr>
        <w:t xml:space="preserve">A 27 gauge needle </w:t>
      </w:r>
      <w:r w:rsidRPr="00FC08C0">
        <w:rPr>
          <w:rFonts w:cs="Arial"/>
          <w:noProof/>
          <w:szCs w:val="22"/>
          <w:lang w:val="en-GB"/>
        </w:rPr>
        <w:t>is recommended for the administration</w:t>
      </w:r>
      <w:r w:rsidRPr="00FC08C0">
        <w:rPr>
          <w:rFonts w:cs="Arial"/>
          <w:noProof/>
          <w:color w:val="000000"/>
          <w:szCs w:val="22"/>
          <w:lang w:val="en-GB"/>
        </w:rPr>
        <w:t xml:space="preserve"> of </w:t>
      </w:r>
      <w:proofErr w:type="spellStart"/>
      <w:r>
        <w:t>Prolia</w:t>
      </w:r>
      <w:proofErr w:type="spellEnd"/>
      <w:r w:rsidRPr="00FC08C0">
        <w:rPr>
          <w:rFonts w:cs="Arial"/>
          <w:vertAlign w:val="superscript"/>
        </w:rPr>
        <w:t>®</w:t>
      </w:r>
      <w:r w:rsidRPr="00FC08C0">
        <w:rPr>
          <w:rFonts w:cs="Arial"/>
          <w:noProof/>
          <w:szCs w:val="22"/>
          <w:lang w:val="en-GB"/>
        </w:rPr>
        <w:t>.  Do not re-enter the vial.</w:t>
      </w:r>
    </w:p>
    <w:p w:rsidR="00554E4F" w:rsidRDefault="00554E4F" w:rsidP="00554E4F"/>
    <w:p w:rsidR="00554E4F" w:rsidRPr="00D90407" w:rsidRDefault="00554E4F" w:rsidP="00554E4F">
      <w:pPr>
        <w:tabs>
          <w:tab w:val="left" w:pos="290"/>
        </w:tabs>
        <w:rPr>
          <w:i/>
        </w:rPr>
      </w:pPr>
      <w:r>
        <w:rPr>
          <w:i/>
        </w:rPr>
        <w:t>*</w:t>
      </w:r>
      <w:r>
        <w:rPr>
          <w:i/>
        </w:rPr>
        <w:tab/>
      </w:r>
      <w:r w:rsidRPr="00D90407">
        <w:rPr>
          <w:i/>
        </w:rPr>
        <w:t>Not available in Australia.</w:t>
      </w:r>
    </w:p>
    <w:p w:rsidR="00554E4F" w:rsidRDefault="00554E4F" w:rsidP="00554E4F">
      <w:pPr>
        <w:pStyle w:val="Heading1"/>
        <w:keepNext w:val="0"/>
        <w:spacing w:after="0"/>
      </w:pPr>
      <w:r w:rsidRPr="00227F24">
        <w:t>NAME AND ADDRESS OF THE SPONSOR</w:t>
      </w:r>
    </w:p>
    <w:p w:rsidR="00554E4F" w:rsidRPr="003C3D50" w:rsidRDefault="00554E4F" w:rsidP="00554E4F"/>
    <w:p w:rsidR="00554E4F" w:rsidRPr="00FC08C0" w:rsidRDefault="00554E4F" w:rsidP="00554E4F">
      <w:pPr>
        <w:rPr>
          <w:rFonts w:cs="Arial"/>
          <w:color w:val="000000"/>
          <w:szCs w:val="22"/>
          <w:lang w:val="en-AU"/>
        </w:rPr>
      </w:pPr>
      <w:r w:rsidRPr="00FC08C0">
        <w:rPr>
          <w:rFonts w:cs="Arial"/>
          <w:color w:val="000000"/>
          <w:szCs w:val="22"/>
          <w:lang w:val="en-AU"/>
        </w:rPr>
        <w:t>Amgen Australia Pty Ltd</w:t>
      </w:r>
    </w:p>
    <w:p w:rsidR="00554E4F" w:rsidRPr="00FC08C0" w:rsidRDefault="00554E4F" w:rsidP="00554E4F">
      <w:pPr>
        <w:rPr>
          <w:rFonts w:cs="Arial"/>
          <w:color w:val="000000"/>
          <w:szCs w:val="22"/>
          <w:lang w:val="en-AU"/>
        </w:rPr>
      </w:pPr>
      <w:r w:rsidRPr="00FC08C0">
        <w:rPr>
          <w:rFonts w:cs="Arial"/>
          <w:color w:val="000000"/>
          <w:szCs w:val="22"/>
          <w:lang w:val="en-AU"/>
        </w:rPr>
        <w:t>ABN 31 051 057 428</w:t>
      </w:r>
    </w:p>
    <w:p w:rsidR="00554E4F" w:rsidRPr="00FC08C0" w:rsidRDefault="00554E4F" w:rsidP="00554E4F">
      <w:pPr>
        <w:rPr>
          <w:rFonts w:cs="Arial"/>
          <w:color w:val="000000"/>
          <w:szCs w:val="22"/>
          <w:lang w:val="en-AU"/>
        </w:rPr>
      </w:pPr>
      <w:r w:rsidRPr="00FC08C0">
        <w:rPr>
          <w:rFonts w:cs="Arial"/>
          <w:color w:val="000000"/>
          <w:szCs w:val="22"/>
          <w:lang w:val="en-AU"/>
        </w:rPr>
        <w:t xml:space="preserve">Level 7, </w:t>
      </w:r>
      <w:smartTag w:uri="urn:schemas-microsoft-com:office:smarttags" w:element="Street">
        <w:smartTag w:uri="urn:schemas-microsoft-com:office:smarttags" w:element="address">
          <w:r w:rsidRPr="00FC08C0">
            <w:rPr>
              <w:rFonts w:cs="Arial"/>
              <w:color w:val="000000"/>
              <w:szCs w:val="22"/>
              <w:lang w:val="en-AU"/>
            </w:rPr>
            <w:t>123 Epping Road</w:t>
          </w:r>
        </w:smartTag>
      </w:smartTag>
    </w:p>
    <w:p w:rsidR="00554E4F" w:rsidRPr="00FC08C0" w:rsidRDefault="00554E4F" w:rsidP="00554E4F">
      <w:pPr>
        <w:rPr>
          <w:rFonts w:cs="Arial"/>
          <w:color w:val="000000"/>
          <w:szCs w:val="22"/>
          <w:lang w:val="en-AU"/>
        </w:rPr>
      </w:pPr>
      <w:smartTag w:uri="urn:schemas-microsoft-com:office:smarttags" w:element="place">
        <w:r w:rsidRPr="00FC08C0">
          <w:rPr>
            <w:rFonts w:cs="Arial"/>
            <w:color w:val="000000"/>
            <w:szCs w:val="22"/>
            <w:lang w:val="en-AU"/>
          </w:rPr>
          <w:t>North Ryde</w:t>
        </w:r>
      </w:smartTag>
      <w:r w:rsidRPr="00FC08C0">
        <w:rPr>
          <w:rFonts w:cs="Arial"/>
          <w:color w:val="000000"/>
          <w:szCs w:val="22"/>
          <w:lang w:val="en-AU"/>
        </w:rPr>
        <w:t xml:space="preserve"> NSW 2113</w:t>
      </w:r>
    </w:p>
    <w:p w:rsidR="00554E4F" w:rsidRDefault="00554E4F" w:rsidP="00554E4F"/>
    <w:p w:rsidR="00554E4F" w:rsidRDefault="00554E4F" w:rsidP="00554E4F">
      <w:r>
        <w:t>Medical Information: 1800 646 998</w:t>
      </w:r>
    </w:p>
    <w:p w:rsidR="00554E4F" w:rsidRPr="00554E4F" w:rsidRDefault="00554E4F" w:rsidP="00A76E51"/>
    <w:p w:rsidR="00554E4F" w:rsidRPr="00FC08C0" w:rsidRDefault="00554E4F" w:rsidP="00554E4F">
      <w:pPr>
        <w:pStyle w:val="Heading1"/>
        <w:keepNext w:val="0"/>
        <w:spacing w:after="0"/>
        <w:rPr>
          <w:lang w:val="en-AU"/>
        </w:rPr>
      </w:pPr>
      <w:r w:rsidRPr="00FC08C0">
        <w:rPr>
          <w:lang w:val="en-AU"/>
        </w:rPr>
        <w:t>POISON SCHEDULE OF THE MEDICINE</w:t>
      </w:r>
    </w:p>
    <w:p w:rsidR="00554E4F" w:rsidRPr="00FC08C0" w:rsidRDefault="00554E4F" w:rsidP="00554E4F">
      <w:pPr>
        <w:rPr>
          <w:lang w:val="en-AU"/>
        </w:rPr>
      </w:pPr>
    </w:p>
    <w:p w:rsidR="00554E4F" w:rsidRDefault="00554E4F" w:rsidP="00554E4F">
      <w:pPr>
        <w:rPr>
          <w:lang w:val="en-AU"/>
        </w:rPr>
      </w:pPr>
      <w:r w:rsidRPr="00FC08C0">
        <w:rPr>
          <w:lang w:val="en-AU"/>
        </w:rPr>
        <w:t>S4 Prescription Medicine</w:t>
      </w:r>
    </w:p>
    <w:p w:rsidR="00A03903" w:rsidRDefault="00A03903"/>
    <w:p w:rsidR="00554E4F" w:rsidRPr="00227F24" w:rsidRDefault="00554E4F" w:rsidP="00554E4F">
      <w:pPr>
        <w:pStyle w:val="Heading1"/>
        <w:keepNext w:val="0"/>
        <w:spacing w:after="0"/>
      </w:pPr>
      <w:r w:rsidRPr="00227F24">
        <w:t>DATE OF APPROVAL</w:t>
      </w:r>
    </w:p>
    <w:p w:rsidR="00554E4F" w:rsidRPr="00FC08C0" w:rsidRDefault="00554E4F" w:rsidP="00554E4F">
      <w:pPr>
        <w:rPr>
          <w:rFonts w:cs="Arial"/>
          <w:szCs w:val="22"/>
          <w:lang w:val="en-AU"/>
        </w:rPr>
      </w:pPr>
    </w:p>
    <w:p w:rsidR="00554E4F" w:rsidRPr="0006750D" w:rsidRDefault="00554E4F" w:rsidP="00554E4F">
      <w:pPr>
        <w:rPr>
          <w:rFonts w:cs="Arial"/>
          <w:color w:val="000000"/>
          <w:szCs w:val="22"/>
          <w:lang w:val="en-AU"/>
        </w:rPr>
      </w:pPr>
      <w:r>
        <w:rPr>
          <w:rFonts w:cs="Arial"/>
          <w:color w:val="000000"/>
          <w:szCs w:val="22"/>
          <w:lang w:val="en-AU"/>
        </w:rPr>
        <w:t>5 September 2013</w:t>
      </w:r>
    </w:p>
    <w:p w:rsidR="00554E4F" w:rsidRDefault="00554E4F" w:rsidP="00554E4F">
      <w:pPr>
        <w:rPr>
          <w:rFonts w:cs="Arial"/>
          <w:szCs w:val="22"/>
          <w:lang w:val="en-AU"/>
        </w:rPr>
      </w:pPr>
    </w:p>
    <w:p w:rsidR="00554E4F" w:rsidRPr="00B33FFC" w:rsidRDefault="00554E4F" w:rsidP="00554E4F">
      <w:pPr>
        <w:rPr>
          <w:b/>
          <w:color w:val="000000"/>
        </w:rPr>
      </w:pPr>
    </w:p>
    <w:p w:rsidR="00554E4F" w:rsidRPr="00262E52" w:rsidRDefault="00554E4F" w:rsidP="00554E4F">
      <w:pPr>
        <w:rPr>
          <w:rFonts w:cs="Arial"/>
          <w:color w:val="000000"/>
          <w:sz w:val="28"/>
          <w:szCs w:val="28"/>
          <w:lang w:val="en-AU"/>
        </w:rPr>
      </w:pPr>
      <w:r w:rsidRPr="00B93DC8">
        <w:rPr>
          <w:rFonts w:cs="Arial"/>
          <w:b/>
          <w:color w:val="000000"/>
          <w:sz w:val="24"/>
          <w:vertAlign w:val="superscript"/>
        </w:rPr>
        <w:t>#</w:t>
      </w:r>
      <w:r>
        <w:rPr>
          <w:rFonts w:cs="Arial"/>
          <w:color w:val="000000"/>
          <w:sz w:val="28"/>
          <w:szCs w:val="28"/>
          <w:lang w:val="en-AU"/>
        </w:rPr>
        <w:t xml:space="preserve">  Please note changes</w:t>
      </w:r>
      <w:r w:rsidRPr="00262E52">
        <w:rPr>
          <w:rFonts w:cs="Arial"/>
          <w:color w:val="000000"/>
          <w:sz w:val="28"/>
          <w:szCs w:val="28"/>
          <w:lang w:val="en-AU"/>
        </w:rPr>
        <w:t xml:space="preserve"> in Product Information</w:t>
      </w:r>
    </w:p>
    <w:p w:rsidR="00554E4F" w:rsidRPr="00FC08C0" w:rsidRDefault="00554E4F" w:rsidP="00554E4F">
      <w:pPr>
        <w:rPr>
          <w:rFonts w:cs="Arial"/>
          <w:color w:val="000000"/>
          <w:szCs w:val="22"/>
          <w:lang w:val="en-AU"/>
        </w:rPr>
      </w:pPr>
    </w:p>
    <w:p w:rsidR="00554E4F" w:rsidRPr="00FC08C0" w:rsidRDefault="00554E4F" w:rsidP="00554E4F">
      <w:pPr>
        <w:rPr>
          <w:rFonts w:cs="Arial"/>
          <w:color w:val="000000"/>
          <w:sz w:val="16"/>
          <w:szCs w:val="16"/>
          <w:lang w:val="en-AU"/>
        </w:rPr>
      </w:pPr>
      <w:proofErr w:type="spellStart"/>
      <w:r w:rsidRPr="00FC08C0">
        <w:rPr>
          <w:rFonts w:cs="Arial"/>
          <w:color w:val="000000"/>
          <w:sz w:val="16"/>
          <w:szCs w:val="16"/>
          <w:lang w:val="en-AU"/>
        </w:rPr>
        <w:t>Prolia</w:t>
      </w:r>
      <w:proofErr w:type="spellEnd"/>
      <w:r w:rsidRPr="00FC08C0">
        <w:rPr>
          <w:rFonts w:cs="Arial"/>
          <w:color w:val="000000"/>
          <w:sz w:val="16"/>
          <w:szCs w:val="16"/>
          <w:lang w:val="en-AU"/>
        </w:rPr>
        <w:t xml:space="preserve"> is a registered trademark of Amgen.</w:t>
      </w:r>
    </w:p>
    <w:p w:rsidR="00554E4F" w:rsidRDefault="00554E4F">
      <w:r>
        <w:rPr>
          <w:rFonts w:cs="Arial"/>
          <w:color w:val="000000"/>
          <w:sz w:val="16"/>
          <w:szCs w:val="16"/>
          <w:lang w:val="en-AU"/>
        </w:rPr>
        <w:t>© 201</w:t>
      </w:r>
      <w:r w:rsidRPr="007309F6">
        <w:rPr>
          <w:rFonts w:cs="Arial"/>
          <w:color w:val="000000"/>
          <w:sz w:val="16"/>
          <w:szCs w:val="16"/>
          <w:lang w:val="en-AU"/>
        </w:rPr>
        <w:t>3</w:t>
      </w:r>
      <w:r w:rsidRPr="00FC08C0">
        <w:rPr>
          <w:rFonts w:cs="Arial"/>
          <w:color w:val="000000"/>
          <w:sz w:val="16"/>
          <w:szCs w:val="16"/>
          <w:lang w:val="en-AU"/>
        </w:rPr>
        <w:t xml:space="preserve"> Amgen Inc. All rights reserved.</w:t>
      </w:r>
    </w:p>
    <w:sectPr w:rsidR="00554E4F" w:rsidSect="00516CFD">
      <w:headerReference w:type="default" r:id="rId11"/>
      <w:footerReference w:type="default" r:id="rId12"/>
      <w:pgSz w:w="12240" w:h="15840" w:code="1"/>
      <w:pgMar w:top="1151" w:right="902"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003" w:rsidRDefault="00AD7003">
      <w:r>
        <w:separator/>
      </w:r>
    </w:p>
  </w:endnote>
  <w:endnote w:type="continuationSeparator" w:id="0">
    <w:p w:rsidR="00AD7003" w:rsidRDefault="00AD7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Bold">
    <w:altName w:val="MS Mincho"/>
    <w:panose1 w:val="00000000000000000000"/>
    <w:charset w:val="80"/>
    <w:family w:val="auto"/>
    <w:notTrueType/>
    <w:pitch w:val="default"/>
    <w:sig w:usb0="00000001" w:usb1="08070000" w:usb2="00000010" w:usb3="00000000" w:csb0="00020000" w:csb1="00000000"/>
  </w:font>
  <w:font w:name="Arial,Bold">
    <w:panose1 w:val="00000000000000000000"/>
    <w:charset w:val="00"/>
    <w:family w:val="auto"/>
    <w:notTrueType/>
    <w:pitch w:val="default"/>
    <w:sig w:usb0="00000003" w:usb1="00000000" w:usb2="00000000" w:usb3="00000000" w:csb0="00000001" w:csb1="00000000"/>
  </w:font>
  <w:font w:name="TimesNewRoman">
    <w:altName w:val="MS Mincho"/>
    <w:panose1 w:val="00000000000000000000"/>
    <w:charset w:val="00"/>
    <w:family w:val="roman"/>
    <w:notTrueType/>
    <w:pitch w:val="default"/>
    <w:sig w:usb0="00000001" w:usb1="08070000" w:usb2="00000010" w:usb3="00000000" w:csb0="00020001" w:csb1="00000000"/>
  </w:font>
  <w:font w:name="ArialMT">
    <w:panose1 w:val="00000000000000000000"/>
    <w:charset w:val="00"/>
    <w:family w:val="swiss"/>
    <w:notTrueType/>
    <w:pitch w:val="default"/>
    <w:sig w:usb0="00000003" w:usb1="00000000" w:usb2="00000000" w:usb3="00000000" w:csb0="00000001" w:csb1="00000000"/>
  </w:font>
  <w:font w:name="SymbolMT">
    <w:altName w:val="MS Mincho"/>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imesNewRomanPS-BoldMT">
    <w:panose1 w:val="00000000000000000000"/>
    <w:charset w:val="00"/>
    <w:family w:val="roman"/>
    <w:notTrueType/>
    <w:pitch w:val="default"/>
    <w:sig w:usb0="00000003" w:usb1="00000000" w:usb2="00000000" w:usb3="00000000" w:csb0="00000001" w:csb1="00000000"/>
  </w:font>
  <w:font w:name="Cambria">
    <w:altName w:val="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003" w:rsidRPr="00153EE2" w:rsidRDefault="00AD7003" w:rsidP="00153EE2">
    <w:pPr>
      <w:pStyle w:val="Footer"/>
      <w:rPr>
        <w:szCs w:val="18"/>
      </w:rPr>
    </w:pPr>
    <w:r>
      <w:rPr>
        <w:rFonts w:cs="Arial"/>
        <w:color w:val="000000"/>
        <w:sz w:val="18"/>
        <w:szCs w:val="18"/>
        <w:vertAlign w:val="superscript"/>
        <w:lang w:val="da-DK"/>
      </w:rPr>
      <w:t>130905 Prolia PI v5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003" w:rsidRDefault="00AD7003">
      <w:r>
        <w:separator/>
      </w:r>
    </w:p>
  </w:footnote>
  <w:footnote w:type="continuationSeparator" w:id="0">
    <w:p w:rsidR="00AD7003" w:rsidRDefault="00AD70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003" w:rsidRPr="00AD7003" w:rsidRDefault="00AD7003" w:rsidP="00AD7003">
    <w:pPr>
      <w:pBdr>
        <w:top w:val="single" w:sz="4" w:space="1" w:color="auto"/>
        <w:left w:val="single" w:sz="4" w:space="4" w:color="auto"/>
        <w:bottom w:val="single" w:sz="4" w:space="1" w:color="auto"/>
        <w:right w:val="single" w:sz="4" w:space="4" w:color="auto"/>
      </w:pBdr>
      <w:shd w:val="clear" w:color="auto" w:fill="E4F2E0"/>
      <w:spacing w:before="40" w:after="40"/>
      <w:rPr>
        <w:rFonts w:ascii="Cambria" w:hAnsi="Cambria"/>
        <w:b/>
        <w:sz w:val="20"/>
        <w:szCs w:val="20"/>
      </w:rPr>
    </w:pPr>
    <w:r w:rsidRPr="00AD7003">
      <w:rPr>
        <w:rFonts w:ascii="Cambria" w:hAnsi="Cambria"/>
        <w:b/>
        <w:sz w:val="20"/>
        <w:szCs w:val="20"/>
      </w:rPr>
      <w:t xml:space="preserve">Attachment 1: Product information for </w:t>
    </w:r>
    <w:proofErr w:type="spellStart"/>
    <w:r w:rsidRPr="00AD7003">
      <w:rPr>
        <w:rFonts w:ascii="Cambria" w:hAnsi="Cambria"/>
        <w:b/>
        <w:sz w:val="20"/>
        <w:szCs w:val="20"/>
      </w:rPr>
      <w:t>AusPAR</w:t>
    </w:r>
    <w:proofErr w:type="spellEnd"/>
    <w:r w:rsidRPr="00AD7003">
      <w:rPr>
        <w:rFonts w:ascii="Cambria" w:hAnsi="Cambria"/>
        <w:b/>
        <w:sz w:val="20"/>
        <w:szCs w:val="20"/>
      </w:rPr>
      <w:t xml:space="preserve"> </w:t>
    </w:r>
    <w:proofErr w:type="spellStart"/>
    <w:r w:rsidRPr="00AD7003">
      <w:rPr>
        <w:rFonts w:ascii="Cambria" w:hAnsi="Cambria"/>
        <w:b/>
        <w:sz w:val="20"/>
        <w:szCs w:val="20"/>
      </w:rPr>
      <w:t>Prolia</w:t>
    </w:r>
    <w:proofErr w:type="spellEnd"/>
    <w:r w:rsidRPr="00AD7003">
      <w:rPr>
        <w:rFonts w:ascii="Cambria" w:hAnsi="Cambria"/>
        <w:b/>
        <w:sz w:val="20"/>
        <w:szCs w:val="20"/>
      </w:rPr>
      <w:t xml:space="preserve"> Amgen Australia Pty Ltd PM-2012-02302-3-5 Final 28 January 2014. This Product Information was approved at the time this </w:t>
    </w:r>
    <w:proofErr w:type="spellStart"/>
    <w:r w:rsidRPr="00AD7003">
      <w:rPr>
        <w:rFonts w:ascii="Cambria" w:hAnsi="Cambria"/>
        <w:b/>
        <w:sz w:val="20"/>
        <w:szCs w:val="20"/>
      </w:rPr>
      <w:t>AusPAR</w:t>
    </w:r>
    <w:proofErr w:type="spellEnd"/>
    <w:r w:rsidRPr="00AD7003">
      <w:rPr>
        <w:rFonts w:ascii="Cambria" w:hAnsi="Cambria"/>
        <w:b/>
        <w:sz w:val="20"/>
        <w:szCs w:val="20"/>
      </w:rPr>
      <w:t xml:space="preserve"> was published.</w:t>
    </w:r>
  </w:p>
  <w:p w:rsidR="00AD7003" w:rsidRDefault="00AD7003" w:rsidP="00FD1A3E">
    <w:pPr>
      <w:pBdr>
        <w:bottom w:val="single" w:sz="4" w:space="1" w:color="auto"/>
      </w:pBdr>
      <w:tabs>
        <w:tab w:val="left" w:pos="6120"/>
        <w:tab w:val="right" w:pos="9900"/>
      </w:tabs>
      <w:rPr>
        <w:rFonts w:cs="Arial"/>
        <w:sz w:val="20"/>
        <w:szCs w:val="20"/>
        <w:lang w:val="en-AU"/>
      </w:rPr>
    </w:pPr>
  </w:p>
  <w:p w:rsidR="00AD7003" w:rsidRPr="00767C0A" w:rsidRDefault="00AD7003" w:rsidP="00FD1A3E">
    <w:pPr>
      <w:pBdr>
        <w:bottom w:val="single" w:sz="4" w:space="1" w:color="auto"/>
      </w:pBdr>
      <w:tabs>
        <w:tab w:val="left" w:pos="6120"/>
        <w:tab w:val="right" w:pos="9900"/>
      </w:tabs>
      <w:rPr>
        <w:rFonts w:cs="Arial"/>
        <w:sz w:val="20"/>
        <w:szCs w:val="20"/>
        <w:lang w:val="en-AU"/>
      </w:rPr>
    </w:pPr>
    <w:proofErr w:type="spellStart"/>
    <w:r w:rsidRPr="00DF3E07">
      <w:rPr>
        <w:rFonts w:cs="Arial"/>
        <w:sz w:val="20"/>
        <w:szCs w:val="20"/>
        <w:lang w:val="en-AU"/>
      </w:rPr>
      <w:t>Prolia</w:t>
    </w:r>
    <w:proofErr w:type="spellEnd"/>
    <w:r>
      <w:rPr>
        <w:rFonts w:cs="Arial"/>
        <w:sz w:val="20"/>
        <w:szCs w:val="20"/>
        <w:vertAlign w:val="superscript"/>
        <w:lang w:val="en-AU"/>
      </w:rPr>
      <w:t>®</w:t>
    </w:r>
    <w:r>
      <w:rPr>
        <w:rFonts w:cs="Arial"/>
        <w:sz w:val="20"/>
        <w:szCs w:val="20"/>
        <w:lang w:val="en-AU"/>
      </w:rPr>
      <w:t xml:space="preserve"> (</w:t>
    </w:r>
    <w:proofErr w:type="spellStart"/>
    <w:r>
      <w:rPr>
        <w:rFonts w:cs="Arial"/>
        <w:sz w:val="20"/>
        <w:szCs w:val="20"/>
        <w:lang w:val="en-AU"/>
      </w:rPr>
      <w:t>denosumab</w:t>
    </w:r>
    <w:proofErr w:type="spellEnd"/>
    <w:r>
      <w:rPr>
        <w:rFonts w:cs="Arial"/>
        <w:sz w:val="20"/>
        <w:szCs w:val="20"/>
        <w:lang w:val="en-AU"/>
      </w:rPr>
      <w:t>)</w:t>
    </w:r>
    <w:r w:rsidRPr="00767C0A">
      <w:rPr>
        <w:rFonts w:cs="Arial"/>
        <w:sz w:val="20"/>
        <w:szCs w:val="20"/>
        <w:lang w:val="en-AU"/>
      </w:rPr>
      <w:t xml:space="preserve"> Product Information</w:t>
    </w:r>
    <w:r>
      <w:rPr>
        <w:rFonts w:cs="Arial"/>
        <w:sz w:val="20"/>
        <w:szCs w:val="20"/>
        <w:lang w:val="en-AU"/>
      </w:rPr>
      <w:tab/>
    </w:r>
    <w:r>
      <w:rPr>
        <w:rFonts w:cs="Arial"/>
        <w:sz w:val="20"/>
        <w:szCs w:val="20"/>
        <w:lang w:val="en-AU"/>
      </w:rPr>
      <w:tab/>
    </w:r>
    <w:r w:rsidRPr="007B06F1">
      <w:rPr>
        <w:rFonts w:cs="Arial"/>
        <w:sz w:val="20"/>
        <w:szCs w:val="20"/>
      </w:rPr>
      <w:t xml:space="preserve">Page </w:t>
    </w:r>
    <w:r w:rsidRPr="007B06F1">
      <w:rPr>
        <w:rFonts w:cs="Arial"/>
        <w:sz w:val="20"/>
        <w:szCs w:val="20"/>
      </w:rPr>
      <w:fldChar w:fldCharType="begin"/>
    </w:r>
    <w:r w:rsidRPr="007B06F1">
      <w:rPr>
        <w:rFonts w:cs="Arial"/>
        <w:sz w:val="20"/>
        <w:szCs w:val="20"/>
      </w:rPr>
      <w:instrText xml:space="preserve"> PAGE </w:instrText>
    </w:r>
    <w:r w:rsidRPr="007B06F1">
      <w:rPr>
        <w:rFonts w:cs="Arial"/>
        <w:sz w:val="20"/>
        <w:szCs w:val="20"/>
      </w:rPr>
      <w:fldChar w:fldCharType="separate"/>
    </w:r>
    <w:r w:rsidR="00FF3130">
      <w:rPr>
        <w:rFonts w:cs="Arial"/>
        <w:noProof/>
        <w:sz w:val="20"/>
        <w:szCs w:val="20"/>
      </w:rPr>
      <w:t>1</w:t>
    </w:r>
    <w:r w:rsidRPr="007B06F1">
      <w:rPr>
        <w:rFonts w:cs="Arial"/>
        <w:sz w:val="20"/>
        <w:szCs w:val="20"/>
      </w:rPr>
      <w:fldChar w:fldCharType="end"/>
    </w:r>
    <w:r w:rsidRPr="007B06F1">
      <w:rPr>
        <w:rFonts w:cs="Arial"/>
        <w:sz w:val="20"/>
        <w:szCs w:val="20"/>
      </w:rPr>
      <w:t xml:space="preserve"> of </w:t>
    </w:r>
    <w:r w:rsidRPr="007B06F1">
      <w:rPr>
        <w:rFonts w:cs="Arial"/>
        <w:sz w:val="20"/>
        <w:szCs w:val="20"/>
      </w:rPr>
      <w:fldChar w:fldCharType="begin"/>
    </w:r>
    <w:r w:rsidRPr="007B06F1">
      <w:rPr>
        <w:rFonts w:cs="Arial"/>
        <w:sz w:val="20"/>
        <w:szCs w:val="20"/>
      </w:rPr>
      <w:instrText xml:space="preserve"> NUMPAGES </w:instrText>
    </w:r>
    <w:r w:rsidRPr="007B06F1">
      <w:rPr>
        <w:rFonts w:cs="Arial"/>
        <w:sz w:val="20"/>
        <w:szCs w:val="20"/>
      </w:rPr>
      <w:fldChar w:fldCharType="separate"/>
    </w:r>
    <w:r w:rsidR="00FF3130">
      <w:rPr>
        <w:rFonts w:cs="Arial"/>
        <w:noProof/>
        <w:sz w:val="20"/>
        <w:szCs w:val="20"/>
      </w:rPr>
      <w:t>17</w:t>
    </w:r>
    <w:r w:rsidRPr="007B06F1">
      <w:rPr>
        <w:rFonts w:cs="Arial"/>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00509"/>
    <w:multiLevelType w:val="hybridMultilevel"/>
    <w:tmpl w:val="C0982D86"/>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0A8A09F7"/>
    <w:multiLevelType w:val="hybridMultilevel"/>
    <w:tmpl w:val="E1CE22D4"/>
    <w:lvl w:ilvl="0" w:tplc="0582AAAC">
      <w:start w:val="1"/>
      <w:numFmt w:val="bullet"/>
      <w:lvlText w:val=""/>
      <w:lvlJc w:val="left"/>
      <w:pPr>
        <w:tabs>
          <w:tab w:val="num" w:pos="556"/>
        </w:tabs>
        <w:ind w:left="556" w:hanging="360"/>
      </w:pPr>
      <w:rPr>
        <w:rFonts w:ascii="Wingdings" w:hAnsi="Wingdings" w:hint="default"/>
        <w:sz w:val="16"/>
      </w:rPr>
    </w:lvl>
    <w:lvl w:ilvl="1" w:tplc="04090003" w:tentative="1">
      <w:start w:val="1"/>
      <w:numFmt w:val="bullet"/>
      <w:lvlText w:val="o"/>
      <w:lvlJc w:val="left"/>
      <w:pPr>
        <w:tabs>
          <w:tab w:val="num" w:pos="1564"/>
        </w:tabs>
        <w:ind w:left="1564" w:hanging="360"/>
      </w:pPr>
      <w:rPr>
        <w:rFonts w:ascii="Courier New" w:hAnsi="Courier New" w:cs="Courier New" w:hint="default"/>
      </w:rPr>
    </w:lvl>
    <w:lvl w:ilvl="2" w:tplc="04090005" w:tentative="1">
      <w:start w:val="1"/>
      <w:numFmt w:val="bullet"/>
      <w:lvlText w:val=""/>
      <w:lvlJc w:val="left"/>
      <w:pPr>
        <w:tabs>
          <w:tab w:val="num" w:pos="2284"/>
        </w:tabs>
        <w:ind w:left="2284" w:hanging="360"/>
      </w:pPr>
      <w:rPr>
        <w:rFonts w:ascii="Wingdings" w:hAnsi="Wingdings" w:hint="default"/>
      </w:rPr>
    </w:lvl>
    <w:lvl w:ilvl="3" w:tplc="04090001" w:tentative="1">
      <w:start w:val="1"/>
      <w:numFmt w:val="bullet"/>
      <w:lvlText w:val=""/>
      <w:lvlJc w:val="left"/>
      <w:pPr>
        <w:tabs>
          <w:tab w:val="num" w:pos="3004"/>
        </w:tabs>
        <w:ind w:left="3004" w:hanging="360"/>
      </w:pPr>
      <w:rPr>
        <w:rFonts w:ascii="Symbol" w:hAnsi="Symbol" w:hint="default"/>
      </w:rPr>
    </w:lvl>
    <w:lvl w:ilvl="4" w:tplc="04090003" w:tentative="1">
      <w:start w:val="1"/>
      <w:numFmt w:val="bullet"/>
      <w:lvlText w:val="o"/>
      <w:lvlJc w:val="left"/>
      <w:pPr>
        <w:tabs>
          <w:tab w:val="num" w:pos="3724"/>
        </w:tabs>
        <w:ind w:left="3724" w:hanging="360"/>
      </w:pPr>
      <w:rPr>
        <w:rFonts w:ascii="Courier New" w:hAnsi="Courier New" w:cs="Courier New" w:hint="default"/>
      </w:rPr>
    </w:lvl>
    <w:lvl w:ilvl="5" w:tplc="04090005" w:tentative="1">
      <w:start w:val="1"/>
      <w:numFmt w:val="bullet"/>
      <w:lvlText w:val=""/>
      <w:lvlJc w:val="left"/>
      <w:pPr>
        <w:tabs>
          <w:tab w:val="num" w:pos="4444"/>
        </w:tabs>
        <w:ind w:left="4444" w:hanging="360"/>
      </w:pPr>
      <w:rPr>
        <w:rFonts w:ascii="Wingdings" w:hAnsi="Wingdings" w:hint="default"/>
      </w:rPr>
    </w:lvl>
    <w:lvl w:ilvl="6" w:tplc="04090001" w:tentative="1">
      <w:start w:val="1"/>
      <w:numFmt w:val="bullet"/>
      <w:lvlText w:val=""/>
      <w:lvlJc w:val="left"/>
      <w:pPr>
        <w:tabs>
          <w:tab w:val="num" w:pos="5164"/>
        </w:tabs>
        <w:ind w:left="5164" w:hanging="360"/>
      </w:pPr>
      <w:rPr>
        <w:rFonts w:ascii="Symbol" w:hAnsi="Symbol" w:hint="default"/>
      </w:rPr>
    </w:lvl>
    <w:lvl w:ilvl="7" w:tplc="04090003" w:tentative="1">
      <w:start w:val="1"/>
      <w:numFmt w:val="bullet"/>
      <w:lvlText w:val="o"/>
      <w:lvlJc w:val="left"/>
      <w:pPr>
        <w:tabs>
          <w:tab w:val="num" w:pos="5884"/>
        </w:tabs>
        <w:ind w:left="5884" w:hanging="360"/>
      </w:pPr>
      <w:rPr>
        <w:rFonts w:ascii="Courier New" w:hAnsi="Courier New" w:cs="Courier New" w:hint="default"/>
      </w:rPr>
    </w:lvl>
    <w:lvl w:ilvl="8" w:tplc="04090005" w:tentative="1">
      <w:start w:val="1"/>
      <w:numFmt w:val="bullet"/>
      <w:lvlText w:val=""/>
      <w:lvlJc w:val="left"/>
      <w:pPr>
        <w:tabs>
          <w:tab w:val="num" w:pos="6604"/>
        </w:tabs>
        <w:ind w:left="6604" w:hanging="360"/>
      </w:pPr>
      <w:rPr>
        <w:rFonts w:ascii="Wingdings" w:hAnsi="Wingdings" w:hint="default"/>
      </w:rPr>
    </w:lvl>
  </w:abstractNum>
  <w:abstractNum w:abstractNumId="2">
    <w:nsid w:val="13991507"/>
    <w:multiLevelType w:val="hybridMultilevel"/>
    <w:tmpl w:val="A054350A"/>
    <w:lvl w:ilvl="0" w:tplc="6FFC7B08">
      <w:start w:val="1"/>
      <w:numFmt w:val="bullet"/>
      <w:lvlText w:val=""/>
      <w:lvlJc w:val="left"/>
      <w:pPr>
        <w:tabs>
          <w:tab w:val="num" w:pos="416"/>
        </w:tabs>
        <w:ind w:left="416" w:hanging="360"/>
      </w:pPr>
      <w:rPr>
        <w:rFonts w:ascii="Symbol" w:hAnsi="Symbol" w:hint="default"/>
        <w:color w:val="auto"/>
        <w:sz w:val="20"/>
        <w:szCs w:val="20"/>
        <w:u w:color="000080"/>
      </w:rPr>
    </w:lvl>
    <w:lvl w:ilvl="1" w:tplc="04090003" w:tentative="1">
      <w:start w:val="1"/>
      <w:numFmt w:val="bullet"/>
      <w:lvlText w:val="o"/>
      <w:lvlJc w:val="left"/>
      <w:pPr>
        <w:tabs>
          <w:tab w:val="num" w:pos="240"/>
        </w:tabs>
        <w:ind w:left="240" w:hanging="360"/>
      </w:pPr>
      <w:rPr>
        <w:rFonts w:ascii="Courier New" w:hAnsi="Courier New" w:cs="Courier New" w:hint="default"/>
      </w:rPr>
    </w:lvl>
    <w:lvl w:ilvl="2" w:tplc="04090005" w:tentative="1">
      <w:start w:val="1"/>
      <w:numFmt w:val="bullet"/>
      <w:lvlText w:val=""/>
      <w:lvlJc w:val="left"/>
      <w:pPr>
        <w:tabs>
          <w:tab w:val="num" w:pos="960"/>
        </w:tabs>
        <w:ind w:left="960" w:hanging="360"/>
      </w:pPr>
      <w:rPr>
        <w:rFonts w:ascii="Wingdings" w:hAnsi="Wingdings" w:hint="default"/>
      </w:rPr>
    </w:lvl>
    <w:lvl w:ilvl="3" w:tplc="04090001" w:tentative="1">
      <w:start w:val="1"/>
      <w:numFmt w:val="bullet"/>
      <w:lvlText w:val=""/>
      <w:lvlJc w:val="left"/>
      <w:pPr>
        <w:tabs>
          <w:tab w:val="num" w:pos="1680"/>
        </w:tabs>
        <w:ind w:left="1680" w:hanging="360"/>
      </w:pPr>
      <w:rPr>
        <w:rFonts w:ascii="Symbol" w:hAnsi="Symbol" w:hint="default"/>
      </w:rPr>
    </w:lvl>
    <w:lvl w:ilvl="4" w:tplc="04090003" w:tentative="1">
      <w:start w:val="1"/>
      <w:numFmt w:val="bullet"/>
      <w:lvlText w:val="o"/>
      <w:lvlJc w:val="left"/>
      <w:pPr>
        <w:tabs>
          <w:tab w:val="num" w:pos="2400"/>
        </w:tabs>
        <w:ind w:left="2400" w:hanging="360"/>
      </w:pPr>
      <w:rPr>
        <w:rFonts w:ascii="Courier New" w:hAnsi="Courier New" w:cs="Courier New" w:hint="default"/>
      </w:rPr>
    </w:lvl>
    <w:lvl w:ilvl="5" w:tplc="04090005" w:tentative="1">
      <w:start w:val="1"/>
      <w:numFmt w:val="bullet"/>
      <w:lvlText w:val=""/>
      <w:lvlJc w:val="left"/>
      <w:pPr>
        <w:tabs>
          <w:tab w:val="num" w:pos="3120"/>
        </w:tabs>
        <w:ind w:left="3120" w:hanging="360"/>
      </w:pPr>
      <w:rPr>
        <w:rFonts w:ascii="Wingdings" w:hAnsi="Wingdings" w:hint="default"/>
      </w:rPr>
    </w:lvl>
    <w:lvl w:ilvl="6" w:tplc="04090001" w:tentative="1">
      <w:start w:val="1"/>
      <w:numFmt w:val="bullet"/>
      <w:lvlText w:val=""/>
      <w:lvlJc w:val="left"/>
      <w:pPr>
        <w:tabs>
          <w:tab w:val="num" w:pos="3840"/>
        </w:tabs>
        <w:ind w:left="3840" w:hanging="360"/>
      </w:pPr>
      <w:rPr>
        <w:rFonts w:ascii="Symbol" w:hAnsi="Symbol" w:hint="default"/>
      </w:rPr>
    </w:lvl>
    <w:lvl w:ilvl="7" w:tplc="04090003" w:tentative="1">
      <w:start w:val="1"/>
      <w:numFmt w:val="bullet"/>
      <w:lvlText w:val="o"/>
      <w:lvlJc w:val="left"/>
      <w:pPr>
        <w:tabs>
          <w:tab w:val="num" w:pos="4560"/>
        </w:tabs>
        <w:ind w:left="4560" w:hanging="360"/>
      </w:pPr>
      <w:rPr>
        <w:rFonts w:ascii="Courier New" w:hAnsi="Courier New" w:cs="Courier New" w:hint="default"/>
      </w:rPr>
    </w:lvl>
    <w:lvl w:ilvl="8" w:tplc="04090005" w:tentative="1">
      <w:start w:val="1"/>
      <w:numFmt w:val="bullet"/>
      <w:lvlText w:val=""/>
      <w:lvlJc w:val="left"/>
      <w:pPr>
        <w:tabs>
          <w:tab w:val="num" w:pos="5280"/>
        </w:tabs>
        <w:ind w:left="5280" w:hanging="360"/>
      </w:pPr>
      <w:rPr>
        <w:rFonts w:ascii="Wingdings" w:hAnsi="Wingdings" w:hint="default"/>
      </w:rPr>
    </w:lvl>
  </w:abstractNum>
  <w:abstractNum w:abstractNumId="3">
    <w:nsid w:val="1822745F"/>
    <w:multiLevelType w:val="hybridMultilevel"/>
    <w:tmpl w:val="3D54142C"/>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30707D1A"/>
    <w:multiLevelType w:val="hybridMultilevel"/>
    <w:tmpl w:val="58B69414"/>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3104158A"/>
    <w:multiLevelType w:val="hybridMultilevel"/>
    <w:tmpl w:val="E1DE7F06"/>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32B461EC"/>
    <w:multiLevelType w:val="hybridMultilevel"/>
    <w:tmpl w:val="FC8AC9E2"/>
    <w:lvl w:ilvl="0" w:tplc="E836E41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41373F8"/>
    <w:multiLevelType w:val="hybridMultilevel"/>
    <w:tmpl w:val="8696CB64"/>
    <w:lvl w:ilvl="0" w:tplc="18502736">
      <w:start w:val="1"/>
      <w:numFmt w:val="bullet"/>
      <w:lvlText w:val="-"/>
      <w:lvlJc w:val="left"/>
      <w:pPr>
        <w:tabs>
          <w:tab w:val="num" w:pos="540"/>
        </w:tabs>
        <w:ind w:left="540" w:hanging="360"/>
      </w:pPr>
      <w:rPr>
        <w:rFonts w:ascii="Times New Roman" w:eastAsia="Times New Roman" w:hAnsi="Times New Roman" w:cs="Times New Roman" w:hint="default"/>
      </w:rPr>
    </w:lvl>
    <w:lvl w:ilvl="1" w:tplc="0C090003" w:tentative="1">
      <w:start w:val="1"/>
      <w:numFmt w:val="bullet"/>
      <w:lvlText w:val="o"/>
      <w:lvlJc w:val="left"/>
      <w:pPr>
        <w:tabs>
          <w:tab w:val="num" w:pos="-1260"/>
        </w:tabs>
        <w:ind w:left="-1260" w:hanging="360"/>
      </w:pPr>
      <w:rPr>
        <w:rFonts w:ascii="Courier New" w:hAnsi="Courier New" w:cs="Courier New" w:hint="default"/>
      </w:rPr>
    </w:lvl>
    <w:lvl w:ilvl="2" w:tplc="0C090005" w:tentative="1">
      <w:start w:val="1"/>
      <w:numFmt w:val="bullet"/>
      <w:lvlText w:val=""/>
      <w:lvlJc w:val="left"/>
      <w:pPr>
        <w:tabs>
          <w:tab w:val="num" w:pos="-540"/>
        </w:tabs>
        <w:ind w:left="-540" w:hanging="360"/>
      </w:pPr>
      <w:rPr>
        <w:rFonts w:ascii="Wingdings" w:hAnsi="Wingdings" w:hint="default"/>
      </w:rPr>
    </w:lvl>
    <w:lvl w:ilvl="3" w:tplc="0C090001" w:tentative="1">
      <w:start w:val="1"/>
      <w:numFmt w:val="bullet"/>
      <w:lvlText w:val=""/>
      <w:lvlJc w:val="left"/>
      <w:pPr>
        <w:tabs>
          <w:tab w:val="num" w:pos="180"/>
        </w:tabs>
        <w:ind w:left="180" w:hanging="360"/>
      </w:pPr>
      <w:rPr>
        <w:rFonts w:ascii="Symbol" w:hAnsi="Symbol" w:hint="default"/>
      </w:rPr>
    </w:lvl>
    <w:lvl w:ilvl="4" w:tplc="0C090003" w:tentative="1">
      <w:start w:val="1"/>
      <w:numFmt w:val="bullet"/>
      <w:lvlText w:val="o"/>
      <w:lvlJc w:val="left"/>
      <w:pPr>
        <w:tabs>
          <w:tab w:val="num" w:pos="900"/>
        </w:tabs>
        <w:ind w:left="900" w:hanging="360"/>
      </w:pPr>
      <w:rPr>
        <w:rFonts w:ascii="Courier New" w:hAnsi="Courier New" w:cs="Courier New" w:hint="default"/>
      </w:rPr>
    </w:lvl>
    <w:lvl w:ilvl="5" w:tplc="0C090005" w:tentative="1">
      <w:start w:val="1"/>
      <w:numFmt w:val="bullet"/>
      <w:lvlText w:val=""/>
      <w:lvlJc w:val="left"/>
      <w:pPr>
        <w:tabs>
          <w:tab w:val="num" w:pos="1620"/>
        </w:tabs>
        <w:ind w:left="1620" w:hanging="360"/>
      </w:pPr>
      <w:rPr>
        <w:rFonts w:ascii="Wingdings" w:hAnsi="Wingdings" w:hint="default"/>
      </w:rPr>
    </w:lvl>
    <w:lvl w:ilvl="6" w:tplc="0C090001" w:tentative="1">
      <w:start w:val="1"/>
      <w:numFmt w:val="bullet"/>
      <w:lvlText w:val=""/>
      <w:lvlJc w:val="left"/>
      <w:pPr>
        <w:tabs>
          <w:tab w:val="num" w:pos="2340"/>
        </w:tabs>
        <w:ind w:left="2340" w:hanging="360"/>
      </w:pPr>
      <w:rPr>
        <w:rFonts w:ascii="Symbol" w:hAnsi="Symbol" w:hint="default"/>
      </w:rPr>
    </w:lvl>
    <w:lvl w:ilvl="7" w:tplc="0C090003" w:tentative="1">
      <w:start w:val="1"/>
      <w:numFmt w:val="bullet"/>
      <w:lvlText w:val="o"/>
      <w:lvlJc w:val="left"/>
      <w:pPr>
        <w:tabs>
          <w:tab w:val="num" w:pos="3060"/>
        </w:tabs>
        <w:ind w:left="3060" w:hanging="360"/>
      </w:pPr>
      <w:rPr>
        <w:rFonts w:ascii="Courier New" w:hAnsi="Courier New" w:cs="Courier New" w:hint="default"/>
      </w:rPr>
    </w:lvl>
    <w:lvl w:ilvl="8" w:tplc="0C090005" w:tentative="1">
      <w:start w:val="1"/>
      <w:numFmt w:val="bullet"/>
      <w:lvlText w:val=""/>
      <w:lvlJc w:val="left"/>
      <w:pPr>
        <w:tabs>
          <w:tab w:val="num" w:pos="3780"/>
        </w:tabs>
        <w:ind w:left="3780" w:hanging="360"/>
      </w:pPr>
      <w:rPr>
        <w:rFonts w:ascii="Wingdings" w:hAnsi="Wingdings" w:hint="default"/>
      </w:rPr>
    </w:lvl>
  </w:abstractNum>
  <w:abstractNum w:abstractNumId="8">
    <w:nsid w:val="42EF09B5"/>
    <w:multiLevelType w:val="hybridMultilevel"/>
    <w:tmpl w:val="15501058"/>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456202FC"/>
    <w:multiLevelType w:val="hybridMultilevel"/>
    <w:tmpl w:val="585ACC2C"/>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nsid w:val="51877413"/>
    <w:multiLevelType w:val="hybridMultilevel"/>
    <w:tmpl w:val="BD145F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6DC43493"/>
    <w:multiLevelType w:val="hybridMultilevel"/>
    <w:tmpl w:val="59E060E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6FCD4937"/>
    <w:multiLevelType w:val="hybridMultilevel"/>
    <w:tmpl w:val="3084BEEE"/>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70DA1EE1"/>
    <w:multiLevelType w:val="hybridMultilevel"/>
    <w:tmpl w:val="090A1A60"/>
    <w:lvl w:ilvl="0" w:tplc="0A665D80">
      <w:numFmt w:val="bullet"/>
      <w:lvlText w:val=""/>
      <w:legacy w:legacy="1" w:legacySpace="0" w:legacyIndent="0"/>
      <w:lvlJc w:val="left"/>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48A1FFA"/>
    <w:multiLevelType w:val="hybridMultilevel"/>
    <w:tmpl w:val="BF860E24"/>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2"/>
  </w:num>
  <w:num w:numId="3">
    <w:abstractNumId w:val="9"/>
  </w:num>
  <w:num w:numId="4">
    <w:abstractNumId w:val="4"/>
  </w:num>
  <w:num w:numId="5">
    <w:abstractNumId w:val="14"/>
  </w:num>
  <w:num w:numId="6">
    <w:abstractNumId w:val="8"/>
  </w:num>
  <w:num w:numId="7">
    <w:abstractNumId w:val="3"/>
  </w:num>
  <w:num w:numId="8">
    <w:abstractNumId w:val="7"/>
  </w:num>
  <w:num w:numId="9">
    <w:abstractNumId w:val="1"/>
  </w:num>
  <w:num w:numId="10">
    <w:abstractNumId w:val="13"/>
  </w:num>
  <w:num w:numId="11">
    <w:abstractNumId w:val="11"/>
  </w:num>
  <w:num w:numId="12">
    <w:abstractNumId w:val="0"/>
  </w:num>
  <w:num w:numId="13">
    <w:abstractNumId w:val="2"/>
  </w:num>
  <w:num w:numId="14">
    <w:abstractNumId w:val="6"/>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206"/>
  <w:removePersonalInformation/>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1"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52C"/>
    <w:rsid w:val="00001067"/>
    <w:rsid w:val="000015AC"/>
    <w:rsid w:val="0000542B"/>
    <w:rsid w:val="0001261F"/>
    <w:rsid w:val="00012D87"/>
    <w:rsid w:val="00013442"/>
    <w:rsid w:val="000173F8"/>
    <w:rsid w:val="00020348"/>
    <w:rsid w:val="00020EA0"/>
    <w:rsid w:val="00021798"/>
    <w:rsid w:val="00021D47"/>
    <w:rsid w:val="00021E12"/>
    <w:rsid w:val="00026594"/>
    <w:rsid w:val="000419FB"/>
    <w:rsid w:val="00043781"/>
    <w:rsid w:val="0004390A"/>
    <w:rsid w:val="00045E64"/>
    <w:rsid w:val="0005254E"/>
    <w:rsid w:val="00057660"/>
    <w:rsid w:val="00057C8C"/>
    <w:rsid w:val="00057E0F"/>
    <w:rsid w:val="000614E5"/>
    <w:rsid w:val="0006750D"/>
    <w:rsid w:val="00070BB4"/>
    <w:rsid w:val="00087006"/>
    <w:rsid w:val="00087FFD"/>
    <w:rsid w:val="00091C4D"/>
    <w:rsid w:val="00096CAB"/>
    <w:rsid w:val="00097372"/>
    <w:rsid w:val="000A1665"/>
    <w:rsid w:val="000A1EC2"/>
    <w:rsid w:val="000A7502"/>
    <w:rsid w:val="000B0363"/>
    <w:rsid w:val="000B76BA"/>
    <w:rsid w:val="000C0172"/>
    <w:rsid w:val="000C3D13"/>
    <w:rsid w:val="000C4617"/>
    <w:rsid w:val="000C4F31"/>
    <w:rsid w:val="000C55A6"/>
    <w:rsid w:val="000D01E4"/>
    <w:rsid w:val="000D0A12"/>
    <w:rsid w:val="000D1F16"/>
    <w:rsid w:val="000D35A5"/>
    <w:rsid w:val="000D3652"/>
    <w:rsid w:val="000D58F8"/>
    <w:rsid w:val="000D5F00"/>
    <w:rsid w:val="000E0036"/>
    <w:rsid w:val="000E0627"/>
    <w:rsid w:val="000E18CC"/>
    <w:rsid w:val="000E31DA"/>
    <w:rsid w:val="000E33C4"/>
    <w:rsid w:val="000E655A"/>
    <w:rsid w:val="000E67A0"/>
    <w:rsid w:val="000E71B2"/>
    <w:rsid w:val="000E7BC6"/>
    <w:rsid w:val="000F0637"/>
    <w:rsid w:val="000F2CA3"/>
    <w:rsid w:val="000F4672"/>
    <w:rsid w:val="000F65C4"/>
    <w:rsid w:val="000F73C3"/>
    <w:rsid w:val="000F755E"/>
    <w:rsid w:val="00100B2A"/>
    <w:rsid w:val="00100CD3"/>
    <w:rsid w:val="0010293D"/>
    <w:rsid w:val="00106613"/>
    <w:rsid w:val="0010707A"/>
    <w:rsid w:val="00110E07"/>
    <w:rsid w:val="0011127C"/>
    <w:rsid w:val="00112B0B"/>
    <w:rsid w:val="00113DE4"/>
    <w:rsid w:val="00114F24"/>
    <w:rsid w:val="00115291"/>
    <w:rsid w:val="00120C32"/>
    <w:rsid w:val="0012395F"/>
    <w:rsid w:val="00124AEF"/>
    <w:rsid w:val="00124CE8"/>
    <w:rsid w:val="00126CBF"/>
    <w:rsid w:val="00126D55"/>
    <w:rsid w:val="0012739C"/>
    <w:rsid w:val="001308B5"/>
    <w:rsid w:val="00131642"/>
    <w:rsid w:val="00131697"/>
    <w:rsid w:val="00131CBA"/>
    <w:rsid w:val="00132C6C"/>
    <w:rsid w:val="0013335B"/>
    <w:rsid w:val="00134EBB"/>
    <w:rsid w:val="00136184"/>
    <w:rsid w:val="00143D70"/>
    <w:rsid w:val="0014405A"/>
    <w:rsid w:val="0014544B"/>
    <w:rsid w:val="00146BDD"/>
    <w:rsid w:val="00152564"/>
    <w:rsid w:val="0015296E"/>
    <w:rsid w:val="00153EE2"/>
    <w:rsid w:val="001603CD"/>
    <w:rsid w:val="0016075B"/>
    <w:rsid w:val="001613BC"/>
    <w:rsid w:val="00163CA0"/>
    <w:rsid w:val="001647B5"/>
    <w:rsid w:val="00165802"/>
    <w:rsid w:val="00170E5B"/>
    <w:rsid w:val="00172FCF"/>
    <w:rsid w:val="001763EE"/>
    <w:rsid w:val="00176EEE"/>
    <w:rsid w:val="001773F5"/>
    <w:rsid w:val="00180C4E"/>
    <w:rsid w:val="00180FF5"/>
    <w:rsid w:val="00181441"/>
    <w:rsid w:val="00181459"/>
    <w:rsid w:val="00182093"/>
    <w:rsid w:val="00182EC5"/>
    <w:rsid w:val="00183583"/>
    <w:rsid w:val="0018361F"/>
    <w:rsid w:val="00184C9E"/>
    <w:rsid w:val="00184D81"/>
    <w:rsid w:val="00186CEA"/>
    <w:rsid w:val="001920E9"/>
    <w:rsid w:val="00192722"/>
    <w:rsid w:val="00195FE1"/>
    <w:rsid w:val="00196E6F"/>
    <w:rsid w:val="0019742B"/>
    <w:rsid w:val="0019751B"/>
    <w:rsid w:val="001A5B82"/>
    <w:rsid w:val="001A60F6"/>
    <w:rsid w:val="001A7C0C"/>
    <w:rsid w:val="001A7D5B"/>
    <w:rsid w:val="001B2F49"/>
    <w:rsid w:val="001B5472"/>
    <w:rsid w:val="001B69D5"/>
    <w:rsid w:val="001B6CB8"/>
    <w:rsid w:val="001C0295"/>
    <w:rsid w:val="001C1B09"/>
    <w:rsid w:val="001C34C7"/>
    <w:rsid w:val="001C3988"/>
    <w:rsid w:val="001D3C33"/>
    <w:rsid w:val="001D51B6"/>
    <w:rsid w:val="001D65EB"/>
    <w:rsid w:val="001D6E12"/>
    <w:rsid w:val="001E11F8"/>
    <w:rsid w:val="001E129C"/>
    <w:rsid w:val="001E3C8A"/>
    <w:rsid w:val="001E55A6"/>
    <w:rsid w:val="001E7FC9"/>
    <w:rsid w:val="001F092E"/>
    <w:rsid w:val="001F2FA4"/>
    <w:rsid w:val="001F3CA0"/>
    <w:rsid w:val="001F5BAF"/>
    <w:rsid w:val="001F6024"/>
    <w:rsid w:val="001F6C7A"/>
    <w:rsid w:val="001F7715"/>
    <w:rsid w:val="0020013D"/>
    <w:rsid w:val="002006FC"/>
    <w:rsid w:val="002013E4"/>
    <w:rsid w:val="0020142D"/>
    <w:rsid w:val="002018EB"/>
    <w:rsid w:val="002049A1"/>
    <w:rsid w:val="00205B1D"/>
    <w:rsid w:val="002102BA"/>
    <w:rsid w:val="002125BA"/>
    <w:rsid w:val="00215A20"/>
    <w:rsid w:val="00223E6E"/>
    <w:rsid w:val="00223F7A"/>
    <w:rsid w:val="00223FB3"/>
    <w:rsid w:val="00224C99"/>
    <w:rsid w:val="00226433"/>
    <w:rsid w:val="00227D61"/>
    <w:rsid w:val="00227F24"/>
    <w:rsid w:val="00230425"/>
    <w:rsid w:val="002321FE"/>
    <w:rsid w:val="002322CA"/>
    <w:rsid w:val="00232E12"/>
    <w:rsid w:val="00233932"/>
    <w:rsid w:val="00236317"/>
    <w:rsid w:val="00246A69"/>
    <w:rsid w:val="00247743"/>
    <w:rsid w:val="00250E79"/>
    <w:rsid w:val="0025152C"/>
    <w:rsid w:val="00252688"/>
    <w:rsid w:val="00252BDA"/>
    <w:rsid w:val="00253AFB"/>
    <w:rsid w:val="00253C3D"/>
    <w:rsid w:val="00253FA1"/>
    <w:rsid w:val="002572F1"/>
    <w:rsid w:val="002576F3"/>
    <w:rsid w:val="002578CD"/>
    <w:rsid w:val="00261823"/>
    <w:rsid w:val="0026218E"/>
    <w:rsid w:val="00262787"/>
    <w:rsid w:val="00262E52"/>
    <w:rsid w:val="0026355B"/>
    <w:rsid w:val="00263C3F"/>
    <w:rsid w:val="00264BCD"/>
    <w:rsid w:val="00266937"/>
    <w:rsid w:val="002702F3"/>
    <w:rsid w:val="00272048"/>
    <w:rsid w:val="002729F2"/>
    <w:rsid w:val="00273805"/>
    <w:rsid w:val="00274A98"/>
    <w:rsid w:val="00275785"/>
    <w:rsid w:val="00277037"/>
    <w:rsid w:val="00281B3A"/>
    <w:rsid w:val="00282C58"/>
    <w:rsid w:val="00283ECF"/>
    <w:rsid w:val="002850F0"/>
    <w:rsid w:val="00286357"/>
    <w:rsid w:val="00286C88"/>
    <w:rsid w:val="00290D1A"/>
    <w:rsid w:val="0029368D"/>
    <w:rsid w:val="002A10A5"/>
    <w:rsid w:val="002A52FA"/>
    <w:rsid w:val="002B05E3"/>
    <w:rsid w:val="002B1699"/>
    <w:rsid w:val="002B2889"/>
    <w:rsid w:val="002B31FA"/>
    <w:rsid w:val="002B5662"/>
    <w:rsid w:val="002B5B35"/>
    <w:rsid w:val="002B751B"/>
    <w:rsid w:val="002C47DB"/>
    <w:rsid w:val="002C59E6"/>
    <w:rsid w:val="002D133D"/>
    <w:rsid w:val="002D250E"/>
    <w:rsid w:val="002D323A"/>
    <w:rsid w:val="002D55E5"/>
    <w:rsid w:val="002D594F"/>
    <w:rsid w:val="002D5DA4"/>
    <w:rsid w:val="002D7D48"/>
    <w:rsid w:val="002E0B5D"/>
    <w:rsid w:val="002E2CEF"/>
    <w:rsid w:val="002E3832"/>
    <w:rsid w:val="002E4FDA"/>
    <w:rsid w:val="002F00E7"/>
    <w:rsid w:val="002F02F4"/>
    <w:rsid w:val="002F0320"/>
    <w:rsid w:val="002F2D4D"/>
    <w:rsid w:val="002F2ED6"/>
    <w:rsid w:val="002F3105"/>
    <w:rsid w:val="002F43DD"/>
    <w:rsid w:val="002F555B"/>
    <w:rsid w:val="002F5884"/>
    <w:rsid w:val="002F7EDF"/>
    <w:rsid w:val="0030476D"/>
    <w:rsid w:val="00304D35"/>
    <w:rsid w:val="0030555E"/>
    <w:rsid w:val="00306651"/>
    <w:rsid w:val="003127F5"/>
    <w:rsid w:val="00312FDE"/>
    <w:rsid w:val="00314D51"/>
    <w:rsid w:val="00327132"/>
    <w:rsid w:val="003302BF"/>
    <w:rsid w:val="00330728"/>
    <w:rsid w:val="00330BD2"/>
    <w:rsid w:val="00332500"/>
    <w:rsid w:val="003344F6"/>
    <w:rsid w:val="00334ED0"/>
    <w:rsid w:val="00335526"/>
    <w:rsid w:val="00336746"/>
    <w:rsid w:val="00341AB4"/>
    <w:rsid w:val="00341ABC"/>
    <w:rsid w:val="00342038"/>
    <w:rsid w:val="00344FD8"/>
    <w:rsid w:val="003464CB"/>
    <w:rsid w:val="00353CED"/>
    <w:rsid w:val="00356FCE"/>
    <w:rsid w:val="00360067"/>
    <w:rsid w:val="003605B0"/>
    <w:rsid w:val="00363416"/>
    <w:rsid w:val="00365CE8"/>
    <w:rsid w:val="0036782D"/>
    <w:rsid w:val="003720AE"/>
    <w:rsid w:val="00375417"/>
    <w:rsid w:val="00375D23"/>
    <w:rsid w:val="003770A8"/>
    <w:rsid w:val="00380140"/>
    <w:rsid w:val="00380827"/>
    <w:rsid w:val="00380C70"/>
    <w:rsid w:val="00382A23"/>
    <w:rsid w:val="00382A44"/>
    <w:rsid w:val="00382F20"/>
    <w:rsid w:val="00383941"/>
    <w:rsid w:val="00384A05"/>
    <w:rsid w:val="003854F1"/>
    <w:rsid w:val="003875EA"/>
    <w:rsid w:val="003877C2"/>
    <w:rsid w:val="0039264A"/>
    <w:rsid w:val="003946F9"/>
    <w:rsid w:val="00397EB4"/>
    <w:rsid w:val="003A03BE"/>
    <w:rsid w:val="003A0E72"/>
    <w:rsid w:val="003A1146"/>
    <w:rsid w:val="003A373F"/>
    <w:rsid w:val="003A4F24"/>
    <w:rsid w:val="003A5DF1"/>
    <w:rsid w:val="003B3B00"/>
    <w:rsid w:val="003B3ED7"/>
    <w:rsid w:val="003B4693"/>
    <w:rsid w:val="003B7682"/>
    <w:rsid w:val="003C0820"/>
    <w:rsid w:val="003C0F5A"/>
    <w:rsid w:val="003C3C4D"/>
    <w:rsid w:val="003C3D50"/>
    <w:rsid w:val="003C65B7"/>
    <w:rsid w:val="003C683D"/>
    <w:rsid w:val="003C72DE"/>
    <w:rsid w:val="003C7E60"/>
    <w:rsid w:val="003D0295"/>
    <w:rsid w:val="003D42AD"/>
    <w:rsid w:val="003D63AF"/>
    <w:rsid w:val="003D649E"/>
    <w:rsid w:val="003D7B3E"/>
    <w:rsid w:val="003D7EEF"/>
    <w:rsid w:val="003D7F6F"/>
    <w:rsid w:val="003E052D"/>
    <w:rsid w:val="003E3E63"/>
    <w:rsid w:val="003E472E"/>
    <w:rsid w:val="003E53A7"/>
    <w:rsid w:val="003F0125"/>
    <w:rsid w:val="003F0BE4"/>
    <w:rsid w:val="003F272F"/>
    <w:rsid w:val="003F2D19"/>
    <w:rsid w:val="003F3F0B"/>
    <w:rsid w:val="003F4DAC"/>
    <w:rsid w:val="003F5526"/>
    <w:rsid w:val="003F571D"/>
    <w:rsid w:val="00401CFB"/>
    <w:rsid w:val="00402175"/>
    <w:rsid w:val="00405BE0"/>
    <w:rsid w:val="00407CBD"/>
    <w:rsid w:val="00417078"/>
    <w:rsid w:val="00417736"/>
    <w:rsid w:val="00417E2A"/>
    <w:rsid w:val="004202FE"/>
    <w:rsid w:val="00422EFD"/>
    <w:rsid w:val="00423516"/>
    <w:rsid w:val="00425112"/>
    <w:rsid w:val="00425C3B"/>
    <w:rsid w:val="0043673C"/>
    <w:rsid w:val="00436EA9"/>
    <w:rsid w:val="00437F8A"/>
    <w:rsid w:val="00442C95"/>
    <w:rsid w:val="00445FF4"/>
    <w:rsid w:val="004516DF"/>
    <w:rsid w:val="004537E4"/>
    <w:rsid w:val="0046010F"/>
    <w:rsid w:val="0046067D"/>
    <w:rsid w:val="0046179A"/>
    <w:rsid w:val="00463C86"/>
    <w:rsid w:val="004655CB"/>
    <w:rsid w:val="00467650"/>
    <w:rsid w:val="0047499F"/>
    <w:rsid w:val="00474EA1"/>
    <w:rsid w:val="0048029B"/>
    <w:rsid w:val="00480AA5"/>
    <w:rsid w:val="00480AFE"/>
    <w:rsid w:val="00482239"/>
    <w:rsid w:val="00482895"/>
    <w:rsid w:val="00484C47"/>
    <w:rsid w:val="0048660E"/>
    <w:rsid w:val="00486C8D"/>
    <w:rsid w:val="004915EE"/>
    <w:rsid w:val="004959F8"/>
    <w:rsid w:val="00497D51"/>
    <w:rsid w:val="004A0AD9"/>
    <w:rsid w:val="004A1E94"/>
    <w:rsid w:val="004A2068"/>
    <w:rsid w:val="004A4AF4"/>
    <w:rsid w:val="004A548F"/>
    <w:rsid w:val="004A5B06"/>
    <w:rsid w:val="004B0D8E"/>
    <w:rsid w:val="004B2427"/>
    <w:rsid w:val="004B31B3"/>
    <w:rsid w:val="004B3D2C"/>
    <w:rsid w:val="004B42B1"/>
    <w:rsid w:val="004B62C6"/>
    <w:rsid w:val="004B6650"/>
    <w:rsid w:val="004B758C"/>
    <w:rsid w:val="004C1C93"/>
    <w:rsid w:val="004C3C59"/>
    <w:rsid w:val="004C4539"/>
    <w:rsid w:val="004C4919"/>
    <w:rsid w:val="004C5CB4"/>
    <w:rsid w:val="004C7A7B"/>
    <w:rsid w:val="004D0B63"/>
    <w:rsid w:val="004D2692"/>
    <w:rsid w:val="004D2B0F"/>
    <w:rsid w:val="004D4880"/>
    <w:rsid w:val="004D6525"/>
    <w:rsid w:val="004D7992"/>
    <w:rsid w:val="004D79D5"/>
    <w:rsid w:val="004E2669"/>
    <w:rsid w:val="004E3D28"/>
    <w:rsid w:val="004E4691"/>
    <w:rsid w:val="004F1907"/>
    <w:rsid w:val="004F1C6C"/>
    <w:rsid w:val="004F1EF9"/>
    <w:rsid w:val="004F2CF9"/>
    <w:rsid w:val="004F3602"/>
    <w:rsid w:val="004F491C"/>
    <w:rsid w:val="004F581B"/>
    <w:rsid w:val="00501626"/>
    <w:rsid w:val="00503460"/>
    <w:rsid w:val="00503824"/>
    <w:rsid w:val="00506228"/>
    <w:rsid w:val="005104B2"/>
    <w:rsid w:val="00510638"/>
    <w:rsid w:val="005111D8"/>
    <w:rsid w:val="00511393"/>
    <w:rsid w:val="00511D9D"/>
    <w:rsid w:val="00512CC3"/>
    <w:rsid w:val="005131BE"/>
    <w:rsid w:val="00514279"/>
    <w:rsid w:val="0051687D"/>
    <w:rsid w:val="00516CFD"/>
    <w:rsid w:val="0052449F"/>
    <w:rsid w:val="00530540"/>
    <w:rsid w:val="0053238A"/>
    <w:rsid w:val="00535CC8"/>
    <w:rsid w:val="00540A86"/>
    <w:rsid w:val="00540EDF"/>
    <w:rsid w:val="0054101F"/>
    <w:rsid w:val="0054194B"/>
    <w:rsid w:val="00542607"/>
    <w:rsid w:val="00542C16"/>
    <w:rsid w:val="005478A9"/>
    <w:rsid w:val="00550C2E"/>
    <w:rsid w:val="00551B36"/>
    <w:rsid w:val="00554E4F"/>
    <w:rsid w:val="005560B9"/>
    <w:rsid w:val="005569FB"/>
    <w:rsid w:val="00557C6F"/>
    <w:rsid w:val="00560F0C"/>
    <w:rsid w:val="00563381"/>
    <w:rsid w:val="00563A33"/>
    <w:rsid w:val="00563B14"/>
    <w:rsid w:val="00567E04"/>
    <w:rsid w:val="00570888"/>
    <w:rsid w:val="00571EBF"/>
    <w:rsid w:val="00573A76"/>
    <w:rsid w:val="00575DC1"/>
    <w:rsid w:val="005802D1"/>
    <w:rsid w:val="005818BF"/>
    <w:rsid w:val="0058556E"/>
    <w:rsid w:val="0058724A"/>
    <w:rsid w:val="005912D9"/>
    <w:rsid w:val="0059211E"/>
    <w:rsid w:val="0059352E"/>
    <w:rsid w:val="00594182"/>
    <w:rsid w:val="005A0F92"/>
    <w:rsid w:val="005A1D48"/>
    <w:rsid w:val="005A34E7"/>
    <w:rsid w:val="005A597E"/>
    <w:rsid w:val="005A6514"/>
    <w:rsid w:val="005B020B"/>
    <w:rsid w:val="005B10E4"/>
    <w:rsid w:val="005B1B66"/>
    <w:rsid w:val="005B1C17"/>
    <w:rsid w:val="005B6A01"/>
    <w:rsid w:val="005C071B"/>
    <w:rsid w:val="005C2C23"/>
    <w:rsid w:val="005C77DF"/>
    <w:rsid w:val="005D6CA3"/>
    <w:rsid w:val="005D6FEB"/>
    <w:rsid w:val="005D7043"/>
    <w:rsid w:val="005E0774"/>
    <w:rsid w:val="005E2ECD"/>
    <w:rsid w:val="005E34DF"/>
    <w:rsid w:val="005E4D03"/>
    <w:rsid w:val="005F12B0"/>
    <w:rsid w:val="005F1910"/>
    <w:rsid w:val="005F4672"/>
    <w:rsid w:val="005F62B1"/>
    <w:rsid w:val="006007A2"/>
    <w:rsid w:val="00600898"/>
    <w:rsid w:val="00601590"/>
    <w:rsid w:val="00602451"/>
    <w:rsid w:val="0060312A"/>
    <w:rsid w:val="00605A78"/>
    <w:rsid w:val="00606410"/>
    <w:rsid w:val="006068E7"/>
    <w:rsid w:val="00606C62"/>
    <w:rsid w:val="00610368"/>
    <w:rsid w:val="00613280"/>
    <w:rsid w:val="006141B8"/>
    <w:rsid w:val="00614E25"/>
    <w:rsid w:val="0061620B"/>
    <w:rsid w:val="006167DB"/>
    <w:rsid w:val="00621F89"/>
    <w:rsid w:val="00622ED3"/>
    <w:rsid w:val="00631293"/>
    <w:rsid w:val="0063159F"/>
    <w:rsid w:val="00632972"/>
    <w:rsid w:val="006337FD"/>
    <w:rsid w:val="00634DC6"/>
    <w:rsid w:val="006378A4"/>
    <w:rsid w:val="006407CE"/>
    <w:rsid w:val="00641DE0"/>
    <w:rsid w:val="006430FA"/>
    <w:rsid w:val="006433EE"/>
    <w:rsid w:val="00644016"/>
    <w:rsid w:val="00644ABF"/>
    <w:rsid w:val="00644D52"/>
    <w:rsid w:val="0065233B"/>
    <w:rsid w:val="00652610"/>
    <w:rsid w:val="00652B54"/>
    <w:rsid w:val="0065499D"/>
    <w:rsid w:val="00655B40"/>
    <w:rsid w:val="00655D8B"/>
    <w:rsid w:val="00660B18"/>
    <w:rsid w:val="006610A6"/>
    <w:rsid w:val="00663277"/>
    <w:rsid w:val="00666484"/>
    <w:rsid w:val="00667294"/>
    <w:rsid w:val="00667B79"/>
    <w:rsid w:val="00671102"/>
    <w:rsid w:val="00673218"/>
    <w:rsid w:val="00674210"/>
    <w:rsid w:val="006756BF"/>
    <w:rsid w:val="00677E7A"/>
    <w:rsid w:val="00690B3C"/>
    <w:rsid w:val="00690B8C"/>
    <w:rsid w:val="00697CBD"/>
    <w:rsid w:val="006A02AD"/>
    <w:rsid w:val="006A248F"/>
    <w:rsid w:val="006A3277"/>
    <w:rsid w:val="006A38E7"/>
    <w:rsid w:val="006A4485"/>
    <w:rsid w:val="006A5936"/>
    <w:rsid w:val="006B0BBA"/>
    <w:rsid w:val="006B1651"/>
    <w:rsid w:val="006B168A"/>
    <w:rsid w:val="006B1D9A"/>
    <w:rsid w:val="006B23DB"/>
    <w:rsid w:val="006B582C"/>
    <w:rsid w:val="006B63F5"/>
    <w:rsid w:val="006B6DC3"/>
    <w:rsid w:val="006B70F6"/>
    <w:rsid w:val="006B71D0"/>
    <w:rsid w:val="006C37AA"/>
    <w:rsid w:val="006D09BB"/>
    <w:rsid w:val="006D4F40"/>
    <w:rsid w:val="006E0E97"/>
    <w:rsid w:val="006E3C9D"/>
    <w:rsid w:val="006E5767"/>
    <w:rsid w:val="006E7F4F"/>
    <w:rsid w:val="006F20ED"/>
    <w:rsid w:val="006F275E"/>
    <w:rsid w:val="006F2F07"/>
    <w:rsid w:val="00705617"/>
    <w:rsid w:val="00706F37"/>
    <w:rsid w:val="00706FF6"/>
    <w:rsid w:val="007123B1"/>
    <w:rsid w:val="00720096"/>
    <w:rsid w:val="007208F8"/>
    <w:rsid w:val="00720BEB"/>
    <w:rsid w:val="00723095"/>
    <w:rsid w:val="00723ACA"/>
    <w:rsid w:val="0072527C"/>
    <w:rsid w:val="007257FE"/>
    <w:rsid w:val="00727888"/>
    <w:rsid w:val="00727CAE"/>
    <w:rsid w:val="007309F6"/>
    <w:rsid w:val="007364C2"/>
    <w:rsid w:val="00737C13"/>
    <w:rsid w:val="00741C10"/>
    <w:rsid w:val="00744560"/>
    <w:rsid w:val="00745115"/>
    <w:rsid w:val="00745216"/>
    <w:rsid w:val="00745E2B"/>
    <w:rsid w:val="007518DD"/>
    <w:rsid w:val="00754903"/>
    <w:rsid w:val="00754C6E"/>
    <w:rsid w:val="0075684B"/>
    <w:rsid w:val="00756D2B"/>
    <w:rsid w:val="0076020E"/>
    <w:rsid w:val="00760A8C"/>
    <w:rsid w:val="00761BCE"/>
    <w:rsid w:val="0076377D"/>
    <w:rsid w:val="00764942"/>
    <w:rsid w:val="00766476"/>
    <w:rsid w:val="00766614"/>
    <w:rsid w:val="0076760D"/>
    <w:rsid w:val="00767C0A"/>
    <w:rsid w:val="00770314"/>
    <w:rsid w:val="00770513"/>
    <w:rsid w:val="00770859"/>
    <w:rsid w:val="00772526"/>
    <w:rsid w:val="007733E0"/>
    <w:rsid w:val="0077418D"/>
    <w:rsid w:val="00780518"/>
    <w:rsid w:val="0078149E"/>
    <w:rsid w:val="007945B1"/>
    <w:rsid w:val="00797CDD"/>
    <w:rsid w:val="007A0035"/>
    <w:rsid w:val="007A6866"/>
    <w:rsid w:val="007B0457"/>
    <w:rsid w:val="007B06F1"/>
    <w:rsid w:val="007B23D6"/>
    <w:rsid w:val="007B3BA8"/>
    <w:rsid w:val="007B4CFD"/>
    <w:rsid w:val="007C1861"/>
    <w:rsid w:val="007C1FB3"/>
    <w:rsid w:val="007C3776"/>
    <w:rsid w:val="007C39F3"/>
    <w:rsid w:val="007C3F20"/>
    <w:rsid w:val="007C4B42"/>
    <w:rsid w:val="007C513B"/>
    <w:rsid w:val="007C75F9"/>
    <w:rsid w:val="007D0B4F"/>
    <w:rsid w:val="007D2ED2"/>
    <w:rsid w:val="007D4514"/>
    <w:rsid w:val="007D6308"/>
    <w:rsid w:val="007E17F7"/>
    <w:rsid w:val="007E45AC"/>
    <w:rsid w:val="007E46BE"/>
    <w:rsid w:val="007E6A08"/>
    <w:rsid w:val="007E71B7"/>
    <w:rsid w:val="007F017F"/>
    <w:rsid w:val="007F0A1D"/>
    <w:rsid w:val="007F0E20"/>
    <w:rsid w:val="007F3505"/>
    <w:rsid w:val="007F5045"/>
    <w:rsid w:val="0080234C"/>
    <w:rsid w:val="00802E07"/>
    <w:rsid w:val="00803597"/>
    <w:rsid w:val="00803989"/>
    <w:rsid w:val="00804034"/>
    <w:rsid w:val="008053A8"/>
    <w:rsid w:val="00806AA1"/>
    <w:rsid w:val="008124D5"/>
    <w:rsid w:val="008133DD"/>
    <w:rsid w:val="00822C47"/>
    <w:rsid w:val="00823882"/>
    <w:rsid w:val="00824744"/>
    <w:rsid w:val="00824BB3"/>
    <w:rsid w:val="00826C80"/>
    <w:rsid w:val="00832ED0"/>
    <w:rsid w:val="008340A2"/>
    <w:rsid w:val="00834EA7"/>
    <w:rsid w:val="0085108A"/>
    <w:rsid w:val="00853055"/>
    <w:rsid w:val="00856FAA"/>
    <w:rsid w:val="0086198E"/>
    <w:rsid w:val="0086304F"/>
    <w:rsid w:val="0087093C"/>
    <w:rsid w:val="00870973"/>
    <w:rsid w:val="0087098F"/>
    <w:rsid w:val="00870E23"/>
    <w:rsid w:val="00871C04"/>
    <w:rsid w:val="0087302F"/>
    <w:rsid w:val="00873D5C"/>
    <w:rsid w:val="00874553"/>
    <w:rsid w:val="00875C60"/>
    <w:rsid w:val="00875C6F"/>
    <w:rsid w:val="00883866"/>
    <w:rsid w:val="00883A39"/>
    <w:rsid w:val="00884007"/>
    <w:rsid w:val="00884713"/>
    <w:rsid w:val="00885566"/>
    <w:rsid w:val="0088568B"/>
    <w:rsid w:val="00886D04"/>
    <w:rsid w:val="008912E6"/>
    <w:rsid w:val="008919BF"/>
    <w:rsid w:val="00891DEC"/>
    <w:rsid w:val="0089210B"/>
    <w:rsid w:val="008931F7"/>
    <w:rsid w:val="008A09ED"/>
    <w:rsid w:val="008A113B"/>
    <w:rsid w:val="008A232C"/>
    <w:rsid w:val="008A38F7"/>
    <w:rsid w:val="008A61E3"/>
    <w:rsid w:val="008A7786"/>
    <w:rsid w:val="008A7E0B"/>
    <w:rsid w:val="008A7E41"/>
    <w:rsid w:val="008B1E2A"/>
    <w:rsid w:val="008B2A8D"/>
    <w:rsid w:val="008B3848"/>
    <w:rsid w:val="008B417A"/>
    <w:rsid w:val="008B4665"/>
    <w:rsid w:val="008B5335"/>
    <w:rsid w:val="008B5CDD"/>
    <w:rsid w:val="008B7B80"/>
    <w:rsid w:val="008C19D3"/>
    <w:rsid w:val="008C43D5"/>
    <w:rsid w:val="008C4716"/>
    <w:rsid w:val="008C6B2F"/>
    <w:rsid w:val="008D0656"/>
    <w:rsid w:val="008D539A"/>
    <w:rsid w:val="008D5B75"/>
    <w:rsid w:val="008D70FA"/>
    <w:rsid w:val="008E2C99"/>
    <w:rsid w:val="008E3711"/>
    <w:rsid w:val="008E4AC0"/>
    <w:rsid w:val="008E59FF"/>
    <w:rsid w:val="008E61C7"/>
    <w:rsid w:val="008E7E26"/>
    <w:rsid w:val="008F04AE"/>
    <w:rsid w:val="008F1111"/>
    <w:rsid w:val="008F14F1"/>
    <w:rsid w:val="008F2DE0"/>
    <w:rsid w:val="008F5BA6"/>
    <w:rsid w:val="008F73AA"/>
    <w:rsid w:val="008F76A8"/>
    <w:rsid w:val="00903106"/>
    <w:rsid w:val="00907EE0"/>
    <w:rsid w:val="0091128C"/>
    <w:rsid w:val="00913AC2"/>
    <w:rsid w:val="0091486E"/>
    <w:rsid w:val="009159C5"/>
    <w:rsid w:val="00915B60"/>
    <w:rsid w:val="00915BF5"/>
    <w:rsid w:val="00916AB5"/>
    <w:rsid w:val="00920401"/>
    <w:rsid w:val="00920F02"/>
    <w:rsid w:val="009217D6"/>
    <w:rsid w:val="0092259A"/>
    <w:rsid w:val="00923DC8"/>
    <w:rsid w:val="0092730C"/>
    <w:rsid w:val="009333D2"/>
    <w:rsid w:val="00934D28"/>
    <w:rsid w:val="00936FF3"/>
    <w:rsid w:val="00937C87"/>
    <w:rsid w:val="009429AE"/>
    <w:rsid w:val="009456E4"/>
    <w:rsid w:val="00946FBF"/>
    <w:rsid w:val="0094743A"/>
    <w:rsid w:val="00951855"/>
    <w:rsid w:val="00953DBA"/>
    <w:rsid w:val="00954E83"/>
    <w:rsid w:val="00957428"/>
    <w:rsid w:val="00961089"/>
    <w:rsid w:val="009615D3"/>
    <w:rsid w:val="00961C68"/>
    <w:rsid w:val="00965AFD"/>
    <w:rsid w:val="00965BBB"/>
    <w:rsid w:val="00966146"/>
    <w:rsid w:val="00973406"/>
    <w:rsid w:val="00973726"/>
    <w:rsid w:val="00977E79"/>
    <w:rsid w:val="009809D2"/>
    <w:rsid w:val="009843B3"/>
    <w:rsid w:val="009916D2"/>
    <w:rsid w:val="00993277"/>
    <w:rsid w:val="00994254"/>
    <w:rsid w:val="009943D0"/>
    <w:rsid w:val="00996E91"/>
    <w:rsid w:val="00996F25"/>
    <w:rsid w:val="00997322"/>
    <w:rsid w:val="0099750D"/>
    <w:rsid w:val="009A22CD"/>
    <w:rsid w:val="009A49E9"/>
    <w:rsid w:val="009A67CF"/>
    <w:rsid w:val="009B45E6"/>
    <w:rsid w:val="009B55C3"/>
    <w:rsid w:val="009B55C4"/>
    <w:rsid w:val="009B6AAB"/>
    <w:rsid w:val="009C09AB"/>
    <w:rsid w:val="009C1F05"/>
    <w:rsid w:val="009C21EA"/>
    <w:rsid w:val="009C4727"/>
    <w:rsid w:val="009C52FC"/>
    <w:rsid w:val="009C595F"/>
    <w:rsid w:val="009C59A8"/>
    <w:rsid w:val="009C6BFB"/>
    <w:rsid w:val="009C725A"/>
    <w:rsid w:val="009C770C"/>
    <w:rsid w:val="009C7E8D"/>
    <w:rsid w:val="009D3C48"/>
    <w:rsid w:val="009D3D73"/>
    <w:rsid w:val="009D3DD9"/>
    <w:rsid w:val="009D50DA"/>
    <w:rsid w:val="009D7615"/>
    <w:rsid w:val="009E2428"/>
    <w:rsid w:val="009E75E0"/>
    <w:rsid w:val="009F1ACA"/>
    <w:rsid w:val="009F3143"/>
    <w:rsid w:val="009F60B3"/>
    <w:rsid w:val="009F7279"/>
    <w:rsid w:val="00A001F6"/>
    <w:rsid w:val="00A01FC2"/>
    <w:rsid w:val="00A02994"/>
    <w:rsid w:val="00A03903"/>
    <w:rsid w:val="00A049C3"/>
    <w:rsid w:val="00A05F66"/>
    <w:rsid w:val="00A062E8"/>
    <w:rsid w:val="00A0695F"/>
    <w:rsid w:val="00A07EB1"/>
    <w:rsid w:val="00A10554"/>
    <w:rsid w:val="00A11500"/>
    <w:rsid w:val="00A1240E"/>
    <w:rsid w:val="00A1588C"/>
    <w:rsid w:val="00A219DB"/>
    <w:rsid w:val="00A22A03"/>
    <w:rsid w:val="00A24E63"/>
    <w:rsid w:val="00A32892"/>
    <w:rsid w:val="00A32B1B"/>
    <w:rsid w:val="00A34D82"/>
    <w:rsid w:val="00A41017"/>
    <w:rsid w:val="00A42DA9"/>
    <w:rsid w:val="00A45F43"/>
    <w:rsid w:val="00A46652"/>
    <w:rsid w:val="00A46A11"/>
    <w:rsid w:val="00A47645"/>
    <w:rsid w:val="00A50D40"/>
    <w:rsid w:val="00A51823"/>
    <w:rsid w:val="00A51D88"/>
    <w:rsid w:val="00A5358E"/>
    <w:rsid w:val="00A608D2"/>
    <w:rsid w:val="00A628E2"/>
    <w:rsid w:val="00A6383C"/>
    <w:rsid w:val="00A64EFF"/>
    <w:rsid w:val="00A667E1"/>
    <w:rsid w:val="00A6703E"/>
    <w:rsid w:val="00A7216B"/>
    <w:rsid w:val="00A72C56"/>
    <w:rsid w:val="00A74E6E"/>
    <w:rsid w:val="00A75597"/>
    <w:rsid w:val="00A76E51"/>
    <w:rsid w:val="00A83FF3"/>
    <w:rsid w:val="00A920CA"/>
    <w:rsid w:val="00A9220F"/>
    <w:rsid w:val="00A93A09"/>
    <w:rsid w:val="00A946C7"/>
    <w:rsid w:val="00A94BEA"/>
    <w:rsid w:val="00AA2013"/>
    <w:rsid w:val="00AA798A"/>
    <w:rsid w:val="00AB319C"/>
    <w:rsid w:val="00AB5B7E"/>
    <w:rsid w:val="00AB615F"/>
    <w:rsid w:val="00AC0221"/>
    <w:rsid w:val="00AC21D8"/>
    <w:rsid w:val="00AC31A8"/>
    <w:rsid w:val="00AC7413"/>
    <w:rsid w:val="00AD2EB9"/>
    <w:rsid w:val="00AD67B6"/>
    <w:rsid w:val="00AD7003"/>
    <w:rsid w:val="00AE010D"/>
    <w:rsid w:val="00AE2731"/>
    <w:rsid w:val="00AE33E1"/>
    <w:rsid w:val="00AE350C"/>
    <w:rsid w:val="00AE404F"/>
    <w:rsid w:val="00AE51B7"/>
    <w:rsid w:val="00AF20ED"/>
    <w:rsid w:val="00AF2427"/>
    <w:rsid w:val="00AF5250"/>
    <w:rsid w:val="00B0212A"/>
    <w:rsid w:val="00B051E9"/>
    <w:rsid w:val="00B10065"/>
    <w:rsid w:val="00B102B3"/>
    <w:rsid w:val="00B10780"/>
    <w:rsid w:val="00B1248D"/>
    <w:rsid w:val="00B156BC"/>
    <w:rsid w:val="00B16FFF"/>
    <w:rsid w:val="00B17328"/>
    <w:rsid w:val="00B24590"/>
    <w:rsid w:val="00B2665B"/>
    <w:rsid w:val="00B267E1"/>
    <w:rsid w:val="00B26A0A"/>
    <w:rsid w:val="00B305E1"/>
    <w:rsid w:val="00B31C06"/>
    <w:rsid w:val="00B33A74"/>
    <w:rsid w:val="00B33B4B"/>
    <w:rsid w:val="00B33FFC"/>
    <w:rsid w:val="00B34E87"/>
    <w:rsid w:val="00B353AA"/>
    <w:rsid w:val="00B35D29"/>
    <w:rsid w:val="00B37B9F"/>
    <w:rsid w:val="00B40DDE"/>
    <w:rsid w:val="00B40E99"/>
    <w:rsid w:val="00B426BD"/>
    <w:rsid w:val="00B446EB"/>
    <w:rsid w:val="00B46502"/>
    <w:rsid w:val="00B511D9"/>
    <w:rsid w:val="00B56538"/>
    <w:rsid w:val="00B5715E"/>
    <w:rsid w:val="00B57351"/>
    <w:rsid w:val="00B57741"/>
    <w:rsid w:val="00B6076B"/>
    <w:rsid w:val="00B63ADD"/>
    <w:rsid w:val="00B65495"/>
    <w:rsid w:val="00B65B21"/>
    <w:rsid w:val="00B67E6B"/>
    <w:rsid w:val="00B70A3E"/>
    <w:rsid w:val="00B71157"/>
    <w:rsid w:val="00B71452"/>
    <w:rsid w:val="00B72275"/>
    <w:rsid w:val="00B72484"/>
    <w:rsid w:val="00B7322F"/>
    <w:rsid w:val="00B7375B"/>
    <w:rsid w:val="00B7421E"/>
    <w:rsid w:val="00B749A7"/>
    <w:rsid w:val="00B76BC5"/>
    <w:rsid w:val="00B80F6D"/>
    <w:rsid w:val="00B814A6"/>
    <w:rsid w:val="00B818A5"/>
    <w:rsid w:val="00B86A79"/>
    <w:rsid w:val="00B875D1"/>
    <w:rsid w:val="00B909EF"/>
    <w:rsid w:val="00B91570"/>
    <w:rsid w:val="00B92ADC"/>
    <w:rsid w:val="00B93DC8"/>
    <w:rsid w:val="00B93EDB"/>
    <w:rsid w:val="00B94E27"/>
    <w:rsid w:val="00B96087"/>
    <w:rsid w:val="00B976A4"/>
    <w:rsid w:val="00B97CA8"/>
    <w:rsid w:val="00B97D84"/>
    <w:rsid w:val="00BA1C2B"/>
    <w:rsid w:val="00BA3BDA"/>
    <w:rsid w:val="00BA4DF7"/>
    <w:rsid w:val="00BA5A34"/>
    <w:rsid w:val="00BA5B85"/>
    <w:rsid w:val="00BB0813"/>
    <w:rsid w:val="00BB18B2"/>
    <w:rsid w:val="00BB2821"/>
    <w:rsid w:val="00BB3F47"/>
    <w:rsid w:val="00BB4D2F"/>
    <w:rsid w:val="00BB523D"/>
    <w:rsid w:val="00BB576B"/>
    <w:rsid w:val="00BB78F8"/>
    <w:rsid w:val="00BC07E8"/>
    <w:rsid w:val="00BC1105"/>
    <w:rsid w:val="00BC1383"/>
    <w:rsid w:val="00BC1F1D"/>
    <w:rsid w:val="00BC378B"/>
    <w:rsid w:val="00BC4D29"/>
    <w:rsid w:val="00BC5A5F"/>
    <w:rsid w:val="00BC76B1"/>
    <w:rsid w:val="00BC7AC2"/>
    <w:rsid w:val="00BD3D6D"/>
    <w:rsid w:val="00BD4371"/>
    <w:rsid w:val="00BD4C52"/>
    <w:rsid w:val="00BD54BD"/>
    <w:rsid w:val="00BE12E0"/>
    <w:rsid w:val="00BE1BC6"/>
    <w:rsid w:val="00BE2D04"/>
    <w:rsid w:val="00BE3223"/>
    <w:rsid w:val="00BE52AF"/>
    <w:rsid w:val="00BE7003"/>
    <w:rsid w:val="00BE7C73"/>
    <w:rsid w:val="00BE7EC7"/>
    <w:rsid w:val="00BF01E2"/>
    <w:rsid w:val="00BF1078"/>
    <w:rsid w:val="00BF1C94"/>
    <w:rsid w:val="00BF3EDF"/>
    <w:rsid w:val="00BF4908"/>
    <w:rsid w:val="00C0081A"/>
    <w:rsid w:val="00C00BE1"/>
    <w:rsid w:val="00C01F22"/>
    <w:rsid w:val="00C02272"/>
    <w:rsid w:val="00C03231"/>
    <w:rsid w:val="00C034DF"/>
    <w:rsid w:val="00C04803"/>
    <w:rsid w:val="00C06553"/>
    <w:rsid w:val="00C079EC"/>
    <w:rsid w:val="00C102CA"/>
    <w:rsid w:val="00C1298B"/>
    <w:rsid w:val="00C15238"/>
    <w:rsid w:val="00C1682B"/>
    <w:rsid w:val="00C208D3"/>
    <w:rsid w:val="00C22448"/>
    <w:rsid w:val="00C22B06"/>
    <w:rsid w:val="00C26599"/>
    <w:rsid w:val="00C33615"/>
    <w:rsid w:val="00C360D4"/>
    <w:rsid w:val="00C400FC"/>
    <w:rsid w:val="00C41E3B"/>
    <w:rsid w:val="00C4576D"/>
    <w:rsid w:val="00C45D2C"/>
    <w:rsid w:val="00C47721"/>
    <w:rsid w:val="00C47C27"/>
    <w:rsid w:val="00C50295"/>
    <w:rsid w:val="00C504BA"/>
    <w:rsid w:val="00C50C14"/>
    <w:rsid w:val="00C515B2"/>
    <w:rsid w:val="00C5477A"/>
    <w:rsid w:val="00C60913"/>
    <w:rsid w:val="00C63332"/>
    <w:rsid w:val="00C64C7E"/>
    <w:rsid w:val="00C70C58"/>
    <w:rsid w:val="00C7347D"/>
    <w:rsid w:val="00C736C3"/>
    <w:rsid w:val="00C73755"/>
    <w:rsid w:val="00C74602"/>
    <w:rsid w:val="00C7652F"/>
    <w:rsid w:val="00C767B9"/>
    <w:rsid w:val="00C77800"/>
    <w:rsid w:val="00C80D62"/>
    <w:rsid w:val="00C82CDF"/>
    <w:rsid w:val="00C84E88"/>
    <w:rsid w:val="00C85885"/>
    <w:rsid w:val="00C85905"/>
    <w:rsid w:val="00C86064"/>
    <w:rsid w:val="00C86EA6"/>
    <w:rsid w:val="00C878EA"/>
    <w:rsid w:val="00C879D5"/>
    <w:rsid w:val="00C90D6A"/>
    <w:rsid w:val="00C96ED1"/>
    <w:rsid w:val="00CA01F6"/>
    <w:rsid w:val="00CA1C29"/>
    <w:rsid w:val="00CA490C"/>
    <w:rsid w:val="00CA5DAC"/>
    <w:rsid w:val="00CB1C8B"/>
    <w:rsid w:val="00CB3657"/>
    <w:rsid w:val="00CB3DE4"/>
    <w:rsid w:val="00CB42E5"/>
    <w:rsid w:val="00CB64F0"/>
    <w:rsid w:val="00CB6DF4"/>
    <w:rsid w:val="00CB7769"/>
    <w:rsid w:val="00CC24E2"/>
    <w:rsid w:val="00CC303C"/>
    <w:rsid w:val="00CC310B"/>
    <w:rsid w:val="00CC3359"/>
    <w:rsid w:val="00CC3C3F"/>
    <w:rsid w:val="00CC44FB"/>
    <w:rsid w:val="00CC4BA1"/>
    <w:rsid w:val="00CC5100"/>
    <w:rsid w:val="00CC5257"/>
    <w:rsid w:val="00CC59C5"/>
    <w:rsid w:val="00CC705C"/>
    <w:rsid w:val="00CC717B"/>
    <w:rsid w:val="00CC7E28"/>
    <w:rsid w:val="00CD2438"/>
    <w:rsid w:val="00CD3393"/>
    <w:rsid w:val="00CD3C2D"/>
    <w:rsid w:val="00CD3E32"/>
    <w:rsid w:val="00CD403C"/>
    <w:rsid w:val="00CD5807"/>
    <w:rsid w:val="00CD5FD2"/>
    <w:rsid w:val="00CD64AC"/>
    <w:rsid w:val="00CD7C27"/>
    <w:rsid w:val="00CE2862"/>
    <w:rsid w:val="00CE2C18"/>
    <w:rsid w:val="00CE3CE1"/>
    <w:rsid w:val="00CF132C"/>
    <w:rsid w:val="00CF4F25"/>
    <w:rsid w:val="00CF56B8"/>
    <w:rsid w:val="00D01810"/>
    <w:rsid w:val="00D04086"/>
    <w:rsid w:val="00D0451B"/>
    <w:rsid w:val="00D0536B"/>
    <w:rsid w:val="00D12B62"/>
    <w:rsid w:val="00D12B66"/>
    <w:rsid w:val="00D15768"/>
    <w:rsid w:val="00D202DD"/>
    <w:rsid w:val="00D22855"/>
    <w:rsid w:val="00D259A6"/>
    <w:rsid w:val="00D31A3B"/>
    <w:rsid w:val="00D31B3B"/>
    <w:rsid w:val="00D33FFC"/>
    <w:rsid w:val="00D342FF"/>
    <w:rsid w:val="00D3522A"/>
    <w:rsid w:val="00D43F73"/>
    <w:rsid w:val="00D507F8"/>
    <w:rsid w:val="00D5387B"/>
    <w:rsid w:val="00D56E78"/>
    <w:rsid w:val="00D57192"/>
    <w:rsid w:val="00D602C4"/>
    <w:rsid w:val="00D61454"/>
    <w:rsid w:val="00D6310D"/>
    <w:rsid w:val="00D63CD1"/>
    <w:rsid w:val="00D64E1A"/>
    <w:rsid w:val="00D6637D"/>
    <w:rsid w:val="00D6674C"/>
    <w:rsid w:val="00D7064C"/>
    <w:rsid w:val="00D7115F"/>
    <w:rsid w:val="00D7339B"/>
    <w:rsid w:val="00D74E13"/>
    <w:rsid w:val="00D752AD"/>
    <w:rsid w:val="00D769A3"/>
    <w:rsid w:val="00D76CFA"/>
    <w:rsid w:val="00D7777E"/>
    <w:rsid w:val="00D80D41"/>
    <w:rsid w:val="00D81EFF"/>
    <w:rsid w:val="00D83B7D"/>
    <w:rsid w:val="00D846E1"/>
    <w:rsid w:val="00D862EA"/>
    <w:rsid w:val="00D865B5"/>
    <w:rsid w:val="00D90407"/>
    <w:rsid w:val="00D90E7A"/>
    <w:rsid w:val="00D911CB"/>
    <w:rsid w:val="00D9129B"/>
    <w:rsid w:val="00D93B1C"/>
    <w:rsid w:val="00D9433A"/>
    <w:rsid w:val="00DA1B39"/>
    <w:rsid w:val="00DA219F"/>
    <w:rsid w:val="00DA2500"/>
    <w:rsid w:val="00DA3F86"/>
    <w:rsid w:val="00DA3FEB"/>
    <w:rsid w:val="00DA5B50"/>
    <w:rsid w:val="00DA7DA4"/>
    <w:rsid w:val="00DB23D5"/>
    <w:rsid w:val="00DB30FE"/>
    <w:rsid w:val="00DB76D6"/>
    <w:rsid w:val="00DC542C"/>
    <w:rsid w:val="00DC5F02"/>
    <w:rsid w:val="00DC62B7"/>
    <w:rsid w:val="00DC724D"/>
    <w:rsid w:val="00DC7292"/>
    <w:rsid w:val="00DD0027"/>
    <w:rsid w:val="00DD291C"/>
    <w:rsid w:val="00DD3241"/>
    <w:rsid w:val="00DD6F0F"/>
    <w:rsid w:val="00DD75F4"/>
    <w:rsid w:val="00DD75F9"/>
    <w:rsid w:val="00DD7707"/>
    <w:rsid w:val="00DE2212"/>
    <w:rsid w:val="00DE2EB0"/>
    <w:rsid w:val="00DE4FEE"/>
    <w:rsid w:val="00DE59F7"/>
    <w:rsid w:val="00DF19F1"/>
    <w:rsid w:val="00DF2338"/>
    <w:rsid w:val="00DF2CD5"/>
    <w:rsid w:val="00DF2E92"/>
    <w:rsid w:val="00DF3E07"/>
    <w:rsid w:val="00DF4ACE"/>
    <w:rsid w:val="00E00CF3"/>
    <w:rsid w:val="00E02CD9"/>
    <w:rsid w:val="00E04AC5"/>
    <w:rsid w:val="00E0693C"/>
    <w:rsid w:val="00E10EA7"/>
    <w:rsid w:val="00E10F9E"/>
    <w:rsid w:val="00E11489"/>
    <w:rsid w:val="00E11B92"/>
    <w:rsid w:val="00E11E93"/>
    <w:rsid w:val="00E1402A"/>
    <w:rsid w:val="00E1508D"/>
    <w:rsid w:val="00E21D04"/>
    <w:rsid w:val="00E248DF"/>
    <w:rsid w:val="00E26DE2"/>
    <w:rsid w:val="00E3245B"/>
    <w:rsid w:val="00E32D08"/>
    <w:rsid w:val="00E335BF"/>
    <w:rsid w:val="00E34814"/>
    <w:rsid w:val="00E34C83"/>
    <w:rsid w:val="00E3514A"/>
    <w:rsid w:val="00E356B0"/>
    <w:rsid w:val="00E36029"/>
    <w:rsid w:val="00E36060"/>
    <w:rsid w:val="00E37A3F"/>
    <w:rsid w:val="00E406E3"/>
    <w:rsid w:val="00E4081E"/>
    <w:rsid w:val="00E411B6"/>
    <w:rsid w:val="00E41D13"/>
    <w:rsid w:val="00E43CE1"/>
    <w:rsid w:val="00E44F68"/>
    <w:rsid w:val="00E46A3D"/>
    <w:rsid w:val="00E47F32"/>
    <w:rsid w:val="00E51797"/>
    <w:rsid w:val="00E51D5E"/>
    <w:rsid w:val="00E5352A"/>
    <w:rsid w:val="00E53BE3"/>
    <w:rsid w:val="00E53D0F"/>
    <w:rsid w:val="00E56B98"/>
    <w:rsid w:val="00E61611"/>
    <w:rsid w:val="00E63635"/>
    <w:rsid w:val="00E70FCE"/>
    <w:rsid w:val="00E712B7"/>
    <w:rsid w:val="00E722A1"/>
    <w:rsid w:val="00E7377D"/>
    <w:rsid w:val="00E77FB9"/>
    <w:rsid w:val="00E85AEA"/>
    <w:rsid w:val="00E90964"/>
    <w:rsid w:val="00E913D4"/>
    <w:rsid w:val="00E914E8"/>
    <w:rsid w:val="00E93E57"/>
    <w:rsid w:val="00E93EE6"/>
    <w:rsid w:val="00E9601E"/>
    <w:rsid w:val="00E96407"/>
    <w:rsid w:val="00EA2827"/>
    <w:rsid w:val="00EA2AF0"/>
    <w:rsid w:val="00EA7EA5"/>
    <w:rsid w:val="00EB2766"/>
    <w:rsid w:val="00EB7102"/>
    <w:rsid w:val="00EC0958"/>
    <w:rsid w:val="00EC284C"/>
    <w:rsid w:val="00EC2F2C"/>
    <w:rsid w:val="00EC3B7E"/>
    <w:rsid w:val="00EC4815"/>
    <w:rsid w:val="00EC4C94"/>
    <w:rsid w:val="00EC6A05"/>
    <w:rsid w:val="00ED0E2B"/>
    <w:rsid w:val="00ED1370"/>
    <w:rsid w:val="00ED462F"/>
    <w:rsid w:val="00ED6C78"/>
    <w:rsid w:val="00EE1292"/>
    <w:rsid w:val="00EE44D4"/>
    <w:rsid w:val="00EE6FE4"/>
    <w:rsid w:val="00EF231B"/>
    <w:rsid w:val="00EF2B68"/>
    <w:rsid w:val="00EF4560"/>
    <w:rsid w:val="00EF543E"/>
    <w:rsid w:val="00EF763B"/>
    <w:rsid w:val="00EF7EAF"/>
    <w:rsid w:val="00F000D5"/>
    <w:rsid w:val="00F03236"/>
    <w:rsid w:val="00F05053"/>
    <w:rsid w:val="00F0596A"/>
    <w:rsid w:val="00F074F8"/>
    <w:rsid w:val="00F11901"/>
    <w:rsid w:val="00F14EFD"/>
    <w:rsid w:val="00F15CF6"/>
    <w:rsid w:val="00F1781E"/>
    <w:rsid w:val="00F22615"/>
    <w:rsid w:val="00F234A7"/>
    <w:rsid w:val="00F23782"/>
    <w:rsid w:val="00F23FEB"/>
    <w:rsid w:val="00F24900"/>
    <w:rsid w:val="00F252A5"/>
    <w:rsid w:val="00F254E1"/>
    <w:rsid w:val="00F26DD8"/>
    <w:rsid w:val="00F27793"/>
    <w:rsid w:val="00F27E6E"/>
    <w:rsid w:val="00F30E0C"/>
    <w:rsid w:val="00F34F1B"/>
    <w:rsid w:val="00F3713F"/>
    <w:rsid w:val="00F40687"/>
    <w:rsid w:val="00F43977"/>
    <w:rsid w:val="00F45C4C"/>
    <w:rsid w:val="00F46D89"/>
    <w:rsid w:val="00F46E80"/>
    <w:rsid w:val="00F50533"/>
    <w:rsid w:val="00F50534"/>
    <w:rsid w:val="00F50AB9"/>
    <w:rsid w:val="00F50F09"/>
    <w:rsid w:val="00F51352"/>
    <w:rsid w:val="00F51E2A"/>
    <w:rsid w:val="00F549EF"/>
    <w:rsid w:val="00F57BBD"/>
    <w:rsid w:val="00F608F6"/>
    <w:rsid w:val="00F61285"/>
    <w:rsid w:val="00F61F44"/>
    <w:rsid w:val="00F666B5"/>
    <w:rsid w:val="00F672C1"/>
    <w:rsid w:val="00F70330"/>
    <w:rsid w:val="00F7214D"/>
    <w:rsid w:val="00F77D2D"/>
    <w:rsid w:val="00F77FB2"/>
    <w:rsid w:val="00F82068"/>
    <w:rsid w:val="00F8292E"/>
    <w:rsid w:val="00F84693"/>
    <w:rsid w:val="00F86E55"/>
    <w:rsid w:val="00F87C4A"/>
    <w:rsid w:val="00F90414"/>
    <w:rsid w:val="00F91015"/>
    <w:rsid w:val="00F9245C"/>
    <w:rsid w:val="00F926B9"/>
    <w:rsid w:val="00F9297B"/>
    <w:rsid w:val="00F94AB5"/>
    <w:rsid w:val="00F9618C"/>
    <w:rsid w:val="00FA15E8"/>
    <w:rsid w:val="00FA1A01"/>
    <w:rsid w:val="00FA235F"/>
    <w:rsid w:val="00FA4D81"/>
    <w:rsid w:val="00FB0538"/>
    <w:rsid w:val="00FB25A1"/>
    <w:rsid w:val="00FB4012"/>
    <w:rsid w:val="00FB47FA"/>
    <w:rsid w:val="00FB60BF"/>
    <w:rsid w:val="00FB6B8E"/>
    <w:rsid w:val="00FC08C0"/>
    <w:rsid w:val="00FC2D9A"/>
    <w:rsid w:val="00FC46D4"/>
    <w:rsid w:val="00FC4A3F"/>
    <w:rsid w:val="00FC4B18"/>
    <w:rsid w:val="00FC4F97"/>
    <w:rsid w:val="00FC6410"/>
    <w:rsid w:val="00FC6525"/>
    <w:rsid w:val="00FC68E3"/>
    <w:rsid w:val="00FC71B6"/>
    <w:rsid w:val="00FC72DF"/>
    <w:rsid w:val="00FD1A3E"/>
    <w:rsid w:val="00FD34DE"/>
    <w:rsid w:val="00FE6AAF"/>
    <w:rsid w:val="00FF31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ersonName"/>
  <w:smartTagType w:namespaceuri="urn:schemas-microsoft-com:office:smarttags" w:name="address"/>
  <w:smartTagType w:namespaceuri="urn:schemas-microsoft-com:office:smarttags" w:name="place"/>
  <w:shapeDefaults>
    <o:shapedefaults v:ext="edit" spidmax="5121"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7A7B"/>
    <w:rPr>
      <w:rFonts w:ascii="Arial" w:hAnsi="Arial"/>
      <w:sz w:val="22"/>
      <w:szCs w:val="24"/>
      <w:lang w:val="en-US" w:eastAsia="en-US"/>
    </w:rPr>
  </w:style>
  <w:style w:type="paragraph" w:styleId="Heading1">
    <w:name w:val="heading 1"/>
    <w:basedOn w:val="Normal"/>
    <w:next w:val="Normal"/>
    <w:qFormat/>
    <w:rsid w:val="00BD4371"/>
    <w:pPr>
      <w:keepNext/>
      <w:spacing w:before="240" w:after="60"/>
      <w:outlineLvl w:val="0"/>
    </w:pPr>
    <w:rPr>
      <w:rFonts w:cs="Arial"/>
      <w:b/>
      <w:bCs/>
      <w:kern w:val="32"/>
      <w:szCs w:val="32"/>
    </w:rPr>
  </w:style>
  <w:style w:type="paragraph" w:styleId="Heading2">
    <w:name w:val="heading 2"/>
    <w:basedOn w:val="Normal"/>
    <w:next w:val="Normal"/>
    <w:qFormat/>
    <w:rsid w:val="00BD4371"/>
    <w:pPr>
      <w:keepNext/>
      <w:spacing w:before="240" w:after="60"/>
      <w:outlineLvl w:val="1"/>
    </w:pPr>
    <w:rPr>
      <w:rFonts w:cs="Arial"/>
      <w:b/>
      <w:bCs/>
      <w:iCs/>
      <w:szCs w:val="28"/>
      <w:u w:val="single"/>
    </w:rPr>
  </w:style>
  <w:style w:type="paragraph" w:styleId="Heading3">
    <w:name w:val="heading 3"/>
    <w:basedOn w:val="Normal"/>
    <w:next w:val="Normal"/>
    <w:qFormat/>
    <w:rsid w:val="00BD4371"/>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Document"/>
    <w:basedOn w:val="Normal"/>
    <w:link w:val="HeaderChar"/>
    <w:uiPriority w:val="99"/>
    <w:rsid w:val="00BD4371"/>
    <w:pPr>
      <w:tabs>
        <w:tab w:val="center" w:pos="4153"/>
        <w:tab w:val="right" w:pos="8306"/>
      </w:tabs>
    </w:pPr>
  </w:style>
  <w:style w:type="paragraph" w:styleId="Footer">
    <w:name w:val="footer"/>
    <w:basedOn w:val="Normal"/>
    <w:rsid w:val="00BD4371"/>
    <w:pPr>
      <w:tabs>
        <w:tab w:val="center" w:pos="4153"/>
        <w:tab w:val="right" w:pos="8306"/>
      </w:tabs>
    </w:pPr>
  </w:style>
  <w:style w:type="paragraph" w:customStyle="1" w:styleId="Text">
    <w:name w:val="Text"/>
    <w:basedOn w:val="Normal"/>
    <w:link w:val="TextChar"/>
    <w:rsid w:val="001647B5"/>
    <w:pPr>
      <w:suppressAutoHyphens/>
      <w:spacing w:before="60" w:after="120"/>
    </w:pPr>
    <w:rPr>
      <w:rFonts w:ascii="Times New Roman" w:hAnsi="Times New Roman"/>
      <w:sz w:val="24"/>
      <w:szCs w:val="20"/>
    </w:rPr>
  </w:style>
  <w:style w:type="character" w:customStyle="1" w:styleId="TextChar">
    <w:name w:val="Text Char"/>
    <w:link w:val="Text"/>
    <w:rsid w:val="001647B5"/>
    <w:rPr>
      <w:sz w:val="24"/>
      <w:lang w:val="en-US" w:eastAsia="en-US" w:bidi="ar-SA"/>
    </w:rPr>
  </w:style>
  <w:style w:type="table" w:styleId="TableGrid">
    <w:name w:val="Table Grid"/>
    <w:basedOn w:val="TableNormal"/>
    <w:uiPriority w:val="59"/>
    <w:rsid w:val="002D59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enterBold">
    <w:name w:val="TableCenterBold"/>
    <w:basedOn w:val="Normal"/>
    <w:rsid w:val="00B267E1"/>
    <w:pPr>
      <w:suppressAutoHyphens/>
      <w:spacing w:before="60" w:line="240" w:lineRule="exact"/>
      <w:jc w:val="center"/>
    </w:pPr>
    <w:rPr>
      <w:rFonts w:ascii="Times New Roman" w:hAnsi="Times New Roman"/>
      <w:b/>
      <w:szCs w:val="20"/>
    </w:rPr>
  </w:style>
  <w:style w:type="paragraph" w:customStyle="1" w:styleId="CPCLH1">
    <w:name w:val="CPCLH1"/>
    <w:basedOn w:val="Normal"/>
    <w:rsid w:val="00B267E1"/>
    <w:pPr>
      <w:tabs>
        <w:tab w:val="left" w:pos="600"/>
        <w:tab w:val="left" w:pos="1200"/>
        <w:tab w:val="left" w:pos="1800"/>
        <w:tab w:val="left" w:pos="2400"/>
        <w:tab w:val="left" w:pos="3000"/>
        <w:tab w:val="left" w:pos="3600"/>
        <w:tab w:val="left" w:pos="4200"/>
        <w:tab w:val="left" w:pos="4800"/>
        <w:tab w:val="left" w:pos="5400"/>
        <w:tab w:val="left" w:pos="6000"/>
        <w:tab w:val="left" w:pos="6600"/>
      </w:tabs>
      <w:overflowPunct w:val="0"/>
      <w:autoSpaceDE w:val="0"/>
      <w:autoSpaceDN w:val="0"/>
      <w:adjustRightInd w:val="0"/>
      <w:jc w:val="both"/>
      <w:textAlignment w:val="baseline"/>
    </w:pPr>
    <w:rPr>
      <w:rFonts w:ascii="Helv" w:hAnsi="Helv"/>
      <w:b/>
      <w:sz w:val="20"/>
      <w:szCs w:val="20"/>
    </w:rPr>
  </w:style>
  <w:style w:type="paragraph" w:customStyle="1" w:styleId="lbltxt">
    <w:name w:val="lbltxt"/>
    <w:rsid w:val="0080234C"/>
    <w:pPr>
      <w:tabs>
        <w:tab w:val="left" w:pos="567"/>
      </w:tabs>
    </w:pPr>
    <w:rPr>
      <w:noProof/>
      <w:sz w:val="22"/>
      <w:lang w:val="en-GB" w:eastAsia="en-US"/>
    </w:rPr>
  </w:style>
  <w:style w:type="character" w:styleId="CommentReference">
    <w:name w:val="annotation reference"/>
    <w:semiHidden/>
    <w:rsid w:val="0080234C"/>
    <w:rPr>
      <w:sz w:val="16"/>
      <w:szCs w:val="16"/>
    </w:rPr>
  </w:style>
  <w:style w:type="paragraph" w:styleId="CommentText">
    <w:name w:val="annotation text"/>
    <w:basedOn w:val="Normal"/>
    <w:semiHidden/>
    <w:rsid w:val="0080234C"/>
    <w:pPr>
      <w:tabs>
        <w:tab w:val="left" w:pos="567"/>
      </w:tabs>
      <w:spacing w:line="260" w:lineRule="exact"/>
    </w:pPr>
    <w:rPr>
      <w:rFonts w:ascii="Times New Roman" w:hAnsi="Times New Roman"/>
      <w:sz w:val="20"/>
      <w:szCs w:val="20"/>
      <w:lang w:val="en-GB"/>
    </w:rPr>
  </w:style>
  <w:style w:type="paragraph" w:styleId="CommentSubject">
    <w:name w:val="annotation subject"/>
    <w:basedOn w:val="CommentText"/>
    <w:next w:val="CommentText"/>
    <w:semiHidden/>
    <w:rsid w:val="00A51823"/>
    <w:pPr>
      <w:tabs>
        <w:tab w:val="clear" w:pos="567"/>
      </w:tabs>
      <w:spacing w:line="240" w:lineRule="auto"/>
    </w:pPr>
    <w:rPr>
      <w:rFonts w:ascii="Arial" w:hAnsi="Arial"/>
      <w:b/>
      <w:bCs/>
      <w:lang w:val="en-US"/>
    </w:rPr>
  </w:style>
  <w:style w:type="paragraph" w:styleId="BalloonText">
    <w:name w:val="Balloon Text"/>
    <w:basedOn w:val="Normal"/>
    <w:semiHidden/>
    <w:rsid w:val="00A51823"/>
    <w:rPr>
      <w:rFonts w:ascii="Tahoma" w:hAnsi="Tahoma" w:cs="Tahoma"/>
      <w:sz w:val="16"/>
      <w:szCs w:val="16"/>
    </w:rPr>
  </w:style>
  <w:style w:type="character" w:customStyle="1" w:styleId="TextChar1">
    <w:name w:val="Text Char1"/>
    <w:rsid w:val="00C00BE1"/>
    <w:rPr>
      <w:rFonts w:ascii="Arial" w:hAnsi="Arial"/>
      <w:sz w:val="22"/>
      <w:lang w:val="en-US" w:eastAsia="en-US" w:bidi="ar-SA"/>
    </w:rPr>
  </w:style>
  <w:style w:type="paragraph" w:styleId="Caption">
    <w:name w:val="caption"/>
    <w:basedOn w:val="Normal"/>
    <w:next w:val="Normal"/>
    <w:qFormat/>
    <w:rsid w:val="00606410"/>
    <w:pPr>
      <w:keepNext/>
      <w:suppressAutoHyphens/>
      <w:spacing w:before="300" w:after="100" w:line="300" w:lineRule="atLeast"/>
      <w:jc w:val="center"/>
    </w:pPr>
    <w:rPr>
      <w:b/>
      <w:szCs w:val="20"/>
      <w:lang w:val="en-AU"/>
    </w:rPr>
  </w:style>
  <w:style w:type="paragraph" w:customStyle="1" w:styleId="TableCenterAlign">
    <w:name w:val="TableCenterAlign"/>
    <w:basedOn w:val="Normal"/>
    <w:rsid w:val="00606410"/>
    <w:pPr>
      <w:suppressAutoHyphens/>
      <w:spacing w:before="40" w:after="40"/>
      <w:jc w:val="center"/>
    </w:pPr>
    <w:rPr>
      <w:sz w:val="18"/>
      <w:szCs w:val="20"/>
      <w:lang w:val="en-AU"/>
    </w:rPr>
  </w:style>
  <w:style w:type="paragraph" w:customStyle="1" w:styleId="TableCentreBold">
    <w:name w:val="TableCentreBold"/>
    <w:basedOn w:val="Normal"/>
    <w:rsid w:val="00606410"/>
    <w:pPr>
      <w:suppressAutoHyphens/>
      <w:spacing w:before="60" w:after="60"/>
      <w:jc w:val="center"/>
    </w:pPr>
    <w:rPr>
      <w:b/>
      <w:sz w:val="20"/>
      <w:szCs w:val="20"/>
      <w:lang w:val="en-AU"/>
    </w:rPr>
  </w:style>
  <w:style w:type="paragraph" w:customStyle="1" w:styleId="TableLeftAlign">
    <w:name w:val="TableLeftAlign"/>
    <w:basedOn w:val="Normal"/>
    <w:rsid w:val="00606410"/>
    <w:pPr>
      <w:suppressAutoHyphens/>
      <w:spacing w:before="40" w:after="40"/>
    </w:pPr>
    <w:rPr>
      <w:sz w:val="18"/>
      <w:szCs w:val="20"/>
      <w:lang w:val="en-AU"/>
    </w:rPr>
  </w:style>
  <w:style w:type="paragraph" w:customStyle="1" w:styleId="TableLeftBold">
    <w:name w:val="TableLeftBold"/>
    <w:basedOn w:val="Normal"/>
    <w:rsid w:val="00606410"/>
    <w:pPr>
      <w:suppressAutoHyphens/>
      <w:spacing w:before="60" w:after="60"/>
    </w:pPr>
    <w:rPr>
      <w:b/>
      <w:sz w:val="20"/>
      <w:szCs w:val="20"/>
      <w:lang w:val="en-AU"/>
    </w:rPr>
  </w:style>
  <w:style w:type="paragraph" w:styleId="DocumentMap">
    <w:name w:val="Document Map"/>
    <w:basedOn w:val="Normal"/>
    <w:semiHidden/>
    <w:rsid w:val="007C75F9"/>
    <w:pPr>
      <w:shd w:val="clear" w:color="auto" w:fill="000080"/>
    </w:pPr>
    <w:rPr>
      <w:rFonts w:ascii="Tahoma" w:hAnsi="Tahoma" w:cs="Tahoma"/>
      <w:sz w:val="20"/>
      <w:szCs w:val="20"/>
    </w:rPr>
  </w:style>
  <w:style w:type="paragraph" w:styleId="BodyText">
    <w:name w:val="Body Text"/>
    <w:basedOn w:val="Normal"/>
    <w:link w:val="BodyTextChar"/>
    <w:rsid w:val="00FC4A3F"/>
    <w:pPr>
      <w:overflowPunct w:val="0"/>
      <w:autoSpaceDE w:val="0"/>
      <w:autoSpaceDN w:val="0"/>
      <w:adjustRightInd w:val="0"/>
      <w:spacing w:after="120"/>
      <w:jc w:val="both"/>
      <w:textAlignment w:val="baseline"/>
    </w:pPr>
    <w:rPr>
      <w:szCs w:val="20"/>
    </w:rPr>
  </w:style>
  <w:style w:type="character" w:customStyle="1" w:styleId="BodyTextChar">
    <w:name w:val="Body Text Char"/>
    <w:link w:val="BodyText"/>
    <w:rsid w:val="00FC4A3F"/>
    <w:rPr>
      <w:rFonts w:ascii="Arial" w:hAnsi="Arial"/>
      <w:sz w:val="22"/>
      <w:lang w:val="en-US" w:eastAsia="en-US" w:bidi="ar-SA"/>
    </w:rPr>
  </w:style>
  <w:style w:type="paragraph" w:customStyle="1" w:styleId="text0">
    <w:name w:val="text"/>
    <w:basedOn w:val="Normal"/>
    <w:rsid w:val="00182EC5"/>
    <w:pPr>
      <w:overflowPunct w:val="0"/>
      <w:autoSpaceDE w:val="0"/>
      <w:autoSpaceDN w:val="0"/>
      <w:spacing w:before="100" w:beforeAutospacing="1" w:after="100" w:afterAutospacing="1" w:line="360" w:lineRule="auto"/>
      <w:ind w:left="56"/>
    </w:pPr>
    <w:rPr>
      <w:rFonts w:cs="Arial"/>
      <w:color w:val="0000FF"/>
      <w:sz w:val="20"/>
      <w:szCs w:val="20"/>
    </w:rPr>
  </w:style>
  <w:style w:type="paragraph" w:customStyle="1" w:styleId="SynopsisText">
    <w:name w:val="SynopsisText"/>
    <w:basedOn w:val="Text"/>
    <w:rsid w:val="00375417"/>
    <w:pPr>
      <w:tabs>
        <w:tab w:val="left" w:pos="1794"/>
      </w:tabs>
      <w:suppressAutoHyphens w:val="0"/>
      <w:spacing w:before="120"/>
    </w:pPr>
    <w:rPr>
      <w:rFonts w:ascii="Arial" w:hAnsi="Arial"/>
      <w:color w:val="000000"/>
      <w:sz w:val="20"/>
    </w:rPr>
  </w:style>
  <w:style w:type="character" w:customStyle="1" w:styleId="HeaderChar">
    <w:name w:val="Header Char"/>
    <w:aliases w:val="Document Char"/>
    <w:link w:val="Header"/>
    <w:uiPriority w:val="99"/>
    <w:locked/>
    <w:rsid w:val="00601590"/>
    <w:rPr>
      <w:rFonts w:ascii="Arial" w:hAnsi="Arial"/>
      <w:sz w:val="22"/>
      <w:szCs w:val="24"/>
      <w:lang w:val="en-US" w:eastAsia="en-US" w:bidi="ar-SA"/>
    </w:rPr>
  </w:style>
  <w:style w:type="paragraph" w:styleId="TOC2">
    <w:name w:val="toc 2"/>
    <w:basedOn w:val="Normal"/>
    <w:next w:val="Normal"/>
    <w:semiHidden/>
    <w:rsid w:val="000E31DA"/>
    <w:pPr>
      <w:tabs>
        <w:tab w:val="left" w:pos="1710"/>
        <w:tab w:val="right" w:leader="dot" w:pos="9072"/>
      </w:tabs>
      <w:overflowPunct w:val="0"/>
      <w:autoSpaceDE w:val="0"/>
      <w:autoSpaceDN w:val="0"/>
      <w:adjustRightInd w:val="0"/>
      <w:spacing w:after="120"/>
      <w:ind w:left="1260" w:hanging="360"/>
      <w:jc w:val="both"/>
      <w:textAlignment w:val="baseline"/>
    </w:pPr>
    <w:rPr>
      <w:sz w:val="20"/>
      <w:szCs w:val="20"/>
    </w:rPr>
  </w:style>
  <w:style w:type="paragraph" w:customStyle="1" w:styleId="Default">
    <w:name w:val="Default"/>
    <w:rsid w:val="000E31DA"/>
    <w:pPr>
      <w:autoSpaceDE w:val="0"/>
      <w:autoSpaceDN w:val="0"/>
      <w:adjustRightInd w:val="0"/>
    </w:pPr>
    <w:rPr>
      <w:rFonts w:eastAsia="MS Mincho"/>
      <w:color w:val="000000"/>
      <w:sz w:val="24"/>
      <w:szCs w:val="24"/>
      <w:lang w:val="en-US" w:eastAsia="ja-JP"/>
    </w:rPr>
  </w:style>
  <w:style w:type="paragraph" w:customStyle="1" w:styleId="default0">
    <w:name w:val="default"/>
    <w:basedOn w:val="Normal"/>
    <w:rsid w:val="00D3522A"/>
    <w:pPr>
      <w:autoSpaceDE w:val="0"/>
      <w:autoSpaceDN w:val="0"/>
    </w:pPr>
    <w:rPr>
      <w:rFonts w:ascii="Times New Roman" w:hAnsi="Times New Roman"/>
      <w:color w:val="000000"/>
      <w:sz w:val="24"/>
      <w:lang w:val="en-AU" w:eastAsia="en-AU"/>
    </w:rPr>
  </w:style>
  <w:style w:type="character" w:styleId="Hyperlink">
    <w:name w:val="Hyperlink"/>
    <w:rsid w:val="000D0A12"/>
    <w:rPr>
      <w:color w:val="0000FF"/>
      <w:u w:val="single"/>
    </w:rPr>
  </w:style>
  <w:style w:type="paragraph" w:styleId="NormalWeb">
    <w:name w:val="Normal (Web)"/>
    <w:basedOn w:val="Normal"/>
    <w:uiPriority w:val="99"/>
    <w:unhideWhenUsed/>
    <w:rsid w:val="00D90407"/>
    <w:pPr>
      <w:spacing w:before="100" w:beforeAutospacing="1" w:after="100" w:afterAutospacing="1"/>
    </w:pPr>
    <w:rPr>
      <w:rFonts w:ascii="Times New Roman" w:hAnsi="Times New Roman"/>
      <w:sz w:val="24"/>
      <w:lang w:val="en-AU"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7A7B"/>
    <w:rPr>
      <w:rFonts w:ascii="Arial" w:hAnsi="Arial"/>
      <w:sz w:val="22"/>
      <w:szCs w:val="24"/>
      <w:lang w:val="en-US" w:eastAsia="en-US"/>
    </w:rPr>
  </w:style>
  <w:style w:type="paragraph" w:styleId="Heading1">
    <w:name w:val="heading 1"/>
    <w:basedOn w:val="Normal"/>
    <w:next w:val="Normal"/>
    <w:qFormat/>
    <w:rsid w:val="00BD4371"/>
    <w:pPr>
      <w:keepNext/>
      <w:spacing w:before="240" w:after="60"/>
      <w:outlineLvl w:val="0"/>
    </w:pPr>
    <w:rPr>
      <w:rFonts w:cs="Arial"/>
      <w:b/>
      <w:bCs/>
      <w:kern w:val="32"/>
      <w:szCs w:val="32"/>
    </w:rPr>
  </w:style>
  <w:style w:type="paragraph" w:styleId="Heading2">
    <w:name w:val="heading 2"/>
    <w:basedOn w:val="Normal"/>
    <w:next w:val="Normal"/>
    <w:qFormat/>
    <w:rsid w:val="00BD4371"/>
    <w:pPr>
      <w:keepNext/>
      <w:spacing w:before="240" w:after="60"/>
      <w:outlineLvl w:val="1"/>
    </w:pPr>
    <w:rPr>
      <w:rFonts w:cs="Arial"/>
      <w:b/>
      <w:bCs/>
      <w:iCs/>
      <w:szCs w:val="28"/>
      <w:u w:val="single"/>
    </w:rPr>
  </w:style>
  <w:style w:type="paragraph" w:styleId="Heading3">
    <w:name w:val="heading 3"/>
    <w:basedOn w:val="Normal"/>
    <w:next w:val="Normal"/>
    <w:qFormat/>
    <w:rsid w:val="00BD4371"/>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Document"/>
    <w:basedOn w:val="Normal"/>
    <w:link w:val="HeaderChar"/>
    <w:uiPriority w:val="99"/>
    <w:rsid w:val="00BD4371"/>
    <w:pPr>
      <w:tabs>
        <w:tab w:val="center" w:pos="4153"/>
        <w:tab w:val="right" w:pos="8306"/>
      </w:tabs>
    </w:pPr>
  </w:style>
  <w:style w:type="paragraph" w:styleId="Footer">
    <w:name w:val="footer"/>
    <w:basedOn w:val="Normal"/>
    <w:rsid w:val="00BD4371"/>
    <w:pPr>
      <w:tabs>
        <w:tab w:val="center" w:pos="4153"/>
        <w:tab w:val="right" w:pos="8306"/>
      </w:tabs>
    </w:pPr>
  </w:style>
  <w:style w:type="paragraph" w:customStyle="1" w:styleId="Text">
    <w:name w:val="Text"/>
    <w:basedOn w:val="Normal"/>
    <w:link w:val="TextChar"/>
    <w:rsid w:val="001647B5"/>
    <w:pPr>
      <w:suppressAutoHyphens/>
      <w:spacing w:before="60" w:after="120"/>
    </w:pPr>
    <w:rPr>
      <w:rFonts w:ascii="Times New Roman" w:hAnsi="Times New Roman"/>
      <w:sz w:val="24"/>
      <w:szCs w:val="20"/>
    </w:rPr>
  </w:style>
  <w:style w:type="character" w:customStyle="1" w:styleId="TextChar">
    <w:name w:val="Text Char"/>
    <w:link w:val="Text"/>
    <w:rsid w:val="001647B5"/>
    <w:rPr>
      <w:sz w:val="24"/>
      <w:lang w:val="en-US" w:eastAsia="en-US" w:bidi="ar-SA"/>
    </w:rPr>
  </w:style>
  <w:style w:type="table" w:styleId="TableGrid">
    <w:name w:val="Table Grid"/>
    <w:basedOn w:val="TableNormal"/>
    <w:uiPriority w:val="59"/>
    <w:rsid w:val="002D59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enterBold">
    <w:name w:val="TableCenterBold"/>
    <w:basedOn w:val="Normal"/>
    <w:rsid w:val="00B267E1"/>
    <w:pPr>
      <w:suppressAutoHyphens/>
      <w:spacing w:before="60" w:line="240" w:lineRule="exact"/>
      <w:jc w:val="center"/>
    </w:pPr>
    <w:rPr>
      <w:rFonts w:ascii="Times New Roman" w:hAnsi="Times New Roman"/>
      <w:b/>
      <w:szCs w:val="20"/>
    </w:rPr>
  </w:style>
  <w:style w:type="paragraph" w:customStyle="1" w:styleId="CPCLH1">
    <w:name w:val="CPCLH1"/>
    <w:basedOn w:val="Normal"/>
    <w:rsid w:val="00B267E1"/>
    <w:pPr>
      <w:tabs>
        <w:tab w:val="left" w:pos="600"/>
        <w:tab w:val="left" w:pos="1200"/>
        <w:tab w:val="left" w:pos="1800"/>
        <w:tab w:val="left" w:pos="2400"/>
        <w:tab w:val="left" w:pos="3000"/>
        <w:tab w:val="left" w:pos="3600"/>
        <w:tab w:val="left" w:pos="4200"/>
        <w:tab w:val="left" w:pos="4800"/>
        <w:tab w:val="left" w:pos="5400"/>
        <w:tab w:val="left" w:pos="6000"/>
        <w:tab w:val="left" w:pos="6600"/>
      </w:tabs>
      <w:overflowPunct w:val="0"/>
      <w:autoSpaceDE w:val="0"/>
      <w:autoSpaceDN w:val="0"/>
      <w:adjustRightInd w:val="0"/>
      <w:jc w:val="both"/>
      <w:textAlignment w:val="baseline"/>
    </w:pPr>
    <w:rPr>
      <w:rFonts w:ascii="Helv" w:hAnsi="Helv"/>
      <w:b/>
      <w:sz w:val="20"/>
      <w:szCs w:val="20"/>
    </w:rPr>
  </w:style>
  <w:style w:type="paragraph" w:customStyle="1" w:styleId="lbltxt">
    <w:name w:val="lbltxt"/>
    <w:rsid w:val="0080234C"/>
    <w:pPr>
      <w:tabs>
        <w:tab w:val="left" w:pos="567"/>
      </w:tabs>
    </w:pPr>
    <w:rPr>
      <w:noProof/>
      <w:sz w:val="22"/>
      <w:lang w:val="en-GB" w:eastAsia="en-US"/>
    </w:rPr>
  </w:style>
  <w:style w:type="character" w:styleId="CommentReference">
    <w:name w:val="annotation reference"/>
    <w:semiHidden/>
    <w:rsid w:val="0080234C"/>
    <w:rPr>
      <w:sz w:val="16"/>
      <w:szCs w:val="16"/>
    </w:rPr>
  </w:style>
  <w:style w:type="paragraph" w:styleId="CommentText">
    <w:name w:val="annotation text"/>
    <w:basedOn w:val="Normal"/>
    <w:semiHidden/>
    <w:rsid w:val="0080234C"/>
    <w:pPr>
      <w:tabs>
        <w:tab w:val="left" w:pos="567"/>
      </w:tabs>
      <w:spacing w:line="260" w:lineRule="exact"/>
    </w:pPr>
    <w:rPr>
      <w:rFonts w:ascii="Times New Roman" w:hAnsi="Times New Roman"/>
      <w:sz w:val="20"/>
      <w:szCs w:val="20"/>
      <w:lang w:val="en-GB"/>
    </w:rPr>
  </w:style>
  <w:style w:type="paragraph" w:styleId="CommentSubject">
    <w:name w:val="annotation subject"/>
    <w:basedOn w:val="CommentText"/>
    <w:next w:val="CommentText"/>
    <w:semiHidden/>
    <w:rsid w:val="00A51823"/>
    <w:pPr>
      <w:tabs>
        <w:tab w:val="clear" w:pos="567"/>
      </w:tabs>
      <w:spacing w:line="240" w:lineRule="auto"/>
    </w:pPr>
    <w:rPr>
      <w:rFonts w:ascii="Arial" w:hAnsi="Arial"/>
      <w:b/>
      <w:bCs/>
      <w:lang w:val="en-US"/>
    </w:rPr>
  </w:style>
  <w:style w:type="paragraph" w:styleId="BalloonText">
    <w:name w:val="Balloon Text"/>
    <w:basedOn w:val="Normal"/>
    <w:semiHidden/>
    <w:rsid w:val="00A51823"/>
    <w:rPr>
      <w:rFonts w:ascii="Tahoma" w:hAnsi="Tahoma" w:cs="Tahoma"/>
      <w:sz w:val="16"/>
      <w:szCs w:val="16"/>
    </w:rPr>
  </w:style>
  <w:style w:type="character" w:customStyle="1" w:styleId="TextChar1">
    <w:name w:val="Text Char1"/>
    <w:rsid w:val="00C00BE1"/>
    <w:rPr>
      <w:rFonts w:ascii="Arial" w:hAnsi="Arial"/>
      <w:sz w:val="22"/>
      <w:lang w:val="en-US" w:eastAsia="en-US" w:bidi="ar-SA"/>
    </w:rPr>
  </w:style>
  <w:style w:type="paragraph" w:styleId="Caption">
    <w:name w:val="caption"/>
    <w:basedOn w:val="Normal"/>
    <w:next w:val="Normal"/>
    <w:qFormat/>
    <w:rsid w:val="00606410"/>
    <w:pPr>
      <w:keepNext/>
      <w:suppressAutoHyphens/>
      <w:spacing w:before="300" w:after="100" w:line="300" w:lineRule="atLeast"/>
      <w:jc w:val="center"/>
    </w:pPr>
    <w:rPr>
      <w:b/>
      <w:szCs w:val="20"/>
      <w:lang w:val="en-AU"/>
    </w:rPr>
  </w:style>
  <w:style w:type="paragraph" w:customStyle="1" w:styleId="TableCenterAlign">
    <w:name w:val="TableCenterAlign"/>
    <w:basedOn w:val="Normal"/>
    <w:rsid w:val="00606410"/>
    <w:pPr>
      <w:suppressAutoHyphens/>
      <w:spacing w:before="40" w:after="40"/>
      <w:jc w:val="center"/>
    </w:pPr>
    <w:rPr>
      <w:sz w:val="18"/>
      <w:szCs w:val="20"/>
      <w:lang w:val="en-AU"/>
    </w:rPr>
  </w:style>
  <w:style w:type="paragraph" w:customStyle="1" w:styleId="TableCentreBold">
    <w:name w:val="TableCentreBold"/>
    <w:basedOn w:val="Normal"/>
    <w:rsid w:val="00606410"/>
    <w:pPr>
      <w:suppressAutoHyphens/>
      <w:spacing w:before="60" w:after="60"/>
      <w:jc w:val="center"/>
    </w:pPr>
    <w:rPr>
      <w:b/>
      <w:sz w:val="20"/>
      <w:szCs w:val="20"/>
      <w:lang w:val="en-AU"/>
    </w:rPr>
  </w:style>
  <w:style w:type="paragraph" w:customStyle="1" w:styleId="TableLeftAlign">
    <w:name w:val="TableLeftAlign"/>
    <w:basedOn w:val="Normal"/>
    <w:rsid w:val="00606410"/>
    <w:pPr>
      <w:suppressAutoHyphens/>
      <w:spacing w:before="40" w:after="40"/>
    </w:pPr>
    <w:rPr>
      <w:sz w:val="18"/>
      <w:szCs w:val="20"/>
      <w:lang w:val="en-AU"/>
    </w:rPr>
  </w:style>
  <w:style w:type="paragraph" w:customStyle="1" w:styleId="TableLeftBold">
    <w:name w:val="TableLeftBold"/>
    <w:basedOn w:val="Normal"/>
    <w:rsid w:val="00606410"/>
    <w:pPr>
      <w:suppressAutoHyphens/>
      <w:spacing w:before="60" w:after="60"/>
    </w:pPr>
    <w:rPr>
      <w:b/>
      <w:sz w:val="20"/>
      <w:szCs w:val="20"/>
      <w:lang w:val="en-AU"/>
    </w:rPr>
  </w:style>
  <w:style w:type="paragraph" w:styleId="DocumentMap">
    <w:name w:val="Document Map"/>
    <w:basedOn w:val="Normal"/>
    <w:semiHidden/>
    <w:rsid w:val="007C75F9"/>
    <w:pPr>
      <w:shd w:val="clear" w:color="auto" w:fill="000080"/>
    </w:pPr>
    <w:rPr>
      <w:rFonts w:ascii="Tahoma" w:hAnsi="Tahoma" w:cs="Tahoma"/>
      <w:sz w:val="20"/>
      <w:szCs w:val="20"/>
    </w:rPr>
  </w:style>
  <w:style w:type="paragraph" w:styleId="BodyText">
    <w:name w:val="Body Text"/>
    <w:basedOn w:val="Normal"/>
    <w:link w:val="BodyTextChar"/>
    <w:rsid w:val="00FC4A3F"/>
    <w:pPr>
      <w:overflowPunct w:val="0"/>
      <w:autoSpaceDE w:val="0"/>
      <w:autoSpaceDN w:val="0"/>
      <w:adjustRightInd w:val="0"/>
      <w:spacing w:after="120"/>
      <w:jc w:val="both"/>
      <w:textAlignment w:val="baseline"/>
    </w:pPr>
    <w:rPr>
      <w:szCs w:val="20"/>
    </w:rPr>
  </w:style>
  <w:style w:type="character" w:customStyle="1" w:styleId="BodyTextChar">
    <w:name w:val="Body Text Char"/>
    <w:link w:val="BodyText"/>
    <w:rsid w:val="00FC4A3F"/>
    <w:rPr>
      <w:rFonts w:ascii="Arial" w:hAnsi="Arial"/>
      <w:sz w:val="22"/>
      <w:lang w:val="en-US" w:eastAsia="en-US" w:bidi="ar-SA"/>
    </w:rPr>
  </w:style>
  <w:style w:type="paragraph" w:customStyle="1" w:styleId="text0">
    <w:name w:val="text"/>
    <w:basedOn w:val="Normal"/>
    <w:rsid w:val="00182EC5"/>
    <w:pPr>
      <w:overflowPunct w:val="0"/>
      <w:autoSpaceDE w:val="0"/>
      <w:autoSpaceDN w:val="0"/>
      <w:spacing w:before="100" w:beforeAutospacing="1" w:after="100" w:afterAutospacing="1" w:line="360" w:lineRule="auto"/>
      <w:ind w:left="56"/>
    </w:pPr>
    <w:rPr>
      <w:rFonts w:cs="Arial"/>
      <w:color w:val="0000FF"/>
      <w:sz w:val="20"/>
      <w:szCs w:val="20"/>
    </w:rPr>
  </w:style>
  <w:style w:type="paragraph" w:customStyle="1" w:styleId="SynopsisText">
    <w:name w:val="SynopsisText"/>
    <w:basedOn w:val="Text"/>
    <w:rsid w:val="00375417"/>
    <w:pPr>
      <w:tabs>
        <w:tab w:val="left" w:pos="1794"/>
      </w:tabs>
      <w:suppressAutoHyphens w:val="0"/>
      <w:spacing w:before="120"/>
    </w:pPr>
    <w:rPr>
      <w:rFonts w:ascii="Arial" w:hAnsi="Arial"/>
      <w:color w:val="000000"/>
      <w:sz w:val="20"/>
    </w:rPr>
  </w:style>
  <w:style w:type="character" w:customStyle="1" w:styleId="HeaderChar">
    <w:name w:val="Header Char"/>
    <w:aliases w:val="Document Char"/>
    <w:link w:val="Header"/>
    <w:uiPriority w:val="99"/>
    <w:locked/>
    <w:rsid w:val="00601590"/>
    <w:rPr>
      <w:rFonts w:ascii="Arial" w:hAnsi="Arial"/>
      <w:sz w:val="22"/>
      <w:szCs w:val="24"/>
      <w:lang w:val="en-US" w:eastAsia="en-US" w:bidi="ar-SA"/>
    </w:rPr>
  </w:style>
  <w:style w:type="paragraph" w:styleId="TOC2">
    <w:name w:val="toc 2"/>
    <w:basedOn w:val="Normal"/>
    <w:next w:val="Normal"/>
    <w:semiHidden/>
    <w:rsid w:val="000E31DA"/>
    <w:pPr>
      <w:tabs>
        <w:tab w:val="left" w:pos="1710"/>
        <w:tab w:val="right" w:leader="dot" w:pos="9072"/>
      </w:tabs>
      <w:overflowPunct w:val="0"/>
      <w:autoSpaceDE w:val="0"/>
      <w:autoSpaceDN w:val="0"/>
      <w:adjustRightInd w:val="0"/>
      <w:spacing w:after="120"/>
      <w:ind w:left="1260" w:hanging="360"/>
      <w:jc w:val="both"/>
      <w:textAlignment w:val="baseline"/>
    </w:pPr>
    <w:rPr>
      <w:sz w:val="20"/>
      <w:szCs w:val="20"/>
    </w:rPr>
  </w:style>
  <w:style w:type="paragraph" w:customStyle="1" w:styleId="Default">
    <w:name w:val="Default"/>
    <w:rsid w:val="000E31DA"/>
    <w:pPr>
      <w:autoSpaceDE w:val="0"/>
      <w:autoSpaceDN w:val="0"/>
      <w:adjustRightInd w:val="0"/>
    </w:pPr>
    <w:rPr>
      <w:rFonts w:eastAsia="MS Mincho"/>
      <w:color w:val="000000"/>
      <w:sz w:val="24"/>
      <w:szCs w:val="24"/>
      <w:lang w:val="en-US" w:eastAsia="ja-JP"/>
    </w:rPr>
  </w:style>
  <w:style w:type="paragraph" w:customStyle="1" w:styleId="default0">
    <w:name w:val="default"/>
    <w:basedOn w:val="Normal"/>
    <w:rsid w:val="00D3522A"/>
    <w:pPr>
      <w:autoSpaceDE w:val="0"/>
      <w:autoSpaceDN w:val="0"/>
    </w:pPr>
    <w:rPr>
      <w:rFonts w:ascii="Times New Roman" w:hAnsi="Times New Roman"/>
      <w:color w:val="000000"/>
      <w:sz w:val="24"/>
      <w:lang w:val="en-AU" w:eastAsia="en-AU"/>
    </w:rPr>
  </w:style>
  <w:style w:type="character" w:styleId="Hyperlink">
    <w:name w:val="Hyperlink"/>
    <w:rsid w:val="000D0A12"/>
    <w:rPr>
      <w:color w:val="0000FF"/>
      <w:u w:val="single"/>
    </w:rPr>
  </w:style>
  <w:style w:type="paragraph" w:styleId="NormalWeb">
    <w:name w:val="Normal (Web)"/>
    <w:basedOn w:val="Normal"/>
    <w:uiPriority w:val="99"/>
    <w:unhideWhenUsed/>
    <w:rsid w:val="00D90407"/>
    <w:pPr>
      <w:spacing w:before="100" w:beforeAutospacing="1" w:after="100" w:afterAutospacing="1"/>
    </w:pPr>
    <w:rPr>
      <w:rFonts w:ascii="Times New Roman" w:hAnsi="Times New Roman"/>
      <w:sz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696955">
      <w:bodyDiv w:val="1"/>
      <w:marLeft w:val="0"/>
      <w:marRight w:val="0"/>
      <w:marTop w:val="0"/>
      <w:marBottom w:val="0"/>
      <w:divBdr>
        <w:top w:val="none" w:sz="0" w:space="0" w:color="auto"/>
        <w:left w:val="none" w:sz="0" w:space="0" w:color="auto"/>
        <w:bottom w:val="none" w:sz="0" w:space="0" w:color="auto"/>
        <w:right w:val="none" w:sz="0" w:space="0" w:color="auto"/>
      </w:divBdr>
    </w:div>
    <w:div w:id="177962450">
      <w:bodyDiv w:val="1"/>
      <w:marLeft w:val="0"/>
      <w:marRight w:val="0"/>
      <w:marTop w:val="0"/>
      <w:marBottom w:val="0"/>
      <w:divBdr>
        <w:top w:val="none" w:sz="0" w:space="0" w:color="auto"/>
        <w:left w:val="none" w:sz="0" w:space="0" w:color="auto"/>
        <w:bottom w:val="none" w:sz="0" w:space="0" w:color="auto"/>
        <w:right w:val="none" w:sz="0" w:space="0" w:color="auto"/>
      </w:divBdr>
    </w:div>
    <w:div w:id="379793384">
      <w:bodyDiv w:val="1"/>
      <w:marLeft w:val="0"/>
      <w:marRight w:val="0"/>
      <w:marTop w:val="0"/>
      <w:marBottom w:val="0"/>
      <w:divBdr>
        <w:top w:val="none" w:sz="0" w:space="0" w:color="auto"/>
        <w:left w:val="none" w:sz="0" w:space="0" w:color="auto"/>
        <w:bottom w:val="none" w:sz="0" w:space="0" w:color="auto"/>
        <w:right w:val="none" w:sz="0" w:space="0" w:color="auto"/>
      </w:divBdr>
    </w:div>
    <w:div w:id="421418463">
      <w:bodyDiv w:val="1"/>
      <w:marLeft w:val="0"/>
      <w:marRight w:val="0"/>
      <w:marTop w:val="0"/>
      <w:marBottom w:val="0"/>
      <w:divBdr>
        <w:top w:val="none" w:sz="0" w:space="0" w:color="auto"/>
        <w:left w:val="none" w:sz="0" w:space="0" w:color="auto"/>
        <w:bottom w:val="none" w:sz="0" w:space="0" w:color="auto"/>
        <w:right w:val="none" w:sz="0" w:space="0" w:color="auto"/>
      </w:divBdr>
      <w:divsChild>
        <w:div w:id="843402880">
          <w:marLeft w:val="0"/>
          <w:marRight w:val="0"/>
          <w:marTop w:val="0"/>
          <w:marBottom w:val="0"/>
          <w:divBdr>
            <w:top w:val="none" w:sz="0" w:space="0" w:color="auto"/>
            <w:left w:val="none" w:sz="0" w:space="0" w:color="auto"/>
            <w:bottom w:val="none" w:sz="0" w:space="0" w:color="auto"/>
            <w:right w:val="none" w:sz="0" w:space="0" w:color="auto"/>
          </w:divBdr>
          <w:divsChild>
            <w:div w:id="547574668">
              <w:marLeft w:val="0"/>
              <w:marRight w:val="0"/>
              <w:marTop w:val="0"/>
              <w:marBottom w:val="0"/>
              <w:divBdr>
                <w:top w:val="none" w:sz="0" w:space="0" w:color="auto"/>
                <w:left w:val="none" w:sz="0" w:space="0" w:color="auto"/>
                <w:bottom w:val="none" w:sz="0" w:space="0" w:color="auto"/>
                <w:right w:val="none" w:sz="0" w:space="0" w:color="auto"/>
              </w:divBdr>
              <w:divsChild>
                <w:div w:id="151454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31900575">
      <w:bodyDiv w:val="1"/>
      <w:marLeft w:val="0"/>
      <w:marRight w:val="0"/>
      <w:marTop w:val="0"/>
      <w:marBottom w:val="0"/>
      <w:divBdr>
        <w:top w:val="none" w:sz="0" w:space="0" w:color="auto"/>
        <w:left w:val="none" w:sz="0" w:space="0" w:color="auto"/>
        <w:bottom w:val="none" w:sz="0" w:space="0" w:color="auto"/>
        <w:right w:val="none" w:sz="0" w:space="0" w:color="auto"/>
      </w:divBdr>
    </w:div>
    <w:div w:id="628239925">
      <w:bodyDiv w:val="1"/>
      <w:marLeft w:val="0"/>
      <w:marRight w:val="0"/>
      <w:marTop w:val="0"/>
      <w:marBottom w:val="0"/>
      <w:divBdr>
        <w:top w:val="none" w:sz="0" w:space="0" w:color="auto"/>
        <w:left w:val="none" w:sz="0" w:space="0" w:color="auto"/>
        <w:bottom w:val="none" w:sz="0" w:space="0" w:color="auto"/>
        <w:right w:val="none" w:sz="0" w:space="0" w:color="auto"/>
      </w:divBdr>
    </w:div>
    <w:div w:id="920022607">
      <w:bodyDiv w:val="1"/>
      <w:marLeft w:val="0"/>
      <w:marRight w:val="0"/>
      <w:marTop w:val="0"/>
      <w:marBottom w:val="0"/>
      <w:divBdr>
        <w:top w:val="none" w:sz="0" w:space="0" w:color="auto"/>
        <w:left w:val="none" w:sz="0" w:space="0" w:color="auto"/>
        <w:bottom w:val="none" w:sz="0" w:space="0" w:color="auto"/>
        <w:right w:val="none" w:sz="0" w:space="0" w:color="auto"/>
      </w:divBdr>
    </w:div>
    <w:div w:id="1171292146">
      <w:bodyDiv w:val="1"/>
      <w:marLeft w:val="0"/>
      <w:marRight w:val="0"/>
      <w:marTop w:val="0"/>
      <w:marBottom w:val="0"/>
      <w:divBdr>
        <w:top w:val="none" w:sz="0" w:space="0" w:color="auto"/>
        <w:left w:val="none" w:sz="0" w:space="0" w:color="auto"/>
        <w:bottom w:val="none" w:sz="0" w:space="0" w:color="auto"/>
        <w:right w:val="none" w:sz="0" w:space="0" w:color="auto"/>
      </w:divBdr>
    </w:div>
    <w:div w:id="1233127529">
      <w:bodyDiv w:val="1"/>
      <w:marLeft w:val="0"/>
      <w:marRight w:val="0"/>
      <w:marTop w:val="0"/>
      <w:marBottom w:val="0"/>
      <w:divBdr>
        <w:top w:val="none" w:sz="0" w:space="0" w:color="auto"/>
        <w:left w:val="none" w:sz="0" w:space="0" w:color="auto"/>
        <w:bottom w:val="none" w:sz="0" w:space="0" w:color="auto"/>
        <w:right w:val="none" w:sz="0" w:space="0" w:color="auto"/>
      </w:divBdr>
    </w:div>
    <w:div w:id="1319456324">
      <w:bodyDiv w:val="1"/>
      <w:marLeft w:val="0"/>
      <w:marRight w:val="0"/>
      <w:marTop w:val="0"/>
      <w:marBottom w:val="0"/>
      <w:divBdr>
        <w:top w:val="none" w:sz="0" w:space="0" w:color="auto"/>
        <w:left w:val="none" w:sz="0" w:space="0" w:color="auto"/>
        <w:bottom w:val="none" w:sz="0" w:space="0" w:color="auto"/>
        <w:right w:val="none" w:sz="0" w:space="0" w:color="auto"/>
      </w:divBdr>
    </w:div>
    <w:div w:id="1438519044">
      <w:bodyDiv w:val="1"/>
      <w:marLeft w:val="0"/>
      <w:marRight w:val="0"/>
      <w:marTop w:val="0"/>
      <w:marBottom w:val="0"/>
      <w:divBdr>
        <w:top w:val="none" w:sz="0" w:space="0" w:color="auto"/>
        <w:left w:val="none" w:sz="0" w:space="0" w:color="auto"/>
        <w:bottom w:val="none" w:sz="0" w:space="0" w:color="auto"/>
        <w:right w:val="none" w:sz="0" w:space="0" w:color="auto"/>
      </w:divBdr>
    </w:div>
    <w:div w:id="1626347948">
      <w:bodyDiv w:val="1"/>
      <w:marLeft w:val="0"/>
      <w:marRight w:val="0"/>
      <w:marTop w:val="0"/>
      <w:marBottom w:val="0"/>
      <w:divBdr>
        <w:top w:val="none" w:sz="0" w:space="0" w:color="auto"/>
        <w:left w:val="none" w:sz="0" w:space="0" w:color="auto"/>
        <w:bottom w:val="none" w:sz="0" w:space="0" w:color="auto"/>
        <w:right w:val="none" w:sz="0" w:space="0" w:color="auto"/>
      </w:divBdr>
    </w:div>
    <w:div w:id="2052223503">
      <w:bodyDiv w:val="1"/>
      <w:marLeft w:val="0"/>
      <w:marRight w:val="0"/>
      <w:marTop w:val="0"/>
      <w:marBottom w:val="0"/>
      <w:divBdr>
        <w:top w:val="none" w:sz="0" w:space="0" w:color="auto"/>
        <w:left w:val="none" w:sz="0" w:space="0" w:color="auto"/>
        <w:bottom w:val="none" w:sz="0" w:space="0" w:color="auto"/>
        <w:right w:val="none" w:sz="0" w:space="0" w:color="auto"/>
      </w:divBdr>
    </w:div>
    <w:div w:id="205869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99B6E-5C45-4025-AB91-1EE4B886A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6528</Words>
  <Characters>35784</Characters>
  <Application>Microsoft Office Word</Application>
  <DocSecurity>2</DocSecurity>
  <Lines>639</Lines>
  <Paragraphs>333</Paragraphs>
  <ScaleCrop>false</ScaleCrop>
  <HeadingPairs>
    <vt:vector size="2" baseType="variant">
      <vt:variant>
        <vt:lpstr>Title</vt:lpstr>
      </vt:variant>
      <vt:variant>
        <vt:i4>1</vt:i4>
      </vt:variant>
    </vt:vector>
  </HeadingPairs>
  <TitlesOfParts>
    <vt:vector size="1" baseType="lpstr">
      <vt:lpstr>NAME OF THE MEDICINE</vt:lpstr>
    </vt:vector>
  </TitlesOfParts>
  <LinksUpToDate>false</LinksUpToDate>
  <CharactersWithSpaces>41979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Prolia (denosumab (rch))</dc:title>
  <dc:subject>prescription medicine regulation</dc:subject>
  <dc:creator/>
  <cp:keywords>prescription, medicine, regulation, pi, product information, denosumab, prolia</cp:keywords>
  <cp:lastModifiedBy/>
  <cp:revision>1</cp:revision>
  <cp:lastPrinted>2010-06-10T01:01:00Z</cp:lastPrinted>
  <dcterms:created xsi:type="dcterms:W3CDTF">2014-03-18T05:57:00Z</dcterms:created>
  <dcterms:modified xsi:type="dcterms:W3CDTF">2014-03-18T06:26:00Z</dcterms:modified>
</cp:coreProperties>
</file>