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CB4841" w:rsidP="00096AA7">
            <w:pPr>
              <w:rPr>
                <w:rFonts w:ascii="Arial" w:hAnsi="Arial" w:cs="Arial"/>
                <w:b/>
                <w:color w:val="002C47"/>
                <w:sz w:val="36"/>
                <w:szCs w:val="36"/>
              </w:rPr>
            </w:pPr>
            <w:r>
              <w:rPr>
                <w:rFonts w:ascii="Arial" w:hAnsi="Arial" w:cs="Arial"/>
                <w:b/>
                <w:color w:val="002C47"/>
                <w:sz w:val="36"/>
                <w:szCs w:val="36"/>
              </w:rPr>
              <w:t>January</w:t>
            </w:r>
            <w:r w:rsidR="00F675CC">
              <w:rPr>
                <w:rFonts w:ascii="Arial" w:hAnsi="Arial" w:cs="Arial"/>
                <w:b/>
                <w:color w:val="002C47"/>
                <w:sz w:val="36"/>
                <w:szCs w:val="36"/>
              </w:rPr>
              <w:t xml:space="preserve"> 20</w:t>
            </w:r>
            <w:r w:rsidR="00CF13DE">
              <w:rPr>
                <w:rFonts w:ascii="Arial" w:hAnsi="Arial" w:cs="Arial"/>
                <w:b/>
                <w:color w:val="002C47"/>
                <w:sz w:val="36"/>
                <w:szCs w:val="36"/>
              </w:rPr>
              <w:t>1</w:t>
            </w:r>
            <w:r>
              <w:rPr>
                <w:rFonts w:ascii="Arial" w:hAnsi="Arial" w:cs="Arial"/>
                <w:b/>
                <w:color w:val="002C47"/>
                <w:sz w:val="36"/>
                <w:szCs w:val="36"/>
              </w:rPr>
              <w:t>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rPr>
            </w:pPr>
            <w:r w:rsidRPr="00A964D1">
              <w:rPr>
                <w:color w:val="FFFFFF"/>
              </w:rPr>
              <w:t>Australian Pu</w:t>
            </w:r>
            <w:r w:rsidR="00DA2F19">
              <w:rPr>
                <w:color w:val="FFFFFF"/>
              </w:rPr>
              <w:t xml:space="preserve">blic Assessment Report for </w:t>
            </w:r>
            <w:proofErr w:type="spellStart"/>
            <w:r w:rsidR="00DA2F19">
              <w:rPr>
                <w:color w:val="FFFFFF"/>
              </w:rPr>
              <w:t>d</w:t>
            </w:r>
            <w:r w:rsidR="00DA2F19" w:rsidRPr="00DA2F19">
              <w:rPr>
                <w:color w:val="FFFFFF"/>
              </w:rPr>
              <w:t>enosumab</w:t>
            </w:r>
            <w:proofErr w:type="spellEnd"/>
          </w:p>
        </w:tc>
      </w:tr>
      <w:tr w:rsidR="0032583B" w:rsidRPr="00B64760" w:rsidTr="0032583B">
        <w:tc>
          <w:tcPr>
            <w:tcW w:w="9079" w:type="dxa"/>
          </w:tcPr>
          <w:p w:rsidR="0032583B" w:rsidRPr="008E7846" w:rsidRDefault="00BC4999" w:rsidP="0032583B">
            <w:pPr>
              <w:pStyle w:val="Subtitle"/>
              <w:rPr>
                <w:color w:val="FFFFFF"/>
              </w:rPr>
            </w:pPr>
            <w:r>
              <w:rPr>
                <w:color w:val="FFFFFF"/>
              </w:rPr>
              <w:t xml:space="preserve">Proprietary Product Name: </w:t>
            </w:r>
            <w:proofErr w:type="spellStart"/>
            <w:r>
              <w:rPr>
                <w:color w:val="FFFFFF"/>
              </w:rPr>
              <w:t>Prolia</w:t>
            </w:r>
            <w:proofErr w:type="spellEnd"/>
          </w:p>
        </w:tc>
      </w:tr>
      <w:tr w:rsidR="0032583B" w:rsidRPr="00B64760" w:rsidTr="0032583B">
        <w:trPr>
          <w:trHeight w:val="486"/>
        </w:trPr>
        <w:tc>
          <w:tcPr>
            <w:tcW w:w="9079" w:type="dxa"/>
          </w:tcPr>
          <w:p w:rsidR="0032583B" w:rsidRPr="008E7846" w:rsidRDefault="00DA2F19" w:rsidP="0032583B">
            <w:pPr>
              <w:pStyle w:val="Subtitle"/>
              <w:rPr>
                <w:color w:val="FFFFFF"/>
              </w:rPr>
            </w:pPr>
            <w:r>
              <w:rPr>
                <w:color w:val="FFFFFF"/>
              </w:rPr>
              <w:t xml:space="preserve">Sponsor: </w:t>
            </w:r>
            <w:r w:rsidRPr="00DA2F19">
              <w:rPr>
                <w:color w:val="FFFFFF"/>
              </w:rPr>
              <w:t>Amgen Australia Pty Ltd</w:t>
            </w:r>
          </w:p>
        </w:tc>
      </w:tr>
    </w:tbl>
    <w:p w:rsidR="008E7846" w:rsidRPr="001F6CBA" w:rsidRDefault="008E7846" w:rsidP="008E7846">
      <w:pPr>
        <w:pStyle w:val="NonTOCHeading2"/>
      </w:pPr>
      <w:r>
        <w:br w:type="page"/>
      </w: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 xml:space="preserve">of the Australian Government Department of Health, and is responsible for regulating medicines and medical </w:t>
      </w:r>
      <w:proofErr w:type="gramStart"/>
      <w:r>
        <w:t>devices</w:t>
      </w:r>
      <w:proofErr w:type="gramEnd"/>
      <w:r>
        <w:t>.</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EC7A85" w:rsidRPr="003A5406">
          <w:rPr>
            <w:rStyle w:val="Hyperlink"/>
          </w:rPr>
          <w:t>http://www.tga.gov.au</w:t>
        </w:r>
      </w:hyperlink>
      <w:r w:rsidR="00112F56">
        <w:t>&gt;</w:t>
      </w:r>
      <w:r>
        <w:t>.</w:t>
      </w:r>
    </w:p>
    <w:p w:rsidR="008E7846" w:rsidRDefault="008E7846" w:rsidP="008E7846">
      <w:pPr>
        <w:pStyle w:val="NonTOCHeading2"/>
      </w:pPr>
      <w:r>
        <w:t xml:space="preserve">About </w:t>
      </w:r>
      <w:proofErr w:type="spellStart"/>
      <w:r>
        <w:t>AusPARs</w:t>
      </w:r>
      <w:proofErr w:type="spellEnd"/>
    </w:p>
    <w:p w:rsidR="008E7846" w:rsidRDefault="008E7846" w:rsidP="008E7846">
      <w:pPr>
        <w:pStyle w:val="ListBullet"/>
        <w:numPr>
          <w:ilvl w:val="0"/>
          <w:numId w:val="3"/>
        </w:numPr>
        <w:ind w:left="357" w:hanging="357"/>
      </w:pPr>
      <w:r>
        <w:t>An Australian Public Assessment Record (</w:t>
      </w:r>
      <w:proofErr w:type="spellStart"/>
      <w:r>
        <w:t>AusPAR</w:t>
      </w:r>
      <w:proofErr w:type="spellEnd"/>
      <w:r>
        <w:t>) provides information about the evaluation of a prescription medicine and the considerations that led the TGA to approve or not approve a pr</w:t>
      </w:r>
      <w:r w:rsidR="00580ACB">
        <w:t>escription medicine submission.</w:t>
      </w:r>
    </w:p>
    <w:p w:rsidR="008E7846" w:rsidRDefault="008E7846" w:rsidP="008E7846">
      <w:pPr>
        <w:pStyle w:val="ListBullet"/>
        <w:numPr>
          <w:ilvl w:val="0"/>
          <w:numId w:val="3"/>
        </w:numPr>
        <w:ind w:left="357" w:hanging="357"/>
      </w:pPr>
      <w:proofErr w:type="spellStart"/>
      <w:r>
        <w:t>AusPARs</w:t>
      </w:r>
      <w:proofErr w:type="spellEnd"/>
      <w:r>
        <w:t xml:space="preserve"> are prepared and published by the TGA.</w:t>
      </w:r>
    </w:p>
    <w:p w:rsidR="008E7846" w:rsidRDefault="008E7846" w:rsidP="008E7846">
      <w:pPr>
        <w:pStyle w:val="ListBullet"/>
        <w:numPr>
          <w:ilvl w:val="0"/>
          <w:numId w:val="3"/>
        </w:numPr>
        <w:ind w:left="357" w:hanging="357"/>
      </w:pPr>
      <w:r>
        <w:t xml:space="preserve">An </w:t>
      </w:r>
      <w:proofErr w:type="spellStart"/>
      <w:r>
        <w:t>AusPAR</w:t>
      </w:r>
      <w:proofErr w:type="spellEnd"/>
      <w:r>
        <w:t xml:space="preserve">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 xml:space="preserve">An </w:t>
      </w:r>
      <w:proofErr w:type="spellStart"/>
      <w:r>
        <w:t>AusPAR</w:t>
      </w:r>
      <w:proofErr w:type="spellEnd"/>
      <w:r>
        <w:t xml:space="preserve"> is a static document, in that it will provide information that relates to a submission at a particular point in time.</w:t>
      </w:r>
    </w:p>
    <w:p w:rsidR="00B452CE" w:rsidRDefault="008E7846" w:rsidP="00FF5755">
      <w:pPr>
        <w:pStyle w:val="ListBullet"/>
        <w:numPr>
          <w:ilvl w:val="0"/>
          <w:numId w:val="3"/>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92D13">
        <w:rPr>
          <w:rFonts w:cs="Arial"/>
          <w:lang w:val="en-GB"/>
        </w:rPr>
        <w:t>4</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even" r:id="rId11"/>
          <w:headerReference w:type="default" r:id="rId12"/>
          <w:footerReference w:type="even" r:id="rId13"/>
          <w:footerReference w:type="default" r:id="rId14"/>
          <w:headerReference w:type="first" r:id="rId15"/>
          <w:footerReference w:type="first" r:id="rId16"/>
          <w:pgSz w:w="11906" w:h="16838" w:code="9"/>
          <w:pgMar w:top="426" w:right="1701" w:bottom="0" w:left="1701" w:header="907" w:footer="142" w:gutter="0"/>
          <w:pgNumType w:fmt="lowerRoman" w:start="1"/>
          <w:cols w:space="708"/>
          <w:titlePg/>
          <w:docGrid w:linePitch="360"/>
        </w:sectPr>
      </w:pPr>
    </w:p>
    <w:p w:rsidR="0089635C" w:rsidRPr="0089635C" w:rsidRDefault="0089635C" w:rsidP="0010788A">
      <w:pPr>
        <w:pStyle w:val="Contents"/>
      </w:pPr>
      <w:bookmarkStart w:id="0" w:name="_Toc247691501"/>
      <w:bookmarkStart w:id="1" w:name="_Toc196046425"/>
      <w:r w:rsidRPr="0010788A">
        <w:lastRenderedPageBreak/>
        <w:t>Contents</w:t>
      </w:r>
    </w:p>
    <w:bookmarkStart w:id="2" w:name="_GoBack"/>
    <w:bookmarkEnd w:id="2"/>
    <w:p w:rsidR="00A816D6" w:rsidRDefault="00621C2E">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82916045" w:history="1">
        <w:r w:rsidR="00A816D6" w:rsidRPr="006E3424">
          <w:rPr>
            <w:rStyle w:val="Hyperlink"/>
            <w:noProof/>
          </w:rPr>
          <w:t>I. Introduction to product submission</w:t>
        </w:r>
        <w:r w:rsidR="00A816D6">
          <w:rPr>
            <w:noProof/>
            <w:webHidden/>
          </w:rPr>
          <w:tab/>
        </w:r>
        <w:r w:rsidR="00A816D6">
          <w:rPr>
            <w:noProof/>
            <w:webHidden/>
          </w:rPr>
          <w:fldChar w:fldCharType="begin"/>
        </w:r>
        <w:r w:rsidR="00A816D6">
          <w:rPr>
            <w:noProof/>
            <w:webHidden/>
          </w:rPr>
          <w:instrText xml:space="preserve"> PAGEREF _Toc382916045 \h </w:instrText>
        </w:r>
        <w:r w:rsidR="00A816D6">
          <w:rPr>
            <w:noProof/>
            <w:webHidden/>
          </w:rPr>
        </w:r>
        <w:r w:rsidR="00A816D6">
          <w:rPr>
            <w:noProof/>
            <w:webHidden/>
          </w:rPr>
          <w:fldChar w:fldCharType="separate"/>
        </w:r>
        <w:r w:rsidR="00A816D6">
          <w:rPr>
            <w:noProof/>
            <w:webHidden/>
          </w:rPr>
          <w:t>4</w:t>
        </w:r>
        <w:r w:rsidR="00A816D6">
          <w:rPr>
            <w:noProof/>
            <w:webHidden/>
          </w:rPr>
          <w:fldChar w:fldCharType="end"/>
        </w:r>
      </w:hyperlink>
    </w:p>
    <w:p w:rsidR="00A816D6" w:rsidRDefault="00A816D6">
      <w:pPr>
        <w:pStyle w:val="TOC3"/>
        <w:rPr>
          <w:rFonts w:asciiTheme="minorHAnsi" w:eastAsiaTheme="minorEastAsia" w:hAnsiTheme="minorHAnsi" w:cstheme="minorBidi"/>
          <w:noProof/>
          <w:lang w:eastAsia="en-AU"/>
        </w:rPr>
      </w:pPr>
      <w:hyperlink w:anchor="_Toc382916046" w:history="1">
        <w:r w:rsidRPr="006E3424">
          <w:rPr>
            <w:rStyle w:val="Hyperlink"/>
            <w:noProof/>
            <w:lang w:eastAsia="en-AU"/>
          </w:rPr>
          <w:t>Submission details</w:t>
        </w:r>
        <w:r>
          <w:rPr>
            <w:noProof/>
            <w:webHidden/>
          </w:rPr>
          <w:tab/>
        </w:r>
        <w:r>
          <w:rPr>
            <w:noProof/>
            <w:webHidden/>
          </w:rPr>
          <w:fldChar w:fldCharType="begin"/>
        </w:r>
        <w:r>
          <w:rPr>
            <w:noProof/>
            <w:webHidden/>
          </w:rPr>
          <w:instrText xml:space="preserve"> PAGEREF _Toc382916046 \h </w:instrText>
        </w:r>
        <w:r>
          <w:rPr>
            <w:noProof/>
            <w:webHidden/>
          </w:rPr>
        </w:r>
        <w:r>
          <w:rPr>
            <w:noProof/>
            <w:webHidden/>
          </w:rPr>
          <w:fldChar w:fldCharType="separate"/>
        </w:r>
        <w:r>
          <w:rPr>
            <w:noProof/>
            <w:webHidden/>
          </w:rPr>
          <w:t>4</w:t>
        </w:r>
        <w:r>
          <w:rPr>
            <w:noProof/>
            <w:webHidden/>
          </w:rPr>
          <w:fldChar w:fldCharType="end"/>
        </w:r>
      </w:hyperlink>
    </w:p>
    <w:p w:rsidR="00A816D6" w:rsidRDefault="00A816D6">
      <w:pPr>
        <w:pStyle w:val="TOC3"/>
        <w:rPr>
          <w:rFonts w:asciiTheme="minorHAnsi" w:eastAsiaTheme="minorEastAsia" w:hAnsiTheme="minorHAnsi" w:cstheme="minorBidi"/>
          <w:noProof/>
          <w:lang w:eastAsia="en-AU"/>
        </w:rPr>
      </w:pPr>
      <w:hyperlink w:anchor="_Toc382916047" w:history="1">
        <w:r w:rsidRPr="006E3424">
          <w:rPr>
            <w:rStyle w:val="Hyperlink"/>
            <w:noProof/>
          </w:rPr>
          <w:t>Product background</w:t>
        </w:r>
        <w:r>
          <w:rPr>
            <w:noProof/>
            <w:webHidden/>
          </w:rPr>
          <w:tab/>
        </w:r>
        <w:r>
          <w:rPr>
            <w:noProof/>
            <w:webHidden/>
          </w:rPr>
          <w:fldChar w:fldCharType="begin"/>
        </w:r>
        <w:r>
          <w:rPr>
            <w:noProof/>
            <w:webHidden/>
          </w:rPr>
          <w:instrText xml:space="preserve"> PAGEREF _Toc382916047 \h </w:instrText>
        </w:r>
        <w:r>
          <w:rPr>
            <w:noProof/>
            <w:webHidden/>
          </w:rPr>
        </w:r>
        <w:r>
          <w:rPr>
            <w:noProof/>
            <w:webHidden/>
          </w:rPr>
          <w:fldChar w:fldCharType="separate"/>
        </w:r>
        <w:r>
          <w:rPr>
            <w:noProof/>
            <w:webHidden/>
          </w:rPr>
          <w:t>4</w:t>
        </w:r>
        <w:r>
          <w:rPr>
            <w:noProof/>
            <w:webHidden/>
          </w:rPr>
          <w:fldChar w:fldCharType="end"/>
        </w:r>
      </w:hyperlink>
    </w:p>
    <w:p w:rsidR="00A816D6" w:rsidRDefault="00A816D6">
      <w:pPr>
        <w:pStyle w:val="TOC3"/>
        <w:rPr>
          <w:rFonts w:asciiTheme="minorHAnsi" w:eastAsiaTheme="minorEastAsia" w:hAnsiTheme="minorHAnsi" w:cstheme="minorBidi"/>
          <w:noProof/>
          <w:lang w:eastAsia="en-AU"/>
        </w:rPr>
      </w:pPr>
      <w:hyperlink w:anchor="_Toc382916048" w:history="1">
        <w:r w:rsidRPr="006E3424">
          <w:rPr>
            <w:rStyle w:val="Hyperlink"/>
            <w:noProof/>
          </w:rPr>
          <w:t>Regulatory status</w:t>
        </w:r>
        <w:r>
          <w:rPr>
            <w:noProof/>
            <w:webHidden/>
          </w:rPr>
          <w:tab/>
        </w:r>
        <w:r>
          <w:rPr>
            <w:noProof/>
            <w:webHidden/>
          </w:rPr>
          <w:fldChar w:fldCharType="begin"/>
        </w:r>
        <w:r>
          <w:rPr>
            <w:noProof/>
            <w:webHidden/>
          </w:rPr>
          <w:instrText xml:space="preserve"> PAGEREF _Toc382916048 \h </w:instrText>
        </w:r>
        <w:r>
          <w:rPr>
            <w:noProof/>
            <w:webHidden/>
          </w:rPr>
        </w:r>
        <w:r>
          <w:rPr>
            <w:noProof/>
            <w:webHidden/>
          </w:rPr>
          <w:fldChar w:fldCharType="separate"/>
        </w:r>
        <w:r>
          <w:rPr>
            <w:noProof/>
            <w:webHidden/>
          </w:rPr>
          <w:t>5</w:t>
        </w:r>
        <w:r>
          <w:rPr>
            <w:noProof/>
            <w:webHidden/>
          </w:rPr>
          <w:fldChar w:fldCharType="end"/>
        </w:r>
      </w:hyperlink>
    </w:p>
    <w:p w:rsidR="00A816D6" w:rsidRDefault="00A816D6">
      <w:pPr>
        <w:pStyle w:val="TOC3"/>
        <w:rPr>
          <w:rFonts w:asciiTheme="minorHAnsi" w:eastAsiaTheme="minorEastAsia" w:hAnsiTheme="minorHAnsi" w:cstheme="minorBidi"/>
          <w:noProof/>
          <w:lang w:eastAsia="en-AU"/>
        </w:rPr>
      </w:pPr>
      <w:hyperlink w:anchor="_Toc382916049" w:history="1">
        <w:r w:rsidRPr="006E3424">
          <w:rPr>
            <w:rStyle w:val="Hyperlink"/>
            <w:noProof/>
          </w:rPr>
          <w:t>Product Information</w:t>
        </w:r>
        <w:r>
          <w:rPr>
            <w:noProof/>
            <w:webHidden/>
          </w:rPr>
          <w:tab/>
        </w:r>
        <w:r>
          <w:rPr>
            <w:noProof/>
            <w:webHidden/>
          </w:rPr>
          <w:fldChar w:fldCharType="begin"/>
        </w:r>
        <w:r>
          <w:rPr>
            <w:noProof/>
            <w:webHidden/>
          </w:rPr>
          <w:instrText xml:space="preserve"> PAGEREF _Toc382916049 \h </w:instrText>
        </w:r>
        <w:r>
          <w:rPr>
            <w:noProof/>
            <w:webHidden/>
          </w:rPr>
        </w:r>
        <w:r>
          <w:rPr>
            <w:noProof/>
            <w:webHidden/>
          </w:rPr>
          <w:fldChar w:fldCharType="separate"/>
        </w:r>
        <w:r>
          <w:rPr>
            <w:noProof/>
            <w:webHidden/>
          </w:rPr>
          <w:t>5</w:t>
        </w:r>
        <w:r>
          <w:rPr>
            <w:noProof/>
            <w:webHidden/>
          </w:rPr>
          <w:fldChar w:fldCharType="end"/>
        </w:r>
      </w:hyperlink>
    </w:p>
    <w:p w:rsidR="00A816D6" w:rsidRDefault="00A816D6">
      <w:pPr>
        <w:pStyle w:val="TOC2"/>
        <w:rPr>
          <w:rFonts w:asciiTheme="minorHAnsi" w:eastAsiaTheme="minorEastAsia" w:hAnsiTheme="minorHAnsi" w:cstheme="minorBidi"/>
          <w:b w:val="0"/>
          <w:noProof/>
          <w:sz w:val="22"/>
          <w:lang w:eastAsia="en-AU"/>
        </w:rPr>
      </w:pPr>
      <w:hyperlink w:anchor="_Toc382916050" w:history="1">
        <w:r w:rsidRPr="006E3424">
          <w:rPr>
            <w:rStyle w:val="Hyperlink"/>
            <w:noProof/>
          </w:rPr>
          <w:t>II. Quality findings</w:t>
        </w:r>
        <w:r>
          <w:rPr>
            <w:noProof/>
            <w:webHidden/>
          </w:rPr>
          <w:tab/>
        </w:r>
        <w:r>
          <w:rPr>
            <w:noProof/>
            <w:webHidden/>
          </w:rPr>
          <w:fldChar w:fldCharType="begin"/>
        </w:r>
        <w:r>
          <w:rPr>
            <w:noProof/>
            <w:webHidden/>
          </w:rPr>
          <w:instrText xml:space="preserve"> PAGEREF _Toc382916050 \h </w:instrText>
        </w:r>
        <w:r>
          <w:rPr>
            <w:noProof/>
            <w:webHidden/>
          </w:rPr>
        </w:r>
        <w:r>
          <w:rPr>
            <w:noProof/>
            <w:webHidden/>
          </w:rPr>
          <w:fldChar w:fldCharType="separate"/>
        </w:r>
        <w:r>
          <w:rPr>
            <w:noProof/>
            <w:webHidden/>
          </w:rPr>
          <w:t>6</w:t>
        </w:r>
        <w:r>
          <w:rPr>
            <w:noProof/>
            <w:webHidden/>
          </w:rPr>
          <w:fldChar w:fldCharType="end"/>
        </w:r>
      </w:hyperlink>
    </w:p>
    <w:p w:rsidR="00A816D6" w:rsidRDefault="00A816D6">
      <w:pPr>
        <w:pStyle w:val="TOC2"/>
        <w:rPr>
          <w:rFonts w:asciiTheme="minorHAnsi" w:eastAsiaTheme="minorEastAsia" w:hAnsiTheme="minorHAnsi" w:cstheme="minorBidi"/>
          <w:b w:val="0"/>
          <w:noProof/>
          <w:sz w:val="22"/>
          <w:lang w:eastAsia="en-AU"/>
        </w:rPr>
      </w:pPr>
      <w:hyperlink w:anchor="_Toc382916051" w:history="1">
        <w:r w:rsidRPr="006E3424">
          <w:rPr>
            <w:rStyle w:val="Hyperlink"/>
            <w:noProof/>
          </w:rPr>
          <w:t>III. Nonclinical findings</w:t>
        </w:r>
        <w:r>
          <w:rPr>
            <w:noProof/>
            <w:webHidden/>
          </w:rPr>
          <w:tab/>
        </w:r>
        <w:r>
          <w:rPr>
            <w:noProof/>
            <w:webHidden/>
          </w:rPr>
          <w:fldChar w:fldCharType="begin"/>
        </w:r>
        <w:r>
          <w:rPr>
            <w:noProof/>
            <w:webHidden/>
          </w:rPr>
          <w:instrText xml:space="preserve"> PAGEREF _Toc382916051 \h </w:instrText>
        </w:r>
        <w:r>
          <w:rPr>
            <w:noProof/>
            <w:webHidden/>
          </w:rPr>
        </w:r>
        <w:r>
          <w:rPr>
            <w:noProof/>
            <w:webHidden/>
          </w:rPr>
          <w:fldChar w:fldCharType="separate"/>
        </w:r>
        <w:r>
          <w:rPr>
            <w:noProof/>
            <w:webHidden/>
          </w:rPr>
          <w:t>6</w:t>
        </w:r>
        <w:r>
          <w:rPr>
            <w:noProof/>
            <w:webHidden/>
          </w:rPr>
          <w:fldChar w:fldCharType="end"/>
        </w:r>
      </w:hyperlink>
    </w:p>
    <w:p w:rsidR="00A816D6" w:rsidRDefault="00A816D6">
      <w:pPr>
        <w:pStyle w:val="TOC2"/>
        <w:rPr>
          <w:rFonts w:asciiTheme="minorHAnsi" w:eastAsiaTheme="minorEastAsia" w:hAnsiTheme="minorHAnsi" w:cstheme="minorBidi"/>
          <w:b w:val="0"/>
          <w:noProof/>
          <w:sz w:val="22"/>
          <w:lang w:eastAsia="en-AU"/>
        </w:rPr>
      </w:pPr>
      <w:hyperlink w:anchor="_Toc382916052" w:history="1">
        <w:r w:rsidRPr="006E3424">
          <w:rPr>
            <w:rStyle w:val="Hyperlink"/>
            <w:noProof/>
          </w:rPr>
          <w:t>IV. Clinical findings</w:t>
        </w:r>
        <w:r>
          <w:rPr>
            <w:noProof/>
            <w:webHidden/>
          </w:rPr>
          <w:tab/>
        </w:r>
        <w:r>
          <w:rPr>
            <w:noProof/>
            <w:webHidden/>
          </w:rPr>
          <w:fldChar w:fldCharType="begin"/>
        </w:r>
        <w:r>
          <w:rPr>
            <w:noProof/>
            <w:webHidden/>
          </w:rPr>
          <w:instrText xml:space="preserve"> PAGEREF _Toc382916052 \h </w:instrText>
        </w:r>
        <w:r>
          <w:rPr>
            <w:noProof/>
            <w:webHidden/>
          </w:rPr>
        </w:r>
        <w:r>
          <w:rPr>
            <w:noProof/>
            <w:webHidden/>
          </w:rPr>
          <w:fldChar w:fldCharType="separate"/>
        </w:r>
        <w:r>
          <w:rPr>
            <w:noProof/>
            <w:webHidden/>
          </w:rPr>
          <w:t>6</w:t>
        </w:r>
        <w:r>
          <w:rPr>
            <w:noProof/>
            <w:webHidden/>
          </w:rPr>
          <w:fldChar w:fldCharType="end"/>
        </w:r>
      </w:hyperlink>
    </w:p>
    <w:p w:rsidR="00A816D6" w:rsidRDefault="00A816D6">
      <w:pPr>
        <w:pStyle w:val="TOC3"/>
        <w:rPr>
          <w:rFonts w:asciiTheme="minorHAnsi" w:eastAsiaTheme="minorEastAsia" w:hAnsiTheme="minorHAnsi" w:cstheme="minorBidi"/>
          <w:noProof/>
          <w:lang w:eastAsia="en-AU"/>
        </w:rPr>
      </w:pPr>
      <w:hyperlink w:anchor="_Toc382916053" w:history="1">
        <w:r w:rsidRPr="006E3424">
          <w:rPr>
            <w:rStyle w:val="Hyperlink"/>
            <w:noProof/>
          </w:rPr>
          <w:t>Introduction</w:t>
        </w:r>
        <w:r>
          <w:rPr>
            <w:noProof/>
            <w:webHidden/>
          </w:rPr>
          <w:tab/>
        </w:r>
        <w:r>
          <w:rPr>
            <w:noProof/>
            <w:webHidden/>
          </w:rPr>
          <w:fldChar w:fldCharType="begin"/>
        </w:r>
        <w:r>
          <w:rPr>
            <w:noProof/>
            <w:webHidden/>
          </w:rPr>
          <w:instrText xml:space="preserve"> PAGEREF _Toc382916053 \h </w:instrText>
        </w:r>
        <w:r>
          <w:rPr>
            <w:noProof/>
            <w:webHidden/>
          </w:rPr>
        </w:r>
        <w:r>
          <w:rPr>
            <w:noProof/>
            <w:webHidden/>
          </w:rPr>
          <w:fldChar w:fldCharType="separate"/>
        </w:r>
        <w:r>
          <w:rPr>
            <w:noProof/>
            <w:webHidden/>
          </w:rPr>
          <w:t>6</w:t>
        </w:r>
        <w:r>
          <w:rPr>
            <w:noProof/>
            <w:webHidden/>
          </w:rPr>
          <w:fldChar w:fldCharType="end"/>
        </w:r>
      </w:hyperlink>
    </w:p>
    <w:p w:rsidR="00A816D6" w:rsidRDefault="00A816D6">
      <w:pPr>
        <w:pStyle w:val="TOC3"/>
        <w:rPr>
          <w:rFonts w:asciiTheme="minorHAnsi" w:eastAsiaTheme="minorEastAsia" w:hAnsiTheme="minorHAnsi" w:cstheme="minorBidi"/>
          <w:noProof/>
          <w:lang w:eastAsia="en-AU"/>
        </w:rPr>
      </w:pPr>
      <w:hyperlink w:anchor="_Toc382916054" w:history="1">
        <w:r w:rsidRPr="006E3424">
          <w:rPr>
            <w:rStyle w:val="Hyperlink"/>
            <w:noProof/>
          </w:rPr>
          <w:t>Pharmacokinetics</w:t>
        </w:r>
        <w:r>
          <w:rPr>
            <w:noProof/>
            <w:webHidden/>
          </w:rPr>
          <w:tab/>
        </w:r>
        <w:r>
          <w:rPr>
            <w:noProof/>
            <w:webHidden/>
          </w:rPr>
          <w:fldChar w:fldCharType="begin"/>
        </w:r>
        <w:r>
          <w:rPr>
            <w:noProof/>
            <w:webHidden/>
          </w:rPr>
          <w:instrText xml:space="preserve"> PAGEREF _Toc382916054 \h </w:instrText>
        </w:r>
        <w:r>
          <w:rPr>
            <w:noProof/>
            <w:webHidden/>
          </w:rPr>
        </w:r>
        <w:r>
          <w:rPr>
            <w:noProof/>
            <w:webHidden/>
          </w:rPr>
          <w:fldChar w:fldCharType="separate"/>
        </w:r>
        <w:r>
          <w:rPr>
            <w:noProof/>
            <w:webHidden/>
          </w:rPr>
          <w:t>6</w:t>
        </w:r>
        <w:r>
          <w:rPr>
            <w:noProof/>
            <w:webHidden/>
          </w:rPr>
          <w:fldChar w:fldCharType="end"/>
        </w:r>
      </w:hyperlink>
    </w:p>
    <w:p w:rsidR="00A816D6" w:rsidRDefault="00A816D6">
      <w:pPr>
        <w:pStyle w:val="TOC3"/>
        <w:rPr>
          <w:rFonts w:asciiTheme="minorHAnsi" w:eastAsiaTheme="minorEastAsia" w:hAnsiTheme="minorHAnsi" w:cstheme="minorBidi"/>
          <w:noProof/>
          <w:lang w:eastAsia="en-AU"/>
        </w:rPr>
      </w:pPr>
      <w:hyperlink w:anchor="_Toc382916055" w:history="1">
        <w:r w:rsidRPr="006E3424">
          <w:rPr>
            <w:rStyle w:val="Hyperlink"/>
            <w:noProof/>
          </w:rPr>
          <w:t>Pharmacodynamics</w:t>
        </w:r>
        <w:r>
          <w:rPr>
            <w:noProof/>
            <w:webHidden/>
          </w:rPr>
          <w:tab/>
        </w:r>
        <w:r>
          <w:rPr>
            <w:noProof/>
            <w:webHidden/>
          </w:rPr>
          <w:fldChar w:fldCharType="begin"/>
        </w:r>
        <w:r>
          <w:rPr>
            <w:noProof/>
            <w:webHidden/>
          </w:rPr>
          <w:instrText xml:space="preserve"> PAGEREF _Toc382916055 \h </w:instrText>
        </w:r>
        <w:r>
          <w:rPr>
            <w:noProof/>
            <w:webHidden/>
          </w:rPr>
        </w:r>
        <w:r>
          <w:rPr>
            <w:noProof/>
            <w:webHidden/>
          </w:rPr>
          <w:fldChar w:fldCharType="separate"/>
        </w:r>
        <w:r>
          <w:rPr>
            <w:noProof/>
            <w:webHidden/>
          </w:rPr>
          <w:t>6</w:t>
        </w:r>
        <w:r>
          <w:rPr>
            <w:noProof/>
            <w:webHidden/>
          </w:rPr>
          <w:fldChar w:fldCharType="end"/>
        </w:r>
      </w:hyperlink>
    </w:p>
    <w:p w:rsidR="00A816D6" w:rsidRDefault="00A816D6">
      <w:pPr>
        <w:pStyle w:val="TOC3"/>
        <w:rPr>
          <w:rFonts w:asciiTheme="minorHAnsi" w:eastAsiaTheme="minorEastAsia" w:hAnsiTheme="minorHAnsi" w:cstheme="minorBidi"/>
          <w:noProof/>
          <w:lang w:eastAsia="en-AU"/>
        </w:rPr>
      </w:pPr>
      <w:hyperlink w:anchor="_Toc382916056" w:history="1">
        <w:r w:rsidRPr="006E3424">
          <w:rPr>
            <w:rStyle w:val="Hyperlink"/>
            <w:noProof/>
          </w:rPr>
          <w:t>Efficacy</w:t>
        </w:r>
        <w:r>
          <w:rPr>
            <w:noProof/>
            <w:webHidden/>
          </w:rPr>
          <w:tab/>
        </w:r>
        <w:r>
          <w:rPr>
            <w:noProof/>
            <w:webHidden/>
          </w:rPr>
          <w:fldChar w:fldCharType="begin"/>
        </w:r>
        <w:r>
          <w:rPr>
            <w:noProof/>
            <w:webHidden/>
          </w:rPr>
          <w:instrText xml:space="preserve"> PAGEREF _Toc382916056 \h </w:instrText>
        </w:r>
        <w:r>
          <w:rPr>
            <w:noProof/>
            <w:webHidden/>
          </w:rPr>
        </w:r>
        <w:r>
          <w:rPr>
            <w:noProof/>
            <w:webHidden/>
          </w:rPr>
          <w:fldChar w:fldCharType="separate"/>
        </w:r>
        <w:r>
          <w:rPr>
            <w:noProof/>
            <w:webHidden/>
          </w:rPr>
          <w:t>7</w:t>
        </w:r>
        <w:r>
          <w:rPr>
            <w:noProof/>
            <w:webHidden/>
          </w:rPr>
          <w:fldChar w:fldCharType="end"/>
        </w:r>
      </w:hyperlink>
    </w:p>
    <w:p w:rsidR="00A816D6" w:rsidRDefault="00A816D6">
      <w:pPr>
        <w:pStyle w:val="TOC3"/>
        <w:rPr>
          <w:rFonts w:asciiTheme="minorHAnsi" w:eastAsiaTheme="minorEastAsia" w:hAnsiTheme="minorHAnsi" w:cstheme="minorBidi"/>
          <w:noProof/>
          <w:lang w:eastAsia="en-AU"/>
        </w:rPr>
      </w:pPr>
      <w:hyperlink w:anchor="_Toc382916057" w:history="1">
        <w:r w:rsidRPr="006E3424">
          <w:rPr>
            <w:rStyle w:val="Hyperlink"/>
            <w:noProof/>
          </w:rPr>
          <w:t>Safety</w:t>
        </w:r>
        <w:r>
          <w:rPr>
            <w:noProof/>
            <w:webHidden/>
          </w:rPr>
          <w:tab/>
        </w:r>
        <w:r>
          <w:rPr>
            <w:noProof/>
            <w:webHidden/>
          </w:rPr>
          <w:fldChar w:fldCharType="begin"/>
        </w:r>
        <w:r>
          <w:rPr>
            <w:noProof/>
            <w:webHidden/>
          </w:rPr>
          <w:instrText xml:space="preserve"> PAGEREF _Toc382916057 \h </w:instrText>
        </w:r>
        <w:r>
          <w:rPr>
            <w:noProof/>
            <w:webHidden/>
          </w:rPr>
        </w:r>
        <w:r>
          <w:rPr>
            <w:noProof/>
            <w:webHidden/>
          </w:rPr>
          <w:fldChar w:fldCharType="separate"/>
        </w:r>
        <w:r>
          <w:rPr>
            <w:noProof/>
            <w:webHidden/>
          </w:rPr>
          <w:t>8</w:t>
        </w:r>
        <w:r>
          <w:rPr>
            <w:noProof/>
            <w:webHidden/>
          </w:rPr>
          <w:fldChar w:fldCharType="end"/>
        </w:r>
      </w:hyperlink>
    </w:p>
    <w:p w:rsidR="00A816D6" w:rsidRDefault="00A816D6">
      <w:pPr>
        <w:pStyle w:val="TOC3"/>
        <w:rPr>
          <w:rFonts w:asciiTheme="minorHAnsi" w:eastAsiaTheme="minorEastAsia" w:hAnsiTheme="minorHAnsi" w:cstheme="minorBidi"/>
          <w:noProof/>
          <w:lang w:eastAsia="en-AU"/>
        </w:rPr>
      </w:pPr>
      <w:hyperlink w:anchor="_Toc382916058" w:history="1">
        <w:r w:rsidRPr="006E3424">
          <w:rPr>
            <w:rStyle w:val="Hyperlink"/>
            <w:noProof/>
          </w:rPr>
          <w:t>List of questions</w:t>
        </w:r>
        <w:r>
          <w:rPr>
            <w:noProof/>
            <w:webHidden/>
          </w:rPr>
          <w:tab/>
        </w:r>
        <w:r>
          <w:rPr>
            <w:noProof/>
            <w:webHidden/>
          </w:rPr>
          <w:fldChar w:fldCharType="begin"/>
        </w:r>
        <w:r>
          <w:rPr>
            <w:noProof/>
            <w:webHidden/>
          </w:rPr>
          <w:instrText xml:space="preserve"> PAGEREF _Toc382916058 \h </w:instrText>
        </w:r>
        <w:r>
          <w:rPr>
            <w:noProof/>
            <w:webHidden/>
          </w:rPr>
        </w:r>
        <w:r>
          <w:rPr>
            <w:noProof/>
            <w:webHidden/>
          </w:rPr>
          <w:fldChar w:fldCharType="separate"/>
        </w:r>
        <w:r>
          <w:rPr>
            <w:noProof/>
            <w:webHidden/>
          </w:rPr>
          <w:t>9</w:t>
        </w:r>
        <w:r>
          <w:rPr>
            <w:noProof/>
            <w:webHidden/>
          </w:rPr>
          <w:fldChar w:fldCharType="end"/>
        </w:r>
      </w:hyperlink>
    </w:p>
    <w:p w:rsidR="00A816D6" w:rsidRDefault="00A816D6">
      <w:pPr>
        <w:pStyle w:val="TOC3"/>
        <w:rPr>
          <w:rFonts w:asciiTheme="minorHAnsi" w:eastAsiaTheme="minorEastAsia" w:hAnsiTheme="minorHAnsi" w:cstheme="minorBidi"/>
          <w:noProof/>
          <w:lang w:eastAsia="en-AU"/>
        </w:rPr>
      </w:pPr>
      <w:hyperlink w:anchor="_Toc382916059" w:history="1">
        <w:r w:rsidRPr="006E3424">
          <w:rPr>
            <w:rStyle w:val="Hyperlink"/>
            <w:noProof/>
          </w:rPr>
          <w:t>Clinical summary and conclusions</w:t>
        </w:r>
        <w:r>
          <w:rPr>
            <w:noProof/>
            <w:webHidden/>
          </w:rPr>
          <w:tab/>
        </w:r>
        <w:r>
          <w:rPr>
            <w:noProof/>
            <w:webHidden/>
          </w:rPr>
          <w:fldChar w:fldCharType="begin"/>
        </w:r>
        <w:r>
          <w:rPr>
            <w:noProof/>
            <w:webHidden/>
          </w:rPr>
          <w:instrText xml:space="preserve"> PAGEREF _Toc382916059 \h </w:instrText>
        </w:r>
        <w:r>
          <w:rPr>
            <w:noProof/>
            <w:webHidden/>
          </w:rPr>
        </w:r>
        <w:r>
          <w:rPr>
            <w:noProof/>
            <w:webHidden/>
          </w:rPr>
          <w:fldChar w:fldCharType="separate"/>
        </w:r>
        <w:r>
          <w:rPr>
            <w:noProof/>
            <w:webHidden/>
          </w:rPr>
          <w:t>9</w:t>
        </w:r>
        <w:r>
          <w:rPr>
            <w:noProof/>
            <w:webHidden/>
          </w:rPr>
          <w:fldChar w:fldCharType="end"/>
        </w:r>
      </w:hyperlink>
    </w:p>
    <w:p w:rsidR="00A816D6" w:rsidRDefault="00A816D6">
      <w:pPr>
        <w:pStyle w:val="TOC2"/>
        <w:rPr>
          <w:rFonts w:asciiTheme="minorHAnsi" w:eastAsiaTheme="minorEastAsia" w:hAnsiTheme="minorHAnsi" w:cstheme="minorBidi"/>
          <w:b w:val="0"/>
          <w:noProof/>
          <w:sz w:val="22"/>
          <w:lang w:eastAsia="en-AU"/>
        </w:rPr>
      </w:pPr>
      <w:hyperlink w:anchor="_Toc382916060" w:history="1">
        <w:r w:rsidRPr="006E3424">
          <w:rPr>
            <w:rStyle w:val="Hyperlink"/>
            <w:noProof/>
          </w:rPr>
          <w:t>V. Pharmacovigilance findings</w:t>
        </w:r>
        <w:r>
          <w:rPr>
            <w:noProof/>
            <w:webHidden/>
          </w:rPr>
          <w:tab/>
        </w:r>
        <w:r>
          <w:rPr>
            <w:noProof/>
            <w:webHidden/>
          </w:rPr>
          <w:fldChar w:fldCharType="begin"/>
        </w:r>
        <w:r>
          <w:rPr>
            <w:noProof/>
            <w:webHidden/>
          </w:rPr>
          <w:instrText xml:space="preserve"> PAGEREF _Toc382916060 \h </w:instrText>
        </w:r>
        <w:r>
          <w:rPr>
            <w:noProof/>
            <w:webHidden/>
          </w:rPr>
        </w:r>
        <w:r>
          <w:rPr>
            <w:noProof/>
            <w:webHidden/>
          </w:rPr>
          <w:fldChar w:fldCharType="separate"/>
        </w:r>
        <w:r>
          <w:rPr>
            <w:noProof/>
            <w:webHidden/>
          </w:rPr>
          <w:t>9</w:t>
        </w:r>
        <w:r>
          <w:rPr>
            <w:noProof/>
            <w:webHidden/>
          </w:rPr>
          <w:fldChar w:fldCharType="end"/>
        </w:r>
      </w:hyperlink>
    </w:p>
    <w:p w:rsidR="00A816D6" w:rsidRDefault="00A816D6">
      <w:pPr>
        <w:pStyle w:val="TOC3"/>
        <w:rPr>
          <w:rFonts w:asciiTheme="minorHAnsi" w:eastAsiaTheme="minorEastAsia" w:hAnsiTheme="minorHAnsi" w:cstheme="minorBidi"/>
          <w:noProof/>
          <w:lang w:eastAsia="en-AU"/>
        </w:rPr>
      </w:pPr>
      <w:hyperlink w:anchor="_Toc382916061" w:history="1">
        <w:r w:rsidRPr="006E3424">
          <w:rPr>
            <w:rStyle w:val="Hyperlink"/>
            <w:noProof/>
            <w:lang w:eastAsia="en-AU"/>
          </w:rPr>
          <w:t>Risk management plan</w:t>
        </w:r>
        <w:r>
          <w:rPr>
            <w:noProof/>
            <w:webHidden/>
          </w:rPr>
          <w:tab/>
        </w:r>
        <w:r>
          <w:rPr>
            <w:noProof/>
            <w:webHidden/>
          </w:rPr>
          <w:fldChar w:fldCharType="begin"/>
        </w:r>
        <w:r>
          <w:rPr>
            <w:noProof/>
            <w:webHidden/>
          </w:rPr>
          <w:instrText xml:space="preserve"> PAGEREF _Toc382916061 \h </w:instrText>
        </w:r>
        <w:r>
          <w:rPr>
            <w:noProof/>
            <w:webHidden/>
          </w:rPr>
        </w:r>
        <w:r>
          <w:rPr>
            <w:noProof/>
            <w:webHidden/>
          </w:rPr>
          <w:fldChar w:fldCharType="separate"/>
        </w:r>
        <w:r>
          <w:rPr>
            <w:noProof/>
            <w:webHidden/>
          </w:rPr>
          <w:t>9</w:t>
        </w:r>
        <w:r>
          <w:rPr>
            <w:noProof/>
            <w:webHidden/>
          </w:rPr>
          <w:fldChar w:fldCharType="end"/>
        </w:r>
      </w:hyperlink>
    </w:p>
    <w:p w:rsidR="00A816D6" w:rsidRDefault="00A816D6">
      <w:pPr>
        <w:pStyle w:val="TOC2"/>
        <w:rPr>
          <w:rFonts w:asciiTheme="minorHAnsi" w:eastAsiaTheme="minorEastAsia" w:hAnsiTheme="minorHAnsi" w:cstheme="minorBidi"/>
          <w:b w:val="0"/>
          <w:noProof/>
          <w:sz w:val="22"/>
          <w:lang w:eastAsia="en-AU"/>
        </w:rPr>
      </w:pPr>
      <w:hyperlink w:anchor="_Toc382916062" w:history="1">
        <w:r w:rsidRPr="006E3424">
          <w:rPr>
            <w:rStyle w:val="Hyperlink"/>
            <w:noProof/>
          </w:rPr>
          <w:t>VI. Overall conclusion and risk/benefit assessment</w:t>
        </w:r>
        <w:r>
          <w:rPr>
            <w:noProof/>
            <w:webHidden/>
          </w:rPr>
          <w:tab/>
        </w:r>
        <w:r>
          <w:rPr>
            <w:noProof/>
            <w:webHidden/>
          </w:rPr>
          <w:fldChar w:fldCharType="begin"/>
        </w:r>
        <w:r>
          <w:rPr>
            <w:noProof/>
            <w:webHidden/>
          </w:rPr>
          <w:instrText xml:space="preserve"> PAGEREF _Toc382916062 \h </w:instrText>
        </w:r>
        <w:r>
          <w:rPr>
            <w:noProof/>
            <w:webHidden/>
          </w:rPr>
        </w:r>
        <w:r>
          <w:rPr>
            <w:noProof/>
            <w:webHidden/>
          </w:rPr>
          <w:fldChar w:fldCharType="separate"/>
        </w:r>
        <w:r>
          <w:rPr>
            <w:noProof/>
            <w:webHidden/>
          </w:rPr>
          <w:t>14</w:t>
        </w:r>
        <w:r>
          <w:rPr>
            <w:noProof/>
            <w:webHidden/>
          </w:rPr>
          <w:fldChar w:fldCharType="end"/>
        </w:r>
      </w:hyperlink>
    </w:p>
    <w:p w:rsidR="00A816D6" w:rsidRDefault="00A816D6">
      <w:pPr>
        <w:pStyle w:val="TOC3"/>
        <w:rPr>
          <w:rFonts w:asciiTheme="minorHAnsi" w:eastAsiaTheme="minorEastAsia" w:hAnsiTheme="minorHAnsi" w:cstheme="minorBidi"/>
          <w:noProof/>
          <w:lang w:eastAsia="en-AU"/>
        </w:rPr>
      </w:pPr>
      <w:hyperlink w:anchor="_Toc382916063" w:history="1">
        <w:r w:rsidRPr="006E3424">
          <w:rPr>
            <w:rStyle w:val="Hyperlink"/>
            <w:noProof/>
          </w:rPr>
          <w:t>Quality</w:t>
        </w:r>
        <w:r>
          <w:rPr>
            <w:noProof/>
            <w:webHidden/>
          </w:rPr>
          <w:tab/>
        </w:r>
        <w:r>
          <w:rPr>
            <w:noProof/>
            <w:webHidden/>
          </w:rPr>
          <w:fldChar w:fldCharType="begin"/>
        </w:r>
        <w:r>
          <w:rPr>
            <w:noProof/>
            <w:webHidden/>
          </w:rPr>
          <w:instrText xml:space="preserve"> PAGEREF _Toc382916063 \h </w:instrText>
        </w:r>
        <w:r>
          <w:rPr>
            <w:noProof/>
            <w:webHidden/>
          </w:rPr>
        </w:r>
        <w:r>
          <w:rPr>
            <w:noProof/>
            <w:webHidden/>
          </w:rPr>
          <w:fldChar w:fldCharType="separate"/>
        </w:r>
        <w:r>
          <w:rPr>
            <w:noProof/>
            <w:webHidden/>
          </w:rPr>
          <w:t>14</w:t>
        </w:r>
        <w:r>
          <w:rPr>
            <w:noProof/>
            <w:webHidden/>
          </w:rPr>
          <w:fldChar w:fldCharType="end"/>
        </w:r>
      </w:hyperlink>
    </w:p>
    <w:p w:rsidR="00A816D6" w:rsidRDefault="00A816D6">
      <w:pPr>
        <w:pStyle w:val="TOC3"/>
        <w:rPr>
          <w:rFonts w:asciiTheme="minorHAnsi" w:eastAsiaTheme="minorEastAsia" w:hAnsiTheme="minorHAnsi" w:cstheme="minorBidi"/>
          <w:noProof/>
          <w:lang w:eastAsia="en-AU"/>
        </w:rPr>
      </w:pPr>
      <w:hyperlink w:anchor="_Toc382916064" w:history="1">
        <w:r w:rsidRPr="006E3424">
          <w:rPr>
            <w:rStyle w:val="Hyperlink"/>
            <w:noProof/>
          </w:rPr>
          <w:t>Nonclinical</w:t>
        </w:r>
        <w:r>
          <w:rPr>
            <w:noProof/>
            <w:webHidden/>
          </w:rPr>
          <w:tab/>
        </w:r>
        <w:r>
          <w:rPr>
            <w:noProof/>
            <w:webHidden/>
          </w:rPr>
          <w:fldChar w:fldCharType="begin"/>
        </w:r>
        <w:r>
          <w:rPr>
            <w:noProof/>
            <w:webHidden/>
          </w:rPr>
          <w:instrText xml:space="preserve"> PAGEREF _Toc382916064 \h </w:instrText>
        </w:r>
        <w:r>
          <w:rPr>
            <w:noProof/>
            <w:webHidden/>
          </w:rPr>
        </w:r>
        <w:r>
          <w:rPr>
            <w:noProof/>
            <w:webHidden/>
          </w:rPr>
          <w:fldChar w:fldCharType="separate"/>
        </w:r>
        <w:r>
          <w:rPr>
            <w:noProof/>
            <w:webHidden/>
          </w:rPr>
          <w:t>14</w:t>
        </w:r>
        <w:r>
          <w:rPr>
            <w:noProof/>
            <w:webHidden/>
          </w:rPr>
          <w:fldChar w:fldCharType="end"/>
        </w:r>
      </w:hyperlink>
    </w:p>
    <w:p w:rsidR="00A816D6" w:rsidRDefault="00A816D6">
      <w:pPr>
        <w:pStyle w:val="TOC3"/>
        <w:rPr>
          <w:rFonts w:asciiTheme="minorHAnsi" w:eastAsiaTheme="minorEastAsia" w:hAnsiTheme="minorHAnsi" w:cstheme="minorBidi"/>
          <w:noProof/>
          <w:lang w:eastAsia="en-AU"/>
        </w:rPr>
      </w:pPr>
      <w:hyperlink w:anchor="_Toc382916065" w:history="1">
        <w:r w:rsidRPr="006E3424">
          <w:rPr>
            <w:rStyle w:val="Hyperlink"/>
            <w:noProof/>
          </w:rPr>
          <w:t>Clinical</w:t>
        </w:r>
        <w:r>
          <w:rPr>
            <w:noProof/>
            <w:webHidden/>
          </w:rPr>
          <w:tab/>
        </w:r>
        <w:r>
          <w:rPr>
            <w:noProof/>
            <w:webHidden/>
          </w:rPr>
          <w:fldChar w:fldCharType="begin"/>
        </w:r>
        <w:r>
          <w:rPr>
            <w:noProof/>
            <w:webHidden/>
          </w:rPr>
          <w:instrText xml:space="preserve"> PAGEREF _Toc382916065 \h </w:instrText>
        </w:r>
        <w:r>
          <w:rPr>
            <w:noProof/>
            <w:webHidden/>
          </w:rPr>
        </w:r>
        <w:r>
          <w:rPr>
            <w:noProof/>
            <w:webHidden/>
          </w:rPr>
          <w:fldChar w:fldCharType="separate"/>
        </w:r>
        <w:r>
          <w:rPr>
            <w:noProof/>
            <w:webHidden/>
          </w:rPr>
          <w:t>14</w:t>
        </w:r>
        <w:r>
          <w:rPr>
            <w:noProof/>
            <w:webHidden/>
          </w:rPr>
          <w:fldChar w:fldCharType="end"/>
        </w:r>
      </w:hyperlink>
    </w:p>
    <w:p w:rsidR="00A816D6" w:rsidRDefault="00A816D6">
      <w:pPr>
        <w:pStyle w:val="TOC3"/>
        <w:rPr>
          <w:rFonts w:asciiTheme="minorHAnsi" w:eastAsiaTheme="minorEastAsia" w:hAnsiTheme="minorHAnsi" w:cstheme="minorBidi"/>
          <w:noProof/>
          <w:lang w:eastAsia="en-AU"/>
        </w:rPr>
      </w:pPr>
      <w:hyperlink w:anchor="_Toc382916066" w:history="1">
        <w:r w:rsidRPr="006E3424">
          <w:rPr>
            <w:rStyle w:val="Hyperlink"/>
            <w:noProof/>
            <w:lang w:eastAsia="en-AU"/>
          </w:rPr>
          <w:t>Risk management plan</w:t>
        </w:r>
        <w:r>
          <w:rPr>
            <w:noProof/>
            <w:webHidden/>
          </w:rPr>
          <w:tab/>
        </w:r>
        <w:r>
          <w:rPr>
            <w:noProof/>
            <w:webHidden/>
          </w:rPr>
          <w:fldChar w:fldCharType="begin"/>
        </w:r>
        <w:r>
          <w:rPr>
            <w:noProof/>
            <w:webHidden/>
          </w:rPr>
          <w:instrText xml:space="preserve"> PAGEREF _Toc382916066 \h </w:instrText>
        </w:r>
        <w:r>
          <w:rPr>
            <w:noProof/>
            <w:webHidden/>
          </w:rPr>
        </w:r>
        <w:r>
          <w:rPr>
            <w:noProof/>
            <w:webHidden/>
          </w:rPr>
          <w:fldChar w:fldCharType="separate"/>
        </w:r>
        <w:r>
          <w:rPr>
            <w:noProof/>
            <w:webHidden/>
          </w:rPr>
          <w:t>22</w:t>
        </w:r>
        <w:r>
          <w:rPr>
            <w:noProof/>
            <w:webHidden/>
          </w:rPr>
          <w:fldChar w:fldCharType="end"/>
        </w:r>
      </w:hyperlink>
    </w:p>
    <w:p w:rsidR="00A816D6" w:rsidRDefault="00A816D6">
      <w:pPr>
        <w:pStyle w:val="TOC3"/>
        <w:rPr>
          <w:rFonts w:asciiTheme="minorHAnsi" w:eastAsiaTheme="minorEastAsia" w:hAnsiTheme="minorHAnsi" w:cstheme="minorBidi"/>
          <w:noProof/>
          <w:lang w:eastAsia="en-AU"/>
        </w:rPr>
      </w:pPr>
      <w:hyperlink w:anchor="_Toc382916067" w:history="1">
        <w:r w:rsidRPr="006E3424">
          <w:rPr>
            <w:rStyle w:val="Hyperlink"/>
            <w:noProof/>
          </w:rPr>
          <w:t>Risk-benefit analysis</w:t>
        </w:r>
        <w:r>
          <w:rPr>
            <w:noProof/>
            <w:webHidden/>
          </w:rPr>
          <w:tab/>
        </w:r>
        <w:r>
          <w:rPr>
            <w:noProof/>
            <w:webHidden/>
          </w:rPr>
          <w:fldChar w:fldCharType="begin"/>
        </w:r>
        <w:r>
          <w:rPr>
            <w:noProof/>
            <w:webHidden/>
          </w:rPr>
          <w:instrText xml:space="preserve"> PAGEREF _Toc382916067 \h </w:instrText>
        </w:r>
        <w:r>
          <w:rPr>
            <w:noProof/>
            <w:webHidden/>
          </w:rPr>
        </w:r>
        <w:r>
          <w:rPr>
            <w:noProof/>
            <w:webHidden/>
          </w:rPr>
          <w:fldChar w:fldCharType="separate"/>
        </w:r>
        <w:r>
          <w:rPr>
            <w:noProof/>
            <w:webHidden/>
          </w:rPr>
          <w:t>23</w:t>
        </w:r>
        <w:r>
          <w:rPr>
            <w:noProof/>
            <w:webHidden/>
          </w:rPr>
          <w:fldChar w:fldCharType="end"/>
        </w:r>
      </w:hyperlink>
    </w:p>
    <w:p w:rsidR="00A816D6" w:rsidRDefault="00A816D6">
      <w:pPr>
        <w:pStyle w:val="TOC3"/>
        <w:rPr>
          <w:rFonts w:asciiTheme="minorHAnsi" w:eastAsiaTheme="minorEastAsia" w:hAnsiTheme="minorHAnsi" w:cstheme="minorBidi"/>
          <w:noProof/>
          <w:lang w:eastAsia="en-AU"/>
        </w:rPr>
      </w:pPr>
      <w:hyperlink w:anchor="_Toc382916068" w:history="1">
        <w:r w:rsidRPr="006E3424">
          <w:rPr>
            <w:rStyle w:val="Hyperlink"/>
            <w:noProof/>
          </w:rPr>
          <w:t>Outcome</w:t>
        </w:r>
        <w:r>
          <w:rPr>
            <w:noProof/>
            <w:webHidden/>
          </w:rPr>
          <w:tab/>
        </w:r>
        <w:r>
          <w:rPr>
            <w:noProof/>
            <w:webHidden/>
          </w:rPr>
          <w:fldChar w:fldCharType="begin"/>
        </w:r>
        <w:r>
          <w:rPr>
            <w:noProof/>
            <w:webHidden/>
          </w:rPr>
          <w:instrText xml:space="preserve"> PAGEREF _Toc382916068 \h </w:instrText>
        </w:r>
        <w:r>
          <w:rPr>
            <w:noProof/>
            <w:webHidden/>
          </w:rPr>
        </w:r>
        <w:r>
          <w:rPr>
            <w:noProof/>
            <w:webHidden/>
          </w:rPr>
          <w:fldChar w:fldCharType="separate"/>
        </w:r>
        <w:r>
          <w:rPr>
            <w:noProof/>
            <w:webHidden/>
          </w:rPr>
          <w:t>32</w:t>
        </w:r>
        <w:r>
          <w:rPr>
            <w:noProof/>
            <w:webHidden/>
          </w:rPr>
          <w:fldChar w:fldCharType="end"/>
        </w:r>
      </w:hyperlink>
    </w:p>
    <w:p w:rsidR="00A816D6" w:rsidRDefault="00A816D6">
      <w:pPr>
        <w:pStyle w:val="TOC2"/>
        <w:tabs>
          <w:tab w:val="left" w:pos="2448"/>
        </w:tabs>
        <w:rPr>
          <w:rFonts w:asciiTheme="minorHAnsi" w:eastAsiaTheme="minorEastAsia" w:hAnsiTheme="minorHAnsi" w:cstheme="minorBidi"/>
          <w:b w:val="0"/>
          <w:noProof/>
          <w:sz w:val="22"/>
          <w:lang w:eastAsia="en-AU"/>
        </w:rPr>
      </w:pPr>
      <w:hyperlink w:anchor="_Toc382916069" w:history="1">
        <w:r w:rsidRPr="006E3424">
          <w:rPr>
            <w:rStyle w:val="Hyperlink"/>
            <w:noProof/>
          </w:rPr>
          <w:t>Attachment 1.</w:t>
        </w:r>
        <w:r>
          <w:rPr>
            <w:rFonts w:asciiTheme="minorHAnsi" w:eastAsiaTheme="minorEastAsia" w:hAnsiTheme="minorHAnsi" w:cstheme="minorBidi"/>
            <w:b w:val="0"/>
            <w:noProof/>
            <w:sz w:val="22"/>
            <w:lang w:eastAsia="en-AU"/>
          </w:rPr>
          <w:tab/>
        </w:r>
        <w:r w:rsidRPr="006E3424">
          <w:rPr>
            <w:rStyle w:val="Hyperlink"/>
            <w:noProof/>
          </w:rPr>
          <w:t>Product Information</w:t>
        </w:r>
        <w:r>
          <w:rPr>
            <w:noProof/>
            <w:webHidden/>
          </w:rPr>
          <w:tab/>
        </w:r>
        <w:r>
          <w:rPr>
            <w:noProof/>
            <w:webHidden/>
          </w:rPr>
          <w:fldChar w:fldCharType="begin"/>
        </w:r>
        <w:r>
          <w:rPr>
            <w:noProof/>
            <w:webHidden/>
          </w:rPr>
          <w:instrText xml:space="preserve"> PAGEREF _Toc382916069 \h </w:instrText>
        </w:r>
        <w:r>
          <w:rPr>
            <w:noProof/>
            <w:webHidden/>
          </w:rPr>
        </w:r>
        <w:r>
          <w:rPr>
            <w:noProof/>
            <w:webHidden/>
          </w:rPr>
          <w:fldChar w:fldCharType="separate"/>
        </w:r>
        <w:r>
          <w:rPr>
            <w:noProof/>
            <w:webHidden/>
          </w:rPr>
          <w:t>33</w:t>
        </w:r>
        <w:r>
          <w:rPr>
            <w:noProof/>
            <w:webHidden/>
          </w:rPr>
          <w:fldChar w:fldCharType="end"/>
        </w:r>
      </w:hyperlink>
    </w:p>
    <w:p w:rsidR="00A816D6" w:rsidRDefault="00A816D6">
      <w:pPr>
        <w:pStyle w:val="TOC2"/>
        <w:rPr>
          <w:rFonts w:asciiTheme="minorHAnsi" w:eastAsiaTheme="minorEastAsia" w:hAnsiTheme="minorHAnsi" w:cstheme="minorBidi"/>
          <w:b w:val="0"/>
          <w:noProof/>
          <w:sz w:val="22"/>
          <w:lang w:eastAsia="en-AU"/>
        </w:rPr>
      </w:pPr>
      <w:hyperlink w:anchor="_Toc382916070" w:history="1">
        <w:r w:rsidRPr="006E3424">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_Toc382916070 \h </w:instrText>
        </w:r>
        <w:r>
          <w:rPr>
            <w:noProof/>
            <w:webHidden/>
          </w:rPr>
        </w:r>
        <w:r>
          <w:rPr>
            <w:noProof/>
            <w:webHidden/>
          </w:rPr>
          <w:fldChar w:fldCharType="separate"/>
        </w:r>
        <w:r>
          <w:rPr>
            <w:noProof/>
            <w:webHidden/>
          </w:rPr>
          <w:t>33</w:t>
        </w:r>
        <w:r>
          <w:rPr>
            <w:noProof/>
            <w:webHidden/>
          </w:rPr>
          <w:fldChar w:fldCharType="end"/>
        </w:r>
      </w:hyperlink>
    </w:p>
    <w:p w:rsidR="003A7F6C" w:rsidRPr="00B811C6" w:rsidRDefault="00621C2E" w:rsidP="00B811C6">
      <w:pPr>
        <w:pStyle w:val="TOC2"/>
      </w:pPr>
      <w:r>
        <w:fldChar w:fldCharType="end"/>
      </w:r>
      <w:bookmarkStart w:id="3" w:name="_Toc314842482"/>
    </w:p>
    <w:p w:rsidR="008E7846" w:rsidRDefault="00AF6A0F" w:rsidP="008E7846">
      <w:pPr>
        <w:pStyle w:val="Heading2"/>
      </w:pPr>
      <w:r>
        <w:br w:type="page"/>
      </w:r>
      <w:bookmarkStart w:id="4" w:name="_Toc382916045"/>
      <w:r w:rsidR="00F53C07">
        <w:lastRenderedPageBreak/>
        <w:t>I.</w:t>
      </w:r>
      <w:r w:rsidR="008E7846">
        <w:t xml:space="preserve"> Introduction to product submission</w:t>
      </w:r>
      <w:bookmarkEnd w:id="0"/>
      <w:bookmarkEnd w:id="3"/>
      <w:bookmarkEnd w:id="4"/>
    </w:p>
    <w:p w:rsidR="008E7846" w:rsidRDefault="008E7846" w:rsidP="008E7846">
      <w:pPr>
        <w:pStyle w:val="Heading3"/>
        <w:rPr>
          <w:lang w:eastAsia="en-AU"/>
        </w:rPr>
      </w:pPr>
      <w:bookmarkStart w:id="5" w:name="_Toc247691502"/>
      <w:bookmarkStart w:id="6" w:name="_Toc314842483"/>
      <w:bookmarkStart w:id="7" w:name="_Toc382916046"/>
      <w:r>
        <w:rPr>
          <w:lang w:eastAsia="en-AU"/>
        </w:rPr>
        <w:t>Submission details</w:t>
      </w:r>
      <w:bookmarkEnd w:id="5"/>
      <w:bookmarkEnd w:id="6"/>
      <w:bookmarkEnd w:id="7"/>
    </w:p>
    <w:tbl>
      <w:tblPr>
        <w:tblW w:w="9497" w:type="dxa"/>
        <w:tblInd w:w="108" w:type="dxa"/>
        <w:tblLook w:val="01E0" w:firstRow="1" w:lastRow="1" w:firstColumn="1" w:lastColumn="1" w:noHBand="0" w:noVBand="0"/>
      </w:tblPr>
      <w:tblGrid>
        <w:gridCol w:w="2907"/>
        <w:gridCol w:w="6307"/>
        <w:gridCol w:w="283"/>
      </w:tblGrid>
      <w:tr w:rsidR="008E7846" w:rsidRPr="003D1E62" w:rsidTr="00580ACB">
        <w:trPr>
          <w:trHeight w:hRule="exact" w:val="454"/>
        </w:trPr>
        <w:tc>
          <w:tcPr>
            <w:tcW w:w="2907" w:type="dxa"/>
          </w:tcPr>
          <w:p w:rsidR="008E7846" w:rsidRPr="003D1E62" w:rsidRDefault="00580ACB" w:rsidP="003D1E62">
            <w:pPr>
              <w:rPr>
                <w:i/>
              </w:rPr>
            </w:pPr>
            <w:r>
              <w:rPr>
                <w:i/>
              </w:rPr>
              <w:t>Type of s</w:t>
            </w:r>
            <w:r w:rsidR="008E7846" w:rsidRPr="003D1E62">
              <w:rPr>
                <w:i/>
              </w:rPr>
              <w:t>ubmission</w:t>
            </w:r>
            <w:r>
              <w:rPr>
                <w:i/>
              </w:rPr>
              <w:t>:</w:t>
            </w:r>
          </w:p>
        </w:tc>
        <w:tc>
          <w:tcPr>
            <w:tcW w:w="6590" w:type="dxa"/>
            <w:gridSpan w:val="2"/>
          </w:tcPr>
          <w:p w:rsidR="008E7846" w:rsidRPr="003D1E62" w:rsidRDefault="006966B9" w:rsidP="006966B9">
            <w:r>
              <w:t>Extension of indications</w:t>
            </w:r>
          </w:p>
        </w:tc>
      </w:tr>
      <w:tr w:rsidR="008E7846" w:rsidRPr="003D1E62" w:rsidTr="00580ACB">
        <w:trPr>
          <w:trHeight w:hRule="exact" w:val="454"/>
        </w:trPr>
        <w:tc>
          <w:tcPr>
            <w:tcW w:w="2907" w:type="dxa"/>
          </w:tcPr>
          <w:p w:rsidR="008E7846" w:rsidRPr="003D1E62" w:rsidRDefault="008E7846" w:rsidP="003D1E62">
            <w:r w:rsidRPr="003D1E62">
              <w:rPr>
                <w:i/>
              </w:rPr>
              <w:t>Decision</w:t>
            </w:r>
            <w:r w:rsidRPr="003D1E62">
              <w:t>:</w:t>
            </w:r>
          </w:p>
        </w:tc>
        <w:tc>
          <w:tcPr>
            <w:tcW w:w="6590" w:type="dxa"/>
            <w:gridSpan w:val="2"/>
          </w:tcPr>
          <w:p w:rsidR="008E7846" w:rsidRPr="003D1E62" w:rsidRDefault="008E7846" w:rsidP="002875BD">
            <w:r w:rsidRPr="003D1E62">
              <w:t>Approved</w:t>
            </w:r>
          </w:p>
        </w:tc>
      </w:tr>
      <w:tr w:rsidR="008E7846" w:rsidRPr="003D1E62" w:rsidTr="00580ACB">
        <w:trPr>
          <w:trHeight w:hRule="exact" w:val="454"/>
        </w:trPr>
        <w:tc>
          <w:tcPr>
            <w:tcW w:w="2907" w:type="dxa"/>
          </w:tcPr>
          <w:p w:rsidR="008E7846" w:rsidRPr="003D1E62" w:rsidRDefault="008E7846" w:rsidP="00580ACB">
            <w:pPr>
              <w:rPr>
                <w:i/>
              </w:rPr>
            </w:pPr>
            <w:r w:rsidRPr="003D1E62">
              <w:rPr>
                <w:i/>
              </w:rPr>
              <w:t xml:space="preserve">Date of </w:t>
            </w:r>
            <w:r w:rsidR="00580ACB">
              <w:rPr>
                <w:i/>
              </w:rPr>
              <w:t>d</w:t>
            </w:r>
            <w:r w:rsidRPr="003D1E62">
              <w:rPr>
                <w:i/>
              </w:rPr>
              <w:t>ecision:</w:t>
            </w:r>
          </w:p>
        </w:tc>
        <w:tc>
          <w:tcPr>
            <w:tcW w:w="6590" w:type="dxa"/>
            <w:gridSpan w:val="2"/>
          </w:tcPr>
          <w:p w:rsidR="008E7846" w:rsidRPr="003D1E62" w:rsidRDefault="002875BD" w:rsidP="003D1E62">
            <w:r>
              <w:t>5 September 2013</w:t>
            </w:r>
          </w:p>
        </w:tc>
      </w:tr>
      <w:tr w:rsidR="008E7846" w:rsidRPr="00487162" w:rsidTr="00580ACB">
        <w:trPr>
          <w:gridAfter w:val="1"/>
          <w:wAfter w:w="283" w:type="dxa"/>
        </w:trPr>
        <w:tc>
          <w:tcPr>
            <w:tcW w:w="2907" w:type="dxa"/>
          </w:tcPr>
          <w:p w:rsidR="008E7846" w:rsidRPr="00487162" w:rsidRDefault="008E7846" w:rsidP="00580ACB">
            <w:pPr>
              <w:rPr>
                <w:i/>
              </w:rPr>
            </w:pPr>
            <w:r w:rsidRPr="00487162">
              <w:rPr>
                <w:i/>
              </w:rPr>
              <w:t>Active ingredient:</w:t>
            </w:r>
          </w:p>
        </w:tc>
        <w:tc>
          <w:tcPr>
            <w:tcW w:w="6307" w:type="dxa"/>
          </w:tcPr>
          <w:p w:rsidR="008E7846" w:rsidRPr="00487162" w:rsidRDefault="00B10F00" w:rsidP="00E45619">
            <w:proofErr w:type="spellStart"/>
            <w:r>
              <w:t>D</w:t>
            </w:r>
            <w:r w:rsidRPr="00B10F00">
              <w:t>enosumab</w:t>
            </w:r>
            <w:proofErr w:type="spellEnd"/>
          </w:p>
        </w:tc>
      </w:tr>
      <w:tr w:rsidR="008E7846" w:rsidRPr="00487162" w:rsidTr="00580ACB">
        <w:trPr>
          <w:gridAfter w:val="1"/>
          <w:wAfter w:w="283" w:type="dxa"/>
        </w:trPr>
        <w:tc>
          <w:tcPr>
            <w:tcW w:w="2907" w:type="dxa"/>
          </w:tcPr>
          <w:p w:rsidR="008E7846" w:rsidRPr="00487162" w:rsidRDefault="00580ACB" w:rsidP="00580ACB">
            <w:pPr>
              <w:rPr>
                <w:i/>
              </w:rPr>
            </w:pPr>
            <w:r>
              <w:rPr>
                <w:i/>
              </w:rPr>
              <w:t>Product n</w:t>
            </w:r>
            <w:r w:rsidR="008E7846" w:rsidRPr="00487162">
              <w:rPr>
                <w:i/>
              </w:rPr>
              <w:t>ame:</w:t>
            </w:r>
          </w:p>
        </w:tc>
        <w:tc>
          <w:tcPr>
            <w:tcW w:w="6307" w:type="dxa"/>
          </w:tcPr>
          <w:p w:rsidR="008E7846" w:rsidRPr="00487162" w:rsidRDefault="00B10F00" w:rsidP="00E45619">
            <w:proofErr w:type="spellStart"/>
            <w:r>
              <w:t>Prolia</w:t>
            </w:r>
            <w:proofErr w:type="spellEnd"/>
          </w:p>
        </w:tc>
      </w:tr>
      <w:tr w:rsidR="008E7846" w:rsidRPr="00487162" w:rsidTr="00580ACB">
        <w:trPr>
          <w:gridAfter w:val="1"/>
          <w:wAfter w:w="283" w:type="dxa"/>
        </w:trPr>
        <w:tc>
          <w:tcPr>
            <w:tcW w:w="2907" w:type="dxa"/>
          </w:tcPr>
          <w:p w:rsidR="008E7846" w:rsidRPr="00487162" w:rsidRDefault="008E7846" w:rsidP="00580ACB">
            <w:pPr>
              <w:rPr>
                <w:i/>
              </w:rPr>
            </w:pPr>
            <w:r w:rsidRPr="00487162">
              <w:rPr>
                <w:i/>
              </w:rPr>
              <w:t xml:space="preserve">Sponsor’s </w:t>
            </w:r>
            <w:r w:rsidR="00580ACB">
              <w:rPr>
                <w:i/>
              </w:rPr>
              <w:t>n</w:t>
            </w:r>
            <w:r w:rsidRPr="00487162">
              <w:rPr>
                <w:i/>
              </w:rPr>
              <w:t xml:space="preserve">ame and </w:t>
            </w:r>
            <w:r w:rsidR="00580ACB">
              <w:rPr>
                <w:i/>
              </w:rPr>
              <w:t>a</w:t>
            </w:r>
            <w:r w:rsidRPr="00487162">
              <w:rPr>
                <w:i/>
              </w:rPr>
              <w:t>ddress:</w:t>
            </w:r>
          </w:p>
        </w:tc>
        <w:tc>
          <w:tcPr>
            <w:tcW w:w="6307" w:type="dxa"/>
          </w:tcPr>
          <w:p w:rsidR="008E7846" w:rsidRPr="00487162" w:rsidRDefault="0075492C" w:rsidP="00580ACB">
            <w:r w:rsidRPr="0075492C">
              <w:t>Amgen Australia Pty Ltd</w:t>
            </w:r>
            <w:r w:rsidR="00580ACB">
              <w:br/>
            </w:r>
            <w:r w:rsidR="00632C53">
              <w:t>Level 7, 123 Epping Road</w:t>
            </w:r>
            <w:r w:rsidR="00580ACB">
              <w:br/>
            </w:r>
            <w:r w:rsidR="00632C53">
              <w:t>North Ryde NSW 2113</w:t>
            </w:r>
          </w:p>
        </w:tc>
      </w:tr>
      <w:tr w:rsidR="008E7846" w:rsidRPr="00487162" w:rsidTr="00580ACB">
        <w:trPr>
          <w:gridAfter w:val="1"/>
          <w:wAfter w:w="283" w:type="dxa"/>
        </w:trPr>
        <w:tc>
          <w:tcPr>
            <w:tcW w:w="2907" w:type="dxa"/>
          </w:tcPr>
          <w:p w:rsidR="008E7846" w:rsidRPr="00487162" w:rsidRDefault="008E7846" w:rsidP="00580ACB">
            <w:pPr>
              <w:rPr>
                <w:i/>
              </w:rPr>
            </w:pPr>
            <w:r w:rsidRPr="00487162">
              <w:rPr>
                <w:i/>
              </w:rPr>
              <w:t>Strength:</w:t>
            </w:r>
          </w:p>
        </w:tc>
        <w:tc>
          <w:tcPr>
            <w:tcW w:w="6307" w:type="dxa"/>
          </w:tcPr>
          <w:p w:rsidR="008E7846" w:rsidRPr="00487162" w:rsidRDefault="00145524" w:rsidP="00E45619">
            <w:r w:rsidRPr="00BA7681">
              <w:t>60 mg/mL solution for injection</w:t>
            </w:r>
          </w:p>
        </w:tc>
      </w:tr>
      <w:tr w:rsidR="008E7846" w:rsidRPr="00487162" w:rsidTr="00580ACB">
        <w:trPr>
          <w:gridAfter w:val="1"/>
          <w:wAfter w:w="283" w:type="dxa"/>
        </w:trPr>
        <w:tc>
          <w:tcPr>
            <w:tcW w:w="2907" w:type="dxa"/>
          </w:tcPr>
          <w:p w:rsidR="008E7846" w:rsidRPr="00487162" w:rsidRDefault="008E7846" w:rsidP="00580ACB">
            <w:pPr>
              <w:rPr>
                <w:i/>
              </w:rPr>
            </w:pPr>
            <w:r w:rsidRPr="00487162">
              <w:rPr>
                <w:i/>
              </w:rPr>
              <w:t>Containers:</w:t>
            </w:r>
          </w:p>
        </w:tc>
        <w:tc>
          <w:tcPr>
            <w:tcW w:w="6307" w:type="dxa"/>
          </w:tcPr>
          <w:p w:rsidR="008E7846" w:rsidRPr="00487162" w:rsidRDefault="00283A2B" w:rsidP="00283A2B">
            <w:r>
              <w:t>Syringe, Glass Type I Clear</w:t>
            </w:r>
          </w:p>
        </w:tc>
      </w:tr>
      <w:tr w:rsidR="008E7846" w:rsidRPr="00487162" w:rsidTr="00580ACB">
        <w:trPr>
          <w:gridAfter w:val="1"/>
          <w:wAfter w:w="283" w:type="dxa"/>
        </w:trPr>
        <w:tc>
          <w:tcPr>
            <w:tcW w:w="2907" w:type="dxa"/>
          </w:tcPr>
          <w:p w:rsidR="008E7846" w:rsidRPr="00487162" w:rsidRDefault="008E7846" w:rsidP="00580ACB">
            <w:pPr>
              <w:rPr>
                <w:i/>
              </w:rPr>
            </w:pPr>
            <w:r w:rsidRPr="00487162">
              <w:rPr>
                <w:i/>
              </w:rPr>
              <w:t>Pack sizes:</w:t>
            </w:r>
          </w:p>
        </w:tc>
        <w:tc>
          <w:tcPr>
            <w:tcW w:w="6307" w:type="dxa"/>
          </w:tcPr>
          <w:p w:rsidR="008E7846" w:rsidRPr="00487162" w:rsidRDefault="00283A2B" w:rsidP="00E45619">
            <w:r>
              <w:t>1</w:t>
            </w:r>
          </w:p>
        </w:tc>
      </w:tr>
      <w:tr w:rsidR="008E7846" w:rsidRPr="00487162" w:rsidTr="00580ACB">
        <w:trPr>
          <w:gridAfter w:val="1"/>
          <w:wAfter w:w="283" w:type="dxa"/>
        </w:trPr>
        <w:tc>
          <w:tcPr>
            <w:tcW w:w="2907" w:type="dxa"/>
          </w:tcPr>
          <w:p w:rsidR="008E7846" w:rsidRPr="00487162" w:rsidRDefault="00580ACB" w:rsidP="00E45619">
            <w:pPr>
              <w:rPr>
                <w:i/>
              </w:rPr>
            </w:pPr>
            <w:r>
              <w:rPr>
                <w:i/>
              </w:rPr>
              <w:t>Approved t</w:t>
            </w:r>
            <w:r w:rsidR="008E7846" w:rsidRPr="00487162">
              <w:rPr>
                <w:i/>
              </w:rPr>
              <w:t>herapeutic use:</w:t>
            </w:r>
          </w:p>
        </w:tc>
        <w:tc>
          <w:tcPr>
            <w:tcW w:w="6307" w:type="dxa"/>
          </w:tcPr>
          <w:p w:rsidR="000013C8" w:rsidRDefault="00E840F7" w:rsidP="00580ACB">
            <w:pPr>
              <w:pStyle w:val="ListBullet"/>
            </w:pPr>
            <w:r w:rsidRPr="00E840F7">
              <w:t xml:space="preserve">The treatment of osteoporosis in postmenopausal women. </w:t>
            </w:r>
            <w:proofErr w:type="spellStart"/>
            <w:r w:rsidRPr="00E840F7">
              <w:t>Prolia</w:t>
            </w:r>
            <w:proofErr w:type="spellEnd"/>
            <w:r w:rsidRPr="00E840F7">
              <w:t xml:space="preserve"> significantly </w:t>
            </w:r>
            <w:r w:rsidRPr="00580ACB">
              <w:t>reduces</w:t>
            </w:r>
            <w:r w:rsidRPr="00E840F7">
              <w:t xml:space="preserve"> the risk of vertebral, n</w:t>
            </w:r>
            <w:r w:rsidR="000013C8">
              <w:t>on-vertebral and hip fractures.</w:t>
            </w:r>
          </w:p>
          <w:p w:rsidR="000013C8" w:rsidRDefault="00E840F7" w:rsidP="000013C8">
            <w:pPr>
              <w:pStyle w:val="ListBullet"/>
            </w:pPr>
            <w:r w:rsidRPr="00E840F7">
              <w:t xml:space="preserve">Treatment to increase bone mass in men with </w:t>
            </w:r>
            <w:proofErr w:type="spellStart"/>
            <w:r w:rsidRPr="00E840F7">
              <w:t>osteopaenia</w:t>
            </w:r>
            <w:proofErr w:type="spellEnd"/>
            <w:r w:rsidRPr="00E840F7">
              <w:t xml:space="preserve"> receiving androgen deprivation therapy for non-metastatic prostat</w:t>
            </w:r>
            <w:r w:rsidR="000013C8">
              <w:t>e cancer (see Clinical Trials).</w:t>
            </w:r>
          </w:p>
          <w:p w:rsidR="008E7846" w:rsidRPr="00E840F7" w:rsidRDefault="00E840F7" w:rsidP="000013C8">
            <w:pPr>
              <w:pStyle w:val="ListBullet"/>
            </w:pPr>
            <w:r w:rsidRPr="00E840F7">
              <w:t>Treatment to increase bone mass in men with osteoporosis at increased risk of fracture.</w:t>
            </w:r>
          </w:p>
        </w:tc>
      </w:tr>
      <w:tr w:rsidR="008E7846" w:rsidRPr="00487162" w:rsidTr="00580ACB">
        <w:trPr>
          <w:gridAfter w:val="1"/>
          <w:wAfter w:w="283" w:type="dxa"/>
        </w:trPr>
        <w:tc>
          <w:tcPr>
            <w:tcW w:w="2907" w:type="dxa"/>
          </w:tcPr>
          <w:p w:rsidR="008E7846" w:rsidRPr="00487162" w:rsidRDefault="008E7846" w:rsidP="00580ACB">
            <w:pPr>
              <w:rPr>
                <w:i/>
              </w:rPr>
            </w:pPr>
            <w:r w:rsidRPr="00487162">
              <w:rPr>
                <w:i/>
              </w:rPr>
              <w:t>ARTG Number</w:t>
            </w:r>
            <w:r w:rsidR="00580ACB">
              <w:rPr>
                <w:i/>
              </w:rPr>
              <w:t>s:</w:t>
            </w:r>
          </w:p>
        </w:tc>
        <w:tc>
          <w:tcPr>
            <w:tcW w:w="6307" w:type="dxa"/>
          </w:tcPr>
          <w:p w:rsidR="00BA7681" w:rsidRPr="00BA7681" w:rsidRDefault="006B4EAE" w:rsidP="00BA7681">
            <w:r w:rsidRPr="006B4EAE">
              <w:t xml:space="preserve">AUST R </w:t>
            </w:r>
            <w:r>
              <w:t xml:space="preserve">159322: </w:t>
            </w:r>
            <w:proofErr w:type="spellStart"/>
            <w:r w:rsidR="00BA7681" w:rsidRPr="00BA7681">
              <w:t>Prolia</w:t>
            </w:r>
            <w:proofErr w:type="spellEnd"/>
            <w:r w:rsidR="00BA7681" w:rsidRPr="00BA7681">
              <w:t xml:space="preserve"> </w:t>
            </w:r>
            <w:proofErr w:type="spellStart"/>
            <w:r w:rsidR="00BA7681" w:rsidRPr="00BA7681">
              <w:t>denosumab</w:t>
            </w:r>
            <w:proofErr w:type="spellEnd"/>
            <w:r w:rsidR="00BA7681" w:rsidRPr="00BA7681">
              <w:t xml:space="preserve"> 60 mg/mL solution for injection prefilled syringe</w:t>
            </w:r>
          </w:p>
          <w:p w:rsidR="00BA7681" w:rsidRPr="00BA7681" w:rsidRDefault="006B4EAE" w:rsidP="00BA7681">
            <w:r w:rsidRPr="006B4EAE">
              <w:t xml:space="preserve">AUST R </w:t>
            </w:r>
            <w:r>
              <w:t xml:space="preserve">159323: </w:t>
            </w:r>
            <w:proofErr w:type="spellStart"/>
            <w:r w:rsidR="00BA7681" w:rsidRPr="00BA7681">
              <w:t>Prolia</w:t>
            </w:r>
            <w:proofErr w:type="spellEnd"/>
            <w:r w:rsidR="00BA7681" w:rsidRPr="00BA7681">
              <w:t xml:space="preserve"> </w:t>
            </w:r>
            <w:proofErr w:type="spellStart"/>
            <w:r w:rsidR="00BA7681" w:rsidRPr="00BA7681">
              <w:t>denosumab</w:t>
            </w:r>
            <w:proofErr w:type="spellEnd"/>
            <w:r w:rsidR="00BA7681" w:rsidRPr="00BA7681">
              <w:t xml:space="preserve"> 60 mg/mL solution for injection prefilled syringe with automatic needle guard</w:t>
            </w:r>
          </w:p>
          <w:p w:rsidR="00BA7681" w:rsidRPr="00BA7681" w:rsidRDefault="006B4EAE" w:rsidP="00BA7681">
            <w:r w:rsidRPr="006B4EAE">
              <w:t xml:space="preserve">AUST R </w:t>
            </w:r>
            <w:r>
              <w:t xml:space="preserve">159324: </w:t>
            </w:r>
            <w:proofErr w:type="spellStart"/>
            <w:r w:rsidR="00BA7681" w:rsidRPr="00BA7681">
              <w:t>Prolia</w:t>
            </w:r>
            <w:proofErr w:type="spellEnd"/>
            <w:r w:rsidR="00BA7681" w:rsidRPr="00BA7681">
              <w:t xml:space="preserve"> </w:t>
            </w:r>
            <w:proofErr w:type="spellStart"/>
            <w:r w:rsidR="00BA7681" w:rsidRPr="00BA7681">
              <w:t>denosumab</w:t>
            </w:r>
            <w:proofErr w:type="spellEnd"/>
            <w:r w:rsidR="00BA7681" w:rsidRPr="00BA7681">
              <w:t xml:space="preserve"> 60 mg/mL solution for injection vial</w:t>
            </w:r>
          </w:p>
        </w:tc>
      </w:tr>
    </w:tbl>
    <w:p w:rsidR="008E7846" w:rsidRDefault="008E7846" w:rsidP="008E7846">
      <w:pPr>
        <w:pStyle w:val="Heading3"/>
      </w:pPr>
      <w:bookmarkStart w:id="8" w:name="_Toc247691503"/>
      <w:bookmarkStart w:id="9" w:name="_Toc314842484"/>
      <w:bookmarkStart w:id="10" w:name="_Toc382916047"/>
      <w:r>
        <w:t>Product background</w:t>
      </w:r>
      <w:bookmarkEnd w:id="8"/>
      <w:bookmarkEnd w:id="9"/>
      <w:bookmarkEnd w:id="10"/>
    </w:p>
    <w:p w:rsidR="006D08F3" w:rsidRPr="006D08F3" w:rsidRDefault="00785C59" w:rsidP="006D08F3">
      <w:r w:rsidRPr="00E74882">
        <w:t xml:space="preserve">This </w:t>
      </w:r>
      <w:proofErr w:type="spellStart"/>
      <w:r w:rsidRPr="00E74882">
        <w:t>AusPAR</w:t>
      </w:r>
      <w:proofErr w:type="spellEnd"/>
      <w:r w:rsidRPr="00E74882">
        <w:t xml:space="preserve"> describes </w:t>
      </w:r>
      <w:r>
        <w:t xml:space="preserve">a </w:t>
      </w:r>
      <w:r w:rsidRPr="002A39EB">
        <w:t xml:space="preserve">submission </w:t>
      </w:r>
      <w:r w:rsidRPr="00E74882">
        <w:t xml:space="preserve">by the sponsor, </w:t>
      </w:r>
      <w:r w:rsidR="00B70A38">
        <w:t>Amgen</w:t>
      </w:r>
      <w:r w:rsidRPr="000B3725">
        <w:t xml:space="preserve"> Australia Pty Ltd</w:t>
      </w:r>
      <w:r>
        <w:t xml:space="preserve">, </w:t>
      </w:r>
      <w:r w:rsidRPr="003130F0">
        <w:t xml:space="preserve">to </w:t>
      </w:r>
      <w:r w:rsidR="00710ABF">
        <w:t>extend the indications</w:t>
      </w:r>
      <w:r>
        <w:t xml:space="preserve"> for </w:t>
      </w:r>
      <w:proofErr w:type="spellStart"/>
      <w:r w:rsidR="005714FE" w:rsidRPr="005714FE">
        <w:t>denosumab</w:t>
      </w:r>
      <w:proofErr w:type="spellEnd"/>
      <w:r w:rsidR="005714FE" w:rsidRPr="005714FE">
        <w:t xml:space="preserve"> </w:t>
      </w:r>
      <w:r>
        <w:t>(</w:t>
      </w:r>
      <w:proofErr w:type="spellStart"/>
      <w:r w:rsidR="00175239">
        <w:t>Prolia</w:t>
      </w:r>
      <w:proofErr w:type="spellEnd"/>
      <w:r>
        <w:t>)</w:t>
      </w:r>
      <w:r w:rsidR="006D08F3">
        <w:t xml:space="preserve">. </w:t>
      </w:r>
      <w:proofErr w:type="spellStart"/>
      <w:r w:rsidR="006D08F3" w:rsidRPr="006D08F3">
        <w:t>Denosumab</w:t>
      </w:r>
      <w:proofErr w:type="spellEnd"/>
      <w:r w:rsidR="006D08F3" w:rsidRPr="006D08F3">
        <w:t xml:space="preserve"> is a fully human IgG2 monoclonal antibody with high affinity and specificity for </w:t>
      </w:r>
      <w:r w:rsidR="00BE7EF1">
        <w:t>r</w:t>
      </w:r>
      <w:r w:rsidR="00BE7EF1" w:rsidRPr="008F6C2B">
        <w:t xml:space="preserve">eceptor activator of nuclear factor kappa-B ligand </w:t>
      </w:r>
      <w:r w:rsidR="00BE7EF1">
        <w:t>(</w:t>
      </w:r>
      <w:r w:rsidR="006D08F3" w:rsidRPr="006D08F3">
        <w:t xml:space="preserve">RANKL). </w:t>
      </w:r>
      <w:proofErr w:type="spellStart"/>
      <w:r w:rsidR="006D08F3" w:rsidRPr="006D08F3">
        <w:t>Denosumab</w:t>
      </w:r>
      <w:proofErr w:type="spellEnd"/>
      <w:r w:rsidR="006D08F3" w:rsidRPr="006D08F3">
        <w:t xml:space="preserve"> has an approximate molecular weight of 147 </w:t>
      </w:r>
      <w:proofErr w:type="spellStart"/>
      <w:r w:rsidR="006D08F3" w:rsidRPr="006D08F3">
        <w:t>kDa</w:t>
      </w:r>
      <w:proofErr w:type="spellEnd"/>
      <w:r w:rsidR="006D08F3" w:rsidRPr="006D08F3">
        <w:t xml:space="preserve"> and is produced in genetically engineered mammalian (Chinese Hamster Ovary, CHO) cells. </w:t>
      </w:r>
      <w:proofErr w:type="spellStart"/>
      <w:r w:rsidR="006D08F3" w:rsidRPr="006D08F3">
        <w:t>Denosumab</w:t>
      </w:r>
      <w:proofErr w:type="spellEnd"/>
      <w:r w:rsidR="006D08F3" w:rsidRPr="006D08F3">
        <w:t xml:space="preserve"> is considered a RANKL inhibitor.</w:t>
      </w:r>
    </w:p>
    <w:p w:rsidR="006D08F3" w:rsidRPr="006D08F3" w:rsidRDefault="006D08F3" w:rsidP="006D08F3">
      <w:r w:rsidRPr="006D08F3">
        <w:t xml:space="preserve">The </w:t>
      </w:r>
      <w:r w:rsidR="00C8589C" w:rsidRPr="00AC79EA">
        <w:rPr>
          <w:b/>
        </w:rPr>
        <w:t>current</w:t>
      </w:r>
      <w:r w:rsidR="00C8589C">
        <w:t xml:space="preserve"> </w:t>
      </w:r>
      <w:r w:rsidRPr="006D08F3">
        <w:t xml:space="preserve">approved indications for </w:t>
      </w:r>
      <w:proofErr w:type="spellStart"/>
      <w:r w:rsidRPr="006D08F3">
        <w:t>Prolia</w:t>
      </w:r>
      <w:proofErr w:type="spellEnd"/>
      <w:r w:rsidRPr="006D08F3">
        <w:t xml:space="preserve"> are</w:t>
      </w:r>
      <w:r w:rsidR="00154945">
        <w:t>:</w:t>
      </w:r>
    </w:p>
    <w:p w:rsidR="006D08F3" w:rsidRPr="0054447F" w:rsidRDefault="006D08F3" w:rsidP="0054447F">
      <w:pPr>
        <w:pStyle w:val="ListBullet"/>
        <w:rPr>
          <w:i/>
        </w:rPr>
      </w:pPr>
      <w:r w:rsidRPr="0054447F">
        <w:rPr>
          <w:i/>
        </w:rPr>
        <w:lastRenderedPageBreak/>
        <w:t xml:space="preserve">“The treatment of osteoporosis in postmenopausal women. </w:t>
      </w:r>
      <w:proofErr w:type="spellStart"/>
      <w:r w:rsidRPr="0054447F">
        <w:rPr>
          <w:i/>
        </w:rPr>
        <w:t>Prolia</w:t>
      </w:r>
      <w:proofErr w:type="spellEnd"/>
      <w:r w:rsidRPr="0054447F">
        <w:rPr>
          <w:i/>
        </w:rPr>
        <w:t xml:space="preserve"> significantly reduces the risk of vertebral, non-vertebral and hip fractures</w:t>
      </w:r>
    </w:p>
    <w:p w:rsidR="006D08F3" w:rsidRPr="0054447F" w:rsidRDefault="006D08F3" w:rsidP="0054447F">
      <w:pPr>
        <w:pStyle w:val="ListBullet"/>
        <w:rPr>
          <w:i/>
        </w:rPr>
      </w:pPr>
      <w:r w:rsidRPr="0054447F">
        <w:rPr>
          <w:i/>
        </w:rPr>
        <w:t xml:space="preserve">Treatment to increase bone mass in men with </w:t>
      </w:r>
      <w:proofErr w:type="spellStart"/>
      <w:r w:rsidRPr="0054447F">
        <w:rPr>
          <w:i/>
        </w:rPr>
        <w:t>osteopaenia</w:t>
      </w:r>
      <w:proofErr w:type="spellEnd"/>
      <w:r w:rsidRPr="0054447F">
        <w:rPr>
          <w:i/>
        </w:rPr>
        <w:t xml:space="preserve"> receiving androgen deprivation therapy for non-metastatic prostate cancer</w:t>
      </w:r>
      <w:r w:rsidR="0022030B" w:rsidRPr="0054447F">
        <w:rPr>
          <w:i/>
        </w:rPr>
        <w:t>.</w:t>
      </w:r>
      <w:r w:rsidRPr="0054447F">
        <w:rPr>
          <w:i/>
        </w:rPr>
        <w:t>”</w:t>
      </w:r>
    </w:p>
    <w:p w:rsidR="00154945" w:rsidRDefault="00154945" w:rsidP="006D08F3">
      <w:r>
        <w:t xml:space="preserve">The proposed </w:t>
      </w:r>
      <w:r w:rsidRPr="00AC79EA">
        <w:rPr>
          <w:b/>
        </w:rPr>
        <w:t>new</w:t>
      </w:r>
      <w:r>
        <w:t xml:space="preserve"> indication is:</w:t>
      </w:r>
    </w:p>
    <w:p w:rsidR="006D08F3" w:rsidRPr="0054447F" w:rsidRDefault="00154945" w:rsidP="0054447F">
      <w:pPr>
        <w:pStyle w:val="ListBullet"/>
        <w:rPr>
          <w:i/>
        </w:rPr>
      </w:pPr>
      <w:r w:rsidRPr="0054447F">
        <w:rPr>
          <w:i/>
        </w:rPr>
        <w:t>“T</w:t>
      </w:r>
      <w:r w:rsidR="006D08F3" w:rsidRPr="0054447F">
        <w:rPr>
          <w:i/>
        </w:rPr>
        <w:t>reatment of osteoporosis in men.”</w:t>
      </w:r>
    </w:p>
    <w:p w:rsidR="006D08F3" w:rsidRPr="006D08F3" w:rsidRDefault="006D08F3" w:rsidP="006D08F3">
      <w:proofErr w:type="spellStart"/>
      <w:r w:rsidRPr="006D08F3">
        <w:t>Denosumab</w:t>
      </w:r>
      <w:proofErr w:type="spellEnd"/>
      <w:r w:rsidRPr="006D08F3">
        <w:t xml:space="preserve"> is also marketed by the same sponsor under the trade name </w:t>
      </w:r>
      <w:proofErr w:type="spellStart"/>
      <w:r w:rsidRPr="006D08F3">
        <w:t>Xgeva</w:t>
      </w:r>
      <w:proofErr w:type="spellEnd"/>
      <w:r w:rsidRPr="006D08F3">
        <w:t xml:space="preserve"> for the following indication:</w:t>
      </w:r>
    </w:p>
    <w:p w:rsidR="006D08F3" w:rsidRPr="0054447F" w:rsidRDefault="006D08F3" w:rsidP="0054447F">
      <w:pPr>
        <w:pStyle w:val="ListBullet"/>
        <w:rPr>
          <w:i/>
        </w:rPr>
      </w:pPr>
      <w:r w:rsidRPr="0054447F">
        <w:rPr>
          <w:i/>
        </w:rPr>
        <w:t>“Prevention of skeletal related events in patients with bone metastases from solid tumours.”</w:t>
      </w:r>
    </w:p>
    <w:p w:rsidR="004D26EA" w:rsidRPr="004D26EA" w:rsidRDefault="004D26EA" w:rsidP="004D26EA">
      <w:r w:rsidRPr="004D26EA">
        <w:t xml:space="preserve">The following </w:t>
      </w:r>
      <w:proofErr w:type="spellStart"/>
      <w:r w:rsidRPr="004D26EA">
        <w:t>Prolia</w:t>
      </w:r>
      <w:proofErr w:type="spellEnd"/>
      <w:r w:rsidRPr="004D26EA">
        <w:t xml:space="preserve"> dosage forms and stre</w:t>
      </w:r>
      <w:r w:rsidR="0054447F">
        <w:t>ngths are currently registered:</w:t>
      </w:r>
    </w:p>
    <w:p w:rsidR="004D26EA" w:rsidRPr="004D26EA" w:rsidRDefault="004D26EA" w:rsidP="004D26EA">
      <w:pPr>
        <w:pStyle w:val="ListBullet"/>
      </w:pPr>
      <w:r w:rsidRPr="004D26EA">
        <w:t>single use prefilled syringe with automatic needle guard containing 60 mg/mL solution for injection</w:t>
      </w:r>
    </w:p>
    <w:p w:rsidR="004D26EA" w:rsidRPr="004D26EA" w:rsidRDefault="004D26EA" w:rsidP="004D26EA">
      <w:pPr>
        <w:pStyle w:val="ListBullet"/>
      </w:pPr>
      <w:r w:rsidRPr="004D26EA">
        <w:t>prefilled syringe containing 60</w:t>
      </w:r>
      <w:r w:rsidR="00062CDD">
        <w:t xml:space="preserve"> </w:t>
      </w:r>
      <w:r w:rsidR="00FD4D15">
        <w:t>mg/mL solution for injection (</w:t>
      </w:r>
      <w:r w:rsidRPr="004D26EA">
        <w:t>not currently marketed in Australia</w:t>
      </w:r>
      <w:r w:rsidR="00FD4D15">
        <w:t>)</w:t>
      </w:r>
    </w:p>
    <w:p w:rsidR="004D26EA" w:rsidRPr="004D26EA" w:rsidRDefault="004D26EA" w:rsidP="004D26EA">
      <w:pPr>
        <w:pStyle w:val="ListBullet"/>
      </w:pPr>
      <w:r w:rsidRPr="004D26EA">
        <w:t>vial containing 60</w:t>
      </w:r>
      <w:r w:rsidR="00062CDD">
        <w:t xml:space="preserve"> </w:t>
      </w:r>
      <w:r w:rsidRPr="004D26EA">
        <w:t>mg/mL solution for inj</w:t>
      </w:r>
      <w:r w:rsidR="00FD4D15">
        <w:t>ection (</w:t>
      </w:r>
      <w:r w:rsidRPr="004D26EA">
        <w:t>not currently marketed in Australia</w:t>
      </w:r>
      <w:r w:rsidR="00FD4D15">
        <w:t>)</w:t>
      </w:r>
    </w:p>
    <w:p w:rsidR="004D26EA" w:rsidRPr="004D26EA" w:rsidRDefault="004D26EA" w:rsidP="004D26EA">
      <w:proofErr w:type="spellStart"/>
      <w:r w:rsidRPr="004D26EA">
        <w:t>Xgeva</w:t>
      </w:r>
      <w:proofErr w:type="spellEnd"/>
      <w:r w:rsidRPr="004D26EA">
        <w:t xml:space="preserve"> is marketed in the following presentation:</w:t>
      </w:r>
    </w:p>
    <w:p w:rsidR="004D26EA" w:rsidRPr="004D26EA" w:rsidRDefault="004D26EA" w:rsidP="00062CDD">
      <w:pPr>
        <w:pStyle w:val="ListBullet"/>
      </w:pPr>
      <w:proofErr w:type="gramStart"/>
      <w:r w:rsidRPr="004D26EA">
        <w:t>vial</w:t>
      </w:r>
      <w:proofErr w:type="gramEnd"/>
      <w:r w:rsidRPr="004D26EA">
        <w:t xml:space="preserve"> containing 70 mg/mL solution for injection (120 mg </w:t>
      </w:r>
      <w:proofErr w:type="spellStart"/>
      <w:r w:rsidRPr="004D26EA">
        <w:t>denosumab</w:t>
      </w:r>
      <w:proofErr w:type="spellEnd"/>
      <w:r w:rsidRPr="004D26EA">
        <w:t xml:space="preserve"> in 1.7 mL of solution). The dose regimen for </w:t>
      </w:r>
      <w:proofErr w:type="spellStart"/>
      <w:r w:rsidRPr="004D26EA">
        <w:t>Xgeva</w:t>
      </w:r>
      <w:proofErr w:type="spellEnd"/>
      <w:r w:rsidRPr="004D26EA">
        <w:t xml:space="preserve"> in treat</w:t>
      </w:r>
      <w:r w:rsidR="00757E4D">
        <w:t>ing bone metastases is 120 mg subcutaneous</w:t>
      </w:r>
      <w:r w:rsidRPr="004D26EA">
        <w:t xml:space="preserve"> every 4 weeks.</w:t>
      </w:r>
    </w:p>
    <w:p w:rsidR="004D26EA" w:rsidRPr="004D26EA" w:rsidRDefault="004D26EA" w:rsidP="004D26EA">
      <w:r w:rsidRPr="004D26EA">
        <w:t>No new dosage forms or strengths are proposed.</w:t>
      </w:r>
    </w:p>
    <w:p w:rsidR="008E7846" w:rsidRPr="003F31A2" w:rsidRDefault="00386150" w:rsidP="008E7846">
      <w:pPr>
        <w:pStyle w:val="Heading3"/>
      </w:pPr>
      <w:bookmarkStart w:id="11" w:name="_Toc314842485"/>
      <w:bookmarkStart w:id="12" w:name="_Toc247691504"/>
      <w:bookmarkStart w:id="13" w:name="_Toc382916048"/>
      <w:r>
        <w:t>Regulatory s</w:t>
      </w:r>
      <w:r w:rsidR="008E7846">
        <w:t>tatus</w:t>
      </w:r>
      <w:bookmarkEnd w:id="11"/>
      <w:bookmarkEnd w:id="12"/>
      <w:bookmarkEnd w:id="13"/>
    </w:p>
    <w:p w:rsidR="008E7846" w:rsidRDefault="00C2761A" w:rsidP="00592D57">
      <w:r>
        <w:t>Table 1 shows c</w:t>
      </w:r>
      <w:r w:rsidR="00592D57" w:rsidRPr="00592D57">
        <w:t>ountries in which a similar application has been submitted, along with the details of the</w:t>
      </w:r>
      <w:r w:rsidR="00592D57">
        <w:t xml:space="preserve"> </w:t>
      </w:r>
      <w:r w:rsidR="00592D57" w:rsidRPr="00592D57">
        <w:t xml:space="preserve">status, </w:t>
      </w:r>
      <w:r>
        <w:t>at the time of the Australian application</w:t>
      </w:r>
      <w:r w:rsidR="00397FFC">
        <w:t>.</w:t>
      </w:r>
    </w:p>
    <w:p w:rsidR="003A41C6" w:rsidRDefault="003A41C6" w:rsidP="00C703FF">
      <w:pPr>
        <w:pStyle w:val="TableTitle"/>
        <w:rPr>
          <w:lang w:val="en-GB"/>
        </w:rPr>
      </w:pPr>
      <w:proofErr w:type="gramStart"/>
      <w:r>
        <w:t>Table 1:</w:t>
      </w:r>
      <w:r w:rsidRPr="004C5C28">
        <w:t xml:space="preserve"> </w:t>
      </w:r>
      <w:r>
        <w:t xml:space="preserve">International regulatory approval status for </w:t>
      </w:r>
      <w:proofErr w:type="spellStart"/>
      <w:r>
        <w:t>Prolia</w:t>
      </w:r>
      <w:proofErr w:type="spellEnd"/>
      <w:r>
        <w:t xml:space="preserve"> at the time of submission.</w:t>
      </w:r>
      <w:proofErr w:type="gramEnd"/>
    </w:p>
    <w:p w:rsidR="00C2761A" w:rsidRPr="00592D57" w:rsidRDefault="00B73BA9" w:rsidP="00592D57">
      <w:r>
        <w:rPr>
          <w:noProof/>
          <w:lang w:eastAsia="en-AU"/>
        </w:rPr>
        <w:drawing>
          <wp:inline distT="0" distB="0" distL="0" distR="0">
            <wp:extent cx="4443095" cy="2305685"/>
            <wp:effectExtent l="0" t="0" r="0" b="0"/>
            <wp:docPr id="17" name="Picture 1" descr="Table 1: International regulatory approval status for Prolia at the time of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 1: International regulatory approval status for Prolia at the time of submiss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43095" cy="2305685"/>
                    </a:xfrm>
                    <a:prstGeom prst="rect">
                      <a:avLst/>
                    </a:prstGeom>
                    <a:noFill/>
                    <a:ln>
                      <a:noFill/>
                    </a:ln>
                  </pic:spPr>
                </pic:pic>
              </a:graphicData>
            </a:graphic>
          </wp:inline>
        </w:drawing>
      </w:r>
    </w:p>
    <w:p w:rsidR="008E7846" w:rsidRDefault="008E7846" w:rsidP="008E7846">
      <w:pPr>
        <w:pStyle w:val="Heading3"/>
      </w:pPr>
      <w:bookmarkStart w:id="14" w:name="_Toc247691505"/>
      <w:bookmarkStart w:id="15" w:name="_Toc314842486"/>
      <w:bookmarkStart w:id="16" w:name="_Toc382916049"/>
      <w:r>
        <w:t>Product Information</w:t>
      </w:r>
      <w:bookmarkEnd w:id="14"/>
      <w:bookmarkEnd w:id="15"/>
      <w:bookmarkEnd w:id="16"/>
    </w:p>
    <w:p w:rsidR="008E7846" w:rsidRDefault="008E7846" w:rsidP="008E7846">
      <w:r>
        <w:t xml:space="preserve">The approved Product Information (PI) current at the time this </w:t>
      </w:r>
      <w:proofErr w:type="spellStart"/>
      <w:r>
        <w:t>AusPAR</w:t>
      </w:r>
      <w:proofErr w:type="spellEnd"/>
      <w:r>
        <w:t xml:space="preserve"> was prepared can be found as Attachment 1.</w:t>
      </w:r>
      <w:bookmarkStart w:id="17" w:name="_Toc247691506"/>
      <w:bookmarkStart w:id="18" w:name="_Toc314842487"/>
    </w:p>
    <w:p w:rsidR="008E7846" w:rsidRPr="003602A9" w:rsidRDefault="008E7846" w:rsidP="008E7846">
      <w:pPr>
        <w:pStyle w:val="Heading2"/>
        <w:ind w:left="-11"/>
      </w:pPr>
      <w:bookmarkStart w:id="19" w:name="_Toc382916050"/>
      <w:r>
        <w:lastRenderedPageBreak/>
        <w:t>II. Quality</w:t>
      </w:r>
      <w:bookmarkEnd w:id="1"/>
      <w:r>
        <w:t xml:space="preserve"> findings</w:t>
      </w:r>
      <w:bookmarkEnd w:id="17"/>
      <w:bookmarkEnd w:id="18"/>
      <w:bookmarkEnd w:id="19"/>
    </w:p>
    <w:p w:rsidR="008E7846" w:rsidRDefault="008E7846" w:rsidP="008E7846">
      <w:r>
        <w:t>There was no requirement for a quality evaluation in a submission of this type.</w:t>
      </w:r>
    </w:p>
    <w:p w:rsidR="008E7846" w:rsidRDefault="008E7846" w:rsidP="008E7846">
      <w:pPr>
        <w:pStyle w:val="Heading2"/>
      </w:pPr>
      <w:bookmarkStart w:id="20" w:name="_Toc196046439"/>
      <w:bookmarkStart w:id="21" w:name="_Toc247691510"/>
      <w:bookmarkStart w:id="22" w:name="_Toc314842494"/>
      <w:bookmarkStart w:id="23" w:name="_Toc382916051"/>
      <w:r>
        <w:t>III. Nonclinical</w:t>
      </w:r>
      <w:bookmarkEnd w:id="20"/>
      <w:r>
        <w:t xml:space="preserve"> findings</w:t>
      </w:r>
      <w:bookmarkEnd w:id="21"/>
      <w:bookmarkEnd w:id="22"/>
      <w:bookmarkEnd w:id="23"/>
    </w:p>
    <w:p w:rsidR="008E7846" w:rsidRDefault="008E7846" w:rsidP="00E26130">
      <w:r>
        <w:t>There was no requirement for a nonclinical evaluation in a submission of this type.</w:t>
      </w:r>
    </w:p>
    <w:p w:rsidR="008E7846" w:rsidRPr="00254787" w:rsidRDefault="008E7846" w:rsidP="008E7846">
      <w:pPr>
        <w:pStyle w:val="Heading2"/>
      </w:pPr>
      <w:bookmarkStart w:id="24" w:name="_Toc196046462"/>
      <w:bookmarkStart w:id="25" w:name="_Toc247691516"/>
      <w:bookmarkStart w:id="26" w:name="_Toc314842500"/>
      <w:bookmarkStart w:id="27" w:name="_Toc163441353"/>
      <w:bookmarkStart w:id="28" w:name="_Toc163441348"/>
      <w:bookmarkStart w:id="29" w:name="_Toc382916052"/>
      <w:r>
        <w:t xml:space="preserve">IV. </w:t>
      </w:r>
      <w:r w:rsidRPr="00254787">
        <w:t>Clinical</w:t>
      </w:r>
      <w:bookmarkEnd w:id="24"/>
      <w:r>
        <w:t xml:space="preserve"> </w:t>
      </w:r>
      <w:r w:rsidR="003A7F6C">
        <w:t>f</w:t>
      </w:r>
      <w:r>
        <w:t>indings</w:t>
      </w:r>
      <w:bookmarkEnd w:id="25"/>
      <w:bookmarkEnd w:id="26"/>
      <w:bookmarkEnd w:id="29"/>
    </w:p>
    <w:p w:rsidR="00C80137" w:rsidRPr="00EB722F" w:rsidRDefault="00C80137" w:rsidP="008E7846">
      <w:bookmarkStart w:id="30" w:name="_Toc196046463"/>
      <w:r w:rsidRPr="00EB722F">
        <w:t>A summary of the clinical findings is presented in this section. Further details of these clinical findings can be found in Attachment 2.</w:t>
      </w:r>
    </w:p>
    <w:p w:rsidR="008E7846" w:rsidRDefault="008E7846" w:rsidP="008E7846">
      <w:pPr>
        <w:pStyle w:val="Heading3"/>
      </w:pPr>
      <w:bookmarkStart w:id="31" w:name="_Toc247691517"/>
      <w:bookmarkStart w:id="32" w:name="_Toc314842501"/>
      <w:bookmarkStart w:id="33" w:name="_Toc382916053"/>
      <w:r w:rsidRPr="00254787">
        <w:t>Introduction</w:t>
      </w:r>
      <w:bookmarkEnd w:id="30"/>
      <w:bookmarkEnd w:id="31"/>
      <w:bookmarkEnd w:id="32"/>
      <w:bookmarkEnd w:id="33"/>
    </w:p>
    <w:p w:rsidR="00485791" w:rsidRPr="00485791" w:rsidRDefault="00485791" w:rsidP="00485791">
      <w:r w:rsidRPr="00485791">
        <w:t>The clinical dossier documented a development program of pivotal and other clinical trials relating to the proposed extension of indications</w:t>
      </w:r>
      <w:r w:rsidR="0054447F">
        <w:t>.</w:t>
      </w:r>
    </w:p>
    <w:p w:rsidR="00485791" w:rsidRPr="00485791" w:rsidRDefault="00485791" w:rsidP="00485791">
      <w:r w:rsidRPr="00485791">
        <w:t>The submission contained the following clinical information:</w:t>
      </w:r>
    </w:p>
    <w:p w:rsidR="00485791" w:rsidRPr="00485791" w:rsidRDefault="00485791" w:rsidP="009C2AD5">
      <w:pPr>
        <w:pStyle w:val="ListBullet"/>
      </w:pPr>
      <w:r w:rsidRPr="00485791">
        <w:t>No clinical pharmacology studies</w:t>
      </w:r>
    </w:p>
    <w:p w:rsidR="00485791" w:rsidRPr="00485791" w:rsidRDefault="00485791" w:rsidP="009C2AD5">
      <w:pPr>
        <w:pStyle w:val="ListBullet"/>
      </w:pPr>
      <w:r w:rsidRPr="00485791">
        <w:t>1 pivotal efficacy/safety study in the i</w:t>
      </w:r>
      <w:r w:rsidR="00DC49BD">
        <w:t>ndication osteoporosis in men (</w:t>
      </w:r>
      <w:r w:rsidRPr="00485791">
        <w:t>Study 20080098</w:t>
      </w:r>
      <w:r w:rsidR="00DC49BD">
        <w:t>)</w:t>
      </w:r>
    </w:p>
    <w:p w:rsidR="00485791" w:rsidRPr="00485791" w:rsidRDefault="00485791" w:rsidP="009C2AD5">
      <w:pPr>
        <w:pStyle w:val="ListBullet"/>
      </w:pPr>
      <w:r w:rsidRPr="00485791">
        <w:t>5 other efficacy/safety studies in the ind</w:t>
      </w:r>
      <w:r w:rsidR="00B32CBE">
        <w:t>ication osteoporosis in women (</w:t>
      </w:r>
      <w:r w:rsidRPr="00485791">
        <w:t>Studies 20060289, 20050233, 20080287 and 20080747</w:t>
      </w:r>
      <w:r w:rsidR="00B32CBE">
        <w:t>)</w:t>
      </w:r>
      <w:r w:rsidRPr="00485791">
        <w:t xml:space="preserve">; one </w:t>
      </w:r>
      <w:r w:rsidR="00565E37">
        <w:t>s</w:t>
      </w:r>
      <w:r w:rsidRPr="00485791">
        <w:t xml:space="preserve">tudy </w:t>
      </w:r>
      <w:r w:rsidR="00565E37">
        <w:t xml:space="preserve">(20040132) </w:t>
      </w:r>
      <w:r w:rsidRPr="00485791">
        <w:t>had been previously evaluated and was not evaluated again</w:t>
      </w:r>
    </w:p>
    <w:p w:rsidR="00485791" w:rsidRPr="00485791" w:rsidRDefault="00485791" w:rsidP="009C2AD5">
      <w:pPr>
        <w:pStyle w:val="ListBullet"/>
      </w:pPr>
      <w:r w:rsidRPr="00485791">
        <w:t>Two documents titled Integrated Summary of Efficacy, Integrated S</w:t>
      </w:r>
      <w:r w:rsidR="002D465D">
        <w:t xml:space="preserve">ummary of Safety, were included, but no report is included; </w:t>
      </w:r>
      <w:r w:rsidRPr="00485791">
        <w:t>only tabulations of data including data from the pivotal study and 2 studies not included in the application (</w:t>
      </w:r>
      <w:r w:rsidR="00843A8D">
        <w:t>S</w:t>
      </w:r>
      <w:r w:rsidRPr="00485791">
        <w:t xml:space="preserve">tudies 20030216 and 20040138) and the 120 day US safety update for </w:t>
      </w:r>
      <w:r w:rsidR="00843A8D">
        <w:t>S</w:t>
      </w:r>
      <w:r w:rsidRPr="00485791">
        <w:t>tudies 20080098, 20060289, 20050233 and 20080537 (not included in application)</w:t>
      </w:r>
    </w:p>
    <w:p w:rsidR="00485791" w:rsidRPr="00AD01B9" w:rsidRDefault="00485791" w:rsidP="00064E39">
      <w:r w:rsidRPr="00AD01B9">
        <w:t>Comment: The Clinical Overview and Summary of Clinical Efficacy only discuss the pivotal study (20080098) and the Summary of Clinical Safety discusses the pivotal trial (20080098) in relation to Studies 20030216 and 20040138</w:t>
      </w:r>
      <w:r w:rsidR="0014221D" w:rsidRPr="00AD01B9">
        <w:t>,</w:t>
      </w:r>
      <w:r w:rsidRPr="00AD01B9">
        <w:t xml:space="preserve"> which were not included in the submission (included in previous submissions). The additional studies in postmenopausal women (20060289, 20050233) are summarised in the US 120 day safety update</w:t>
      </w:r>
      <w:r w:rsidR="0014221D" w:rsidRPr="00AD01B9">
        <w:t>,</w:t>
      </w:r>
      <w:r w:rsidRPr="00AD01B9">
        <w:t xml:space="preserve"> but no explanation is provided as to why they and </w:t>
      </w:r>
      <w:r w:rsidR="0014221D" w:rsidRPr="00AD01B9">
        <w:t>S</w:t>
      </w:r>
      <w:r w:rsidRPr="00AD01B9">
        <w:t>tudies 20080287 and 20080747 are included in the submission.</w:t>
      </w:r>
    </w:p>
    <w:p w:rsidR="008E7846" w:rsidRPr="00254787" w:rsidRDefault="008E7846" w:rsidP="008E7846">
      <w:pPr>
        <w:pStyle w:val="Heading3"/>
      </w:pPr>
      <w:bookmarkStart w:id="34" w:name="_Toc196046464"/>
      <w:bookmarkStart w:id="35" w:name="_Toc247691518"/>
      <w:bookmarkStart w:id="36" w:name="_Toc314842502"/>
      <w:bookmarkStart w:id="37" w:name="_Toc382916054"/>
      <w:r w:rsidRPr="00254787">
        <w:t>Pharmacokinetics</w:t>
      </w:r>
      <w:bookmarkEnd w:id="27"/>
      <w:bookmarkEnd w:id="34"/>
      <w:bookmarkEnd w:id="35"/>
      <w:bookmarkEnd w:id="36"/>
      <w:bookmarkEnd w:id="37"/>
    </w:p>
    <w:p w:rsidR="00DC5D0D" w:rsidRPr="00DC5D0D" w:rsidRDefault="00DC5D0D" w:rsidP="00DC5D0D">
      <w:r w:rsidRPr="00DC5D0D">
        <w:t>No new pharmacokinetic studies were submitted. As the drug is currently approved for use in men</w:t>
      </w:r>
      <w:r w:rsidR="005E6996">
        <w:t xml:space="preserve">, </w:t>
      </w:r>
      <w:r w:rsidRPr="00DC5D0D">
        <w:t>it is accepted that no new data was required.</w:t>
      </w:r>
    </w:p>
    <w:p w:rsidR="008E7846" w:rsidRDefault="008E7846" w:rsidP="008E7846">
      <w:pPr>
        <w:pStyle w:val="Heading3"/>
      </w:pPr>
      <w:bookmarkStart w:id="38" w:name="_Toc196046481"/>
      <w:bookmarkStart w:id="39" w:name="_Toc247691520"/>
      <w:bookmarkStart w:id="40" w:name="_Toc314842503"/>
      <w:bookmarkStart w:id="41" w:name="_Toc382916055"/>
      <w:r w:rsidRPr="00254787">
        <w:t>Pharmacodynamics</w:t>
      </w:r>
      <w:bookmarkEnd w:id="28"/>
      <w:bookmarkEnd w:id="38"/>
      <w:bookmarkEnd w:id="39"/>
      <w:bookmarkEnd w:id="40"/>
      <w:bookmarkEnd w:id="41"/>
    </w:p>
    <w:p w:rsidR="005D692C" w:rsidRPr="005D692C" w:rsidRDefault="005D692C" w:rsidP="00A07945">
      <w:r w:rsidRPr="005D692C">
        <w:t xml:space="preserve">No new </w:t>
      </w:r>
      <w:proofErr w:type="spellStart"/>
      <w:r w:rsidRPr="005D692C">
        <w:t>pharmacodynamic</w:t>
      </w:r>
      <w:proofErr w:type="spellEnd"/>
      <w:r w:rsidRPr="005D692C">
        <w:t xml:space="preserve"> studies were submitted. Given the new indication is related to that already approved, it is accepted that new data was not required.</w:t>
      </w:r>
    </w:p>
    <w:p w:rsidR="008E7846" w:rsidRPr="00254787" w:rsidRDefault="008E7846" w:rsidP="008E7846">
      <w:pPr>
        <w:pStyle w:val="Heading3"/>
      </w:pPr>
      <w:bookmarkStart w:id="42" w:name="_Toc163441372"/>
      <w:bookmarkStart w:id="43" w:name="_Toc196046485"/>
      <w:bookmarkStart w:id="44" w:name="_Toc247691521"/>
      <w:bookmarkStart w:id="45" w:name="_Toc314842504"/>
      <w:bookmarkStart w:id="46" w:name="_Toc382916056"/>
      <w:r w:rsidRPr="00254787">
        <w:lastRenderedPageBreak/>
        <w:t>Efficacy</w:t>
      </w:r>
      <w:bookmarkEnd w:id="42"/>
      <w:bookmarkEnd w:id="43"/>
      <w:bookmarkEnd w:id="44"/>
      <w:bookmarkEnd w:id="45"/>
      <w:bookmarkEnd w:id="46"/>
    </w:p>
    <w:p w:rsidR="00097855" w:rsidRPr="00097855" w:rsidRDefault="00097855" w:rsidP="00097855">
      <w:bookmarkStart w:id="47" w:name="_Toc184439992"/>
      <w:bookmarkStart w:id="48" w:name="_Toc184440279"/>
      <w:bookmarkStart w:id="49" w:name="_Toc184444657"/>
      <w:bookmarkStart w:id="50" w:name="_Toc196046487"/>
      <w:r w:rsidRPr="00097855">
        <w:t xml:space="preserve">Overall, while Study 20080098 was only for 12 months (only 2 injections of </w:t>
      </w:r>
      <w:proofErr w:type="spellStart"/>
      <w:r w:rsidRPr="00097855">
        <w:t>denos</w:t>
      </w:r>
      <w:r w:rsidR="00CE5C0F">
        <w:t>umab</w:t>
      </w:r>
      <w:proofErr w:type="spellEnd"/>
      <w:r w:rsidR="00CE5C0F">
        <w:t xml:space="preserve">) and the analysis was </w:t>
      </w:r>
      <w:r w:rsidR="008716ED">
        <w:t xml:space="preserve">a </w:t>
      </w:r>
      <w:r w:rsidR="004135C6">
        <w:t>modified</w:t>
      </w:r>
      <w:r w:rsidRPr="00097855">
        <w:t xml:space="preserve"> I</w:t>
      </w:r>
      <w:r w:rsidR="00CE5C0F">
        <w:t xml:space="preserve">ntent </w:t>
      </w:r>
      <w:r w:rsidRPr="00097855">
        <w:t>T</w:t>
      </w:r>
      <w:r w:rsidR="00CE5C0F">
        <w:t xml:space="preserve">o </w:t>
      </w:r>
      <w:r w:rsidRPr="00097855">
        <w:t>T</w:t>
      </w:r>
      <w:r w:rsidR="00CE5C0F">
        <w:t>reat (ITT),</w:t>
      </w:r>
      <w:r w:rsidRPr="00097855">
        <w:t xml:space="preserve"> the results did show increases in </w:t>
      </w:r>
      <w:r w:rsidR="004E7076">
        <w:t>bone mineral density (</w:t>
      </w:r>
      <w:r w:rsidRPr="00097855">
        <w:t>BMD</w:t>
      </w:r>
      <w:r w:rsidR="004E7076">
        <w:t>)</w:t>
      </w:r>
      <w:r w:rsidRPr="00097855">
        <w:t xml:space="preserve"> </w:t>
      </w:r>
      <w:r w:rsidR="004E7076">
        <w:t xml:space="preserve">that were </w:t>
      </w:r>
      <w:r w:rsidRPr="00097855">
        <w:t>comparable to that seen in postmenopausal women.</w:t>
      </w:r>
    </w:p>
    <w:p w:rsidR="00097855" w:rsidRPr="00097855" w:rsidRDefault="00EC06A8" w:rsidP="00097855">
      <w:r>
        <w:t>The European Union</w:t>
      </w:r>
      <w:r w:rsidR="00045B9A">
        <w:t xml:space="preserve"> (EU)</w:t>
      </w:r>
      <w:r w:rsidR="00097855" w:rsidRPr="00097855">
        <w:t xml:space="preserve"> guideline</w:t>
      </w:r>
      <w:r w:rsidR="002B6978">
        <w:rPr>
          <w:rStyle w:val="FootnoteReference"/>
        </w:rPr>
        <w:footnoteReference w:id="1"/>
      </w:r>
      <w:r w:rsidR="00097855" w:rsidRPr="00097855">
        <w:t xml:space="preserve"> for the treatment of osteoporosis in men where an indication for osteoporosis in postmenopausal women has been approved requires the following conditions to be met:</w:t>
      </w:r>
    </w:p>
    <w:p w:rsidR="00097855" w:rsidRPr="00AD01B9" w:rsidRDefault="00097855" w:rsidP="00097855">
      <w:pPr>
        <w:pStyle w:val="ListBullet"/>
      </w:pPr>
      <w:r w:rsidRPr="00AD01B9">
        <w:t>The duration of the study is at least one year</w:t>
      </w:r>
    </w:p>
    <w:p w:rsidR="00097855" w:rsidRPr="00AD01B9" w:rsidRDefault="00097855" w:rsidP="00097855">
      <w:pPr>
        <w:ind w:firstLine="360"/>
      </w:pPr>
      <w:r w:rsidRPr="00AD01B9">
        <w:t>The study duration was 12 months</w:t>
      </w:r>
      <w:r w:rsidR="005A5BC8" w:rsidRPr="00AD01B9">
        <w:t>.</w:t>
      </w:r>
    </w:p>
    <w:p w:rsidR="00097855" w:rsidRPr="00AD01B9" w:rsidRDefault="00097855" w:rsidP="00097855">
      <w:pPr>
        <w:pStyle w:val="ListBullet"/>
      </w:pPr>
      <w:r w:rsidRPr="00AD01B9">
        <w:t>The dosage is justified</w:t>
      </w:r>
    </w:p>
    <w:p w:rsidR="00097855" w:rsidRPr="00AD01B9" w:rsidRDefault="00097855" w:rsidP="00097855">
      <w:pPr>
        <w:ind w:left="360"/>
      </w:pPr>
      <w:r w:rsidRPr="00AD01B9">
        <w:t>The dose was the same as that used in women and men with prostate cancer receiving androgen deprivation therapy</w:t>
      </w:r>
      <w:r w:rsidR="005A5BC8" w:rsidRPr="00AD01B9">
        <w:t>.</w:t>
      </w:r>
    </w:p>
    <w:p w:rsidR="00097855" w:rsidRPr="00AD01B9" w:rsidRDefault="00097855" w:rsidP="00097855">
      <w:pPr>
        <w:pStyle w:val="ListBullet"/>
      </w:pPr>
      <w:r w:rsidRPr="00AD01B9">
        <w:t>The applicant justifies the cut</w:t>
      </w:r>
      <w:r w:rsidR="005A5BC8" w:rsidRPr="00AD01B9">
        <w:t xml:space="preserve"> </w:t>
      </w:r>
      <w:r w:rsidRPr="00AD01B9">
        <w:t>off of BMD, age and any other risk factor open for the inclusion of men in the pivotal study will generate a fracture risk of a similar magnitude compared with postmenopausal women that were recruited in the studies used to obtain the indication ‘treatment of postmenopausal osteoporosis in women at high risk of fractures’</w:t>
      </w:r>
    </w:p>
    <w:p w:rsidR="00097855" w:rsidRPr="00AD01B9" w:rsidRDefault="00097855" w:rsidP="00097855">
      <w:pPr>
        <w:ind w:left="360"/>
      </w:pPr>
      <w:r w:rsidRPr="00AD01B9">
        <w:t xml:space="preserve">Eligible subjects in the pivotal study (20080098) were men 30 to 85 years of age, inclusive, with BMD values that corresponded to a T-score ≤ -2 and ≥ -3.5 at the lumbar spine or femoral neck or ≤ -1 and ≥ -3.5 in subjects with a history of major osteoporotic fracture, no vertebral or clinical fracture in the 6 months prior to screening, and no recent exposure to bisphosphonates or other medications known to affect bone metabolism. The proportion of subjects with a prevalent vertebral fracture at baseline based on spine radiographs was 24.8% in the </w:t>
      </w:r>
      <w:proofErr w:type="spellStart"/>
      <w:r w:rsidRPr="00AD01B9">
        <w:t>denosumab</w:t>
      </w:r>
      <w:proofErr w:type="spellEnd"/>
      <w:r w:rsidRPr="00AD01B9">
        <w:t xml:space="preserve"> group and 20.7% in the placebo group.</w:t>
      </w:r>
    </w:p>
    <w:p w:rsidR="00097855" w:rsidRPr="00AD01B9" w:rsidRDefault="00097855" w:rsidP="00097855">
      <w:pPr>
        <w:ind w:left="360"/>
      </w:pPr>
      <w:r w:rsidRPr="00AD01B9">
        <w:t>The details of the pivotal study in postmenopausal women (20030216) are no</w:t>
      </w:r>
      <w:r w:rsidR="005A5BC8" w:rsidRPr="00AD01B9">
        <w:t>t provided in the submission; however,</w:t>
      </w:r>
      <w:r w:rsidRPr="00AD01B9">
        <w:t xml:space="preserve"> according to the current </w:t>
      </w:r>
      <w:r w:rsidR="00351999" w:rsidRPr="00AD01B9">
        <w:t>PI</w:t>
      </w:r>
      <w:r w:rsidR="005A5BC8" w:rsidRPr="00AD01B9">
        <w:t>,</w:t>
      </w:r>
      <w:r w:rsidRPr="00AD01B9">
        <w:t xml:space="preserve"> the entry criteria for the trial was postmenopausal women aged 60 to 91 years of age with BMD T-scores at the lumbar spine or total hip between -2.5 and -4.0</w:t>
      </w:r>
      <w:r w:rsidR="005A5BC8" w:rsidRPr="00AD01B9">
        <w:t>,</w:t>
      </w:r>
      <w:r w:rsidRPr="00AD01B9">
        <w:t xml:space="preserve"> of which 23.6% has prevalent vertebral fractures.</w:t>
      </w:r>
    </w:p>
    <w:p w:rsidR="00097855" w:rsidRPr="00AD01B9" w:rsidRDefault="00097855" w:rsidP="00124F1F">
      <w:pPr>
        <w:pStyle w:val="ListBullet"/>
      </w:pPr>
      <w:r w:rsidRPr="00AD01B9">
        <w:t>The magnitude of the changes in BMD versus placebo is similar to that observed in postmenopausal osteoporotic women treated with the same compound and is globally proportional to the decreased incidence of fractures in treated women.</w:t>
      </w:r>
    </w:p>
    <w:p w:rsidR="00097855" w:rsidRPr="00AD01B9" w:rsidRDefault="00097855" w:rsidP="00124F1F">
      <w:pPr>
        <w:ind w:left="360"/>
      </w:pPr>
      <w:proofErr w:type="spellStart"/>
      <w:r w:rsidRPr="00AD01B9">
        <w:t>Denosumab</w:t>
      </w:r>
      <w:proofErr w:type="spellEnd"/>
      <w:r w:rsidRPr="00AD01B9">
        <w:t xml:space="preserve"> effectively increased BMD, as assessed by </w:t>
      </w:r>
      <w:r w:rsidR="005A5BC8" w:rsidRPr="00AD01B9">
        <w:t xml:space="preserve">dual energy </w:t>
      </w:r>
      <w:proofErr w:type="gramStart"/>
      <w:r w:rsidR="005A5BC8" w:rsidRPr="00AD01B9">
        <w:t>X</w:t>
      </w:r>
      <w:proofErr w:type="gramEnd"/>
      <w:r w:rsidR="005A5BC8" w:rsidRPr="00AD01B9">
        <w:t xml:space="preserve"> ray absorptiometry (</w:t>
      </w:r>
      <w:r w:rsidRPr="00AD01B9">
        <w:t>DXA</w:t>
      </w:r>
      <w:r w:rsidR="005A5BC8" w:rsidRPr="00AD01B9">
        <w:t>)</w:t>
      </w:r>
      <w:r w:rsidRPr="00AD01B9">
        <w:t xml:space="preserve"> at the lumbar spine, total hip, femoral neck, trochanter, and distal radius in men with low BMD. The mean change in lumbar spine BMD after 12 months of treatment was large (5.7% in the </w:t>
      </w:r>
      <w:proofErr w:type="spellStart"/>
      <w:r w:rsidRPr="00AD01B9">
        <w:t>denosumab</w:t>
      </w:r>
      <w:proofErr w:type="spellEnd"/>
      <w:r w:rsidRPr="00AD01B9">
        <w:t xml:space="preserve"> group as compared with 0.9% in the placebo group [p &lt; 0.0001]).</w:t>
      </w:r>
    </w:p>
    <w:p w:rsidR="00097855" w:rsidRPr="00AD01B9" w:rsidRDefault="00097855" w:rsidP="00124F1F">
      <w:pPr>
        <w:ind w:left="360"/>
      </w:pPr>
      <w:r w:rsidRPr="00AD01B9">
        <w:t>The magnitudes of the mean BMD increases observed in Study 20080098 were similar to those observed in Studies 20030216 and 20040138 at 12 months.</w:t>
      </w:r>
    </w:p>
    <w:p w:rsidR="005E0FE0" w:rsidRDefault="005E0FE0" w:rsidP="00C703FF">
      <w:pPr>
        <w:pStyle w:val="TableTitle"/>
        <w:rPr>
          <w:lang w:val="en-GB"/>
        </w:rPr>
      </w:pPr>
      <w:proofErr w:type="gramStart"/>
      <w:r>
        <w:lastRenderedPageBreak/>
        <w:t>Table 2:</w:t>
      </w:r>
      <w:r w:rsidRPr="004C5C28">
        <w:t xml:space="preserve"> </w:t>
      </w:r>
      <w:r w:rsidR="007E60A1">
        <w:t>M</w:t>
      </w:r>
      <w:r w:rsidR="007E60A1" w:rsidRPr="007E60A1">
        <w:t>agnitudes of the mean BMD increases</w:t>
      </w:r>
      <w:r w:rsidR="007E60A1">
        <w:t xml:space="preserve"> across studies.</w:t>
      </w:r>
      <w:proofErr w:type="gramEnd"/>
    </w:p>
    <w:p w:rsidR="003C7172" w:rsidRDefault="00B73BA9" w:rsidP="003C7172">
      <w:r>
        <w:rPr>
          <w:noProof/>
          <w:lang w:eastAsia="en-AU"/>
        </w:rPr>
        <w:drawing>
          <wp:inline distT="0" distB="0" distL="0" distR="0">
            <wp:extent cx="3820160" cy="3601720"/>
            <wp:effectExtent l="0" t="0" r="8890" b="0"/>
            <wp:docPr id="1" name="Picture 2" descr="Table 2: Magnitudes of the mean BMD increases across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 2: Magnitudes of the mean BMD increases across studi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0160" cy="3601720"/>
                    </a:xfrm>
                    <a:prstGeom prst="rect">
                      <a:avLst/>
                    </a:prstGeom>
                    <a:noFill/>
                    <a:ln>
                      <a:noFill/>
                    </a:ln>
                  </pic:spPr>
                </pic:pic>
              </a:graphicData>
            </a:graphic>
          </wp:inline>
        </w:drawing>
      </w:r>
    </w:p>
    <w:p w:rsidR="003C7172" w:rsidRPr="003C7172" w:rsidRDefault="003C7172" w:rsidP="00AD01B9">
      <w:r w:rsidRPr="003C7172">
        <w:t xml:space="preserve">In Study 20030216, the primary efficacy analysis demonstrated the efficacy of </w:t>
      </w:r>
      <w:proofErr w:type="spellStart"/>
      <w:r w:rsidRPr="003C7172">
        <w:t>denosumab</w:t>
      </w:r>
      <w:proofErr w:type="spellEnd"/>
      <w:r w:rsidRPr="003C7172">
        <w:t xml:space="preserve"> at decreasing fracture risk, with relative risk reductions at month 36 for new vertebral, </w:t>
      </w:r>
      <w:proofErr w:type="spellStart"/>
      <w:r w:rsidRPr="003C7172">
        <w:t>non</w:t>
      </w:r>
      <w:r w:rsidR="00A07945">
        <w:t xml:space="preserve"> </w:t>
      </w:r>
      <w:proofErr w:type="gramStart"/>
      <w:r w:rsidRPr="003C7172">
        <w:t>vertebral</w:t>
      </w:r>
      <w:proofErr w:type="spellEnd"/>
      <w:r w:rsidRPr="003C7172">
        <w:t>,</w:t>
      </w:r>
      <w:proofErr w:type="gramEnd"/>
      <w:r w:rsidRPr="003C7172">
        <w:t xml:space="preserve"> and hip fractures of 68%, 20%, and 40%, respectively. A decreas</w:t>
      </w:r>
      <w:r w:rsidR="00D10004">
        <w:t>e in fracture risk was also obse</w:t>
      </w:r>
      <w:r w:rsidRPr="003C7172">
        <w:t xml:space="preserve">rved in Study 20040138, with a 62% decrease in the incidence of new vertebral fractures in the </w:t>
      </w:r>
      <w:proofErr w:type="spellStart"/>
      <w:r w:rsidRPr="003C7172">
        <w:t>denosumab</w:t>
      </w:r>
      <w:proofErr w:type="spellEnd"/>
      <w:r w:rsidRPr="003C7172">
        <w:t xml:space="preserve"> group re</w:t>
      </w:r>
      <w:r w:rsidR="0086126B">
        <w:t>lative to the placebo group at M</w:t>
      </w:r>
      <w:r w:rsidRPr="003C7172">
        <w:t>onth 36.</w:t>
      </w:r>
    </w:p>
    <w:p w:rsidR="003C7172" w:rsidRPr="003C7172" w:rsidRDefault="003C7172" w:rsidP="00AD01B9">
      <w:r w:rsidRPr="003C7172">
        <w:t xml:space="preserve">Decrease in fracture risk was not an efficacy outcome in Study 20080098 but clinical fractures were reported by the investigators and confirmed by the central imaging vendor for 1 subject in the </w:t>
      </w:r>
      <w:proofErr w:type="spellStart"/>
      <w:r w:rsidRPr="003C7172">
        <w:t>denosumab</w:t>
      </w:r>
      <w:proofErr w:type="spellEnd"/>
      <w:r w:rsidRPr="003C7172">
        <w:t xml:space="preserve"> group (0.8%) and 2 subjec</w:t>
      </w:r>
      <w:r w:rsidR="00EC06A8">
        <w:t xml:space="preserve">ts in the placebo group (1.7%). </w:t>
      </w:r>
      <w:r w:rsidRPr="003C7172">
        <w:t xml:space="preserve">New (morphometric) vertebral fractures were reported for no subjects in the </w:t>
      </w:r>
      <w:proofErr w:type="spellStart"/>
      <w:r w:rsidRPr="003C7172">
        <w:t>denosumab</w:t>
      </w:r>
      <w:proofErr w:type="spellEnd"/>
      <w:r w:rsidRPr="003C7172">
        <w:t xml:space="preserve"> group and 1 subject in the placebo group (0.8%).</w:t>
      </w:r>
    </w:p>
    <w:p w:rsidR="003C7172" w:rsidRPr="003C7172" w:rsidRDefault="003C7172" w:rsidP="003C7172">
      <w:r w:rsidRPr="003C7172">
        <w:t>Overall, it is considered that the EU criteria have been met.</w:t>
      </w:r>
    </w:p>
    <w:p w:rsidR="003C7172" w:rsidRPr="003C7172" w:rsidRDefault="003C7172" w:rsidP="003C7172">
      <w:r w:rsidRPr="003C7172">
        <w:t>It is noted that according to the EU guideline the indication should be “treatment of osteoporosis in men at high risk of fracture”.</w:t>
      </w:r>
    </w:p>
    <w:p w:rsidR="003C7172" w:rsidRPr="003C7172" w:rsidRDefault="003C7172" w:rsidP="003C7172">
      <w:r w:rsidRPr="003C7172">
        <w:t xml:space="preserve">Whether the indication should be limited by qualification of the </w:t>
      </w:r>
      <w:r w:rsidR="00EC06A8">
        <w:t>BMD and/or BMD is uncertain –</w:t>
      </w:r>
      <w:r w:rsidRPr="003C7172">
        <w:t xml:space="preserve"> this does not appear to have been the practice with the indication for </w:t>
      </w:r>
      <w:proofErr w:type="spellStart"/>
      <w:r w:rsidRPr="003C7172">
        <w:t>post menopausal</w:t>
      </w:r>
      <w:proofErr w:type="spellEnd"/>
      <w:r w:rsidRPr="003C7172">
        <w:t xml:space="preserve"> women. If deemed necessary</w:t>
      </w:r>
      <w:r w:rsidR="00EC06A8">
        <w:t>,</w:t>
      </w:r>
      <w:r w:rsidRPr="003C7172">
        <w:t xml:space="preserve"> then it should match the criteria for entry to the study.</w:t>
      </w:r>
    </w:p>
    <w:p w:rsidR="008E7846" w:rsidRPr="002E238E" w:rsidRDefault="008E7846" w:rsidP="008E7846">
      <w:pPr>
        <w:pStyle w:val="Heading3"/>
      </w:pPr>
      <w:bookmarkStart w:id="51" w:name="_Toc163441378"/>
      <w:bookmarkStart w:id="52" w:name="_Toc196046495"/>
      <w:bookmarkStart w:id="53" w:name="_Toc247691522"/>
      <w:bookmarkStart w:id="54" w:name="_Toc314842505"/>
      <w:bookmarkStart w:id="55" w:name="_Toc382916057"/>
      <w:bookmarkEnd w:id="47"/>
      <w:bookmarkEnd w:id="48"/>
      <w:bookmarkEnd w:id="49"/>
      <w:bookmarkEnd w:id="50"/>
      <w:r w:rsidRPr="002E238E">
        <w:t>Safety</w:t>
      </w:r>
      <w:bookmarkEnd w:id="51"/>
      <w:bookmarkEnd w:id="52"/>
      <w:bookmarkEnd w:id="53"/>
      <w:bookmarkEnd w:id="54"/>
      <w:bookmarkEnd w:id="55"/>
    </w:p>
    <w:p w:rsidR="00A70029" w:rsidRPr="00A70029" w:rsidRDefault="00A70029" w:rsidP="00A07945">
      <w:bookmarkStart w:id="56" w:name="_Toc163441387"/>
      <w:r w:rsidRPr="00A70029">
        <w:t>The safety data seen in the pivotal study in men with osteoporosis was similar to that seen previously in studies in postmenopausal women with osteoporosis. The long term studies in postmenopausal women with osteoporosis did not identify any additional risks with the exception of the cases of osteonecrosis of the jaw. While the patients who developed these events also had local risk factors</w:t>
      </w:r>
      <w:r w:rsidR="00F84196">
        <w:t>,</w:t>
      </w:r>
      <w:r w:rsidRPr="00A70029">
        <w:t xml:space="preserve"> the incidence is significant and should be better reflected in the </w:t>
      </w:r>
      <w:r w:rsidR="008F56CC">
        <w:t>PI</w:t>
      </w:r>
      <w:r w:rsidRPr="00A70029">
        <w:t>.</w:t>
      </w:r>
    </w:p>
    <w:p w:rsidR="00A70029" w:rsidRPr="00A70029" w:rsidRDefault="00A70029" w:rsidP="00A07945">
      <w:r w:rsidRPr="00A70029">
        <w:lastRenderedPageBreak/>
        <w:t>The post</w:t>
      </w:r>
      <w:r w:rsidR="00F84196">
        <w:t xml:space="preserve"> </w:t>
      </w:r>
      <w:r w:rsidRPr="00A70029">
        <w:t xml:space="preserve">marketing review of adverse events </w:t>
      </w:r>
      <w:r w:rsidR="00390ED5">
        <w:t xml:space="preserve">(AEs) </w:t>
      </w:r>
      <w:r w:rsidRPr="00A70029">
        <w:t xml:space="preserve">states that there is sufficient evidence to add drug sensitivity as a post marketing adverse drug reactions to the national product labelling. This is not reflected in the proposed </w:t>
      </w:r>
      <w:r w:rsidR="00576E3E">
        <w:t>PI</w:t>
      </w:r>
      <w:r w:rsidRPr="00A70029">
        <w:t xml:space="preserve"> included in the submission.</w:t>
      </w:r>
    </w:p>
    <w:p w:rsidR="008E7846" w:rsidRDefault="008E7846" w:rsidP="008E7846">
      <w:pPr>
        <w:pStyle w:val="Heading3"/>
      </w:pPr>
      <w:bookmarkStart w:id="57" w:name="_Toc255919423"/>
      <w:bookmarkStart w:id="58" w:name="_Toc241374329"/>
      <w:bookmarkStart w:id="59" w:name="_Toc270320087"/>
      <w:bookmarkStart w:id="60" w:name="_Toc314842506"/>
      <w:bookmarkStart w:id="61" w:name="_Toc382916058"/>
      <w:r>
        <w:t>List of questions</w:t>
      </w:r>
      <w:bookmarkEnd w:id="57"/>
      <w:bookmarkEnd w:id="58"/>
      <w:bookmarkEnd w:id="59"/>
      <w:bookmarkEnd w:id="60"/>
      <w:bookmarkEnd w:id="61"/>
    </w:p>
    <w:p w:rsidR="008E7846" w:rsidRPr="0039105A" w:rsidRDefault="00370057" w:rsidP="00327883">
      <w:r>
        <w:t>No clinical questions.</w:t>
      </w:r>
    </w:p>
    <w:p w:rsidR="008E7846" w:rsidRPr="006E137C" w:rsidRDefault="008E7846" w:rsidP="008E7846">
      <w:pPr>
        <w:pStyle w:val="Heading3"/>
      </w:pPr>
      <w:bookmarkStart w:id="62" w:name="_Toc247691523"/>
      <w:bookmarkStart w:id="63" w:name="_Toc314842507"/>
      <w:bookmarkStart w:id="64" w:name="_Toc184440295"/>
      <w:bookmarkStart w:id="65" w:name="_Toc184444673"/>
      <w:bookmarkStart w:id="66" w:name="_Toc196046503"/>
      <w:bookmarkStart w:id="67" w:name="_Toc382916059"/>
      <w:bookmarkEnd w:id="56"/>
      <w:r>
        <w:t>Clinical summary and conclusions</w:t>
      </w:r>
      <w:bookmarkEnd w:id="62"/>
      <w:bookmarkEnd w:id="63"/>
      <w:bookmarkEnd w:id="67"/>
    </w:p>
    <w:p w:rsidR="008E7846" w:rsidRDefault="00A86960" w:rsidP="00A86960">
      <w:pPr>
        <w:pStyle w:val="Heading4"/>
      </w:pPr>
      <w:bookmarkStart w:id="68" w:name="_Toc196046504"/>
      <w:bookmarkStart w:id="69" w:name="_Toc163441390"/>
      <w:bookmarkEnd w:id="64"/>
      <w:bookmarkEnd w:id="65"/>
      <w:bookmarkEnd w:id="66"/>
      <w:r>
        <w:t>First round benefit-risk assessment</w:t>
      </w:r>
    </w:p>
    <w:p w:rsidR="00A86960" w:rsidRDefault="00A86960" w:rsidP="00A86960">
      <w:pPr>
        <w:pStyle w:val="Heading5"/>
      </w:pPr>
      <w:bookmarkStart w:id="70" w:name="_Toc236802592"/>
      <w:bookmarkStart w:id="71" w:name="_Toc241374331"/>
      <w:bookmarkStart w:id="72" w:name="_Ref272160836"/>
      <w:bookmarkStart w:id="73" w:name="_Toc272414693"/>
      <w:bookmarkStart w:id="74" w:name="_Toc290846331"/>
      <w:bookmarkStart w:id="75" w:name="_Toc346636088"/>
      <w:r>
        <w:t>First round assessment of benefits</w:t>
      </w:r>
      <w:bookmarkEnd w:id="70"/>
      <w:bookmarkEnd w:id="71"/>
      <w:bookmarkEnd w:id="72"/>
      <w:bookmarkEnd w:id="73"/>
      <w:bookmarkEnd w:id="74"/>
      <w:bookmarkEnd w:id="75"/>
    </w:p>
    <w:p w:rsidR="00A86960" w:rsidRPr="00A86960" w:rsidRDefault="00A86960" w:rsidP="00A86960">
      <w:r w:rsidRPr="00A86960">
        <w:t xml:space="preserve">The benefits of </w:t>
      </w:r>
      <w:proofErr w:type="spellStart"/>
      <w:r w:rsidRPr="00A86960">
        <w:t>Prolia</w:t>
      </w:r>
      <w:proofErr w:type="spellEnd"/>
      <w:r w:rsidRPr="00A86960">
        <w:t xml:space="preserve"> in the proposed usage are:</w:t>
      </w:r>
    </w:p>
    <w:p w:rsidR="00A86960" w:rsidRPr="00A86960" w:rsidRDefault="00A86960" w:rsidP="00A86960">
      <w:pPr>
        <w:pStyle w:val="ListBullet"/>
      </w:pPr>
      <w:r w:rsidRPr="00A86960">
        <w:t xml:space="preserve">Increase in BMD </w:t>
      </w:r>
      <w:r w:rsidR="000F1186">
        <w:t>at all skeletal sites measured:</w:t>
      </w:r>
      <w:r w:rsidRPr="00A86960">
        <w:t xml:space="preserve"> lumbar spine, proximal femur (total hip, femoral neck, trochanter)</w:t>
      </w:r>
      <w:r w:rsidR="00596E7B">
        <w:t>,</w:t>
      </w:r>
      <w:r w:rsidRPr="00A86960">
        <w:t xml:space="preserve"> and distal radius compared with placebo at 12 months</w:t>
      </w:r>
      <w:r w:rsidR="00FC001E">
        <w:t>.</w:t>
      </w:r>
    </w:p>
    <w:p w:rsidR="00A86960" w:rsidRPr="00A86960" w:rsidRDefault="00A86960" w:rsidP="00A86960">
      <w:pPr>
        <w:pStyle w:val="ListBullet"/>
      </w:pPr>
      <w:r w:rsidRPr="00A86960">
        <w:t>The magnitudes of the mean BMD increases observed in males with osteoporosis were similar to those observed in studies in postmenopausal women</w:t>
      </w:r>
      <w:r w:rsidR="00FC001E">
        <w:t>.</w:t>
      </w:r>
    </w:p>
    <w:p w:rsidR="00A86960" w:rsidRPr="00A86960" w:rsidRDefault="00A86960" w:rsidP="00A86960">
      <w:pPr>
        <w:pStyle w:val="ListBullet"/>
      </w:pPr>
      <w:r w:rsidRPr="00A86960">
        <w:t xml:space="preserve">Increases in BMD were associated with a decrease in new vertebral, </w:t>
      </w:r>
      <w:proofErr w:type="spellStart"/>
      <w:r w:rsidRPr="00A86960">
        <w:t>non</w:t>
      </w:r>
      <w:r w:rsidR="00FC001E">
        <w:t xml:space="preserve"> </w:t>
      </w:r>
      <w:proofErr w:type="gramStart"/>
      <w:r w:rsidRPr="00A86960">
        <w:t>vertebral</w:t>
      </w:r>
      <w:proofErr w:type="spellEnd"/>
      <w:r w:rsidR="00FC001E">
        <w:t>,</w:t>
      </w:r>
      <w:proofErr w:type="gramEnd"/>
      <w:r w:rsidRPr="00A86960">
        <w:t xml:space="preserve"> and hip fractures in studies in previously evaluated studies (20030216 and 20040138). It is reasonable to extrapolate the same in men with osteoporosis</w:t>
      </w:r>
      <w:r w:rsidR="00FC001E">
        <w:t>.</w:t>
      </w:r>
    </w:p>
    <w:p w:rsidR="00A86960" w:rsidRPr="00A86960" w:rsidRDefault="00A86960" w:rsidP="00A86960">
      <w:pPr>
        <w:pStyle w:val="ListBullet"/>
      </w:pPr>
      <w:r w:rsidRPr="00A86960">
        <w:t>Safety in men with osteoporosis was similar to that seen in postmenopausal women</w:t>
      </w:r>
      <w:r w:rsidR="00FC001E">
        <w:t>.</w:t>
      </w:r>
    </w:p>
    <w:p w:rsidR="00A86960" w:rsidRDefault="00A86960" w:rsidP="00A86960">
      <w:pPr>
        <w:pStyle w:val="Heading5"/>
      </w:pPr>
      <w:bookmarkStart w:id="76" w:name="_Toc236802596"/>
      <w:bookmarkStart w:id="77" w:name="_Toc241374334"/>
      <w:bookmarkStart w:id="78" w:name="_Ref272160964"/>
      <w:bookmarkStart w:id="79" w:name="_Toc272414694"/>
      <w:bookmarkStart w:id="80" w:name="_Toc290846332"/>
      <w:bookmarkStart w:id="81" w:name="_Toc346636089"/>
      <w:r>
        <w:t>First round assessment of risks</w:t>
      </w:r>
      <w:bookmarkEnd w:id="76"/>
      <w:bookmarkEnd w:id="77"/>
      <w:bookmarkEnd w:id="78"/>
      <w:bookmarkEnd w:id="79"/>
      <w:bookmarkEnd w:id="80"/>
      <w:bookmarkEnd w:id="81"/>
    </w:p>
    <w:p w:rsidR="00A86960" w:rsidRPr="00A86960" w:rsidRDefault="00A86960" w:rsidP="00A86960">
      <w:r w:rsidRPr="00A86960">
        <w:t xml:space="preserve">The risks of </w:t>
      </w:r>
      <w:proofErr w:type="spellStart"/>
      <w:r w:rsidRPr="00A86960">
        <w:t>Pro</w:t>
      </w:r>
      <w:r w:rsidR="000E54F5">
        <w:t>lia</w:t>
      </w:r>
      <w:proofErr w:type="spellEnd"/>
      <w:r w:rsidR="000E54F5">
        <w:t xml:space="preserve"> in the proposed usage are:</w:t>
      </w:r>
    </w:p>
    <w:p w:rsidR="00A86960" w:rsidRPr="00A86960" w:rsidRDefault="00FC001E" w:rsidP="00A86960">
      <w:pPr>
        <w:pStyle w:val="ListBullet"/>
      </w:pPr>
      <w:r>
        <w:t>AEs</w:t>
      </w:r>
      <w:r w:rsidR="00A86960" w:rsidRPr="00A86960">
        <w:t xml:space="preserve"> which are similar to those previously documented for </w:t>
      </w:r>
      <w:proofErr w:type="spellStart"/>
      <w:r w:rsidR="00A86960" w:rsidRPr="00A86960">
        <w:t>denosumab</w:t>
      </w:r>
      <w:proofErr w:type="spellEnd"/>
      <w:r>
        <w:t>.</w:t>
      </w:r>
    </w:p>
    <w:p w:rsidR="00A86960" w:rsidRPr="00A86960" w:rsidRDefault="00A86960" w:rsidP="00A86960">
      <w:pPr>
        <w:pStyle w:val="ListBullet"/>
      </w:pPr>
      <w:r w:rsidRPr="00A86960">
        <w:t xml:space="preserve">Osteonecrosis of the jaw is likely in a small number of subjects with long term use of </w:t>
      </w:r>
      <w:proofErr w:type="spellStart"/>
      <w:r w:rsidRPr="00A86960">
        <w:t>denosumab</w:t>
      </w:r>
      <w:proofErr w:type="spellEnd"/>
      <w:r w:rsidR="00FC001E">
        <w:t>.</w:t>
      </w:r>
    </w:p>
    <w:p w:rsidR="00A86960" w:rsidRDefault="00A86960" w:rsidP="000E6F38">
      <w:pPr>
        <w:pStyle w:val="Heading5"/>
      </w:pPr>
      <w:bookmarkStart w:id="82" w:name="_Toc236802597"/>
      <w:bookmarkStart w:id="83" w:name="_Toc241374335"/>
      <w:bookmarkStart w:id="84" w:name="_Toc272414695"/>
      <w:bookmarkStart w:id="85" w:name="_Toc290846333"/>
      <w:bookmarkStart w:id="86" w:name="_Toc346636090"/>
      <w:r>
        <w:t>First round assessment of benefit-risk balance</w:t>
      </w:r>
      <w:bookmarkEnd w:id="82"/>
      <w:bookmarkEnd w:id="83"/>
      <w:bookmarkEnd w:id="84"/>
      <w:bookmarkEnd w:id="85"/>
      <w:bookmarkEnd w:id="86"/>
    </w:p>
    <w:p w:rsidR="00A86960" w:rsidRPr="000E6F38" w:rsidRDefault="00A86960" w:rsidP="000E6F38">
      <w:r w:rsidRPr="000E6F38">
        <w:t xml:space="preserve">The benefit-risk balance of </w:t>
      </w:r>
      <w:proofErr w:type="spellStart"/>
      <w:r w:rsidRPr="000E6F38">
        <w:t>Prolia</w:t>
      </w:r>
      <w:proofErr w:type="spellEnd"/>
      <w:r w:rsidRPr="000E6F38">
        <w:t>, given the proposed usage, is favourable.</w:t>
      </w:r>
    </w:p>
    <w:p w:rsidR="00A86960" w:rsidRDefault="00AA5A96" w:rsidP="00AA5A96">
      <w:pPr>
        <w:pStyle w:val="Heading4"/>
      </w:pPr>
      <w:r>
        <w:t>First round recommendation regarding authorisation</w:t>
      </w:r>
    </w:p>
    <w:p w:rsidR="00AA5A96" w:rsidRPr="00AA5A96" w:rsidRDefault="00AA5A96" w:rsidP="00AA5A96">
      <w:r w:rsidRPr="00AA5A96">
        <w:t>Based on the clinical data submitted</w:t>
      </w:r>
      <w:r w:rsidR="000B311D">
        <w:t>,</w:t>
      </w:r>
      <w:r w:rsidRPr="00AA5A96">
        <w:t xml:space="preserve"> it is recommended that the application be approved.</w:t>
      </w:r>
    </w:p>
    <w:p w:rsidR="008E7846" w:rsidRPr="00E41208" w:rsidRDefault="008E7846" w:rsidP="008E7846">
      <w:pPr>
        <w:pStyle w:val="Heading2"/>
      </w:pPr>
      <w:bookmarkStart w:id="87" w:name="_Toc247691524"/>
      <w:bookmarkStart w:id="88" w:name="_Toc314842508"/>
      <w:bookmarkStart w:id="89" w:name="_Toc382916060"/>
      <w:r w:rsidRPr="00E41208">
        <w:t xml:space="preserve">V. </w:t>
      </w:r>
      <w:proofErr w:type="spellStart"/>
      <w:r w:rsidRPr="00E41208">
        <w:t>Pharmacovigilance</w:t>
      </w:r>
      <w:proofErr w:type="spellEnd"/>
      <w:r w:rsidRPr="00E41208">
        <w:t xml:space="preserve"> </w:t>
      </w:r>
      <w:r>
        <w:t>f</w:t>
      </w:r>
      <w:r w:rsidRPr="00E41208">
        <w:t>indings</w:t>
      </w:r>
      <w:bookmarkEnd w:id="87"/>
      <w:bookmarkEnd w:id="88"/>
      <w:bookmarkEnd w:id="89"/>
    </w:p>
    <w:p w:rsidR="008E7846" w:rsidRDefault="00386150" w:rsidP="008E7846">
      <w:pPr>
        <w:pStyle w:val="Heading3"/>
        <w:rPr>
          <w:lang w:eastAsia="en-AU"/>
        </w:rPr>
      </w:pPr>
      <w:bookmarkStart w:id="90" w:name="_Toc247691526"/>
      <w:bookmarkStart w:id="91" w:name="_Toc314842509"/>
      <w:bookmarkStart w:id="92" w:name="_Toc382916061"/>
      <w:r>
        <w:rPr>
          <w:lang w:eastAsia="en-AU"/>
        </w:rPr>
        <w:t>Risk m</w:t>
      </w:r>
      <w:r w:rsidR="008E7846">
        <w:rPr>
          <w:lang w:eastAsia="en-AU"/>
        </w:rPr>
        <w:t xml:space="preserve">anagement </w:t>
      </w:r>
      <w:r>
        <w:rPr>
          <w:lang w:eastAsia="en-AU"/>
        </w:rPr>
        <w:t>p</w:t>
      </w:r>
      <w:r w:rsidR="008E7846">
        <w:rPr>
          <w:lang w:eastAsia="en-AU"/>
        </w:rPr>
        <w:t>lan</w:t>
      </w:r>
      <w:bookmarkEnd w:id="90"/>
      <w:bookmarkEnd w:id="91"/>
      <w:bookmarkEnd w:id="92"/>
    </w:p>
    <w:p w:rsidR="008E7846" w:rsidRDefault="008E7846" w:rsidP="008E7846">
      <w:pPr>
        <w:rPr>
          <w:lang w:eastAsia="en-AU"/>
        </w:rPr>
      </w:pPr>
      <w:r>
        <w:rPr>
          <w:lang w:eastAsia="en-AU"/>
        </w:rPr>
        <w:t xml:space="preserve">The sponsor submitted a Risk Management Plan </w:t>
      </w:r>
      <w:r w:rsidR="00E4077D">
        <w:rPr>
          <w:lang w:eastAsia="en-AU"/>
        </w:rPr>
        <w:t xml:space="preserve">(RMP) </w:t>
      </w:r>
      <w:r>
        <w:rPr>
          <w:lang w:eastAsia="en-AU"/>
        </w:rPr>
        <w:t>which was reviewed by the TGA’s Office of Product Review (OPR).</w:t>
      </w:r>
    </w:p>
    <w:p w:rsidR="008E7846" w:rsidRDefault="003A7F6C" w:rsidP="008E7846">
      <w:pPr>
        <w:pStyle w:val="Heading4"/>
        <w:rPr>
          <w:lang w:eastAsia="en-AU"/>
        </w:rPr>
      </w:pPr>
      <w:r>
        <w:rPr>
          <w:lang w:eastAsia="en-AU"/>
        </w:rPr>
        <w:t>Safety s</w:t>
      </w:r>
      <w:r w:rsidR="008E7846">
        <w:rPr>
          <w:lang w:eastAsia="en-AU"/>
        </w:rPr>
        <w:t>pecification</w:t>
      </w:r>
    </w:p>
    <w:p w:rsidR="008E7846" w:rsidRDefault="008E7846" w:rsidP="008E7846">
      <w:pPr>
        <w:rPr>
          <w:lang w:eastAsia="en-AU"/>
        </w:rPr>
      </w:pPr>
      <w:r>
        <w:rPr>
          <w:lang w:eastAsia="en-AU"/>
        </w:rPr>
        <w:t xml:space="preserve">The sponsor provided a summary of </w:t>
      </w:r>
      <w:r w:rsidR="00834A94">
        <w:rPr>
          <w:lang w:eastAsia="en-AU"/>
        </w:rPr>
        <w:t>o</w:t>
      </w:r>
      <w:r>
        <w:rPr>
          <w:lang w:eastAsia="en-AU"/>
        </w:rPr>
        <w:t xml:space="preserve">ngoing safety </w:t>
      </w:r>
      <w:r w:rsidR="00834A94">
        <w:rPr>
          <w:lang w:eastAsia="en-AU"/>
        </w:rPr>
        <w:t>c</w:t>
      </w:r>
      <w:r>
        <w:rPr>
          <w:lang w:eastAsia="en-AU"/>
        </w:rPr>
        <w:t>oncerns which are shown at Table</w:t>
      </w:r>
      <w:r w:rsidR="004E06A6">
        <w:rPr>
          <w:lang w:eastAsia="en-AU"/>
        </w:rPr>
        <w:t xml:space="preserve"> 3.</w:t>
      </w:r>
    </w:p>
    <w:p w:rsidR="00CE4113" w:rsidRDefault="00CE4113" w:rsidP="00C703FF">
      <w:pPr>
        <w:pStyle w:val="TableTitle"/>
        <w:rPr>
          <w:lang w:val="en-GB"/>
        </w:rPr>
      </w:pPr>
      <w:proofErr w:type="gramStart"/>
      <w:r>
        <w:lastRenderedPageBreak/>
        <w:t xml:space="preserve">Table </w:t>
      </w:r>
      <w:r w:rsidR="007459D7">
        <w:t>3</w:t>
      </w:r>
      <w:r>
        <w:t>:</w:t>
      </w:r>
      <w:r w:rsidRPr="004C5C28">
        <w:t xml:space="preserve"> </w:t>
      </w:r>
      <w:r w:rsidR="008B4C02">
        <w:t xml:space="preserve">Ongoing safety </w:t>
      </w:r>
      <w:r w:rsidR="00CA11B3">
        <w:t xml:space="preserve">concerns for </w:t>
      </w:r>
      <w:proofErr w:type="spellStart"/>
      <w:r w:rsidR="00CA11B3">
        <w:t>Prolia</w:t>
      </w:r>
      <w:proofErr w:type="spellEnd"/>
      <w:r>
        <w:t>.</w:t>
      </w:r>
      <w:proofErr w:type="gramEnd"/>
    </w:p>
    <w:p w:rsidR="008E7846" w:rsidRDefault="00B73BA9" w:rsidP="008E7846">
      <w:pPr>
        <w:rPr>
          <w:lang w:eastAsia="en-AU"/>
        </w:rPr>
      </w:pPr>
      <w:r>
        <w:rPr>
          <w:noProof/>
          <w:lang w:eastAsia="en-AU"/>
        </w:rPr>
        <w:drawing>
          <wp:inline distT="0" distB="0" distL="0" distR="0">
            <wp:extent cx="4718050" cy="1901825"/>
            <wp:effectExtent l="0" t="0" r="6350" b="3175"/>
            <wp:docPr id="3" name="Picture 3" descr="Table 3: Ongoing safety concerns for Pro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 3: Ongoing safety concerns for Prol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18050" cy="1901825"/>
                    </a:xfrm>
                    <a:prstGeom prst="rect">
                      <a:avLst/>
                    </a:prstGeom>
                    <a:noFill/>
                    <a:ln>
                      <a:noFill/>
                    </a:ln>
                  </pic:spPr>
                </pic:pic>
              </a:graphicData>
            </a:graphic>
          </wp:inline>
        </w:drawing>
      </w:r>
    </w:p>
    <w:p w:rsidR="00C22C27" w:rsidRPr="000F1186" w:rsidRDefault="00C22C27" w:rsidP="000F1186">
      <w:pPr>
        <w:pStyle w:val="Heading5"/>
      </w:pPr>
      <w:r w:rsidRPr="000F1186">
        <w:t>Comments</w:t>
      </w:r>
    </w:p>
    <w:p w:rsidR="003775D2" w:rsidRDefault="00C22C27" w:rsidP="00C22C27">
      <w:r w:rsidRPr="00C22C27">
        <w:t>The sponsor states in RMP Version 2, submitted with the current application, that changes to the ongoing safety concerns since RMP Version 1.3 (last vers</w:t>
      </w:r>
      <w:r w:rsidR="003775D2">
        <w:t>ion submitted to the TGA) that:</w:t>
      </w:r>
    </w:p>
    <w:p w:rsidR="00C22C27" w:rsidRPr="003775D2" w:rsidRDefault="00C22C27" w:rsidP="003775D2">
      <w:pPr>
        <w:ind w:left="720"/>
        <w:rPr>
          <w:i/>
        </w:rPr>
      </w:pPr>
      <w:r w:rsidRPr="003775D2">
        <w:rPr>
          <w:i/>
        </w:rPr>
        <w:t>Hypersensitivity and atypical femoral fracture were transitioned from potential ris</w:t>
      </w:r>
      <w:r w:rsidR="00AD01B9">
        <w:rPr>
          <w:i/>
        </w:rPr>
        <w:t>ks to identified risks.</w:t>
      </w:r>
    </w:p>
    <w:p w:rsidR="00AC1ED2" w:rsidRDefault="00C22C27" w:rsidP="00C22C27">
      <w:r w:rsidRPr="00C22C27">
        <w:t xml:space="preserve">It is recommended to the Delegate that the sponsor re-name </w:t>
      </w:r>
      <w:r w:rsidR="00736537">
        <w:t xml:space="preserve">the important identified risk </w:t>
      </w:r>
      <w:r w:rsidRPr="00C22C27">
        <w:t>‘Skin infection leading to hospitali</w:t>
      </w:r>
      <w:r w:rsidR="00C372BB">
        <w:t>s</w:t>
      </w:r>
      <w:r w:rsidRPr="00C22C27">
        <w:t>ation’ to ‘</w:t>
      </w:r>
      <w:proofErr w:type="gramStart"/>
      <w:r w:rsidRPr="00C22C27">
        <w:t>Serious</w:t>
      </w:r>
      <w:proofErr w:type="gramEnd"/>
      <w:r w:rsidRPr="00C22C27">
        <w:t xml:space="preserve"> infection leading to </w:t>
      </w:r>
      <w:r w:rsidR="009943CA">
        <w:t>hospitalisation</w:t>
      </w:r>
      <w:r w:rsidRPr="00C22C27">
        <w:t xml:space="preserve">’. That is, serious infections reported in clinical trials with </w:t>
      </w:r>
      <w:proofErr w:type="spellStart"/>
      <w:r w:rsidRPr="00C22C27">
        <w:t>Prolia</w:t>
      </w:r>
      <w:proofErr w:type="spellEnd"/>
      <w:r w:rsidRPr="00C22C27">
        <w:t xml:space="preserve"> encompassed not only ski</w:t>
      </w:r>
      <w:r w:rsidR="00AC1ED2">
        <w:t>n infections but other organs:</w:t>
      </w:r>
    </w:p>
    <w:p w:rsidR="00AC1ED2" w:rsidRPr="00AC1ED2" w:rsidRDefault="00C22C27" w:rsidP="00AC1ED2">
      <w:pPr>
        <w:ind w:left="720"/>
        <w:rPr>
          <w:i/>
        </w:rPr>
      </w:pPr>
      <w:r w:rsidRPr="00AC1ED2">
        <w:rPr>
          <w:i/>
        </w:rPr>
        <w:t>WARNINGS AND PRECAUTIONS, 5.3 Serious Infections</w:t>
      </w:r>
      <w:r w:rsidR="00736537">
        <w:rPr>
          <w:i/>
        </w:rPr>
        <w:t xml:space="preserve"> </w:t>
      </w:r>
      <w:r w:rsidRPr="00AC1ED2">
        <w:rPr>
          <w:i/>
        </w:rPr>
        <w:t>-</w:t>
      </w:r>
      <w:r w:rsidR="00736537">
        <w:rPr>
          <w:i/>
        </w:rPr>
        <w:t xml:space="preserve"> </w:t>
      </w:r>
      <w:r w:rsidRPr="00AC1ED2">
        <w:rPr>
          <w:i/>
        </w:rPr>
        <w:t xml:space="preserve">In a clinical trial of over 7800 women with postmenopausal osteoporosis, serious infections leading to </w:t>
      </w:r>
      <w:r w:rsidR="009943CA" w:rsidRPr="00AC1ED2">
        <w:rPr>
          <w:i/>
        </w:rPr>
        <w:t>hospitalisation</w:t>
      </w:r>
      <w:r w:rsidRPr="00AC1ED2">
        <w:rPr>
          <w:i/>
        </w:rPr>
        <w:t xml:space="preserve"> were reported more frequently in the </w:t>
      </w:r>
      <w:proofErr w:type="spellStart"/>
      <w:r w:rsidRPr="00AC1ED2">
        <w:rPr>
          <w:i/>
        </w:rPr>
        <w:t>Prolia</w:t>
      </w:r>
      <w:proofErr w:type="spellEnd"/>
      <w:r w:rsidRPr="00AC1ED2">
        <w:rPr>
          <w:i/>
        </w:rPr>
        <w:t xml:space="preserve"> group than in the placebo group [see Adverse Reactions (6.1)]. Serious skin infections, as well as infections of the abdomen, urinary tract, and ear, were more frequent in patients treated with </w:t>
      </w:r>
      <w:proofErr w:type="spellStart"/>
      <w:r w:rsidRPr="00AC1ED2">
        <w:rPr>
          <w:i/>
        </w:rPr>
        <w:t>Prolia</w:t>
      </w:r>
      <w:proofErr w:type="spellEnd"/>
      <w:r w:rsidRPr="00AC1ED2">
        <w:rPr>
          <w:i/>
        </w:rPr>
        <w:t xml:space="preserve">. Endocarditis was also reported more frequently in </w:t>
      </w:r>
      <w:proofErr w:type="spellStart"/>
      <w:r w:rsidRPr="00AC1ED2">
        <w:rPr>
          <w:i/>
        </w:rPr>
        <w:t>Prolia</w:t>
      </w:r>
      <w:proofErr w:type="spellEnd"/>
      <w:r w:rsidRPr="00AC1ED2">
        <w:rPr>
          <w:i/>
        </w:rPr>
        <w:t>-treate</w:t>
      </w:r>
      <w:r w:rsidR="00AD01B9">
        <w:rPr>
          <w:i/>
        </w:rPr>
        <w:t>d patients</w:t>
      </w:r>
      <w:r w:rsidRPr="00AC1ED2">
        <w:rPr>
          <w:i/>
        </w:rPr>
        <w:t xml:space="preserve">…” </w:t>
      </w:r>
      <w:r w:rsidR="00AC1ED2" w:rsidRPr="00AC1ED2">
        <w:rPr>
          <w:i/>
        </w:rPr>
        <w:t>(</w:t>
      </w:r>
      <w:proofErr w:type="gramStart"/>
      <w:r w:rsidR="00AC1ED2" w:rsidRPr="00AC1ED2">
        <w:rPr>
          <w:i/>
        </w:rPr>
        <w:t>see</w:t>
      </w:r>
      <w:proofErr w:type="gramEnd"/>
      <w:r w:rsidR="00AC1ED2" w:rsidRPr="00AC1ED2">
        <w:rPr>
          <w:i/>
        </w:rPr>
        <w:t xml:space="preserve"> FDA product label page 7).</w:t>
      </w:r>
    </w:p>
    <w:p w:rsidR="00C22C27" w:rsidRPr="00C22C27" w:rsidRDefault="00C22C27" w:rsidP="00C22C27">
      <w:r w:rsidRPr="00C22C27">
        <w:t xml:space="preserve">It is also recommended to the Delegate that adequate and appropriate </w:t>
      </w:r>
      <w:proofErr w:type="spellStart"/>
      <w:r w:rsidRPr="00C22C27">
        <w:t>pharmacovigilance</w:t>
      </w:r>
      <w:proofErr w:type="spellEnd"/>
      <w:r w:rsidRPr="00C22C27">
        <w:t xml:space="preserve"> and risk </w:t>
      </w:r>
      <w:r w:rsidR="009943CA">
        <w:t>minimisation</w:t>
      </w:r>
      <w:r w:rsidRPr="00C22C27">
        <w:t xml:space="preserve"> activities are assigned to this risk.</w:t>
      </w:r>
    </w:p>
    <w:p w:rsidR="00AC1ED2" w:rsidRDefault="00C22C27" w:rsidP="00C22C27">
      <w:r w:rsidRPr="00C22C27">
        <w:t>It is recommended to the Delegate that the sponsor add ‘Suppression of bone turnover’ to the list important identified risks, as supported by data fr</w:t>
      </w:r>
      <w:r w:rsidR="00AC1ED2">
        <w:t xml:space="preserve">om clinical studies with </w:t>
      </w:r>
      <w:proofErr w:type="spellStart"/>
      <w:r w:rsidR="00AC1ED2">
        <w:t>Prolia</w:t>
      </w:r>
      <w:proofErr w:type="spellEnd"/>
      <w:r w:rsidR="00AC1ED2">
        <w:t>:</w:t>
      </w:r>
    </w:p>
    <w:p w:rsidR="00AC1ED2" w:rsidRPr="00AC1ED2" w:rsidRDefault="00C22C27" w:rsidP="00AC1ED2">
      <w:pPr>
        <w:ind w:left="720"/>
        <w:rPr>
          <w:i/>
        </w:rPr>
      </w:pPr>
      <w:r w:rsidRPr="00AC1ED2">
        <w:rPr>
          <w:i/>
        </w:rPr>
        <w:t>WARNINGS AND PRECUATIONS, 5.7 Suppression of Bone Turnover</w:t>
      </w:r>
      <w:r w:rsidR="00736537">
        <w:rPr>
          <w:i/>
        </w:rPr>
        <w:t xml:space="preserve"> </w:t>
      </w:r>
      <w:r w:rsidRPr="00AC1ED2">
        <w:rPr>
          <w:i/>
        </w:rPr>
        <w:t>-</w:t>
      </w:r>
      <w:r w:rsidR="00736537">
        <w:rPr>
          <w:i/>
        </w:rPr>
        <w:t xml:space="preserve"> </w:t>
      </w:r>
      <w:r w:rsidRPr="00AC1ED2">
        <w:rPr>
          <w:i/>
        </w:rPr>
        <w:t xml:space="preserve">In clinical trials in women with postmenopausal osteoporosis, treatment with </w:t>
      </w:r>
      <w:proofErr w:type="spellStart"/>
      <w:r w:rsidRPr="00AC1ED2">
        <w:rPr>
          <w:i/>
        </w:rPr>
        <w:t>Prolia</w:t>
      </w:r>
      <w:proofErr w:type="spellEnd"/>
      <w:r w:rsidRPr="00AC1ED2">
        <w:rPr>
          <w:i/>
        </w:rPr>
        <w:t xml:space="preserve"> resulted in significant suppression of bone </w:t>
      </w:r>
      <w:proofErr w:type="spellStart"/>
      <w:r w:rsidRPr="00AC1ED2">
        <w:rPr>
          <w:i/>
        </w:rPr>
        <w:t>remodeling</w:t>
      </w:r>
      <w:proofErr w:type="spellEnd"/>
      <w:r w:rsidRPr="00AC1ED2">
        <w:rPr>
          <w:i/>
        </w:rPr>
        <w:t xml:space="preserve"> as evidenced by markers of bone turnover and bone </w:t>
      </w:r>
      <w:proofErr w:type="spellStart"/>
      <w:r w:rsidRPr="00AC1ED2">
        <w:rPr>
          <w:i/>
        </w:rPr>
        <w:t>histomorphometry</w:t>
      </w:r>
      <w:proofErr w:type="spellEnd"/>
      <w:r w:rsidRPr="00AC1ED2">
        <w:rPr>
          <w:i/>
        </w:rPr>
        <w:t xml:space="preserve"> [see Clinical Pharmacology (12.2) and Clinical Studies (14.1)]. The significance of these findings and the effect of long-term treatment with </w:t>
      </w:r>
      <w:proofErr w:type="spellStart"/>
      <w:r w:rsidRPr="00AC1ED2">
        <w:rPr>
          <w:i/>
        </w:rPr>
        <w:t>Prolia</w:t>
      </w:r>
      <w:proofErr w:type="spellEnd"/>
      <w:r w:rsidRPr="00AC1ED2">
        <w:rPr>
          <w:i/>
        </w:rPr>
        <w:t xml:space="preserve"> are unknown. The long-term consequences of the degree of suppression of bone </w:t>
      </w:r>
      <w:proofErr w:type="spellStart"/>
      <w:r w:rsidRPr="00AC1ED2">
        <w:rPr>
          <w:i/>
        </w:rPr>
        <w:t>remodeling</w:t>
      </w:r>
      <w:proofErr w:type="spellEnd"/>
      <w:r w:rsidRPr="00AC1ED2">
        <w:rPr>
          <w:i/>
        </w:rPr>
        <w:t xml:space="preserve"> observed with </w:t>
      </w:r>
      <w:proofErr w:type="spellStart"/>
      <w:r w:rsidRPr="00AC1ED2">
        <w:rPr>
          <w:i/>
        </w:rPr>
        <w:t>Prolia</w:t>
      </w:r>
      <w:proofErr w:type="spellEnd"/>
      <w:r w:rsidRPr="00AC1ED2">
        <w:rPr>
          <w:i/>
        </w:rPr>
        <w:t xml:space="preserve"> may contribute to adverse outcomes such as osteonecrosis of the jaw, atypical fractures, and delayed fracture healing. Monitor patie</w:t>
      </w:r>
      <w:r w:rsidR="00AD01B9">
        <w:rPr>
          <w:i/>
        </w:rPr>
        <w:t>nts for these consequences</w:t>
      </w:r>
      <w:r w:rsidRPr="00AC1ED2">
        <w:rPr>
          <w:i/>
        </w:rPr>
        <w:t xml:space="preserve">” </w:t>
      </w:r>
      <w:r w:rsidR="00AC1ED2" w:rsidRPr="00AC1ED2">
        <w:rPr>
          <w:i/>
        </w:rPr>
        <w:t>(see FDA product label page 8).</w:t>
      </w:r>
    </w:p>
    <w:p w:rsidR="00C22C27" w:rsidRDefault="00C22C27" w:rsidP="00C22C27">
      <w:r w:rsidRPr="00C22C27">
        <w:t xml:space="preserve">It is also recommended to the Delegate that adequate and appropriate </w:t>
      </w:r>
      <w:proofErr w:type="spellStart"/>
      <w:r w:rsidRPr="00C22C27">
        <w:t>pharmacovigilance</w:t>
      </w:r>
      <w:proofErr w:type="spellEnd"/>
      <w:r w:rsidRPr="00C22C27">
        <w:t xml:space="preserve"> and risk </w:t>
      </w:r>
      <w:r w:rsidR="009943CA">
        <w:t>minimisation</w:t>
      </w:r>
      <w:r w:rsidRPr="00C22C27">
        <w:t xml:space="preserve"> activities are assigned to this risk</w:t>
      </w:r>
      <w:r>
        <w:t>.</w:t>
      </w:r>
    </w:p>
    <w:p w:rsidR="008E7846" w:rsidRDefault="008E7846" w:rsidP="008E7846">
      <w:pPr>
        <w:pStyle w:val="Heading4"/>
        <w:rPr>
          <w:lang w:eastAsia="en-AU"/>
        </w:rPr>
      </w:pPr>
      <w:proofErr w:type="spellStart"/>
      <w:r>
        <w:rPr>
          <w:lang w:eastAsia="en-AU"/>
        </w:rPr>
        <w:t>Pharmacovigilance</w:t>
      </w:r>
      <w:proofErr w:type="spellEnd"/>
      <w:r>
        <w:rPr>
          <w:lang w:eastAsia="en-AU"/>
        </w:rPr>
        <w:t xml:space="preserve"> </w:t>
      </w:r>
      <w:r w:rsidR="003A7F6C">
        <w:rPr>
          <w:lang w:eastAsia="en-AU"/>
        </w:rPr>
        <w:t>p</w:t>
      </w:r>
      <w:r>
        <w:rPr>
          <w:lang w:eastAsia="en-AU"/>
        </w:rPr>
        <w:t>lan</w:t>
      </w:r>
    </w:p>
    <w:p w:rsidR="00446366" w:rsidRDefault="0058044E" w:rsidP="008E7846">
      <w:pPr>
        <w:rPr>
          <w:lang w:eastAsia="en-AU"/>
        </w:rPr>
      </w:pPr>
      <w:r>
        <w:rPr>
          <w:lang w:eastAsia="en-AU"/>
        </w:rPr>
        <w:t xml:space="preserve">A summary of the </w:t>
      </w:r>
      <w:proofErr w:type="spellStart"/>
      <w:r>
        <w:rPr>
          <w:lang w:eastAsia="en-AU"/>
        </w:rPr>
        <w:t>pharmacovigilance</w:t>
      </w:r>
      <w:proofErr w:type="spellEnd"/>
      <w:r>
        <w:rPr>
          <w:lang w:eastAsia="en-AU"/>
        </w:rPr>
        <w:t xml:space="preserve"> plan is shown in Table 4.</w:t>
      </w:r>
    </w:p>
    <w:p w:rsidR="008B4C02" w:rsidRDefault="008B4C02" w:rsidP="00C703FF">
      <w:pPr>
        <w:pStyle w:val="TableTitle"/>
        <w:rPr>
          <w:lang w:val="en-GB"/>
        </w:rPr>
      </w:pPr>
      <w:proofErr w:type="gramStart"/>
      <w:r>
        <w:lastRenderedPageBreak/>
        <w:t xml:space="preserve">Table </w:t>
      </w:r>
      <w:r w:rsidR="002C1885">
        <w:t>4</w:t>
      </w:r>
      <w:r>
        <w:t>:</w:t>
      </w:r>
      <w:r w:rsidRPr="004C5C28">
        <w:t xml:space="preserve"> </w:t>
      </w:r>
      <w:r w:rsidR="0027236A">
        <w:t xml:space="preserve">Summary of </w:t>
      </w:r>
      <w:proofErr w:type="spellStart"/>
      <w:r w:rsidR="0027236A">
        <w:t>p</w:t>
      </w:r>
      <w:r>
        <w:t>harmacovigilance</w:t>
      </w:r>
      <w:proofErr w:type="spellEnd"/>
      <w:r>
        <w:t xml:space="preserve"> plan.</w:t>
      </w:r>
      <w:proofErr w:type="gramEnd"/>
    </w:p>
    <w:p w:rsidR="0058044E" w:rsidRDefault="00B73BA9" w:rsidP="008E7846">
      <w:pPr>
        <w:rPr>
          <w:lang w:eastAsia="en-AU"/>
        </w:rPr>
      </w:pPr>
      <w:r>
        <w:rPr>
          <w:noProof/>
          <w:lang w:eastAsia="en-AU"/>
        </w:rPr>
        <w:drawing>
          <wp:inline distT="0" distB="0" distL="0" distR="0">
            <wp:extent cx="5026660" cy="2244090"/>
            <wp:effectExtent l="0" t="0" r="2540" b="3810"/>
            <wp:docPr id="4" name="Picture 4" descr="Table 4: Summary of pharmacovigilanc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le 4: Summary of pharmacovigilance pla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6660" cy="2244090"/>
                    </a:xfrm>
                    <a:prstGeom prst="rect">
                      <a:avLst/>
                    </a:prstGeom>
                    <a:noFill/>
                    <a:ln>
                      <a:noFill/>
                    </a:ln>
                  </pic:spPr>
                </pic:pic>
              </a:graphicData>
            </a:graphic>
          </wp:inline>
        </w:drawing>
      </w:r>
    </w:p>
    <w:p w:rsidR="003E008A" w:rsidRPr="003E008A" w:rsidRDefault="003E008A" w:rsidP="003E008A">
      <w:pPr>
        <w:pStyle w:val="Heading5"/>
      </w:pPr>
      <w:r>
        <w:t>Comments</w:t>
      </w:r>
    </w:p>
    <w:p w:rsidR="008E7846" w:rsidRPr="003E008A" w:rsidRDefault="003E008A" w:rsidP="003E008A">
      <w:r w:rsidRPr="003E008A">
        <w:t xml:space="preserve">All additional </w:t>
      </w:r>
      <w:proofErr w:type="spellStart"/>
      <w:r w:rsidRPr="003E008A">
        <w:t>pharmacovigilance</w:t>
      </w:r>
      <w:proofErr w:type="spellEnd"/>
      <w:r w:rsidRPr="003E008A">
        <w:t xml:space="preserve"> activities are ongoing for </w:t>
      </w:r>
      <w:proofErr w:type="spellStart"/>
      <w:r w:rsidRPr="003E008A">
        <w:t>Prolia</w:t>
      </w:r>
      <w:proofErr w:type="spellEnd"/>
      <w:r w:rsidRPr="003E008A">
        <w:t>. Nevertheless</w:t>
      </w:r>
      <w:r w:rsidR="000517FC">
        <w:t>,</w:t>
      </w:r>
      <w:r w:rsidRPr="003E008A">
        <w:t xml:space="preserve"> it is expected that results of these studies will be communicated to the TGA via </w:t>
      </w:r>
      <w:r w:rsidR="00A476DC">
        <w:t>Periodic Safety Update Reports (</w:t>
      </w:r>
      <w:r w:rsidRPr="003E008A">
        <w:t>PSURs</w:t>
      </w:r>
      <w:r w:rsidR="00A476DC">
        <w:t>)</w:t>
      </w:r>
      <w:r w:rsidRPr="003E008A">
        <w:t xml:space="preserve"> and updates to the RMP at the same time as other regulatory agencies.</w:t>
      </w:r>
    </w:p>
    <w:p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3E008A" w:rsidRDefault="003E008A" w:rsidP="003E008A">
      <w:pPr>
        <w:rPr>
          <w:lang w:eastAsia="en-AU"/>
        </w:rPr>
      </w:pPr>
      <w:bookmarkStart w:id="93" w:name="_Toc247691527"/>
      <w:r>
        <w:rPr>
          <w:lang w:eastAsia="en-AU"/>
        </w:rPr>
        <w:t>A summary of the risk minimisation activities are</w:t>
      </w:r>
      <w:r w:rsidR="00363472">
        <w:rPr>
          <w:lang w:eastAsia="en-AU"/>
        </w:rPr>
        <w:t xml:space="preserve"> shown in Table 5</w:t>
      </w:r>
      <w:r>
        <w:rPr>
          <w:lang w:eastAsia="en-AU"/>
        </w:rPr>
        <w:t>.</w:t>
      </w:r>
    </w:p>
    <w:p w:rsidR="002C1885" w:rsidRDefault="002C1885" w:rsidP="00C703FF">
      <w:pPr>
        <w:pStyle w:val="TableTitle"/>
        <w:rPr>
          <w:lang w:val="en-GB"/>
        </w:rPr>
      </w:pPr>
      <w:proofErr w:type="gramStart"/>
      <w:r>
        <w:t>Table 5:</w:t>
      </w:r>
      <w:r w:rsidRPr="004C5C28">
        <w:t xml:space="preserve"> </w:t>
      </w:r>
      <w:r w:rsidR="003747C5">
        <w:t>Summary of risk minimisation activities</w:t>
      </w:r>
      <w:r>
        <w:t>.</w:t>
      </w:r>
      <w:proofErr w:type="gramEnd"/>
    </w:p>
    <w:p w:rsidR="002C1885" w:rsidRDefault="00B73BA9" w:rsidP="008E7846">
      <w:pPr>
        <w:rPr>
          <w:lang w:eastAsia="en-AU"/>
        </w:rPr>
      </w:pPr>
      <w:r>
        <w:rPr>
          <w:noProof/>
          <w:lang w:eastAsia="en-AU"/>
        </w:rPr>
        <w:drawing>
          <wp:inline distT="0" distB="0" distL="0" distR="0">
            <wp:extent cx="5026660" cy="1699895"/>
            <wp:effectExtent l="0" t="0" r="2540" b="0"/>
            <wp:docPr id="5" name="Picture 5" descr="Table 5: Summary of risk minimisation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 5: Summary of risk minimisation activiti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6660" cy="1699895"/>
                    </a:xfrm>
                    <a:prstGeom prst="rect">
                      <a:avLst/>
                    </a:prstGeom>
                    <a:noFill/>
                    <a:ln>
                      <a:noFill/>
                    </a:ln>
                  </pic:spPr>
                </pic:pic>
              </a:graphicData>
            </a:graphic>
          </wp:inline>
        </w:drawing>
      </w:r>
    </w:p>
    <w:p w:rsidR="00363472" w:rsidRPr="00363472" w:rsidRDefault="00363472" w:rsidP="00363472">
      <w:pPr>
        <w:pStyle w:val="Heading5"/>
      </w:pPr>
      <w:r>
        <w:t>Comments</w:t>
      </w:r>
    </w:p>
    <w:p w:rsidR="00363472" w:rsidRPr="00363472" w:rsidRDefault="00363472" w:rsidP="00363472">
      <w:r w:rsidRPr="00363472">
        <w:t>The sponsor concludes in the RMP that routine risk minimisation activities (</w:t>
      </w:r>
      <w:r w:rsidR="00702F6C">
        <w:t>PI</w:t>
      </w:r>
      <w:r w:rsidRPr="00363472">
        <w:t xml:space="preserve"> and </w:t>
      </w:r>
      <w:r w:rsidR="004F1E88">
        <w:t>Consumer Medicines Information [</w:t>
      </w:r>
      <w:r w:rsidR="000B2AF0">
        <w:t>CMI</w:t>
      </w:r>
      <w:r w:rsidR="004F1E88">
        <w:t>]</w:t>
      </w:r>
      <w:r w:rsidR="000B2AF0">
        <w:t>)</w:t>
      </w:r>
      <w:r w:rsidRPr="00363472">
        <w:t xml:space="preserve"> are sufficient to mitigate the risks asso</w:t>
      </w:r>
      <w:r w:rsidR="006E45E7">
        <w:t xml:space="preserve">ciated with </w:t>
      </w:r>
      <w:proofErr w:type="spellStart"/>
      <w:r w:rsidR="006E45E7">
        <w:t>Prolia</w:t>
      </w:r>
      <w:proofErr w:type="spellEnd"/>
      <w:r w:rsidR="006E45E7">
        <w:t>, except the four</w:t>
      </w:r>
      <w:r w:rsidRPr="00363472">
        <w:t xml:space="preserve"> important potential risks (Fracture healing complications, Infection, Cardiovascular events, Malignancy) where no risk minimisation a</w:t>
      </w:r>
      <w:r w:rsidR="00A07945">
        <w:t>ctivities are deemed necessary.</w:t>
      </w:r>
    </w:p>
    <w:p w:rsidR="00244767" w:rsidRDefault="00363472" w:rsidP="00363472">
      <w:r w:rsidRPr="00363472">
        <w:t>For the import</w:t>
      </w:r>
      <w:r w:rsidR="00244767">
        <w:t xml:space="preserve">ant identified risk </w:t>
      </w:r>
      <w:r w:rsidRPr="00363472">
        <w:t>‘Atypical femoral fracture’</w:t>
      </w:r>
      <w:r w:rsidR="00244767">
        <w:t>, the sponsor states in the RMP:</w:t>
      </w:r>
    </w:p>
    <w:p w:rsidR="00244767" w:rsidRPr="00244767" w:rsidRDefault="00363472" w:rsidP="00244767">
      <w:pPr>
        <w:ind w:left="720"/>
        <w:rPr>
          <w:i/>
        </w:rPr>
      </w:pPr>
      <w:r w:rsidRPr="00244767">
        <w:rPr>
          <w:i/>
        </w:rPr>
        <w:t>A change to the prescribing information is planned. Atypical femoral fracture will be added to the Precautions and Adverse Effects sec</w:t>
      </w:r>
      <w:r w:rsidR="00AD01B9">
        <w:rPr>
          <w:i/>
        </w:rPr>
        <w:t>tions (submission pending)</w:t>
      </w:r>
    </w:p>
    <w:p w:rsidR="00363472" w:rsidRPr="00363472" w:rsidRDefault="00363472" w:rsidP="00363472">
      <w:r w:rsidRPr="00363472">
        <w:t>However, this statement does not appear in the proposed Australian PI. It is recommended to the Delegate that the sponsor submit these proposed changes to the TGA.</w:t>
      </w:r>
    </w:p>
    <w:p w:rsidR="002C1885" w:rsidRDefault="00363472" w:rsidP="00363472">
      <w:r w:rsidRPr="00363472">
        <w:t xml:space="preserve">It is also recommended to the Delegate that additional precautions be added to relevant parts of the proposed Australian PI to further inform prescribers and healthcare professionals of the risks of serious infections, dermatologic adverse reactions, </w:t>
      </w:r>
      <w:proofErr w:type="gramStart"/>
      <w:r w:rsidRPr="00363472">
        <w:lastRenderedPageBreak/>
        <w:t>osteonecrosis</w:t>
      </w:r>
      <w:proofErr w:type="gramEnd"/>
      <w:r w:rsidRPr="00363472">
        <w:t xml:space="preserve"> of the jaw and suppression of bone turnover (see relevant information from the FDA Product Label below):</w:t>
      </w:r>
    </w:p>
    <w:p w:rsidR="00E76FF2" w:rsidRPr="00AD01B9" w:rsidRDefault="00E76FF2" w:rsidP="00E76FF2">
      <w:pPr>
        <w:ind w:left="720"/>
        <w:rPr>
          <w:i/>
        </w:rPr>
      </w:pPr>
      <w:r w:rsidRPr="00AD01B9">
        <w:rPr>
          <w:i/>
        </w:rPr>
        <w:t>5.3 Serious Infections</w:t>
      </w:r>
    </w:p>
    <w:p w:rsidR="00E76FF2" w:rsidRPr="00E76FF2" w:rsidRDefault="00E76FF2" w:rsidP="00E76FF2">
      <w:pPr>
        <w:ind w:left="720"/>
        <w:rPr>
          <w:i/>
        </w:rPr>
      </w:pPr>
      <w:r w:rsidRPr="00E76FF2">
        <w:rPr>
          <w:i/>
        </w:rPr>
        <w:t>In a clinical trial of over 7800 women with postmenopausal osteoporosis, serious infections leading to hospitali</w:t>
      </w:r>
      <w:r>
        <w:rPr>
          <w:i/>
        </w:rPr>
        <w:t>s</w:t>
      </w:r>
      <w:r w:rsidRPr="00E76FF2">
        <w:rPr>
          <w:i/>
        </w:rPr>
        <w:t xml:space="preserve">ation were reported more frequently in the </w:t>
      </w:r>
      <w:proofErr w:type="spellStart"/>
      <w:r w:rsidRPr="00E76FF2">
        <w:rPr>
          <w:i/>
        </w:rPr>
        <w:t>Prolia</w:t>
      </w:r>
      <w:proofErr w:type="spellEnd"/>
      <w:r w:rsidRPr="00E76FF2">
        <w:rPr>
          <w:i/>
        </w:rPr>
        <w:t xml:space="preserve"> group than in the placebo group [see Adverse Reactions (6.1)]. Serious skin infections, as well as infections of the abdomen, urinary tract, and ear, were more frequent in patients treated with </w:t>
      </w:r>
      <w:proofErr w:type="spellStart"/>
      <w:r w:rsidRPr="00E76FF2">
        <w:rPr>
          <w:i/>
        </w:rPr>
        <w:t>Prolia</w:t>
      </w:r>
      <w:proofErr w:type="spellEnd"/>
      <w:r w:rsidRPr="00E76FF2">
        <w:rPr>
          <w:i/>
        </w:rPr>
        <w:t xml:space="preserve">. Endocarditis was also reported more frequently in </w:t>
      </w:r>
      <w:proofErr w:type="spellStart"/>
      <w:r w:rsidRPr="00E76FF2">
        <w:rPr>
          <w:i/>
        </w:rPr>
        <w:t>Prolia</w:t>
      </w:r>
      <w:proofErr w:type="spellEnd"/>
      <w:r w:rsidRPr="00E76FF2">
        <w:rPr>
          <w:i/>
        </w:rPr>
        <w:t xml:space="preserve">-treated patients. The incidence of opportunistic infections was similar between placebo and </w:t>
      </w:r>
      <w:proofErr w:type="spellStart"/>
      <w:r w:rsidRPr="00E76FF2">
        <w:rPr>
          <w:i/>
        </w:rPr>
        <w:t>Prolia</w:t>
      </w:r>
      <w:proofErr w:type="spellEnd"/>
      <w:r w:rsidRPr="00E76FF2">
        <w:rPr>
          <w:i/>
        </w:rPr>
        <w:t xml:space="preserve"> groups, and the overall incidence of infections was similar between the treatment groups. </w:t>
      </w:r>
      <w:proofErr w:type="gramStart"/>
      <w:r w:rsidRPr="00E76FF2">
        <w:rPr>
          <w:i/>
        </w:rPr>
        <w:t>Advise</w:t>
      </w:r>
      <w:proofErr w:type="gramEnd"/>
      <w:r w:rsidRPr="00E76FF2">
        <w:rPr>
          <w:i/>
        </w:rPr>
        <w:t xml:space="preserve"> patients to seek prompt medical attention if they develop signs or symptoms of severe infection, including cellulitis.</w:t>
      </w:r>
    </w:p>
    <w:p w:rsidR="00E76FF2" w:rsidRPr="00E76FF2" w:rsidRDefault="00E76FF2" w:rsidP="00E76FF2">
      <w:pPr>
        <w:ind w:left="720"/>
        <w:rPr>
          <w:i/>
        </w:rPr>
      </w:pPr>
      <w:r w:rsidRPr="00E76FF2">
        <w:rPr>
          <w:i/>
        </w:rPr>
        <w:t xml:space="preserve">Patients on concomitant immunosuppressant agents or with impaired immune systems may be at increased risk for serious infections. Consider the benefit-risk profile in such patients before treating with </w:t>
      </w:r>
      <w:proofErr w:type="spellStart"/>
      <w:r w:rsidRPr="00E76FF2">
        <w:rPr>
          <w:i/>
        </w:rPr>
        <w:t>Prolia</w:t>
      </w:r>
      <w:proofErr w:type="spellEnd"/>
      <w:r w:rsidRPr="00E76FF2">
        <w:rPr>
          <w:i/>
        </w:rPr>
        <w:t xml:space="preserve">. In patients who develop serious infections while on </w:t>
      </w:r>
      <w:proofErr w:type="spellStart"/>
      <w:r w:rsidRPr="00E76FF2">
        <w:rPr>
          <w:i/>
        </w:rPr>
        <w:t>Prolia</w:t>
      </w:r>
      <w:proofErr w:type="spellEnd"/>
      <w:r w:rsidRPr="00E76FF2">
        <w:rPr>
          <w:i/>
        </w:rPr>
        <w:t>, prescribers should assess the need fo</w:t>
      </w:r>
      <w:r w:rsidR="00AD01B9">
        <w:rPr>
          <w:i/>
        </w:rPr>
        <w:t xml:space="preserve">r continued </w:t>
      </w:r>
      <w:proofErr w:type="spellStart"/>
      <w:r w:rsidR="00AD01B9">
        <w:rPr>
          <w:i/>
        </w:rPr>
        <w:t>Prolia</w:t>
      </w:r>
      <w:proofErr w:type="spellEnd"/>
      <w:r w:rsidR="00AD01B9">
        <w:rPr>
          <w:i/>
        </w:rPr>
        <w:t xml:space="preserve"> therapy</w:t>
      </w:r>
    </w:p>
    <w:p w:rsidR="00E76FF2" w:rsidRPr="00AD01B9" w:rsidRDefault="00E76FF2" w:rsidP="00E76FF2">
      <w:pPr>
        <w:ind w:left="720"/>
        <w:rPr>
          <w:i/>
        </w:rPr>
      </w:pPr>
      <w:r w:rsidRPr="00AD01B9">
        <w:rPr>
          <w:i/>
        </w:rPr>
        <w:t>5.4 Dermatologic Adverse Reactions</w:t>
      </w:r>
    </w:p>
    <w:p w:rsidR="00E76FF2" w:rsidRPr="00E76FF2" w:rsidRDefault="00E76FF2" w:rsidP="00E76FF2">
      <w:pPr>
        <w:ind w:left="720"/>
        <w:rPr>
          <w:i/>
        </w:rPr>
      </w:pPr>
      <w:r w:rsidRPr="00E76FF2">
        <w:rPr>
          <w:i/>
        </w:rPr>
        <w:t xml:space="preserve">In a large clinical trial of over 7800 women with postmenopausal osteoporosis, epidermal and dermal adverse events such as dermatitis, eczema, and rashes occurred at a significantly higher rate in the </w:t>
      </w:r>
      <w:proofErr w:type="spellStart"/>
      <w:r w:rsidRPr="00E76FF2">
        <w:rPr>
          <w:i/>
        </w:rPr>
        <w:t>Prolia</w:t>
      </w:r>
      <w:proofErr w:type="spellEnd"/>
      <w:r w:rsidRPr="00E76FF2">
        <w:rPr>
          <w:i/>
        </w:rPr>
        <w:t xml:space="preserve"> group compared to the placebo group. Most of these events were not specific to the injection site [see Adverse Reactions (6.1)]. Consider discontinuing </w:t>
      </w:r>
      <w:proofErr w:type="spellStart"/>
      <w:r w:rsidRPr="00E76FF2">
        <w:rPr>
          <w:i/>
        </w:rPr>
        <w:t>Prolia</w:t>
      </w:r>
      <w:proofErr w:type="spellEnd"/>
      <w:r w:rsidRPr="00E76FF2">
        <w:rPr>
          <w:i/>
        </w:rPr>
        <w:t xml:space="preserve"> </w:t>
      </w:r>
      <w:r w:rsidR="00AD01B9">
        <w:rPr>
          <w:i/>
        </w:rPr>
        <w:t xml:space="preserve">if severe symptoms </w:t>
      </w:r>
      <w:proofErr w:type="gramStart"/>
      <w:r w:rsidR="00AD01B9">
        <w:rPr>
          <w:i/>
        </w:rPr>
        <w:t xml:space="preserve">develop </w:t>
      </w:r>
      <w:r w:rsidRPr="00E76FF2">
        <w:rPr>
          <w:i/>
        </w:rPr>
        <w:t>”</w:t>
      </w:r>
      <w:proofErr w:type="gramEnd"/>
    </w:p>
    <w:p w:rsidR="00E76FF2" w:rsidRPr="00AD01B9" w:rsidRDefault="00E76FF2" w:rsidP="00E76FF2">
      <w:pPr>
        <w:ind w:left="720"/>
        <w:rPr>
          <w:i/>
        </w:rPr>
      </w:pPr>
      <w:r w:rsidRPr="00AD01B9">
        <w:rPr>
          <w:i/>
        </w:rPr>
        <w:t>5.7 Suppression of Bone Turnover</w:t>
      </w:r>
    </w:p>
    <w:p w:rsidR="00E76FF2" w:rsidRPr="00E76FF2" w:rsidRDefault="00E76FF2" w:rsidP="00E76FF2">
      <w:pPr>
        <w:ind w:left="720"/>
        <w:rPr>
          <w:i/>
        </w:rPr>
      </w:pPr>
      <w:r w:rsidRPr="00E76FF2">
        <w:rPr>
          <w:i/>
        </w:rPr>
        <w:t xml:space="preserve">In clinical trials in women with postmenopausal osteoporosis, treatment with </w:t>
      </w:r>
      <w:proofErr w:type="spellStart"/>
      <w:r w:rsidRPr="00E76FF2">
        <w:rPr>
          <w:i/>
        </w:rPr>
        <w:t>Prolia</w:t>
      </w:r>
      <w:proofErr w:type="spellEnd"/>
      <w:r w:rsidRPr="00E76FF2">
        <w:rPr>
          <w:i/>
        </w:rPr>
        <w:t xml:space="preserve"> resulted in significant suppression of bone </w:t>
      </w:r>
      <w:proofErr w:type="spellStart"/>
      <w:r w:rsidRPr="00E76FF2">
        <w:rPr>
          <w:i/>
        </w:rPr>
        <w:t>remodeling</w:t>
      </w:r>
      <w:proofErr w:type="spellEnd"/>
      <w:r w:rsidRPr="00E76FF2">
        <w:rPr>
          <w:i/>
        </w:rPr>
        <w:t xml:space="preserve"> as evidenced by markers of bone turnover and bone </w:t>
      </w:r>
      <w:proofErr w:type="spellStart"/>
      <w:r w:rsidRPr="00E76FF2">
        <w:rPr>
          <w:i/>
        </w:rPr>
        <w:t>histomorphometry</w:t>
      </w:r>
      <w:proofErr w:type="spellEnd"/>
      <w:r w:rsidRPr="00E76FF2">
        <w:rPr>
          <w:i/>
        </w:rPr>
        <w:t xml:space="preserve"> [see Clinical Pharmacology (12.2) and Clinical Studies (14.1)]. The significance of these findings and the effect of long-term treatment with </w:t>
      </w:r>
      <w:proofErr w:type="spellStart"/>
      <w:r w:rsidRPr="00E76FF2">
        <w:rPr>
          <w:i/>
        </w:rPr>
        <w:t>Prolia</w:t>
      </w:r>
      <w:proofErr w:type="spellEnd"/>
      <w:r w:rsidRPr="00E76FF2">
        <w:rPr>
          <w:i/>
        </w:rPr>
        <w:t xml:space="preserve"> are unknown. The long-term consequences of the degree of suppression of bone </w:t>
      </w:r>
      <w:proofErr w:type="spellStart"/>
      <w:r w:rsidRPr="00E76FF2">
        <w:rPr>
          <w:i/>
        </w:rPr>
        <w:t>remodeling</w:t>
      </w:r>
      <w:proofErr w:type="spellEnd"/>
      <w:r w:rsidRPr="00E76FF2">
        <w:rPr>
          <w:i/>
        </w:rPr>
        <w:t xml:space="preserve"> observed with </w:t>
      </w:r>
      <w:proofErr w:type="spellStart"/>
      <w:r w:rsidRPr="00E76FF2">
        <w:rPr>
          <w:i/>
        </w:rPr>
        <w:t>Prolia</w:t>
      </w:r>
      <w:proofErr w:type="spellEnd"/>
      <w:r w:rsidRPr="00E76FF2">
        <w:rPr>
          <w:i/>
        </w:rPr>
        <w:t xml:space="preserve"> may contribute to adverse outcomes such as osteonecrosis of the jaw, atypical fractures, and delayed fracture healing. Monitor patie</w:t>
      </w:r>
      <w:r w:rsidR="00AD01B9">
        <w:rPr>
          <w:i/>
        </w:rPr>
        <w:t>nts for these consequences</w:t>
      </w:r>
    </w:p>
    <w:p w:rsidR="00E76FF2" w:rsidRPr="00AD01B9" w:rsidRDefault="00E76FF2" w:rsidP="00E76FF2">
      <w:pPr>
        <w:ind w:left="720"/>
        <w:rPr>
          <w:i/>
        </w:rPr>
      </w:pPr>
      <w:r w:rsidRPr="00AD01B9">
        <w:rPr>
          <w:i/>
        </w:rPr>
        <w:t>5.</w:t>
      </w:r>
      <w:r w:rsidR="008978A6">
        <w:rPr>
          <w:i/>
        </w:rPr>
        <w:t>5 Osteonecrosis of the Jaw</w:t>
      </w:r>
    </w:p>
    <w:p w:rsidR="00E76FF2" w:rsidRPr="00E76FF2" w:rsidRDefault="00E76FF2" w:rsidP="00E76FF2">
      <w:pPr>
        <w:ind w:left="720"/>
        <w:rPr>
          <w:i/>
        </w:rPr>
      </w:pPr>
      <w:r w:rsidRPr="00E76FF2">
        <w:rPr>
          <w:i/>
        </w:rPr>
        <w:t>…A routine oral exam should be performed by the prescriber prior to init</w:t>
      </w:r>
      <w:r w:rsidR="00AD01B9">
        <w:rPr>
          <w:i/>
        </w:rPr>
        <w:t xml:space="preserve">iation of </w:t>
      </w:r>
      <w:proofErr w:type="spellStart"/>
      <w:r w:rsidR="00AD01B9">
        <w:rPr>
          <w:i/>
        </w:rPr>
        <w:t>Prolia</w:t>
      </w:r>
      <w:proofErr w:type="spellEnd"/>
      <w:r w:rsidR="00AD01B9">
        <w:rPr>
          <w:i/>
        </w:rPr>
        <w:t xml:space="preserve"> treatment</w:t>
      </w:r>
      <w:r w:rsidR="00064E39">
        <w:rPr>
          <w:i/>
        </w:rPr>
        <w:t>…</w:t>
      </w:r>
    </w:p>
    <w:p w:rsidR="00E76FF2" w:rsidRPr="00E76FF2" w:rsidRDefault="00E76FF2" w:rsidP="00E76FF2">
      <w:pPr>
        <w:ind w:left="720"/>
        <w:rPr>
          <w:i/>
        </w:rPr>
      </w:pPr>
      <w:r w:rsidRPr="00E76FF2">
        <w:rPr>
          <w:i/>
        </w:rPr>
        <w:t xml:space="preserve">…Discontinuation of </w:t>
      </w:r>
      <w:proofErr w:type="spellStart"/>
      <w:r w:rsidRPr="00E76FF2">
        <w:rPr>
          <w:i/>
        </w:rPr>
        <w:t>Prolia</w:t>
      </w:r>
      <w:proofErr w:type="spellEnd"/>
      <w:r w:rsidRPr="00E76FF2">
        <w:rPr>
          <w:i/>
        </w:rPr>
        <w:t xml:space="preserve"> therapy should be considered based on individu</w:t>
      </w:r>
      <w:r w:rsidR="00AD01B9">
        <w:rPr>
          <w:i/>
        </w:rPr>
        <w:t>al benefit-risk assessment</w:t>
      </w:r>
    </w:p>
    <w:p w:rsidR="00E76FF2" w:rsidRPr="00E76FF2" w:rsidRDefault="00E76FF2" w:rsidP="00E76FF2">
      <w:pPr>
        <w:ind w:left="720"/>
        <w:rPr>
          <w:i/>
        </w:rPr>
      </w:pPr>
      <w:r w:rsidRPr="00E76FF2">
        <w:rPr>
          <w:i/>
        </w:rPr>
        <w:t xml:space="preserve">It is recommended to the Delegate that the sponsor revise the PRECAUTION in the proposed Australian PI on Carcinogenicity to inform prescribers and healthcare professionals that malignancies with </w:t>
      </w:r>
      <w:proofErr w:type="spellStart"/>
      <w:r w:rsidRPr="00E76FF2">
        <w:rPr>
          <w:i/>
        </w:rPr>
        <w:t>Prolia</w:t>
      </w:r>
      <w:proofErr w:type="spellEnd"/>
      <w:r w:rsidRPr="00E76FF2">
        <w:rPr>
          <w:i/>
        </w:rPr>
        <w:t xml:space="preserve"> have been reported (see relevant information from the FDA Product Label below):</w:t>
      </w:r>
    </w:p>
    <w:p w:rsidR="00E76FF2" w:rsidRPr="00AD01B9" w:rsidRDefault="00E76FF2" w:rsidP="00E76FF2">
      <w:pPr>
        <w:ind w:left="720"/>
        <w:rPr>
          <w:i/>
        </w:rPr>
      </w:pPr>
      <w:r w:rsidRPr="00AD01B9">
        <w:rPr>
          <w:i/>
        </w:rPr>
        <w:t xml:space="preserve">New Malignancies </w:t>
      </w:r>
    </w:p>
    <w:p w:rsidR="00E76FF2" w:rsidRPr="00E76FF2" w:rsidRDefault="00E76FF2" w:rsidP="00E76FF2">
      <w:pPr>
        <w:ind w:left="720"/>
        <w:rPr>
          <w:i/>
        </w:rPr>
      </w:pPr>
      <w:r w:rsidRPr="00E76FF2">
        <w:rPr>
          <w:i/>
        </w:rPr>
        <w:t xml:space="preserve">The overall incidence of new malignancies was 4.3% in the placebo and 4.8% in the </w:t>
      </w:r>
      <w:proofErr w:type="spellStart"/>
      <w:r w:rsidRPr="00E76FF2">
        <w:rPr>
          <w:i/>
        </w:rPr>
        <w:t>Prolia</w:t>
      </w:r>
      <w:proofErr w:type="spellEnd"/>
      <w:r w:rsidRPr="00E76FF2">
        <w:rPr>
          <w:i/>
        </w:rPr>
        <w:t xml:space="preserve"> groups. New malignancies related to the breast (0.7% placebo vs. 0.9% </w:t>
      </w:r>
      <w:proofErr w:type="spellStart"/>
      <w:r w:rsidRPr="00E76FF2">
        <w:rPr>
          <w:i/>
        </w:rPr>
        <w:t>Prolia</w:t>
      </w:r>
      <w:proofErr w:type="spellEnd"/>
      <w:r w:rsidRPr="00E76FF2">
        <w:rPr>
          <w:i/>
        </w:rPr>
        <w:t xml:space="preserve">), reproductive system (0.2% placebo vs. 0.5% </w:t>
      </w:r>
      <w:proofErr w:type="spellStart"/>
      <w:r w:rsidRPr="00E76FF2">
        <w:rPr>
          <w:i/>
        </w:rPr>
        <w:t>Prolia</w:t>
      </w:r>
      <w:proofErr w:type="spellEnd"/>
      <w:r w:rsidRPr="00E76FF2">
        <w:rPr>
          <w:i/>
        </w:rPr>
        <w:t xml:space="preserve">), and gastrointestinal system (0.6% placebo vs. 0.9% </w:t>
      </w:r>
      <w:proofErr w:type="spellStart"/>
      <w:r w:rsidRPr="00E76FF2">
        <w:rPr>
          <w:i/>
        </w:rPr>
        <w:t>Prolia</w:t>
      </w:r>
      <w:proofErr w:type="spellEnd"/>
      <w:r w:rsidRPr="00E76FF2">
        <w:rPr>
          <w:i/>
        </w:rPr>
        <w:t>) were reported. A causal relationship to drug exposur</w:t>
      </w:r>
      <w:r w:rsidR="00AD01B9">
        <w:rPr>
          <w:i/>
        </w:rPr>
        <w:t>e has not been established</w:t>
      </w:r>
    </w:p>
    <w:p w:rsidR="00E76FF2" w:rsidRPr="00E76FF2" w:rsidRDefault="00E76FF2" w:rsidP="00E76FF2">
      <w:pPr>
        <w:ind w:left="720"/>
        <w:rPr>
          <w:i/>
        </w:rPr>
      </w:pPr>
      <w:r w:rsidRPr="00E76FF2">
        <w:rPr>
          <w:i/>
        </w:rPr>
        <w:lastRenderedPageBreak/>
        <w:t>New malignancies were reported in no patients in the placebo group and 4 (3.3%) patients (3 prostate cancers, 1 basal cell carc</w:t>
      </w:r>
      <w:r w:rsidR="00AD01B9">
        <w:rPr>
          <w:i/>
        </w:rPr>
        <w:t xml:space="preserve">inoma) in the </w:t>
      </w:r>
      <w:proofErr w:type="spellStart"/>
      <w:r w:rsidR="00AD01B9">
        <w:rPr>
          <w:i/>
        </w:rPr>
        <w:t>Prolia</w:t>
      </w:r>
      <w:proofErr w:type="spellEnd"/>
      <w:r w:rsidR="00AD01B9">
        <w:rPr>
          <w:i/>
        </w:rPr>
        <w:t xml:space="preserve"> group</w:t>
      </w:r>
    </w:p>
    <w:p w:rsidR="00363472" w:rsidRPr="00E76FF2" w:rsidRDefault="00E76FF2" w:rsidP="009A00EA">
      <w:pPr>
        <w:ind w:left="720"/>
        <w:rPr>
          <w:i/>
        </w:rPr>
      </w:pPr>
      <w:r w:rsidRPr="00E76FF2">
        <w:rPr>
          <w:i/>
        </w:rPr>
        <w:t>It is noted for the important potential risk - Cataracts in men with prostate cancer receiving androgen deprivation therapy the sponsor states in the RMP that “Language on cataract in men with prostate</w:t>
      </w:r>
      <w:r w:rsidR="009A00EA">
        <w:rPr>
          <w:i/>
        </w:rPr>
        <w:t xml:space="preserve"> </w:t>
      </w:r>
      <w:r w:rsidRPr="00E76FF2">
        <w:rPr>
          <w:i/>
        </w:rPr>
        <w:t>cancer receiving ADT has been included in t</w:t>
      </w:r>
      <w:r w:rsidR="008978A6">
        <w:rPr>
          <w:i/>
        </w:rPr>
        <w:t>he prescribing information.</w:t>
      </w:r>
      <w:r w:rsidRPr="00E76FF2">
        <w:rPr>
          <w:i/>
        </w:rPr>
        <w:t>” and that in the proposed Australian PI (ADVERSE EFFECTS) it is stated “Adverse reactions defined as adverse events reported in men with bone loss associated with androgen deprivation (n = 1456) occ</w:t>
      </w:r>
      <w:r>
        <w:rPr>
          <w:i/>
        </w:rPr>
        <w:t xml:space="preserve">urring in at least 2% of </w:t>
      </w:r>
      <w:proofErr w:type="spellStart"/>
      <w:r>
        <w:rPr>
          <w:i/>
        </w:rPr>
        <w:t>Prolia</w:t>
      </w:r>
      <w:proofErr w:type="spellEnd"/>
      <w:r w:rsidRPr="00E76FF2">
        <w:rPr>
          <w:i/>
        </w:rPr>
        <w:t xml:space="preserve">-treated men) and at least 1% more frequently in </w:t>
      </w:r>
      <w:proofErr w:type="spellStart"/>
      <w:r w:rsidRPr="00E76FF2">
        <w:rPr>
          <w:i/>
        </w:rPr>
        <w:t>Prolia</w:t>
      </w:r>
      <w:proofErr w:type="spellEnd"/>
      <w:r w:rsidRPr="00E76FF2">
        <w:rPr>
          <w:i/>
        </w:rPr>
        <w:t>-treated men than placebo-treated men were:</w:t>
      </w:r>
      <w:r>
        <w:rPr>
          <w:i/>
        </w:rPr>
        <w:t xml:space="preserve"> </w:t>
      </w:r>
      <w:r w:rsidRPr="00E76FF2">
        <w:rPr>
          <w:i/>
        </w:rPr>
        <w:t xml:space="preserve">...cataract (4.7% </w:t>
      </w:r>
      <w:proofErr w:type="spellStart"/>
      <w:r w:rsidRPr="00E76FF2">
        <w:rPr>
          <w:i/>
        </w:rPr>
        <w:t>Pro</w:t>
      </w:r>
      <w:r w:rsidR="00AD01B9">
        <w:rPr>
          <w:i/>
        </w:rPr>
        <w:t>lia</w:t>
      </w:r>
      <w:proofErr w:type="spellEnd"/>
      <w:r w:rsidR="00AD01B9">
        <w:rPr>
          <w:i/>
        </w:rPr>
        <w:t>, 1.2% placebo)</w:t>
      </w:r>
      <w:r w:rsidR="00064E39">
        <w:rPr>
          <w:i/>
        </w:rPr>
        <w:t>.</w:t>
      </w:r>
    </w:p>
    <w:p w:rsidR="008E7846" w:rsidRDefault="008E7846" w:rsidP="008E7846">
      <w:pPr>
        <w:pStyle w:val="Heading4"/>
        <w:rPr>
          <w:lang w:eastAsia="en-AU"/>
        </w:rPr>
      </w:pPr>
      <w:r>
        <w:rPr>
          <w:lang w:eastAsia="en-AU"/>
        </w:rPr>
        <w:t xml:space="preserve">Summary of </w:t>
      </w:r>
      <w:r w:rsidR="003A7F6C">
        <w:rPr>
          <w:lang w:eastAsia="en-AU"/>
        </w:rPr>
        <w:t>r</w:t>
      </w:r>
      <w:r>
        <w:rPr>
          <w:lang w:eastAsia="en-AU"/>
        </w:rPr>
        <w:t>ecommendations</w:t>
      </w:r>
    </w:p>
    <w:p w:rsidR="00A06DF1" w:rsidRPr="00174108" w:rsidRDefault="00A06DF1" w:rsidP="00174108">
      <w:r w:rsidRPr="00174108">
        <w:t xml:space="preserve">The OPR provides these recommendations in the context that the submitted RMP is supportive to the application; the implementation of the </w:t>
      </w:r>
      <w:proofErr w:type="spellStart"/>
      <w:r w:rsidRPr="00174108">
        <w:t>Prolia</w:t>
      </w:r>
      <w:proofErr w:type="spellEnd"/>
      <w:r w:rsidRPr="00174108">
        <w:t xml:space="preserve"> (</w:t>
      </w:r>
      <w:proofErr w:type="spellStart"/>
      <w:r w:rsidRPr="00174108">
        <w:t>denosumab</w:t>
      </w:r>
      <w:proofErr w:type="spellEnd"/>
      <w:r w:rsidRPr="00174108">
        <w:t>) AU RMP V</w:t>
      </w:r>
      <w:r w:rsidR="00A413F8">
        <w:t>ersion 2, dated 29 August 2012 (data lock point 26 May 2012)</w:t>
      </w:r>
      <w:r w:rsidRPr="00174108">
        <w:t>, and any future updates is imposed as a condition of registration;</w:t>
      </w:r>
      <w:r w:rsidR="009943CA">
        <w:t xml:space="preserve"> </w:t>
      </w:r>
      <w:r w:rsidRPr="00174108">
        <w:t>and the submitted EU-RMP is applicable without modification in Australia unless so qualified:</w:t>
      </w:r>
    </w:p>
    <w:p w:rsidR="00A06DF1" w:rsidRPr="00AD01B9" w:rsidRDefault="00174108" w:rsidP="00AD01B9">
      <w:r w:rsidRPr="00AD01B9">
        <w:t>S</w:t>
      </w:r>
      <w:r w:rsidR="00A06DF1" w:rsidRPr="00AD01B9">
        <w:t>afety considerations may be</w:t>
      </w:r>
      <w:r w:rsidR="009019E0" w:rsidRPr="00AD01B9">
        <w:t xml:space="preserve"> raised by the clinical and non</w:t>
      </w:r>
      <w:r w:rsidR="00A06DF1" w:rsidRPr="00AD01B9">
        <w:t xml:space="preserve">clinical evaluators through the consolidated section 31 request and/or the nonclinical and clinical </w:t>
      </w:r>
      <w:r w:rsidR="009019E0" w:rsidRPr="00AD01B9">
        <w:t>e</w:t>
      </w:r>
      <w:r w:rsidR="00A06DF1" w:rsidRPr="00AD01B9">
        <w:t xml:space="preserve">valuation </w:t>
      </w:r>
      <w:r w:rsidR="009019E0" w:rsidRPr="00AD01B9">
        <w:t>r</w:t>
      </w:r>
      <w:r w:rsidR="00A06DF1" w:rsidRPr="00AD01B9">
        <w:t>eports</w:t>
      </w:r>
      <w:r w:rsidR="009019E0" w:rsidRPr="00AD01B9">
        <w:t>,</w:t>
      </w:r>
      <w:r w:rsidR="00A06DF1" w:rsidRPr="00AD01B9">
        <w:t xml:space="preserve"> respectively.</w:t>
      </w:r>
      <w:r w:rsidR="009943CA" w:rsidRPr="00AD01B9">
        <w:t xml:space="preserve"> </w:t>
      </w:r>
      <w:r w:rsidR="00A06DF1" w:rsidRPr="00AD01B9">
        <w:t xml:space="preserve">It is important to ensure that the information provided in response to these includes consideration of the relevance for the </w:t>
      </w:r>
      <w:r w:rsidR="009019E0" w:rsidRPr="00AD01B9">
        <w:t>RMP</w:t>
      </w:r>
      <w:r w:rsidR="00A06DF1" w:rsidRPr="00AD01B9">
        <w:t>, and any specific information needed to address this issue in the RMP.</w:t>
      </w:r>
      <w:r w:rsidR="009943CA" w:rsidRPr="00AD01B9">
        <w:t xml:space="preserve"> </w:t>
      </w:r>
      <w:r w:rsidR="00A06DF1" w:rsidRPr="00AD01B9">
        <w:t>For any safety considerations so raised, please provide information that is relevant and necessary to address the issue in the RMP.</w:t>
      </w:r>
    </w:p>
    <w:p w:rsidR="00A06DF1" w:rsidRPr="00174108" w:rsidRDefault="00A06DF1" w:rsidP="00AD01B9">
      <w:pPr>
        <w:pStyle w:val="ListBullet"/>
      </w:pPr>
      <w:r w:rsidRPr="00174108">
        <w:t>It is recommended that the Delegate implement AU RMP V</w:t>
      </w:r>
      <w:r w:rsidR="007C31C8">
        <w:t>ersion 2, dated 29 August 2012 (data lock point 26 May 2012)</w:t>
      </w:r>
      <w:r w:rsidRPr="00174108">
        <w:t>, and any future updates as a condition of registration.</w:t>
      </w:r>
    </w:p>
    <w:p w:rsidR="00A06DF1" w:rsidRPr="00174108" w:rsidRDefault="00A06DF1" w:rsidP="00AD01B9">
      <w:pPr>
        <w:pStyle w:val="ListBullet"/>
      </w:pPr>
      <w:r w:rsidRPr="00174108">
        <w:t>It is recommended the Delegate consider that the proposed indication may allow for prescribing in inappropriate populations, for example, those men who may not be at high risk of fracture or those who have not failed or are intolerant to other treatments.</w:t>
      </w:r>
    </w:p>
    <w:p w:rsidR="00A06DF1" w:rsidRPr="00174108" w:rsidRDefault="00A06DF1" w:rsidP="00AD01B9">
      <w:pPr>
        <w:pStyle w:val="ListBullet"/>
      </w:pPr>
      <w:r w:rsidRPr="00174108">
        <w:t xml:space="preserve">It is recommended to the Delegate that the sponsor re-name </w:t>
      </w:r>
      <w:r w:rsidR="0063536B">
        <w:t xml:space="preserve">the important identified risk </w:t>
      </w:r>
      <w:r w:rsidRPr="00174108">
        <w:t xml:space="preserve">‘Skin infection leading to </w:t>
      </w:r>
      <w:r w:rsidR="009943CA">
        <w:t>hospitalisation</w:t>
      </w:r>
      <w:r w:rsidRPr="00174108">
        <w:t>’ to ‘</w:t>
      </w:r>
      <w:proofErr w:type="gramStart"/>
      <w:r w:rsidRPr="00174108">
        <w:t>Serious</w:t>
      </w:r>
      <w:proofErr w:type="gramEnd"/>
      <w:r w:rsidRPr="00174108">
        <w:t xml:space="preserve"> infection leading to </w:t>
      </w:r>
      <w:r w:rsidR="009943CA">
        <w:t>hospitalisation</w:t>
      </w:r>
      <w:r w:rsidRPr="00174108">
        <w:t xml:space="preserve">’. That is, serious infections reported in clinical trials with </w:t>
      </w:r>
      <w:proofErr w:type="spellStart"/>
      <w:r w:rsidRPr="00174108">
        <w:t>Prolia</w:t>
      </w:r>
      <w:proofErr w:type="spellEnd"/>
      <w:r w:rsidRPr="00174108">
        <w:t xml:space="preserve"> encompassed not only skin infections but other organs. It is also recommended to the Delegate that adequate and appropriate </w:t>
      </w:r>
      <w:proofErr w:type="spellStart"/>
      <w:r w:rsidRPr="00174108">
        <w:t>pharmacovigilance</w:t>
      </w:r>
      <w:proofErr w:type="spellEnd"/>
      <w:r w:rsidRPr="00174108">
        <w:t xml:space="preserve"> and risk </w:t>
      </w:r>
      <w:r w:rsidR="009943CA">
        <w:t>minimisation</w:t>
      </w:r>
      <w:r w:rsidRPr="00174108">
        <w:t xml:space="preserve"> activities are assigned to this risk.</w:t>
      </w:r>
    </w:p>
    <w:p w:rsidR="00A06DF1" w:rsidRPr="00174108" w:rsidRDefault="00A06DF1" w:rsidP="00AD01B9">
      <w:pPr>
        <w:pStyle w:val="ListBullet"/>
      </w:pPr>
      <w:r w:rsidRPr="00174108">
        <w:t xml:space="preserve">It is recommended to the Delegate that the sponsor add ‘Suppression of bone turnover’ to the list important identified risks, as supported by data from clinical studies with </w:t>
      </w:r>
      <w:proofErr w:type="spellStart"/>
      <w:r w:rsidRPr="00174108">
        <w:t>Prolia</w:t>
      </w:r>
      <w:proofErr w:type="spellEnd"/>
      <w:r w:rsidRPr="00174108">
        <w:t xml:space="preserve">. It is also recommended to the Delegate that adequate and appropriate </w:t>
      </w:r>
      <w:proofErr w:type="spellStart"/>
      <w:r w:rsidRPr="00174108">
        <w:t>pharmacovigilance</w:t>
      </w:r>
      <w:proofErr w:type="spellEnd"/>
      <w:r w:rsidRPr="00174108">
        <w:t xml:space="preserve"> and risk </w:t>
      </w:r>
      <w:r w:rsidR="009943CA">
        <w:t>minimisation</w:t>
      </w:r>
      <w:r w:rsidRPr="00174108">
        <w:t xml:space="preserve"> activities are assigned to this risk.</w:t>
      </w:r>
    </w:p>
    <w:p w:rsidR="00A06DF1" w:rsidRPr="00174108" w:rsidRDefault="00A06DF1" w:rsidP="00AD01B9">
      <w:pPr>
        <w:pStyle w:val="ListBullet"/>
      </w:pPr>
      <w:r w:rsidRPr="00174108">
        <w:t>It is recommended to the Delegate that the sponsor provide the proposed Australian PI changes for</w:t>
      </w:r>
      <w:r w:rsidR="0063536B">
        <w:t xml:space="preserve"> the important identified risk</w:t>
      </w:r>
      <w:r w:rsidRPr="00174108">
        <w:t xml:space="preserve"> ‘Atypical femoral fracture’</w:t>
      </w:r>
      <w:r w:rsidR="0063536B">
        <w:t xml:space="preserve"> (the sponsor states in the RMP: </w:t>
      </w:r>
      <w:r w:rsidRPr="00174108">
        <w:t>“A change to the prescribing information is planned. Atypical femoral fracture will be added to the Precautions and Adverse Effects secti</w:t>
      </w:r>
      <w:r w:rsidR="00AD01B9">
        <w:t>ons (submission pending)</w:t>
      </w:r>
      <w:r w:rsidR="0063536B">
        <w:t>”.</w:t>
      </w:r>
    </w:p>
    <w:p w:rsidR="00A06DF1" w:rsidRPr="00174108" w:rsidRDefault="00A06DF1" w:rsidP="00AD01B9">
      <w:pPr>
        <w:pStyle w:val="ListBullet"/>
      </w:pPr>
      <w:r w:rsidRPr="00174108">
        <w:t xml:space="preserve">It is also recommended to the Delegate that additional precautions be added to relevant parts of the proposed Australian PI to further inform prescribers and healthcare professionals of the risks of serious infections, dermatologic adverse reactions and osteonecrosis of the jaw and suppression of bone turnover (see relevant </w:t>
      </w:r>
      <w:r w:rsidRPr="00174108">
        <w:lastRenderedPageBreak/>
        <w:t>information extracted from the FDA Product Label in Risk Minimisation Activities section).</w:t>
      </w:r>
    </w:p>
    <w:p w:rsidR="00C40B29" w:rsidRPr="00174108" w:rsidRDefault="008F1352" w:rsidP="00AD01B9">
      <w:pPr>
        <w:pStyle w:val="ListBullet"/>
      </w:pPr>
      <w:r>
        <w:t xml:space="preserve">It is recommended to </w:t>
      </w:r>
      <w:r w:rsidR="00A06DF1" w:rsidRPr="00174108">
        <w:t xml:space="preserve">the Delegate that the sponsor revise the PRECAUTION in the proposed Australian PI on Carcinogenicity to inform prescribers and healthcare professionals that malignancies with </w:t>
      </w:r>
      <w:proofErr w:type="spellStart"/>
      <w:r w:rsidR="00A06DF1" w:rsidRPr="00174108">
        <w:t>Prolia</w:t>
      </w:r>
      <w:proofErr w:type="spellEnd"/>
      <w:r w:rsidR="00A06DF1" w:rsidRPr="00174108">
        <w:t xml:space="preserve"> have been reported (see relevant information extracted from the FDA Product Label in Risk Minimisation Activities section</w:t>
      </w:r>
      <w:r w:rsidR="00620A87">
        <w:t>)</w:t>
      </w:r>
      <w:r w:rsidR="00A06DF1" w:rsidRPr="00174108">
        <w:t>.</w:t>
      </w:r>
    </w:p>
    <w:p w:rsidR="008E7846" w:rsidRPr="00792A32" w:rsidRDefault="008E7846" w:rsidP="008E7846">
      <w:pPr>
        <w:pStyle w:val="Heading2"/>
      </w:pPr>
      <w:bookmarkStart w:id="94" w:name="_Toc314842510"/>
      <w:bookmarkStart w:id="95" w:name="_Toc382916062"/>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68"/>
      <w:bookmarkEnd w:id="93"/>
      <w:bookmarkEnd w:id="94"/>
      <w:bookmarkEnd w:id="95"/>
    </w:p>
    <w:p w:rsidR="008E7846" w:rsidRDefault="008E7846" w:rsidP="008E7846">
      <w:bookmarkStart w:id="96"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97" w:name="_Toc314842511"/>
      <w:bookmarkStart w:id="98" w:name="_Toc382916063"/>
      <w:r>
        <w:t>Quality</w:t>
      </w:r>
      <w:bookmarkEnd w:id="96"/>
      <w:bookmarkEnd w:id="97"/>
      <w:bookmarkEnd w:id="98"/>
    </w:p>
    <w:p w:rsidR="00E45619" w:rsidRDefault="008E7846" w:rsidP="003A7F6C">
      <w:r>
        <w:t>There was no requirement for a quality evaluation in a submission of this type.</w:t>
      </w:r>
    </w:p>
    <w:p w:rsidR="008E7846" w:rsidRDefault="008E7846" w:rsidP="008E7846">
      <w:pPr>
        <w:pStyle w:val="Heading3"/>
      </w:pPr>
      <w:bookmarkStart w:id="99" w:name="_Toc314842512"/>
      <w:bookmarkStart w:id="100" w:name="_Toc382916064"/>
      <w:r>
        <w:t>Nonclinical</w:t>
      </w:r>
      <w:bookmarkEnd w:id="99"/>
      <w:bookmarkEnd w:id="100"/>
    </w:p>
    <w:p w:rsidR="008E7846" w:rsidRDefault="008E7846" w:rsidP="008E7846">
      <w:r>
        <w:t>T</w:t>
      </w:r>
      <w:r w:rsidR="002F79FB">
        <w:t>here was no requirement for a n</w:t>
      </w:r>
      <w:r w:rsidR="0030264D">
        <w:t>o</w:t>
      </w:r>
      <w:r>
        <w:t>nclinical evaluation in a submission of this type.</w:t>
      </w:r>
    </w:p>
    <w:p w:rsidR="008E7846" w:rsidRDefault="008E7846" w:rsidP="008E7846">
      <w:pPr>
        <w:pStyle w:val="Heading3"/>
      </w:pPr>
      <w:bookmarkStart w:id="101" w:name="_Toc247691530"/>
      <w:bookmarkStart w:id="102" w:name="_Toc314842513"/>
      <w:bookmarkStart w:id="103" w:name="_Toc382916065"/>
      <w:r>
        <w:t>Clinical</w:t>
      </w:r>
      <w:bookmarkEnd w:id="101"/>
      <w:bookmarkEnd w:id="102"/>
      <w:bookmarkEnd w:id="103"/>
    </w:p>
    <w:p w:rsidR="00896169" w:rsidRDefault="00896169" w:rsidP="00896169">
      <w:pPr>
        <w:pStyle w:val="Heading4"/>
      </w:pPr>
      <w:r>
        <w:t>Efficacy</w:t>
      </w:r>
    </w:p>
    <w:p w:rsidR="005A394E" w:rsidRPr="005A394E" w:rsidRDefault="005A394E" w:rsidP="005A394E">
      <w:r w:rsidRPr="005A394E">
        <w:t>There was one pivotal efficacy study (20080098) submitted in men with oste</w:t>
      </w:r>
      <w:r w:rsidR="0031405C">
        <w:t>oporosis</w:t>
      </w:r>
      <w:r w:rsidRPr="005A394E">
        <w:t>. This was a multicentre, randomised, double blind, placebo controlled study in men with low BMD. This was a 24 month study that comprised of a 12 month double blind phase and a subseq</w:t>
      </w:r>
      <w:r w:rsidR="00A07945">
        <w:t>uent 12 month open label phase.</w:t>
      </w:r>
    </w:p>
    <w:p w:rsidR="005A394E" w:rsidRPr="005A394E" w:rsidRDefault="005A394E" w:rsidP="005A394E">
      <w:r w:rsidRPr="005A394E">
        <w:t>The inclusion criteria are related, in essence, to BMD m</w:t>
      </w:r>
      <w:r w:rsidR="00E438FA">
        <w:t>easures. BMD expressed in g/cm</w:t>
      </w:r>
      <w:r w:rsidR="00E438FA">
        <w:rPr>
          <w:vertAlign w:val="superscript"/>
        </w:rPr>
        <w:t>2</w:t>
      </w:r>
      <w:r w:rsidRPr="005A394E">
        <w:t xml:space="preserve"> corresponded to T scores ≤</w:t>
      </w:r>
      <w:r w:rsidR="009943CA">
        <w:t xml:space="preserve"> </w:t>
      </w:r>
      <w:r w:rsidRPr="005A394E">
        <w:t>-2.0 and</w:t>
      </w:r>
      <w:r w:rsidR="009943CA">
        <w:t xml:space="preserve"> </w:t>
      </w:r>
      <w:r w:rsidRPr="005A394E">
        <w:t>≥</w:t>
      </w:r>
      <w:r w:rsidR="009943CA">
        <w:t xml:space="preserve"> </w:t>
      </w:r>
      <w:r w:rsidRPr="005A394E">
        <w:t xml:space="preserve">-3.5 at the lumbar or femoral neck, </w:t>
      </w:r>
      <w:r w:rsidR="00764E16">
        <w:rPr>
          <w:b/>
        </w:rPr>
        <w:t>or</w:t>
      </w:r>
      <w:r w:rsidRPr="005A394E">
        <w:t xml:space="preserve"> a T score ≤</w:t>
      </w:r>
      <w:r w:rsidR="009943CA">
        <w:t xml:space="preserve"> </w:t>
      </w:r>
      <w:r w:rsidRPr="005A394E">
        <w:t>-1.0 and ≥</w:t>
      </w:r>
      <w:r w:rsidR="009943CA">
        <w:t xml:space="preserve"> </w:t>
      </w:r>
      <w:r w:rsidRPr="005A394E">
        <w:t xml:space="preserve">-3.5 at the lumbar spine or femoral neck in subjects with a history of major osteoporotic fracture. </w:t>
      </w:r>
    </w:p>
    <w:p w:rsidR="005A394E" w:rsidRPr="005A394E" w:rsidRDefault="005A394E" w:rsidP="005A394E">
      <w:r w:rsidRPr="005A394E">
        <w:t xml:space="preserve">Exclusion criteria were comprehensive and included past treatment with </w:t>
      </w:r>
      <w:proofErr w:type="spellStart"/>
      <w:r w:rsidRPr="005A394E">
        <w:t>denosumab</w:t>
      </w:r>
      <w:proofErr w:type="spellEnd"/>
      <w:r w:rsidRPr="005A394E">
        <w:t xml:space="preserve">, bisphosphonates and strontium </w:t>
      </w:r>
      <w:proofErr w:type="spellStart"/>
      <w:r w:rsidRPr="005A394E">
        <w:t>ranelate</w:t>
      </w:r>
      <w:proofErr w:type="spellEnd"/>
      <w:r w:rsidRPr="005A394E">
        <w:t>, malignancies</w:t>
      </w:r>
      <w:r w:rsidR="00A550A0">
        <w:t>,</w:t>
      </w:r>
      <w:r w:rsidRPr="005A394E">
        <w:t xml:space="preserve"> etc. </w:t>
      </w:r>
    </w:p>
    <w:p w:rsidR="005A394E" w:rsidRPr="005A394E" w:rsidRDefault="00166CAB" w:rsidP="005A394E">
      <w:r>
        <w:t>Study treatments were:</w:t>
      </w:r>
      <w:r w:rsidR="005A394E" w:rsidRPr="005A394E">
        <w:t xml:space="preserve"> a 12 month double blind phase during which patients were randomised 1:1 to receive single 60 mg subcutaneous administration of </w:t>
      </w:r>
      <w:proofErr w:type="spellStart"/>
      <w:r w:rsidR="005A394E" w:rsidRPr="005A394E">
        <w:t>denosu</w:t>
      </w:r>
      <w:r>
        <w:t>mab</w:t>
      </w:r>
      <w:proofErr w:type="spellEnd"/>
      <w:r>
        <w:t xml:space="preserve"> or matching placebo Q6M (that is, </w:t>
      </w:r>
      <w:r w:rsidR="00EE2BFD">
        <w:t xml:space="preserve">once every six months, or </w:t>
      </w:r>
      <w:r w:rsidR="005A394E" w:rsidRPr="005A394E">
        <w:t xml:space="preserve">one dose on Day 1 and the second dose at </w:t>
      </w:r>
      <w:r>
        <w:t>M</w:t>
      </w:r>
      <w:r w:rsidR="005A394E" w:rsidRPr="005A394E">
        <w:t>onth 6), and a 12 month open label phase during which all patients (independent of randomisation) received 60 mg</w:t>
      </w:r>
      <w:r>
        <w:t xml:space="preserve"> subcutaneous </w:t>
      </w:r>
      <w:proofErr w:type="spellStart"/>
      <w:r>
        <w:t>denosumab</w:t>
      </w:r>
      <w:proofErr w:type="spellEnd"/>
      <w:r>
        <w:t xml:space="preserve"> Q6M (that is, </w:t>
      </w:r>
      <w:r w:rsidR="005A394E" w:rsidRPr="005A394E">
        <w:t xml:space="preserve">single doses at </w:t>
      </w:r>
      <w:r>
        <w:t>M</w:t>
      </w:r>
      <w:r w:rsidR="005A394E" w:rsidRPr="005A394E">
        <w:t xml:space="preserve">onth 12 and </w:t>
      </w:r>
      <w:r>
        <w:t>M</w:t>
      </w:r>
      <w:r w:rsidR="005A394E" w:rsidRPr="005A394E">
        <w:t>onth 18).</w:t>
      </w:r>
    </w:p>
    <w:p w:rsidR="00A550A0" w:rsidRDefault="00A550A0" w:rsidP="00A550A0">
      <w:pPr>
        <w:pStyle w:val="Heading5"/>
      </w:pPr>
      <w:r>
        <w:t>Efficacy endpoints</w:t>
      </w:r>
    </w:p>
    <w:p w:rsidR="005A394E" w:rsidRPr="005A394E" w:rsidRDefault="005A394E" w:rsidP="005A394E">
      <w:r w:rsidRPr="005A394E">
        <w:t>The primary efficacy outcome was the percent change from baseline in lumbar spine BMD at 12 months.</w:t>
      </w:r>
    </w:p>
    <w:p w:rsidR="005A394E" w:rsidRPr="005A394E" w:rsidRDefault="005A394E" w:rsidP="005A394E">
      <w:r w:rsidRPr="005A394E">
        <w:t>Other efficacy outcomes were as follows:</w:t>
      </w:r>
    </w:p>
    <w:p w:rsidR="005A394E" w:rsidRPr="005A394E" w:rsidRDefault="005A394E" w:rsidP="005A394E">
      <w:pPr>
        <w:pStyle w:val="ListBullet"/>
      </w:pPr>
      <w:r w:rsidRPr="005A394E">
        <w:t>Percent change from baseline in BMD of the total hip, femoral neck, hip trochanter, and distal radius at month 12</w:t>
      </w:r>
    </w:p>
    <w:p w:rsidR="005A394E" w:rsidRPr="005A394E" w:rsidRDefault="005A394E" w:rsidP="005A394E">
      <w:pPr>
        <w:pStyle w:val="ListBullet"/>
      </w:pPr>
      <w:r w:rsidRPr="005A394E">
        <w:t>Perce</w:t>
      </w:r>
      <w:r w:rsidR="0092588F">
        <w:t xml:space="preserve">nt change from baseline in </w:t>
      </w:r>
      <w:r w:rsidR="0092588F" w:rsidRPr="00A367D7">
        <w:t>type-1 collagen C-</w:t>
      </w:r>
      <w:proofErr w:type="spellStart"/>
      <w:r w:rsidR="0092588F" w:rsidRPr="00A367D7">
        <w:t>telopeptide</w:t>
      </w:r>
      <w:proofErr w:type="spellEnd"/>
      <w:r w:rsidR="0092588F">
        <w:t xml:space="preserve"> (CTX1</w:t>
      </w:r>
      <w:r w:rsidR="00A367D7">
        <w:t xml:space="preserve">) </w:t>
      </w:r>
      <w:r w:rsidRPr="005A394E">
        <w:t>at day 15</w:t>
      </w:r>
    </w:p>
    <w:p w:rsidR="005A394E" w:rsidRPr="005A394E" w:rsidRDefault="005A394E" w:rsidP="005A394E">
      <w:pPr>
        <w:pStyle w:val="ListBullet"/>
      </w:pPr>
      <w:r w:rsidRPr="005A394E">
        <w:lastRenderedPageBreak/>
        <w:t>Percent change in BMD for all sites at 6 and 24 months</w:t>
      </w:r>
    </w:p>
    <w:p w:rsidR="005A394E" w:rsidRPr="005A394E" w:rsidRDefault="005A394E" w:rsidP="005A394E">
      <w:pPr>
        <w:pStyle w:val="ListBullet"/>
      </w:pPr>
      <w:r w:rsidRPr="005A394E">
        <w:t>Percent change in CTX1 at 6, 12, 18 and 24 months</w:t>
      </w:r>
    </w:p>
    <w:p w:rsidR="005A394E" w:rsidRPr="005A394E" w:rsidRDefault="005A394E" w:rsidP="005A394E">
      <w:pPr>
        <w:pStyle w:val="ListBullet"/>
      </w:pPr>
      <w:r w:rsidRPr="005A394E">
        <w:t xml:space="preserve">Bone histology and </w:t>
      </w:r>
      <w:proofErr w:type="spellStart"/>
      <w:r w:rsidRPr="005A394E">
        <w:t>histomorphometry</w:t>
      </w:r>
      <w:proofErr w:type="spellEnd"/>
      <w:r w:rsidRPr="005A394E">
        <w:t xml:space="preserve"> in a subset of 20 patients at 12 months</w:t>
      </w:r>
    </w:p>
    <w:p w:rsidR="005A394E" w:rsidRPr="005A394E" w:rsidRDefault="005A394E" w:rsidP="005A394E">
      <w:r w:rsidRPr="005A394E">
        <w:t>The randomisation and blinding details are discussed by the evaluator. The randomisation schedule was stratified by the minimum BMD T Score (&lt;-2.5 v</w:t>
      </w:r>
      <w:r w:rsidR="00936F26">
        <w:t>ersu</w:t>
      </w:r>
      <w:r w:rsidRPr="005A394E">
        <w:t>s &gt;-2.5) at either the lumbar spine or femo</w:t>
      </w:r>
      <w:r w:rsidR="00A07945">
        <w:t>ral neck (whichever was lower).</w:t>
      </w:r>
    </w:p>
    <w:p w:rsidR="005A394E" w:rsidRPr="005A394E" w:rsidRDefault="005A394E" w:rsidP="005A394E">
      <w:r w:rsidRPr="005A394E">
        <w:t xml:space="preserve">In essence, “the sample size of 232 provided a minimum of 99% power to detect a 5.1% difference at lumbar spine between the treatment groups at month 12 assuming </w:t>
      </w:r>
      <w:r w:rsidR="002B247E">
        <w:t xml:space="preserve">a SD of 3.8% and a two </w:t>
      </w:r>
      <w:r w:rsidRPr="005A394E">
        <w:t>sided</w:t>
      </w:r>
      <w:r w:rsidR="002B247E">
        <w:t xml:space="preserve">, type </w:t>
      </w:r>
      <w:r w:rsidRPr="005A394E">
        <w:t>1 error rate of 0.05”.</w:t>
      </w:r>
    </w:p>
    <w:p w:rsidR="005A394E" w:rsidRPr="005A394E" w:rsidRDefault="005A394E" w:rsidP="005A394E">
      <w:r w:rsidRPr="005A394E">
        <w:t xml:space="preserve">In relation to the primary efficacy endpoint, the analysis of the percent change from baseline in lumbar spine BMD to month 12 was performed using an analysis of covariance (ANCOVA) model with </w:t>
      </w:r>
      <w:r w:rsidR="0092588F" w:rsidRPr="0092588F">
        <w:t xml:space="preserve">last observation carried forward </w:t>
      </w:r>
      <w:r w:rsidR="0092588F">
        <w:t>(</w:t>
      </w:r>
      <w:r w:rsidRPr="005A394E">
        <w:t>LOCF</w:t>
      </w:r>
      <w:r w:rsidR="0092588F">
        <w:t>)</w:t>
      </w:r>
      <w:r w:rsidRPr="005A394E">
        <w:t xml:space="preserve"> imputation. The ANCOVA model included treatment as the main effect and the level of baseline BMD T score (randomisation stratification factor) as the covariate. The primary results were based on the point estimate for the least squares means and the two sided</w:t>
      </w:r>
      <w:r w:rsidR="003B3604">
        <w:t xml:space="preserve"> 95% CI (Confidence Interval) </w:t>
      </w:r>
      <w:r w:rsidRPr="005A394E">
        <w:t>for the treatment difference (</w:t>
      </w:r>
      <w:proofErr w:type="spellStart"/>
      <w:r w:rsidRPr="005A394E">
        <w:t>denosumab</w:t>
      </w:r>
      <w:proofErr w:type="spellEnd"/>
      <w:r w:rsidRPr="005A394E">
        <w:t>-place</w:t>
      </w:r>
      <w:r w:rsidR="00A07945">
        <w:t>bo) at the 12 month time point.</w:t>
      </w:r>
    </w:p>
    <w:p w:rsidR="0084349C" w:rsidRDefault="0084349C" w:rsidP="0084349C">
      <w:pPr>
        <w:pStyle w:val="Heading5"/>
      </w:pPr>
      <w:r>
        <w:t>Demographics</w:t>
      </w:r>
    </w:p>
    <w:p w:rsidR="005A394E" w:rsidRPr="005A394E" w:rsidRDefault="005A394E" w:rsidP="005A394E">
      <w:r w:rsidRPr="005A394E">
        <w:t>There were 232 subjects enrolled (</w:t>
      </w:r>
      <w:proofErr w:type="spellStart"/>
      <w:r w:rsidRPr="005A394E">
        <w:t>denosumab</w:t>
      </w:r>
      <w:proofErr w:type="spellEnd"/>
      <w:r w:rsidRPr="005A394E">
        <w:t xml:space="preserve">=121, placebo=121) and 227 completed the study. In the </w:t>
      </w:r>
      <w:proofErr w:type="spellStart"/>
      <w:r w:rsidRPr="005A394E">
        <w:t>denosumab</w:t>
      </w:r>
      <w:proofErr w:type="spellEnd"/>
      <w:r w:rsidRPr="005A394E">
        <w:t xml:space="preserve"> group all were Caucasians and the mean age was 64.9 years (10.5).</w:t>
      </w:r>
      <w:r w:rsidR="009943CA">
        <w:t xml:space="preserve"> </w:t>
      </w:r>
      <w:r w:rsidRPr="005A394E">
        <w:t>Other relevan</w:t>
      </w:r>
      <w:r w:rsidR="00B74708">
        <w:t>t demographic details</w:t>
      </w:r>
      <w:r w:rsidR="00F96CBE">
        <w:t xml:space="preserve"> are as shown in Table 6.</w:t>
      </w:r>
    </w:p>
    <w:p w:rsidR="005E27DB" w:rsidRDefault="005E27DB" w:rsidP="00C703FF">
      <w:pPr>
        <w:pStyle w:val="TableTitle"/>
        <w:rPr>
          <w:lang w:val="en-GB"/>
        </w:rPr>
      </w:pPr>
      <w:r>
        <w:t xml:space="preserve">Table </w:t>
      </w:r>
      <w:r w:rsidR="00F96CBE">
        <w:t>6</w:t>
      </w:r>
      <w:r>
        <w:t>:</w:t>
      </w:r>
      <w:r w:rsidRPr="004C5C28">
        <w:t xml:space="preserve"> </w:t>
      </w:r>
      <w:r w:rsidRPr="005E27DB">
        <w:t>Baseline BMT T scores (randomised subjects): First 12 month analysis</w:t>
      </w:r>
      <w:r>
        <w:t>.</w:t>
      </w:r>
    </w:p>
    <w:p w:rsidR="008E7846" w:rsidRDefault="00B73BA9" w:rsidP="005A394E">
      <w:r>
        <w:rPr>
          <w:noProof/>
          <w:lang w:eastAsia="en-AU"/>
        </w:rPr>
        <w:drawing>
          <wp:inline distT="0" distB="0" distL="0" distR="0">
            <wp:extent cx="4448810" cy="3472180"/>
            <wp:effectExtent l="0" t="0" r="8890" b="0"/>
            <wp:docPr id="6" name="Picture 6" descr="Table 6: Baseline BMT T scores (randomised subjects): First 12 month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ble 6: Baseline BMT T scores (randomised subjects): First 12 month analysi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48810" cy="3472180"/>
                    </a:xfrm>
                    <a:prstGeom prst="rect">
                      <a:avLst/>
                    </a:prstGeom>
                    <a:noFill/>
                    <a:ln>
                      <a:noFill/>
                    </a:ln>
                  </pic:spPr>
                </pic:pic>
              </a:graphicData>
            </a:graphic>
          </wp:inline>
        </w:drawing>
      </w:r>
    </w:p>
    <w:p w:rsidR="00C02E44" w:rsidRDefault="00447DB6" w:rsidP="00C02E44">
      <w:pPr>
        <w:pStyle w:val="Heading5"/>
      </w:pPr>
      <w:r>
        <w:t>R</w:t>
      </w:r>
      <w:r w:rsidR="00C02E44">
        <w:t>esults</w:t>
      </w:r>
    </w:p>
    <w:p w:rsidR="009C253E" w:rsidRPr="009C253E" w:rsidRDefault="009C253E" w:rsidP="009C253E">
      <w:r w:rsidRPr="009C253E">
        <w:t xml:space="preserve">The evaluator mentions that, “Subjects treated with </w:t>
      </w:r>
      <w:proofErr w:type="spellStart"/>
      <w:r w:rsidRPr="009C253E">
        <w:t>denosumab</w:t>
      </w:r>
      <w:proofErr w:type="spellEnd"/>
      <w:r w:rsidRPr="009C253E">
        <w:t>, as compared with placebo, showed significantly greater gains in mean percent change from baseline at month 12 in lumbar spine BMD, 5.7% v</w:t>
      </w:r>
      <w:r w:rsidR="00B74708">
        <w:t>ersu</w:t>
      </w:r>
      <w:r w:rsidRPr="009C253E">
        <w:t xml:space="preserve">s 0.9%, with a mean difference of </w:t>
      </w:r>
      <w:r w:rsidR="003B3604">
        <w:t>4.8% (p &lt; 0.0001; 95% CI: 4.0-</w:t>
      </w:r>
      <w:r w:rsidRPr="009C253E">
        <w:t>5.6) between the treatment groups”.</w:t>
      </w:r>
    </w:p>
    <w:p w:rsidR="009C253E" w:rsidRPr="009C253E" w:rsidRDefault="009C253E" w:rsidP="009C253E">
      <w:r w:rsidRPr="009C253E">
        <w:t>The secondary ef</w:t>
      </w:r>
      <w:r w:rsidR="00F96CBE">
        <w:t>ficacy endpoints are as shown in Table 7.</w:t>
      </w:r>
    </w:p>
    <w:p w:rsidR="00C0494D" w:rsidRDefault="00C0494D" w:rsidP="00C703FF">
      <w:pPr>
        <w:pStyle w:val="TableTitle"/>
        <w:rPr>
          <w:lang w:val="en-GB"/>
        </w:rPr>
      </w:pPr>
      <w:proofErr w:type="gramStart"/>
      <w:r>
        <w:lastRenderedPageBreak/>
        <w:t xml:space="preserve">Table </w:t>
      </w:r>
      <w:r w:rsidR="005467BA">
        <w:t>7</w:t>
      </w:r>
      <w:r>
        <w:t>:</w:t>
      </w:r>
      <w:r w:rsidRPr="004C5C28">
        <w:t xml:space="preserve"> </w:t>
      </w:r>
      <w:r w:rsidRPr="00C0494D">
        <w:t>Study 20080098 Results of Secondary Endpoints – Primary Efficacy Subset, LOCF,</w:t>
      </w:r>
      <w:r>
        <w:t xml:space="preserve"> </w:t>
      </w:r>
      <w:r w:rsidRPr="00C0494D">
        <w:t>12 months analysis</w:t>
      </w:r>
      <w:r>
        <w:t>.</w:t>
      </w:r>
      <w:proofErr w:type="gramEnd"/>
    </w:p>
    <w:p w:rsidR="009C253E" w:rsidRDefault="00B73BA9" w:rsidP="009C253E">
      <w:r>
        <w:rPr>
          <w:noProof/>
          <w:lang w:eastAsia="en-AU"/>
        </w:rPr>
        <w:drawing>
          <wp:inline distT="0" distB="0" distL="0" distR="0">
            <wp:extent cx="4140200" cy="1694180"/>
            <wp:effectExtent l="0" t="0" r="0" b="1270"/>
            <wp:docPr id="7" name="Picture 7" descr="Table 7: Study 20080098 Results of Secondary Endpoints – Primary Efficacy Subset, LOCF, 12 months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le 7: Study 20080098 Results of Secondary Endpoints – Primary Efficacy Subset, LOCF, 12 months analysi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40200" cy="1694180"/>
                    </a:xfrm>
                    <a:prstGeom prst="rect">
                      <a:avLst/>
                    </a:prstGeom>
                    <a:noFill/>
                    <a:ln>
                      <a:noFill/>
                    </a:ln>
                  </pic:spPr>
                </pic:pic>
              </a:graphicData>
            </a:graphic>
          </wp:inline>
        </w:drawing>
      </w:r>
    </w:p>
    <w:p w:rsidR="0013234D" w:rsidRDefault="006F7B29" w:rsidP="00A07945">
      <w:pPr>
        <w:pStyle w:val="TableDescription"/>
      </w:pPr>
      <w:r>
        <w:t>n</w:t>
      </w:r>
      <w:r w:rsidRPr="00343616">
        <w:t xml:space="preserve"> = Number of subjects with values at baseline and at ≥ 1 post baseline visit for BMD endpoints and at baseline and at day-15 visit for serum CTX1</w:t>
      </w:r>
    </w:p>
    <w:p w:rsidR="0013234D" w:rsidRDefault="0013234D" w:rsidP="00A07945">
      <w:pPr>
        <w:pStyle w:val="TableDescription"/>
      </w:pPr>
      <w:r>
        <w:t>a. D</w:t>
      </w:r>
      <w:r w:rsidR="006F7B29" w:rsidRPr="00343616">
        <w:t>ifference from placebo and p-value based on an ANCOVA model with treatment as main effect and level of baseline BMD T-score as covariate</w:t>
      </w:r>
    </w:p>
    <w:p w:rsidR="00C02E44" w:rsidRDefault="00C02E44" w:rsidP="00C02E44">
      <w:r w:rsidRPr="00C02E44">
        <w:t xml:space="preserve">These changes were statistically significant compared to placebo. </w:t>
      </w:r>
      <w:r w:rsidR="008A5AD4">
        <w:t xml:space="preserve">The </w:t>
      </w:r>
      <w:r w:rsidR="003044AC">
        <w:t>data</w:t>
      </w:r>
      <w:r w:rsidR="008A5AD4">
        <w:t xml:space="preserve"> from the clinical evaluation report are shown in Figures </w:t>
      </w:r>
      <w:r w:rsidR="003044AC">
        <w:t>1-2</w:t>
      </w:r>
      <w:r w:rsidRPr="00C02E44">
        <w:t>.</w:t>
      </w:r>
    </w:p>
    <w:p w:rsidR="00FF03C1" w:rsidRPr="00C703FF" w:rsidRDefault="00FF03C1" w:rsidP="00C703FF">
      <w:pPr>
        <w:pStyle w:val="FigureTitle"/>
      </w:pPr>
      <w:r w:rsidRPr="00C703FF">
        <w:t xml:space="preserve">Figure 1: </w:t>
      </w:r>
      <w:r w:rsidR="00B309B9" w:rsidRPr="00C703FF">
        <w:t xml:space="preserve">Study 20080098 </w:t>
      </w:r>
      <w:r w:rsidR="00300B25" w:rsidRPr="00C703FF">
        <w:t>BMD</w:t>
      </w:r>
      <w:r w:rsidR="00B309B9" w:rsidRPr="00C703FF">
        <w:t xml:space="preserve"> Percent Change From Baseline at Month 12 by Anatomical Site: Least Squares Means and 95% CIs from ANCOVA (Primary Efficacy Analysis Set, LOCF) (First 12 Months Analysis)</w:t>
      </w:r>
      <w:r w:rsidRPr="00C703FF">
        <w:t>.</w:t>
      </w:r>
    </w:p>
    <w:p w:rsidR="003044AC" w:rsidRDefault="00B73BA9" w:rsidP="00C02E44">
      <w:r>
        <w:rPr>
          <w:noProof/>
          <w:lang w:eastAsia="en-AU"/>
        </w:rPr>
        <w:drawing>
          <wp:inline distT="0" distB="0" distL="0" distR="0">
            <wp:extent cx="3467100" cy="2933700"/>
            <wp:effectExtent l="0" t="0" r="0" b="0"/>
            <wp:docPr id="8" name="Picture 8" descr="Figure 1: Study 20080098 BMD Percent Change From Baseline at Month 12 by Anatomical Site: Least Squares Means and 95% CIs from ANCOVA (Primary Efficacy Analysis Set, LOCF) (First 12 Months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1: Study 20080098 BMD Percent Change From Baseline at Month 12 by Anatomical Site: Least Squares Means and 95% CIs from ANCOVA (Primary Efficacy Analysis Set, LOCF) (First 12 Months Analysi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67100" cy="2933700"/>
                    </a:xfrm>
                    <a:prstGeom prst="rect">
                      <a:avLst/>
                    </a:prstGeom>
                    <a:noFill/>
                    <a:ln>
                      <a:noFill/>
                    </a:ln>
                  </pic:spPr>
                </pic:pic>
              </a:graphicData>
            </a:graphic>
          </wp:inline>
        </w:drawing>
      </w:r>
    </w:p>
    <w:p w:rsidR="00585C64" w:rsidRDefault="00585C64" w:rsidP="00110DB6">
      <w:pPr>
        <w:pStyle w:val="FigureDescription"/>
        <w:spacing w:line="240" w:lineRule="auto"/>
      </w:pPr>
      <w:r w:rsidRPr="00197EB4">
        <w:t xml:space="preserve">Point estimates and nominal 95% </w:t>
      </w:r>
      <w:r>
        <w:t>CI</w:t>
      </w:r>
      <w:r w:rsidRPr="00197EB4">
        <w:t xml:space="preserve"> are based on an ANCOVA</w:t>
      </w:r>
      <w:r>
        <w:t xml:space="preserve"> </w:t>
      </w:r>
      <w:r w:rsidRPr="00197EB4">
        <w:t>model with treatment as main effect and level of baseline BMD T-score as covariate</w:t>
      </w:r>
    </w:p>
    <w:p w:rsidR="00585C64" w:rsidRDefault="00585C64" w:rsidP="00110DB6">
      <w:pPr>
        <w:pStyle w:val="FigureDescription"/>
        <w:spacing w:line="240" w:lineRule="auto"/>
      </w:pPr>
      <w:r w:rsidRPr="00197EB4">
        <w:t>* Adjusted p-value &lt; 0.05.</w:t>
      </w:r>
    </w:p>
    <w:p w:rsidR="00FF03C1" w:rsidRDefault="009861F8" w:rsidP="00FF03C1">
      <w:pPr>
        <w:pStyle w:val="FigureTitle"/>
        <w:rPr>
          <w:lang w:val="en-GB"/>
        </w:rPr>
      </w:pPr>
      <w:r>
        <w:lastRenderedPageBreak/>
        <w:t>Figure 2</w:t>
      </w:r>
      <w:r w:rsidR="00FF03C1">
        <w:t>:</w:t>
      </w:r>
      <w:r w:rsidR="00FF03C1" w:rsidRPr="004C5C28">
        <w:t xml:space="preserve"> </w:t>
      </w:r>
      <w:r w:rsidR="00585C64" w:rsidRPr="00585C64">
        <w:t>Study 20080098 Percent Change from Baseline in BMD for Secondary Endpoints</w:t>
      </w:r>
      <w:r w:rsidR="00585C64">
        <w:t xml:space="preserve">: </w:t>
      </w:r>
      <w:r w:rsidR="00585C64" w:rsidRPr="00585C64">
        <w:t>Least Squares Means and 95% CIs from ANCOVA (Primary Efficacy Analysis Set, LOCF) (First 12 Months Analysis)</w:t>
      </w:r>
      <w:r w:rsidR="00FF03C1">
        <w:t>.</w:t>
      </w:r>
    </w:p>
    <w:p w:rsidR="00FF03C1" w:rsidRDefault="00B73BA9" w:rsidP="00C02E44">
      <w:r>
        <w:rPr>
          <w:noProof/>
          <w:lang w:eastAsia="en-AU"/>
        </w:rPr>
        <w:drawing>
          <wp:inline distT="0" distB="0" distL="0" distR="0">
            <wp:extent cx="4526915" cy="3376930"/>
            <wp:effectExtent l="0" t="0" r="6985" b="0"/>
            <wp:docPr id="9" name="Picture 9" descr="Figure 2: Study 20080098 Percent Change from Baseline in BMD for Secondary Endpoints: Least Squares Means and 95% CIs from ANCOVA (Primary Efficacy Analysis Set, LOCF) (First 12 Months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2: Study 20080098 Percent Change from Baseline in BMD for Secondary Endpoints: Least Squares Means and 95% CIs from ANCOVA (Primary Efficacy Analysis Set, LOCF) (First 12 Months Analysi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26915" cy="3376930"/>
                    </a:xfrm>
                    <a:prstGeom prst="rect">
                      <a:avLst/>
                    </a:prstGeom>
                    <a:noFill/>
                    <a:ln>
                      <a:noFill/>
                    </a:ln>
                  </pic:spPr>
                </pic:pic>
              </a:graphicData>
            </a:graphic>
          </wp:inline>
        </w:drawing>
      </w:r>
    </w:p>
    <w:p w:rsidR="00D714A5" w:rsidRPr="005D308F" w:rsidRDefault="00D714A5" w:rsidP="00BC4B45">
      <w:pPr>
        <w:pStyle w:val="FigureDescription"/>
      </w:pPr>
      <w:r w:rsidRPr="005D308F">
        <w:t xml:space="preserve">** </w:t>
      </w:r>
      <w:proofErr w:type="gramStart"/>
      <w:r w:rsidRPr="005D308F">
        <w:t>p-value</w:t>
      </w:r>
      <w:proofErr w:type="gramEnd"/>
      <w:r w:rsidRPr="005D308F">
        <w:t xml:space="preserve"> </w:t>
      </w:r>
      <w:r w:rsidRPr="00673932">
        <w:rPr>
          <w:rFonts w:eastAsia="Calibri" w:cs="Cambria"/>
        </w:rPr>
        <w:t>≤</w:t>
      </w:r>
      <w:r w:rsidRPr="005D308F">
        <w:rPr>
          <w:rFonts w:cs="SymbolMT"/>
        </w:rPr>
        <w:t xml:space="preserve"> </w:t>
      </w:r>
      <w:r w:rsidRPr="005D308F">
        <w:t xml:space="preserve">0.025; *** p-value </w:t>
      </w:r>
      <w:r w:rsidRPr="00673932">
        <w:rPr>
          <w:rFonts w:eastAsia="Calibri" w:cs="Cambria"/>
        </w:rPr>
        <w:t>≤</w:t>
      </w:r>
      <w:r w:rsidRPr="005D308F">
        <w:rPr>
          <w:rFonts w:cs="SymbolMT"/>
        </w:rPr>
        <w:t xml:space="preserve"> </w:t>
      </w:r>
      <w:r w:rsidRPr="005D308F">
        <w:t>0.01</w:t>
      </w:r>
    </w:p>
    <w:p w:rsidR="00C02E44" w:rsidRPr="00C02E44" w:rsidRDefault="00C02E44" w:rsidP="00C02E44">
      <w:r w:rsidRPr="00C02E44">
        <w:t>No fracture data are included a</w:t>
      </w:r>
      <w:r w:rsidR="00BC4B45">
        <w:t>s secondary efficacy endpoints.</w:t>
      </w:r>
    </w:p>
    <w:p w:rsidR="00C02E44" w:rsidRPr="00C02E44" w:rsidRDefault="00C02E44" w:rsidP="00C02E44">
      <w:r w:rsidRPr="00C02E44">
        <w:t xml:space="preserve">There was also a statistically significant decrease in mean serum CTX1 concentration at </w:t>
      </w:r>
      <w:r w:rsidR="00D3485D">
        <w:t>D</w:t>
      </w:r>
      <w:r w:rsidRPr="00C02E44">
        <w:t xml:space="preserve">ay 15 and </w:t>
      </w:r>
      <w:r w:rsidR="00D3485D">
        <w:t>M</w:t>
      </w:r>
      <w:r w:rsidR="00BC4B45">
        <w:t>onths 6 and 12.</w:t>
      </w:r>
    </w:p>
    <w:p w:rsidR="007B429D" w:rsidRDefault="007B429D" w:rsidP="007B429D">
      <w:pPr>
        <w:pStyle w:val="Heading6"/>
      </w:pPr>
      <w:r>
        <w:t>Bone histology</w:t>
      </w:r>
    </w:p>
    <w:p w:rsidR="00C02E44" w:rsidRPr="00C02E44" w:rsidRDefault="00C02E44" w:rsidP="00C02E44">
      <w:r w:rsidRPr="00C02E44">
        <w:t>A total of 29 subjects (17</w:t>
      </w:r>
      <w:r w:rsidR="004B2E8F">
        <w:t xml:space="preserve"> </w:t>
      </w:r>
      <w:r w:rsidRPr="00C02E44">
        <w:t>=</w:t>
      </w:r>
      <w:r w:rsidR="004B2E8F">
        <w:t xml:space="preserve"> </w:t>
      </w:r>
      <w:proofErr w:type="spellStart"/>
      <w:r w:rsidR="004B2E8F">
        <w:t>denosumab</w:t>
      </w:r>
      <w:proofErr w:type="spellEnd"/>
      <w:r w:rsidR="004B2E8F">
        <w:t>,</w:t>
      </w:r>
      <w:r w:rsidRPr="00C02E44">
        <w:t xml:space="preserve"> 12</w:t>
      </w:r>
      <w:r w:rsidR="004B2E8F">
        <w:t xml:space="preserve"> </w:t>
      </w:r>
      <w:r w:rsidRPr="00C02E44">
        <w:t>=</w:t>
      </w:r>
      <w:r w:rsidR="004B2E8F">
        <w:t xml:space="preserve"> </w:t>
      </w:r>
      <w:r w:rsidRPr="00C02E44">
        <w:t xml:space="preserve">placebo) were enrolled to have a </w:t>
      </w:r>
      <w:proofErr w:type="spellStart"/>
      <w:r w:rsidRPr="00C02E44">
        <w:t>transiliac</w:t>
      </w:r>
      <w:proofErr w:type="spellEnd"/>
      <w:r w:rsidRPr="00C02E44">
        <w:t xml:space="preserve"> biopsy within 30 days prior to the 12 month </w:t>
      </w:r>
      <w:r>
        <w:t>visit. All results were normal.</w:t>
      </w:r>
    </w:p>
    <w:p w:rsidR="00C02E44" w:rsidRPr="00C02E44" w:rsidRDefault="00C02E44" w:rsidP="00C02E44">
      <w:r w:rsidRPr="00C02E44">
        <w:t xml:space="preserve">The evaluator concludes that there was statistically significant superiority of </w:t>
      </w:r>
      <w:proofErr w:type="spellStart"/>
      <w:r w:rsidRPr="00C02E44">
        <w:t>denosumab</w:t>
      </w:r>
      <w:proofErr w:type="spellEnd"/>
      <w:r w:rsidRPr="00C02E44">
        <w:t xml:space="preserve"> over placebo seen in relation to lumbar BMD and other secondary endpoints. Primary analysis presented in the report is on the “per protocol” and not on the “ITT” population. The evaluator mentions that, “this study used an inclusion criterion of BMD equivalent to a T-score of ≤ -2 at the lumbar spine or femoral neck, OR ≤ -1 at the lumbar spine or femoral neck in subjects with a history of major osteoporotic fracture”. The evaluator mentions that this was in line with the recommendations of </w:t>
      </w:r>
      <w:r w:rsidR="00B23395">
        <w:t>published guidelines</w:t>
      </w:r>
      <w:r w:rsidRPr="00C02E44">
        <w:t>.</w:t>
      </w:r>
      <w:r w:rsidR="00B23395">
        <w:rPr>
          <w:rStyle w:val="FootnoteReference"/>
        </w:rPr>
        <w:footnoteReference w:id="2"/>
      </w:r>
    </w:p>
    <w:p w:rsidR="00D636A8" w:rsidRPr="00AD01B9" w:rsidRDefault="00C02E44" w:rsidP="00AB2192">
      <w:r w:rsidRPr="00AD01B9">
        <w:t xml:space="preserve">Delegate’s comments: The assertion that the inclusion criteria were in line with the recommendations of the EU guideline is not entirely accurate. These </w:t>
      </w:r>
      <w:r w:rsidR="00E226D9" w:rsidRPr="00AD01B9">
        <w:t>g</w:t>
      </w:r>
      <w:r w:rsidRPr="00AD01B9">
        <w:t>uidelines discuss osteoporosi</w:t>
      </w:r>
      <w:r w:rsidR="00D636A8" w:rsidRPr="00AD01B9">
        <w:t>s in the context of women:</w:t>
      </w:r>
    </w:p>
    <w:p w:rsidR="00D636A8" w:rsidRDefault="00BA3E11" w:rsidP="00AB2192">
      <w:pPr>
        <w:ind w:left="720"/>
        <w:rPr>
          <w:i/>
        </w:rPr>
      </w:pPr>
      <w:r>
        <w:rPr>
          <w:i/>
        </w:rPr>
        <w:t xml:space="preserve">The </w:t>
      </w:r>
      <w:r w:rsidR="00064E39">
        <w:rPr>
          <w:i/>
        </w:rPr>
        <w:t xml:space="preserve">WHO </w:t>
      </w:r>
      <w:r w:rsidR="00C02E44" w:rsidRPr="00C02E44">
        <w:rPr>
          <w:i/>
        </w:rPr>
        <w:t xml:space="preserve">operational definition defines an osteoporotic woman on the basis of a BMD measurement (spine or hip) showing </w:t>
      </w:r>
      <w:r w:rsidR="00480086">
        <w:rPr>
          <w:i/>
        </w:rPr>
        <w:t>a T score below -2.5. The term ‘</w:t>
      </w:r>
      <w:r w:rsidR="00C02E44" w:rsidRPr="00C02E44">
        <w:rPr>
          <w:i/>
        </w:rPr>
        <w:t>sev</w:t>
      </w:r>
      <w:r w:rsidR="00480086">
        <w:rPr>
          <w:i/>
        </w:rPr>
        <w:t>ere or established osteoporosis’</w:t>
      </w:r>
      <w:r w:rsidR="00C02E44" w:rsidRPr="00C02E44">
        <w:rPr>
          <w:i/>
        </w:rPr>
        <w:t xml:space="preserve"> habitually denotes a T score below -2.5 in the presence of one</w:t>
      </w:r>
      <w:r w:rsidR="005D2EE8">
        <w:rPr>
          <w:i/>
        </w:rPr>
        <w:t xml:space="preserve"> or more fragility fractures...</w:t>
      </w:r>
      <w:r w:rsidR="00C02E44" w:rsidRPr="00C02E44">
        <w:rPr>
          <w:i/>
        </w:rPr>
        <w:t xml:space="preserve"> No WHO definition for osteoporosis exists for men. </w:t>
      </w:r>
      <w:r w:rsidR="00C02E44" w:rsidRPr="00C02E44">
        <w:rPr>
          <w:i/>
        </w:rPr>
        <w:lastRenderedPageBreak/>
        <w:t>However, in clinical practice the same cut-off for the diagnosis of osteoporosis in men, i.e. BMD below -2.5 standard deviations of the female r</w:t>
      </w:r>
      <w:r w:rsidR="00064E39">
        <w:rPr>
          <w:i/>
        </w:rPr>
        <w:t>eference range, has been used.</w:t>
      </w:r>
    </w:p>
    <w:p w:rsidR="00C02E44" w:rsidRPr="00AD01B9" w:rsidRDefault="00C02E44" w:rsidP="00AB2192">
      <w:r w:rsidRPr="00AD01B9">
        <w:t xml:space="preserve">This study has included only 50% in the </w:t>
      </w:r>
      <w:proofErr w:type="spellStart"/>
      <w:r w:rsidRPr="00AD01B9">
        <w:t>denosumab</w:t>
      </w:r>
      <w:proofErr w:type="spellEnd"/>
      <w:r w:rsidRPr="00AD01B9">
        <w:t xml:space="preserve"> treated group who satisfy the WHO definition of osteoporosis (</w:t>
      </w:r>
      <w:r w:rsidR="005467BA" w:rsidRPr="00AD01B9">
        <w:t>T-score &lt;</w:t>
      </w:r>
      <w:r w:rsidR="00BC4B45">
        <w:t xml:space="preserve"> -2.5).</w:t>
      </w:r>
    </w:p>
    <w:p w:rsidR="00C02E44" w:rsidRDefault="00C02E44" w:rsidP="00C02E44">
      <w:pPr>
        <w:pStyle w:val="Heading5"/>
      </w:pPr>
      <w:r w:rsidRPr="007775F0">
        <w:t>Supportive studies</w:t>
      </w:r>
    </w:p>
    <w:p w:rsidR="00C02E44" w:rsidRPr="00C02E44" w:rsidRDefault="00C02E44" w:rsidP="00C02E44">
      <w:r w:rsidRPr="00C02E44">
        <w:t xml:space="preserve">The sponsor has submitted final or interim reports of the studies in postmenopausal women (20050233, 289, 747 and 287) which were the condition of registration of </w:t>
      </w:r>
      <w:proofErr w:type="spellStart"/>
      <w:r w:rsidRPr="00C02E44">
        <w:t>denosumab</w:t>
      </w:r>
      <w:proofErr w:type="spellEnd"/>
      <w:r w:rsidRPr="00C02E44">
        <w:t xml:space="preserve"> regarding that indication.</w:t>
      </w:r>
    </w:p>
    <w:p w:rsidR="00C02E44" w:rsidRPr="00C02E44" w:rsidRDefault="00C02E44" w:rsidP="00C02E44">
      <w:r w:rsidRPr="00C02E44">
        <w:t xml:space="preserve">Study 20050233 is a long term safety study of </w:t>
      </w:r>
      <w:proofErr w:type="spellStart"/>
      <w:r w:rsidRPr="00C02E44">
        <w:t>denosumab</w:t>
      </w:r>
      <w:proofErr w:type="spellEnd"/>
      <w:r w:rsidRPr="00C02E44">
        <w:t xml:space="preserve"> administered to po</w:t>
      </w:r>
      <w:r w:rsidR="00E226D9">
        <w:t>stmenopausal women with low BMD</w:t>
      </w:r>
      <w:r w:rsidRPr="00C02E44">
        <w:t>. This is an open label multicentre extension study of 20010223 which was submitted in the original applicatio</w:t>
      </w:r>
      <w:r w:rsidR="00B370DA">
        <w:t xml:space="preserve">n. The parent study (20010223) </w:t>
      </w:r>
      <w:r w:rsidRPr="00C02E44">
        <w:t>was a placebo controlled study that</w:t>
      </w:r>
      <w:r w:rsidR="009943CA">
        <w:t xml:space="preserve"> </w:t>
      </w:r>
      <w:r w:rsidRPr="00C02E44">
        <w:t>examined</w:t>
      </w:r>
      <w:r w:rsidR="009943CA">
        <w:t xml:space="preserve"> </w:t>
      </w:r>
      <w:r w:rsidRPr="00C02E44">
        <w:t>dose response in terms of BMD, in postmenopausal females: 6, 14 or 30 mg every 3 months or 14, 60, 100 or 210 mg every 6 months was administered. Lumbar BMD was</w:t>
      </w:r>
      <w:r w:rsidR="00BC4B45">
        <w:t xml:space="preserve"> the primary efficacy endpoint.</w:t>
      </w:r>
    </w:p>
    <w:p w:rsidR="00C02E44" w:rsidRPr="00C02E44" w:rsidRDefault="00E226D9" w:rsidP="00C02E44">
      <w:r>
        <w:t xml:space="preserve">A total of </w:t>
      </w:r>
      <w:r w:rsidR="00C02E44" w:rsidRPr="00C02E44">
        <w:t>262 subjects completed the parent study 20010223. Of these, 200 enrolled in the extension study (20050233) and 138 (69%) completed treatment.</w:t>
      </w:r>
    </w:p>
    <w:p w:rsidR="00C32EEC" w:rsidRDefault="00C02E44" w:rsidP="00C02E44">
      <w:r w:rsidRPr="00C02E44">
        <w:t xml:space="preserve">The evaluator mentions that 4 additional years of </w:t>
      </w:r>
      <w:proofErr w:type="spellStart"/>
      <w:r w:rsidRPr="00C02E44">
        <w:t>denosumab</w:t>
      </w:r>
      <w:proofErr w:type="spellEnd"/>
      <w:r w:rsidRPr="00C02E44">
        <w:t xml:space="preserve"> led to further g</w:t>
      </w:r>
      <w:r w:rsidR="00C32EEC">
        <w:t>ains in BMD. It is states that:</w:t>
      </w:r>
    </w:p>
    <w:p w:rsidR="00C02E44" w:rsidRPr="00C32EEC" w:rsidRDefault="001360D9" w:rsidP="00C32EEC">
      <w:pPr>
        <w:ind w:left="720"/>
        <w:rPr>
          <w:i/>
        </w:rPr>
      </w:pPr>
      <w:r>
        <w:rPr>
          <w:i/>
        </w:rPr>
        <w:t>A</w:t>
      </w:r>
      <w:r w:rsidR="00C02E44" w:rsidRPr="00C32EEC">
        <w:rPr>
          <w:i/>
        </w:rPr>
        <w:t xml:space="preserve">fter 8 years of </w:t>
      </w:r>
      <w:proofErr w:type="spellStart"/>
      <w:r w:rsidR="00C02E44" w:rsidRPr="00C32EEC">
        <w:rPr>
          <w:i/>
        </w:rPr>
        <w:t>denosumab</w:t>
      </w:r>
      <w:proofErr w:type="spellEnd"/>
      <w:r w:rsidR="00C02E44" w:rsidRPr="00C32EEC">
        <w:rPr>
          <w:i/>
        </w:rPr>
        <w:t xml:space="preserve"> treatment, the least square means BMD percent change from the parent Study 20010223 baseline was 16.5% at the lumbar spine, 6.8% at total hip, 6.8% at the femoral neck, 11.2% at the trochanter,</w:t>
      </w:r>
      <w:r>
        <w:rPr>
          <w:i/>
        </w:rPr>
        <w:t xml:space="preserve"> and 1.3% at the distal radius.</w:t>
      </w:r>
    </w:p>
    <w:p w:rsidR="00C02E44" w:rsidRPr="00C02E44" w:rsidRDefault="00C02E44" w:rsidP="00C02E44">
      <w:r w:rsidRPr="00C02E44">
        <w:t xml:space="preserve">Study 2006089 is an open label single arm extension study to evaluate the long term safety and sustained efficacy of </w:t>
      </w:r>
      <w:proofErr w:type="spellStart"/>
      <w:r w:rsidRPr="00C02E44">
        <w:t>denosumab</w:t>
      </w:r>
      <w:proofErr w:type="spellEnd"/>
      <w:r w:rsidRPr="00C02E44">
        <w:t xml:space="preserve"> in the treatment of postmenopausal osteoporosis</w:t>
      </w:r>
      <w:r w:rsidR="009B0459">
        <w:t xml:space="preserve"> (PMO)</w:t>
      </w:r>
      <w:r w:rsidRPr="00C02E44">
        <w:t xml:space="preserve">. This is an extension study of Study 20030216, which was submitted in the original submission. The current study, 20060089 includes interim analysis only, up to 36 months. Study 20030216 was a Phase </w:t>
      </w:r>
      <w:r w:rsidR="005C2C1A">
        <w:t>III</w:t>
      </w:r>
      <w:r w:rsidRPr="00C02E44">
        <w:t xml:space="preserve"> multicentre double blind placebo controlled study of </w:t>
      </w:r>
      <w:proofErr w:type="spellStart"/>
      <w:r w:rsidRPr="00C02E44">
        <w:t>denosumab</w:t>
      </w:r>
      <w:proofErr w:type="spellEnd"/>
      <w:r w:rsidRPr="00C02E44">
        <w:t xml:space="preserve"> at 60 mg SC (v</w:t>
      </w:r>
      <w:r w:rsidR="005C2C1A">
        <w:t>ersu</w:t>
      </w:r>
      <w:r w:rsidRPr="00C02E44">
        <w:t>s placebo) every 6 months for 3 years. The primary efficacy measure was the incidence of new vertebral fracture dur</w:t>
      </w:r>
      <w:r w:rsidR="00BC4B45">
        <w:t>ing the entire 36 month period.</w:t>
      </w:r>
    </w:p>
    <w:p w:rsidR="00C02E44" w:rsidRPr="00C02E44" w:rsidRDefault="00C02E44" w:rsidP="00C02E44">
      <w:r w:rsidRPr="00C02E44">
        <w:t>The primary endpoint is the extension study was safety data. The secondary endpoints included BMD, subject incidence of vertebral fractures. Only descriptive statistics are used.</w:t>
      </w:r>
    </w:p>
    <w:p w:rsidR="00DA3B2A" w:rsidRDefault="00C02E44" w:rsidP="00C02E44">
      <w:r w:rsidRPr="00C02E44">
        <w:t>In regard to BM</w:t>
      </w:r>
      <w:r w:rsidR="00DA3B2A">
        <w:t>D, the evaluator mentions that:</w:t>
      </w:r>
    </w:p>
    <w:p w:rsidR="00DA3B2A" w:rsidRPr="00DA3B2A" w:rsidRDefault="00A15B02" w:rsidP="00DA3B2A">
      <w:pPr>
        <w:ind w:left="720"/>
        <w:rPr>
          <w:i/>
        </w:rPr>
      </w:pPr>
      <w:r>
        <w:rPr>
          <w:i/>
        </w:rPr>
        <w:t>A</w:t>
      </w:r>
      <w:r w:rsidR="00C02E44" w:rsidRPr="00DA3B2A">
        <w:rPr>
          <w:i/>
        </w:rPr>
        <w:t>t 36 months the long term group experienced further statistically significant gains in BMD. The LS mean percent increase in BMD from the end of Study 20030216 (extension Study 20060289 baseline) was 4.9% at the lumbar spine, 1.8% at the total hip, 1.7% at the femoral neck, and 2.8% at the troc</w:t>
      </w:r>
      <w:r>
        <w:rPr>
          <w:i/>
        </w:rPr>
        <w:t>hanter and 0.6% at the radius.</w:t>
      </w:r>
    </w:p>
    <w:p w:rsidR="00C02E44" w:rsidRPr="00C02E44" w:rsidRDefault="00C02E44" w:rsidP="00C02E44">
      <w:r w:rsidRPr="00C02E44">
        <w:t>The cumulative incidence of new vertebral fractures in Studies 2030216 and 20060289 was 4.9% in the long term group and w</w:t>
      </w:r>
      <w:r w:rsidR="00610E22">
        <w:t>as 7.3% in the crossover group.</w:t>
      </w:r>
    </w:p>
    <w:p w:rsidR="00C02E44" w:rsidRPr="00C02E44" w:rsidRDefault="00C02E44" w:rsidP="00C02E44">
      <w:r w:rsidRPr="00C02E44">
        <w:t xml:space="preserve">The evaluator also discusses a </w:t>
      </w:r>
      <w:r w:rsidR="00777AB6" w:rsidRPr="00C02E44">
        <w:t>high resolution peripheral quantitative computed tomography (HR-</w:t>
      </w:r>
      <w:proofErr w:type="spellStart"/>
      <w:r w:rsidR="00777AB6" w:rsidRPr="00C02E44">
        <w:t>pQCT</w:t>
      </w:r>
      <w:proofErr w:type="spellEnd"/>
      <w:r w:rsidR="00777AB6" w:rsidRPr="00C02E44">
        <w:t>)</w:t>
      </w:r>
      <w:r w:rsidR="00E00974">
        <w:t xml:space="preserve"> </w:t>
      </w:r>
      <w:r w:rsidRPr="00C02E44">
        <w:t xml:space="preserve">study, 20080747, on postmenopausal women previously treated with </w:t>
      </w:r>
      <w:proofErr w:type="spellStart"/>
      <w:r w:rsidRPr="00C02E44">
        <w:t>denosumab</w:t>
      </w:r>
      <w:proofErr w:type="spellEnd"/>
      <w:r w:rsidRPr="00C02E44">
        <w:t xml:space="preserve">. The main objective was to evaluate the combined effect of </w:t>
      </w:r>
      <w:proofErr w:type="spellStart"/>
      <w:r w:rsidRPr="00C02E44">
        <w:t>denosumab</w:t>
      </w:r>
      <w:proofErr w:type="spellEnd"/>
      <w:r w:rsidRPr="00C02E44">
        <w:t xml:space="preserve"> treatment and discontinuation on cortical thickness at the distal radius </w:t>
      </w:r>
      <w:r w:rsidR="00777AB6">
        <w:t>by HR-</w:t>
      </w:r>
      <w:proofErr w:type="spellStart"/>
      <w:r w:rsidR="00777AB6">
        <w:t>pQCT</w:t>
      </w:r>
      <w:proofErr w:type="spellEnd"/>
      <w:r w:rsidRPr="00C02E44">
        <w:t>.</w:t>
      </w:r>
    </w:p>
    <w:p w:rsidR="00C02E44" w:rsidRPr="00C02E44" w:rsidRDefault="00C02E44" w:rsidP="00BC4B45">
      <w:r w:rsidRPr="00C02E44">
        <w:t xml:space="preserve">This was a cohort study enrolling 75 subjects from </w:t>
      </w:r>
      <w:r w:rsidR="00FD17F2">
        <w:t>two</w:t>
      </w:r>
      <w:r w:rsidRPr="00C02E44">
        <w:t xml:space="preserve"> centres from Study 20050179. In this latter study, subjects with (lumbar or total hip) BMD T score less than</w:t>
      </w:r>
      <w:r w:rsidR="009943CA">
        <w:t xml:space="preserve"> </w:t>
      </w:r>
      <w:r w:rsidRPr="00C02E44">
        <w:t xml:space="preserve">-2.0 or -3.0 received </w:t>
      </w:r>
      <w:proofErr w:type="spellStart"/>
      <w:r w:rsidRPr="00C02E44">
        <w:t>denosumab</w:t>
      </w:r>
      <w:proofErr w:type="spellEnd"/>
      <w:r w:rsidRPr="00C02E44">
        <w:t xml:space="preserve"> (n</w:t>
      </w:r>
      <w:r w:rsidR="006F72FE">
        <w:t xml:space="preserve"> </w:t>
      </w:r>
      <w:r w:rsidRPr="00C02E44">
        <w:t>=</w:t>
      </w:r>
      <w:r w:rsidR="006F72FE">
        <w:t xml:space="preserve"> </w:t>
      </w:r>
      <w:r w:rsidRPr="00C02E44">
        <w:t>83), alendronate (n</w:t>
      </w:r>
      <w:r w:rsidR="006F72FE">
        <w:t xml:space="preserve"> </w:t>
      </w:r>
      <w:r w:rsidRPr="00C02E44">
        <w:t>=</w:t>
      </w:r>
      <w:r w:rsidR="006F72FE">
        <w:t xml:space="preserve"> </w:t>
      </w:r>
      <w:r w:rsidRPr="00C02E44">
        <w:t>82) or placebo (n</w:t>
      </w:r>
      <w:r w:rsidR="006F72FE">
        <w:t xml:space="preserve"> </w:t>
      </w:r>
      <w:r w:rsidRPr="00C02E44">
        <w:t>=</w:t>
      </w:r>
      <w:r w:rsidR="006F72FE">
        <w:t xml:space="preserve"> </w:t>
      </w:r>
      <w:r w:rsidRPr="00C02E44">
        <w:t>82) for 12 months. Treatment was discontinued for 12 months.</w:t>
      </w:r>
      <w:r w:rsidR="009943CA">
        <w:t xml:space="preserve"> </w:t>
      </w:r>
      <w:r w:rsidRPr="00C02E44">
        <w:t xml:space="preserve">Those randomised to </w:t>
      </w:r>
      <w:proofErr w:type="spellStart"/>
      <w:r w:rsidRPr="00C02E44">
        <w:t>denosumab</w:t>
      </w:r>
      <w:proofErr w:type="spellEnd"/>
      <w:r w:rsidRPr="00C02E44">
        <w:t xml:space="preserve"> or placebo </w:t>
      </w:r>
      <w:r w:rsidRPr="00C02E44">
        <w:lastRenderedPageBreak/>
        <w:t>and whose treatment was completed at least 12 months before were eligible to pa</w:t>
      </w:r>
      <w:r w:rsidR="00BC4B45">
        <w:t>rticipate in the current study.</w:t>
      </w:r>
    </w:p>
    <w:p w:rsidR="00C02E44" w:rsidRPr="00C02E44" w:rsidRDefault="00C02E44" w:rsidP="00C02E44">
      <w:r w:rsidRPr="00C02E44">
        <w:t>The primary endpoint was: the percent change in cortical thickness at the distal radius as determined by the HR-</w:t>
      </w:r>
      <w:proofErr w:type="spellStart"/>
      <w:r w:rsidRPr="00C02E44">
        <w:t>pQCT</w:t>
      </w:r>
      <w:proofErr w:type="spellEnd"/>
      <w:r w:rsidRPr="00C02E44">
        <w:t xml:space="preserve"> from baseline (the baseline is as established in protocol 20050179).</w:t>
      </w:r>
    </w:p>
    <w:p w:rsidR="00993D09" w:rsidRDefault="002B6B79" w:rsidP="00C02E44">
      <w:r>
        <w:t xml:space="preserve">A total of </w:t>
      </w:r>
      <w:r w:rsidR="00C02E44" w:rsidRPr="00C02E44">
        <w:t>79 subjects were enrolled. The evaluat</w:t>
      </w:r>
      <w:r w:rsidR="00993D09">
        <w:t>or observes that:</w:t>
      </w:r>
    </w:p>
    <w:p w:rsidR="00C02E44" w:rsidRPr="00993D09" w:rsidRDefault="002D3C53" w:rsidP="00993D09">
      <w:pPr>
        <w:ind w:left="720"/>
        <w:rPr>
          <w:i/>
        </w:rPr>
      </w:pPr>
      <w:r>
        <w:rPr>
          <w:i/>
        </w:rPr>
        <w:t>T</w:t>
      </w:r>
      <w:r w:rsidR="00993D09" w:rsidRPr="00993D09">
        <w:rPr>
          <w:i/>
        </w:rPr>
        <w:t xml:space="preserve">he </w:t>
      </w:r>
      <w:r w:rsidR="00C02E44" w:rsidRPr="00993D09">
        <w:rPr>
          <w:i/>
        </w:rPr>
        <w:t>cortical thickness of the distal radius assessed by HR-</w:t>
      </w:r>
      <w:proofErr w:type="spellStart"/>
      <w:r w:rsidR="00C02E44" w:rsidRPr="00993D09">
        <w:rPr>
          <w:i/>
        </w:rPr>
        <w:t>pQCT</w:t>
      </w:r>
      <w:proofErr w:type="spellEnd"/>
      <w:r w:rsidR="00C02E44" w:rsidRPr="00993D09">
        <w:rPr>
          <w:i/>
        </w:rPr>
        <w:t xml:space="preserve"> was 1.8% below </w:t>
      </w:r>
      <w:proofErr w:type="spellStart"/>
      <w:r w:rsidR="00C02E44" w:rsidRPr="00993D09">
        <w:rPr>
          <w:i/>
        </w:rPr>
        <w:t>pretreatment</w:t>
      </w:r>
      <w:proofErr w:type="spellEnd"/>
      <w:r w:rsidR="00C02E44" w:rsidRPr="00993D09">
        <w:rPr>
          <w:i/>
        </w:rPr>
        <w:t xml:space="preserve"> values at month 32 in subjects who received and discontinued </w:t>
      </w:r>
      <w:proofErr w:type="spellStart"/>
      <w:r w:rsidR="00C02E44" w:rsidRPr="00993D09">
        <w:rPr>
          <w:i/>
        </w:rPr>
        <w:t>denosumab</w:t>
      </w:r>
      <w:proofErr w:type="spellEnd"/>
      <w:r w:rsidR="00C02E44" w:rsidRPr="00993D09">
        <w:rPr>
          <w:i/>
        </w:rPr>
        <w:t xml:space="preserve">. In comparison, cortical thickness at the distal radius was 5.5% below </w:t>
      </w:r>
      <w:proofErr w:type="spellStart"/>
      <w:r w:rsidR="00C02E44" w:rsidRPr="00993D09">
        <w:rPr>
          <w:i/>
        </w:rPr>
        <w:t>pretreatment</w:t>
      </w:r>
      <w:proofErr w:type="spellEnd"/>
      <w:r w:rsidR="00C02E44" w:rsidRPr="00993D09">
        <w:rPr>
          <w:i/>
        </w:rPr>
        <w:t xml:space="preserve"> values at month 32 in subjects who received placebo. The difference between the </w:t>
      </w:r>
      <w:proofErr w:type="spellStart"/>
      <w:r w:rsidR="00C02E44" w:rsidRPr="00993D09">
        <w:rPr>
          <w:i/>
        </w:rPr>
        <w:t>denosumab</w:t>
      </w:r>
      <w:proofErr w:type="spellEnd"/>
      <w:r w:rsidR="00C02E44" w:rsidRPr="00993D09">
        <w:rPr>
          <w:i/>
        </w:rPr>
        <w:t xml:space="preserve"> and placebo groups was 3.7% (95</w:t>
      </w:r>
      <w:r>
        <w:rPr>
          <w:i/>
        </w:rPr>
        <w:t>% CI: [-0.4, 7.8]; p = 0.0766).</w:t>
      </w:r>
    </w:p>
    <w:p w:rsidR="00355ACB" w:rsidRDefault="00C02E44" w:rsidP="00C02E44">
      <w:r w:rsidRPr="00C02E44">
        <w:t>The eva</w:t>
      </w:r>
      <w:r w:rsidR="00355ACB">
        <w:t>luator concludes the following:</w:t>
      </w:r>
    </w:p>
    <w:p w:rsidR="00C02E44" w:rsidRPr="00355ACB" w:rsidRDefault="00C02E44" w:rsidP="00355ACB">
      <w:pPr>
        <w:ind w:left="720"/>
        <w:rPr>
          <w:i/>
        </w:rPr>
      </w:pPr>
      <w:r w:rsidRPr="00355ACB">
        <w:rPr>
          <w:i/>
        </w:rPr>
        <w:t>Overal</w:t>
      </w:r>
      <w:r w:rsidR="00FE22B9">
        <w:rPr>
          <w:i/>
        </w:rPr>
        <w:t>l, the bone parameter gains (</w:t>
      </w:r>
      <w:proofErr w:type="spellStart"/>
      <w:r w:rsidR="00FE22B9">
        <w:rPr>
          <w:i/>
        </w:rPr>
        <w:t>ie</w:t>
      </w:r>
      <w:proofErr w:type="spellEnd"/>
      <w:r w:rsidR="00FE22B9">
        <w:rPr>
          <w:i/>
        </w:rPr>
        <w:t>.</w:t>
      </w:r>
      <w:r w:rsidRPr="00355ACB">
        <w:rPr>
          <w:i/>
        </w:rPr>
        <w:t xml:space="preserve"> density, cortical thickness) and bone turnover marker reductions associated with </w:t>
      </w:r>
      <w:proofErr w:type="spellStart"/>
      <w:r w:rsidRPr="00355ACB">
        <w:rPr>
          <w:i/>
        </w:rPr>
        <w:t>denosumab</w:t>
      </w:r>
      <w:proofErr w:type="spellEnd"/>
      <w:r w:rsidRPr="00355ACB">
        <w:rPr>
          <w:i/>
        </w:rPr>
        <w:t xml:space="preserve"> administration are reversible upon </w:t>
      </w:r>
      <w:proofErr w:type="spellStart"/>
      <w:r w:rsidRPr="00355ACB">
        <w:rPr>
          <w:i/>
        </w:rPr>
        <w:t>denosumab</w:t>
      </w:r>
      <w:proofErr w:type="spellEnd"/>
      <w:r w:rsidRPr="00355ACB">
        <w:rPr>
          <w:i/>
        </w:rPr>
        <w:t xml:space="preserve"> discontinuation. The bone parameters assessed by HR-</w:t>
      </w:r>
      <w:proofErr w:type="spellStart"/>
      <w:r w:rsidRPr="00355ACB">
        <w:rPr>
          <w:i/>
        </w:rPr>
        <w:t>pQCT</w:t>
      </w:r>
      <w:proofErr w:type="spellEnd"/>
      <w:r w:rsidRPr="00355ACB">
        <w:rPr>
          <w:i/>
        </w:rPr>
        <w:t xml:space="preserve"> and DXA at the distal radius and distal tibia generally returned to </w:t>
      </w:r>
      <w:proofErr w:type="spellStart"/>
      <w:r w:rsidRPr="00355ACB">
        <w:rPr>
          <w:i/>
        </w:rPr>
        <w:t>pretreatment</w:t>
      </w:r>
      <w:proofErr w:type="spellEnd"/>
      <w:r w:rsidRPr="00355ACB">
        <w:rPr>
          <w:i/>
        </w:rPr>
        <w:t xml:space="preserve"> levels, but remained above levels in the placebo group, following discontinuation of </w:t>
      </w:r>
      <w:proofErr w:type="spellStart"/>
      <w:r w:rsidRPr="00355ACB">
        <w:rPr>
          <w:i/>
        </w:rPr>
        <w:t>denosumab</w:t>
      </w:r>
      <w:proofErr w:type="spellEnd"/>
      <w:r w:rsidRPr="00355ACB">
        <w:rPr>
          <w:i/>
        </w:rPr>
        <w:t xml:space="preserve"> treatment in postmenopausal women with low BMD.</w:t>
      </w:r>
    </w:p>
    <w:p w:rsidR="00C02E44" w:rsidRPr="00C02E44" w:rsidRDefault="00C02E44" w:rsidP="00C02E44">
      <w:r w:rsidRPr="00C02E44">
        <w:t xml:space="preserve">Study 20080287 is a </w:t>
      </w:r>
      <w:proofErr w:type="spellStart"/>
      <w:r w:rsidRPr="00C02E44">
        <w:t>transiliac</w:t>
      </w:r>
      <w:proofErr w:type="spellEnd"/>
      <w:r w:rsidRPr="00C02E44">
        <w:t xml:space="preserve"> crest bone histology and </w:t>
      </w:r>
      <w:proofErr w:type="spellStart"/>
      <w:r w:rsidRPr="00C02E44">
        <w:t>histomorphology</w:t>
      </w:r>
      <w:proofErr w:type="spellEnd"/>
      <w:r w:rsidRPr="00C02E44">
        <w:t xml:space="preserve"> study in postmenopausal women with low bone mass or osteoporosis previously treated with </w:t>
      </w:r>
      <w:proofErr w:type="spellStart"/>
      <w:r w:rsidRPr="00C02E44">
        <w:t>denosumab</w:t>
      </w:r>
      <w:proofErr w:type="spellEnd"/>
      <w:r w:rsidRPr="00C02E44">
        <w:t xml:space="preserve"> (in </w:t>
      </w:r>
      <w:r w:rsidR="00FB1C1A">
        <w:t>S</w:t>
      </w:r>
      <w:r w:rsidRPr="00C02E44">
        <w:t xml:space="preserve">tudies 20050179, 20050141, 20060237 or </w:t>
      </w:r>
      <w:r w:rsidR="00FB1C1A">
        <w:t>S</w:t>
      </w:r>
      <w:r w:rsidRPr="00C02E44">
        <w:t>tudy 20030216).</w:t>
      </w:r>
      <w:r w:rsidR="009943CA">
        <w:t xml:space="preserve"> </w:t>
      </w:r>
      <w:r w:rsidRPr="00C02E44">
        <w:t>Subjects were to have completed participation ≥</w:t>
      </w:r>
      <w:r w:rsidR="009943CA">
        <w:t xml:space="preserve"> </w:t>
      </w:r>
      <w:r w:rsidRPr="00C02E44">
        <w:t>12 and ≤</w:t>
      </w:r>
      <w:r w:rsidR="009943CA">
        <w:t xml:space="preserve"> </w:t>
      </w:r>
      <w:r w:rsidRPr="00C02E44">
        <w:t xml:space="preserve">36 months prior to the current study. </w:t>
      </w:r>
      <w:r w:rsidR="00FB1C1A">
        <w:t xml:space="preserve">A total of </w:t>
      </w:r>
      <w:r w:rsidRPr="00C02E44">
        <w:t>15 subjects were recruited for the biops</w:t>
      </w:r>
      <w:r w:rsidR="00FB1C1A">
        <w:t>y. All showed normal histology.</w:t>
      </w:r>
    </w:p>
    <w:p w:rsidR="00C02E44" w:rsidRPr="00C02E44" w:rsidRDefault="00C02E44" w:rsidP="00C02E44">
      <w:r w:rsidRPr="00C02E44">
        <w:t xml:space="preserve">The evaluator concludes that the bone turnover and </w:t>
      </w:r>
      <w:proofErr w:type="spellStart"/>
      <w:r w:rsidRPr="00C02E44">
        <w:t>histomorphology</w:t>
      </w:r>
      <w:proofErr w:type="spellEnd"/>
      <w:r w:rsidRPr="00C02E44">
        <w:t xml:space="preserve"> results suggest reversibility in bone remodelling. There was no patho</w:t>
      </w:r>
      <w:r w:rsidR="00BC4B45">
        <w:t>logy observed in the specimens.</w:t>
      </w:r>
    </w:p>
    <w:p w:rsidR="00C02E44" w:rsidRDefault="00C02E44" w:rsidP="00C02E44">
      <w:pPr>
        <w:pStyle w:val="Heading5"/>
      </w:pPr>
      <w:r w:rsidRPr="00AF5AEC">
        <w:t>Other efficacy analyses</w:t>
      </w:r>
      <w:r w:rsidR="006C5FEE">
        <w:t>:</w:t>
      </w:r>
      <w:r>
        <w:t xml:space="preserve"> Cross study comparisons</w:t>
      </w:r>
    </w:p>
    <w:p w:rsidR="00C84A5D" w:rsidRDefault="00C02E44" w:rsidP="00C9091E">
      <w:r w:rsidRPr="004E2410">
        <w:t>There is a discussion based on cross study comparison of the pivotal study in men (20080098) with the previously submitted studies:</w:t>
      </w:r>
      <w:r w:rsidR="009943CA">
        <w:t xml:space="preserve"> </w:t>
      </w:r>
      <w:r w:rsidRPr="004E2410">
        <w:t>in women (20030216)</w:t>
      </w:r>
      <w:r w:rsidR="009943CA">
        <w:t xml:space="preserve"> </w:t>
      </w:r>
      <w:r w:rsidRPr="004E2410">
        <w:t xml:space="preserve">and </w:t>
      </w:r>
      <w:proofErr w:type="spellStart"/>
      <w:r w:rsidRPr="004E2410">
        <w:t>osteopenic</w:t>
      </w:r>
      <w:proofErr w:type="spellEnd"/>
      <w:r w:rsidRPr="004E2410">
        <w:t xml:space="preserve"> men with prostate cancer who had </w:t>
      </w:r>
      <w:r w:rsidR="00E00974" w:rsidRPr="00E00974">
        <w:t xml:space="preserve">androgen deprivation therapy </w:t>
      </w:r>
      <w:r w:rsidR="00E00974">
        <w:t>(</w:t>
      </w:r>
      <w:r w:rsidRPr="004E2410">
        <w:t>ADT</w:t>
      </w:r>
      <w:r w:rsidR="00E00974">
        <w:t>)</w:t>
      </w:r>
      <w:r w:rsidRPr="004E2410">
        <w:t xml:space="preserve"> (20040138). Baseline BMD T scores, baseline prevalent fracture risk, baseline 10 year fracture risk, BMD results, CTX1 results are compared across studies. </w:t>
      </w:r>
      <w:r w:rsidR="00C9091E">
        <w:t>Notably, t</w:t>
      </w:r>
      <w:r w:rsidRPr="00C9091E">
        <w:t>he mean baseline BMD scores at entry are discussed. The ev</w:t>
      </w:r>
      <w:r w:rsidR="00C84A5D">
        <w:t>aluator states that:</w:t>
      </w:r>
    </w:p>
    <w:p w:rsidR="00C02E44" w:rsidRPr="00C84A5D" w:rsidRDefault="002D3C53" w:rsidP="00C84A5D">
      <w:pPr>
        <w:ind w:left="720"/>
        <w:rPr>
          <w:i/>
        </w:rPr>
      </w:pPr>
      <w:r>
        <w:rPr>
          <w:i/>
        </w:rPr>
        <w:t>C</w:t>
      </w:r>
      <w:r w:rsidR="00C02E44" w:rsidRPr="00C84A5D">
        <w:rPr>
          <w:i/>
        </w:rPr>
        <w:t>onsistent with the eligibility criteria for these studies, the mean baseline BMD T-scores in Study 20030216 were lower than those in Study 20080098, which were generally lowe</w:t>
      </w:r>
      <w:r>
        <w:rPr>
          <w:i/>
        </w:rPr>
        <w:t>r than those in Study 20040138.</w:t>
      </w:r>
    </w:p>
    <w:p w:rsidR="00DA53FA" w:rsidRDefault="00C02E44" w:rsidP="004E2410">
      <w:r w:rsidRPr="004E2410">
        <w:t>The evaluator also mentions in relat</w:t>
      </w:r>
      <w:r w:rsidR="00DA53FA">
        <w:t>ion to the outcome of BMD that:</w:t>
      </w:r>
    </w:p>
    <w:p w:rsidR="00C02E44" w:rsidRPr="00DA53FA" w:rsidRDefault="00E62DBA" w:rsidP="00DA53FA">
      <w:pPr>
        <w:ind w:left="720"/>
        <w:rPr>
          <w:i/>
        </w:rPr>
      </w:pPr>
      <w:r>
        <w:rPr>
          <w:i/>
        </w:rPr>
        <w:t>T</w:t>
      </w:r>
      <w:r w:rsidR="00C02E44" w:rsidRPr="00DA53FA">
        <w:rPr>
          <w:i/>
        </w:rPr>
        <w:t xml:space="preserve">he difference in mean percent change in BMD at the lumbar spine between the </w:t>
      </w:r>
      <w:proofErr w:type="spellStart"/>
      <w:r w:rsidR="00C02E44" w:rsidRPr="00DA53FA">
        <w:rPr>
          <w:i/>
        </w:rPr>
        <w:t>denosumab</w:t>
      </w:r>
      <w:proofErr w:type="spellEnd"/>
      <w:r w:rsidR="00C02E44" w:rsidRPr="00DA53FA">
        <w:rPr>
          <w:i/>
        </w:rPr>
        <w:t xml:space="preserve"> and placebo treatment groups in Study 20080098 (4.8 %) was similar to the increases observed in Studies 20030216 (5.5 %) and Study 20040138 (4.9 %), and the absolute changes from baseline were similar at all anatomical sites examined. These results indicate a similar treatment effect of </w:t>
      </w:r>
      <w:proofErr w:type="spellStart"/>
      <w:r>
        <w:rPr>
          <w:i/>
        </w:rPr>
        <w:t>denosumab</w:t>
      </w:r>
      <w:proofErr w:type="spellEnd"/>
      <w:r>
        <w:rPr>
          <w:i/>
        </w:rPr>
        <w:t xml:space="preserve"> across all 3 studies.</w:t>
      </w:r>
    </w:p>
    <w:p w:rsidR="00C02E44" w:rsidRPr="004E2410" w:rsidRDefault="00C02E44" w:rsidP="004E2410">
      <w:r w:rsidRPr="004E2410">
        <w:t>It is stated there is some similarity in the 10 ye</w:t>
      </w:r>
      <w:r w:rsidR="00BC4B45">
        <w:t>ar fracture risk as seen below.</w:t>
      </w:r>
    </w:p>
    <w:p w:rsidR="00C02E44" w:rsidRPr="004E2410" w:rsidRDefault="00C02E44" w:rsidP="004E2410">
      <w:r w:rsidRPr="004E2410">
        <w:t>The baseline 10 year fracture risk was assessed using the FRAX tool and are as follows:</w:t>
      </w:r>
    </w:p>
    <w:p w:rsidR="00A04841" w:rsidRDefault="00B73BA9" w:rsidP="009E2603">
      <w:r>
        <w:rPr>
          <w:noProof/>
          <w:lang w:eastAsia="en-AU"/>
        </w:rPr>
        <w:lastRenderedPageBreak/>
        <w:drawing>
          <wp:inline distT="0" distB="0" distL="0" distR="0">
            <wp:extent cx="4437380" cy="847090"/>
            <wp:effectExtent l="0" t="0" r="1270" b="0"/>
            <wp:docPr id="10" name="Picture 10" descr="The baseline 10 year fracture risk results using the FRAX too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37380" cy="847090"/>
                    </a:xfrm>
                    <a:prstGeom prst="rect">
                      <a:avLst/>
                    </a:prstGeom>
                    <a:noFill/>
                    <a:ln>
                      <a:noFill/>
                    </a:ln>
                  </pic:spPr>
                </pic:pic>
              </a:graphicData>
            </a:graphic>
          </wp:inline>
        </w:drawing>
      </w:r>
    </w:p>
    <w:p w:rsidR="00A04841" w:rsidRPr="009E2603" w:rsidRDefault="00A04841" w:rsidP="009E2603">
      <w:r w:rsidRPr="009E2603">
        <w:t>As seen above, there is some overlap across studies.</w:t>
      </w:r>
    </w:p>
    <w:p w:rsidR="00A04841" w:rsidRPr="009E2603" w:rsidRDefault="00A04841" w:rsidP="009E2603">
      <w:r w:rsidRPr="009E2603">
        <w:t xml:space="preserve">The evaluator states that since the female osteoporosis studies showed reduction in fractures with similar magnitude of reduction in BMD as the male osteoporosis study, it could be extrapolated that males will also show a similar </w:t>
      </w:r>
      <w:r w:rsidR="00A97DBA">
        <w:t>reduction in risk of fractures.</w:t>
      </w:r>
    </w:p>
    <w:p w:rsidR="00A04841" w:rsidRDefault="00A04841" w:rsidP="009E2603">
      <w:pPr>
        <w:pStyle w:val="Heading5"/>
      </w:pPr>
      <w:r w:rsidRPr="00E75420">
        <w:t>Overall efficacy conclusion</w:t>
      </w:r>
    </w:p>
    <w:p w:rsidR="00823066" w:rsidRDefault="00A04841" w:rsidP="009E2603">
      <w:r w:rsidRPr="009E2603">
        <w:t xml:space="preserve">In this section the evaluator discusses the </w:t>
      </w:r>
      <w:r w:rsidR="00710385" w:rsidRPr="00710385">
        <w:t xml:space="preserve">Committee for Medicinal Products for Human Use </w:t>
      </w:r>
      <w:r w:rsidR="00710385">
        <w:t>(</w:t>
      </w:r>
      <w:r w:rsidRPr="009E2603">
        <w:t>CHMP</w:t>
      </w:r>
      <w:r w:rsidR="00710385">
        <w:t>)</w:t>
      </w:r>
      <w:r w:rsidRPr="009E2603">
        <w:t xml:space="preserve"> Guideline</w:t>
      </w:r>
      <w:r w:rsidR="003138C4">
        <w:rPr>
          <w:rStyle w:val="FootnoteReference"/>
        </w:rPr>
        <w:footnoteReference w:id="3"/>
      </w:r>
      <w:r w:rsidRPr="009E2603">
        <w:t xml:space="preserve"> </w:t>
      </w:r>
      <w:r w:rsidR="00710385">
        <w:t>S</w:t>
      </w:r>
      <w:r w:rsidRPr="009E2603">
        <w:t>ection 5.3.4</w:t>
      </w:r>
      <w:r w:rsidR="00823066">
        <w:t>. This section states that</w:t>
      </w:r>
      <w:r w:rsidRPr="009E2603">
        <w:t xml:space="preserve"> the gold standard for granting registration for the treatment of osteoporosis in men</w:t>
      </w:r>
      <w:r w:rsidR="009943CA">
        <w:t xml:space="preserve"> </w:t>
      </w:r>
      <w:r w:rsidRPr="009E2603">
        <w:t>at increased risk of fractures re</w:t>
      </w:r>
      <w:r w:rsidR="00823066">
        <w:t xml:space="preserve">mains the demonstration of </w:t>
      </w:r>
      <w:proofErr w:type="spellStart"/>
      <w:r w:rsidR="00823066">
        <w:t xml:space="preserve">anti </w:t>
      </w:r>
      <w:r w:rsidRPr="009E2603">
        <w:t>fracture</w:t>
      </w:r>
      <w:proofErr w:type="spellEnd"/>
      <w:r w:rsidRPr="009E2603">
        <w:t xml:space="preserve"> efficacy in a 2 year minimum placebo controlled study. This is because of the limited knowledge on the pathophysiology of osteoporosis (in the two sexes) and the action </w:t>
      </w:r>
      <w:r w:rsidR="00823066">
        <w:t>of these medicines. The guideline nevertheless concedes:</w:t>
      </w:r>
    </w:p>
    <w:p w:rsidR="00A04841" w:rsidRPr="00823066" w:rsidRDefault="00A04841" w:rsidP="00823066">
      <w:pPr>
        <w:ind w:left="360"/>
        <w:rPr>
          <w:i/>
        </w:rPr>
      </w:pPr>
      <w:r w:rsidRPr="00823066">
        <w:rPr>
          <w:i/>
        </w:rPr>
        <w:t xml:space="preserve">However, once an initial marketing authorisation has been granted to a </w:t>
      </w:r>
      <w:r w:rsidR="009A00EA">
        <w:rPr>
          <w:i/>
        </w:rPr>
        <w:t>new chemical entity</w:t>
      </w:r>
      <w:r w:rsidRPr="00823066">
        <w:rPr>
          <w:i/>
        </w:rPr>
        <w:t xml:space="preserve"> for the treatment of postmenopausal osteoporosis in women at high risk of fracture, a separate bridging study of the same </w:t>
      </w:r>
      <w:r w:rsidR="009A00EA">
        <w:rPr>
          <w:i/>
        </w:rPr>
        <w:t>new chemical entity</w:t>
      </w:r>
      <w:r w:rsidRPr="00823066">
        <w:rPr>
          <w:i/>
        </w:rPr>
        <w:t>, using the same formulation, dose, and route of administration in male osteoporotic patients could be sufficient for being granted a marketing aut</w:t>
      </w:r>
      <w:r w:rsidR="00896260">
        <w:rPr>
          <w:i/>
        </w:rPr>
        <w:t>horisation with the indication ‘</w:t>
      </w:r>
      <w:r w:rsidRPr="00823066">
        <w:rPr>
          <w:i/>
        </w:rPr>
        <w:t>treatment of osteoporosis in me</w:t>
      </w:r>
      <w:r w:rsidR="00896260">
        <w:rPr>
          <w:i/>
        </w:rPr>
        <w:t>n at increased risk of fracture’</w:t>
      </w:r>
      <w:r w:rsidRPr="00823066">
        <w:rPr>
          <w:i/>
        </w:rPr>
        <w:t xml:space="preserve"> provided that:</w:t>
      </w:r>
    </w:p>
    <w:p w:rsidR="00A04841" w:rsidRPr="00823066" w:rsidRDefault="00A04841" w:rsidP="00823066">
      <w:pPr>
        <w:pStyle w:val="ListBullet"/>
        <w:ind w:left="720"/>
        <w:rPr>
          <w:i/>
        </w:rPr>
      </w:pPr>
      <w:r w:rsidRPr="00823066">
        <w:rPr>
          <w:i/>
        </w:rPr>
        <w:t>the duration of the study is at least one year;</w:t>
      </w:r>
    </w:p>
    <w:p w:rsidR="00A04841" w:rsidRPr="00823066" w:rsidRDefault="00A04841" w:rsidP="00823066">
      <w:pPr>
        <w:pStyle w:val="ListBullet"/>
        <w:ind w:left="720"/>
        <w:rPr>
          <w:i/>
        </w:rPr>
      </w:pPr>
      <w:r w:rsidRPr="00823066">
        <w:rPr>
          <w:i/>
        </w:rPr>
        <w:t>the dosage is justified</w:t>
      </w:r>
    </w:p>
    <w:p w:rsidR="00A04841" w:rsidRPr="00823066" w:rsidRDefault="00A04841" w:rsidP="00823066">
      <w:pPr>
        <w:pStyle w:val="ListBullet"/>
        <w:ind w:left="720"/>
        <w:rPr>
          <w:i/>
        </w:rPr>
      </w:pPr>
      <w:r w:rsidRPr="00823066">
        <w:rPr>
          <w:i/>
        </w:rPr>
        <w:t>the applicant justifies that the cut-off of BMD, age and any other risk factor chosen for the inclusion of men in the pivotal study will generate a fracture risk of a similar magnitude compared with postmenopausal women that were recruited in the studies used to obtain the indication “Treatment of postmenopausal osteoporosis in wome</w:t>
      </w:r>
      <w:r w:rsidR="003841F1" w:rsidRPr="00823066">
        <w:rPr>
          <w:i/>
        </w:rPr>
        <w:t>n at increased risk of fracture”</w:t>
      </w:r>
    </w:p>
    <w:p w:rsidR="00A04841" w:rsidRPr="009E2603" w:rsidRDefault="00A04841" w:rsidP="00823066">
      <w:pPr>
        <w:pStyle w:val="ListBullet"/>
        <w:ind w:left="720"/>
      </w:pPr>
      <w:proofErr w:type="gramStart"/>
      <w:r w:rsidRPr="00823066">
        <w:rPr>
          <w:i/>
        </w:rPr>
        <w:t>the</w:t>
      </w:r>
      <w:proofErr w:type="gramEnd"/>
      <w:r w:rsidRPr="00823066">
        <w:rPr>
          <w:i/>
        </w:rPr>
        <w:t xml:space="preserve"> magnitude of the changes in BMD versus placebo is similar to that observed in</w:t>
      </w:r>
      <w:r w:rsidR="009E2603" w:rsidRPr="00823066">
        <w:rPr>
          <w:i/>
        </w:rPr>
        <w:t xml:space="preserve"> </w:t>
      </w:r>
      <w:r w:rsidRPr="00823066">
        <w:rPr>
          <w:i/>
        </w:rPr>
        <w:t>postmenopausal osteoporotic women treated with the same compound and is proportional to the decreased incidence of fractures in treated women.</w:t>
      </w:r>
    </w:p>
    <w:p w:rsidR="00A04841" w:rsidRPr="009E2603" w:rsidRDefault="00A04841" w:rsidP="009E2603">
      <w:r w:rsidRPr="009E2603">
        <w:t xml:space="preserve">If these conditions are not fulfilled, or if the mechanism of action of the </w:t>
      </w:r>
      <w:r w:rsidR="009A00EA">
        <w:t>new chemical entity</w:t>
      </w:r>
      <w:r w:rsidRPr="009E2603">
        <w:t xml:space="preserve"> is gender specific, a bridging strategy will not be acceptable and a therapeutic study with fracture endpoints will be required in a separate trial in men.</w:t>
      </w:r>
    </w:p>
    <w:p w:rsidR="00A04841" w:rsidRPr="009E2603" w:rsidRDefault="00A04841" w:rsidP="009E2603">
      <w:r w:rsidRPr="009E2603">
        <w:t>The evaluator opines that these criteria have been met.</w:t>
      </w:r>
    </w:p>
    <w:p w:rsidR="005D04F4" w:rsidRDefault="00A04841" w:rsidP="005D04F4">
      <w:r w:rsidRPr="009E2603">
        <w:t>The evaluator also notes that according to the EU Guideline, the indication should be “treatment of osteoporosis in men at high risk of fracture”. An uncertainty is expressed whether the indication should matc</w:t>
      </w:r>
      <w:r w:rsidR="00A57C82">
        <w:t>h the criteria for study entry.</w:t>
      </w:r>
    </w:p>
    <w:p w:rsidR="00A04841" w:rsidRPr="00AB2192" w:rsidRDefault="00A04841" w:rsidP="00AB2192">
      <w:r w:rsidRPr="00AB2192">
        <w:t>Delegate’s comments:</w:t>
      </w:r>
      <w:r w:rsidR="005D04F4" w:rsidRPr="00AB2192">
        <w:t xml:space="preserve"> </w:t>
      </w:r>
      <w:r w:rsidRPr="00AB2192">
        <w:t>My concern i</w:t>
      </w:r>
      <w:r w:rsidR="00AB2192" w:rsidRPr="00AB2192">
        <w:t>s that while</w:t>
      </w:r>
      <w:r w:rsidRPr="00AB2192">
        <w:t xml:space="preserve"> all of the criteria discussed above show some overlap between studies, the pivotal study in males does not fully rep</w:t>
      </w:r>
      <w:r w:rsidR="00C36A0E" w:rsidRPr="00AB2192">
        <w:t>resent the target population, that is,</w:t>
      </w:r>
      <w:r w:rsidRPr="00AB2192">
        <w:t xml:space="preserve"> males with osteoporosis at increased risk of fracture. This is </w:t>
      </w:r>
      <w:r w:rsidRPr="00AB2192">
        <w:lastRenderedPageBreak/>
        <w:t>because only 50% on those included satisfied the W</w:t>
      </w:r>
      <w:r w:rsidR="007C6951" w:rsidRPr="00AB2192">
        <w:t>HO definition of osteoporosis (</w:t>
      </w:r>
      <w:r w:rsidRPr="00AB2192">
        <w:t>T score ≤ -2.5</w:t>
      </w:r>
      <w:r w:rsidR="005D7584" w:rsidRPr="00AB2192">
        <w:t xml:space="preserve"> in lumbar or hip region). While</w:t>
      </w:r>
      <w:r w:rsidR="00480086" w:rsidRPr="00AB2192">
        <w:t xml:space="preserve"> the g</w:t>
      </w:r>
      <w:r w:rsidRPr="00AB2192">
        <w:t xml:space="preserve">uideline recommends that studies in women could include subjects with various levels of BMD provided that there is information that the 10 year fracture risk is increased, this is not provided in relation to males in this submission. Based on the company’s calculation in the population studied, the 10 year </w:t>
      </w:r>
      <w:r w:rsidR="00635F6A" w:rsidRPr="00AB2192">
        <w:t>fracture risk in women was 15.1</w:t>
      </w:r>
      <w:r w:rsidR="001220D1" w:rsidRPr="00AB2192">
        <w:t xml:space="preserve">% (10.4, 21.5); it </w:t>
      </w:r>
      <w:r w:rsidRPr="00AB2192">
        <w:t>was less in men;</w:t>
      </w:r>
      <w:r w:rsidR="009943CA" w:rsidRPr="00AB2192">
        <w:t xml:space="preserve"> </w:t>
      </w:r>
      <w:r w:rsidRPr="00AB2192">
        <w:t xml:space="preserve">8.4 % (5.3, 12.7). Thus, </w:t>
      </w:r>
      <w:r w:rsidR="00635F6A" w:rsidRPr="00AB2192">
        <w:t xml:space="preserve">the </w:t>
      </w:r>
      <w:r w:rsidRPr="00AB2192">
        <w:t>male indication has not been adequately justified with the one study including 5</w:t>
      </w:r>
      <w:r w:rsidR="00A57C82">
        <w:t>0% of subjects with osteopenia.</w:t>
      </w:r>
    </w:p>
    <w:p w:rsidR="00A762D3" w:rsidRPr="00AB2192" w:rsidRDefault="00A04841" w:rsidP="00AB2192">
      <w:r w:rsidRPr="00AB2192">
        <w:t>Other independent risk factors for fractures are not validated in this data set. In relation to prior history of osteoporotic fractures,</w:t>
      </w:r>
      <w:r w:rsidR="00315A42" w:rsidRPr="00AB2192">
        <w:t xml:space="preserve"> </w:t>
      </w:r>
      <w:r w:rsidRPr="00AB2192">
        <w:t xml:space="preserve">the baseline level was 19% in the </w:t>
      </w:r>
      <w:proofErr w:type="spellStart"/>
      <w:r w:rsidRPr="00AB2192">
        <w:t>denosumab</w:t>
      </w:r>
      <w:proofErr w:type="spellEnd"/>
      <w:r w:rsidRPr="00AB2192">
        <w:t xml:space="preserve"> treated group. The following</w:t>
      </w:r>
      <w:r w:rsidR="00480086" w:rsidRPr="00AB2192">
        <w:t xml:space="preserve"> should be clarified in the pre </w:t>
      </w:r>
      <w:r w:rsidR="00433877" w:rsidRPr="00AB2192">
        <w:t xml:space="preserve">Advisory Committee on Prescription Medicines (ACPM) </w:t>
      </w:r>
      <w:r w:rsidR="00A762D3" w:rsidRPr="00AB2192">
        <w:t>response:</w:t>
      </w:r>
    </w:p>
    <w:p w:rsidR="00A762D3" w:rsidRPr="00642629" w:rsidRDefault="00A04841" w:rsidP="00AB2192">
      <w:pPr>
        <w:pStyle w:val="ListBullet"/>
      </w:pPr>
      <w:r w:rsidRPr="00642629">
        <w:t>How many subjects with a history of osteoporotic fractures had a baseline BMD score of</w:t>
      </w:r>
      <w:r w:rsidR="009943CA" w:rsidRPr="00642629">
        <w:t xml:space="preserve"> </w:t>
      </w:r>
      <w:r w:rsidR="00613CFE" w:rsidRPr="00642629">
        <w:t xml:space="preserve">≤ </w:t>
      </w:r>
      <w:r w:rsidR="00A762D3" w:rsidRPr="00642629">
        <w:t>-2.5 T score group?</w:t>
      </w:r>
    </w:p>
    <w:p w:rsidR="00A04841" w:rsidRPr="00AB2192" w:rsidRDefault="00A04841" w:rsidP="00AB2192">
      <w:r w:rsidRPr="00AB2192">
        <w:t xml:space="preserve">This would identify the </w:t>
      </w:r>
      <w:proofErr w:type="spellStart"/>
      <w:r w:rsidRPr="00AB2192">
        <w:t>precentage</w:t>
      </w:r>
      <w:proofErr w:type="spellEnd"/>
      <w:r w:rsidRPr="00AB2192">
        <w:t xml:space="preserve"> who were at increased risk of fractures.</w:t>
      </w:r>
    </w:p>
    <w:p w:rsidR="00A04841" w:rsidRPr="00AB2192" w:rsidRDefault="00642629" w:rsidP="00AB2192">
      <w:r w:rsidRPr="00AB2192">
        <w:t xml:space="preserve">Thus, based on the data </w:t>
      </w:r>
      <w:r w:rsidR="00A04841" w:rsidRPr="00AB2192">
        <w:t xml:space="preserve">set, there is efficacy information to support the indication that </w:t>
      </w:r>
      <w:proofErr w:type="spellStart"/>
      <w:r w:rsidR="00A04841" w:rsidRPr="00AB2192">
        <w:t>denosumab</w:t>
      </w:r>
      <w:proofErr w:type="spellEnd"/>
      <w:r w:rsidR="00A04841" w:rsidRPr="00AB2192">
        <w:t xml:space="preserve"> increases BMD in those with osteopenia and osteoporosis.</w:t>
      </w:r>
    </w:p>
    <w:p w:rsidR="00A04841" w:rsidRPr="00AB2192" w:rsidRDefault="00A04841" w:rsidP="00AB2192">
      <w:r w:rsidRPr="00AB2192">
        <w:t>The qualification, “at high risk of fracture” is recommended based on the EU Guideline adopted by the TGA in August 2008.</w:t>
      </w:r>
      <w:r w:rsidR="007F45B1">
        <w:rPr>
          <w:rStyle w:val="FootnoteReference"/>
        </w:rPr>
        <w:footnoteReference w:id="4"/>
      </w:r>
      <w:r w:rsidRPr="00AB2192">
        <w:t xml:space="preserve"> This guideline replaces the </w:t>
      </w:r>
      <w:proofErr w:type="spellStart"/>
      <w:r w:rsidRPr="00AB2192">
        <w:t>NfG</w:t>
      </w:r>
      <w:proofErr w:type="spellEnd"/>
      <w:r w:rsidRPr="00AB2192">
        <w:t xml:space="preserve"> on postmenopausal oste</w:t>
      </w:r>
      <w:r w:rsidR="00642629" w:rsidRPr="00AB2192">
        <w:t>oporosis in women</w:t>
      </w:r>
      <w:r w:rsidRPr="00AB2192">
        <w:t xml:space="preserve">. The present guideline discusses that the aim of treatment is to decrease the incidence of fractures; and the recommendations for the male indication are based on the premise that registration was granted for this product for the treatment of postmenopausal </w:t>
      </w:r>
      <w:proofErr w:type="spellStart"/>
      <w:r w:rsidRPr="00AB2192">
        <w:t>osteoporsis</w:t>
      </w:r>
      <w:proofErr w:type="spellEnd"/>
      <w:r w:rsidRPr="00AB2192">
        <w:t xml:space="preserve"> in women at high risk of fracture.</w:t>
      </w:r>
      <w:r w:rsidR="009943CA" w:rsidRPr="00AB2192">
        <w:t xml:space="preserve"> </w:t>
      </w:r>
      <w:r w:rsidRPr="00AB2192">
        <w:t>It should be noted that when the original submission was evaluated, the studies were not conduct</w:t>
      </w:r>
      <w:r w:rsidR="00642629" w:rsidRPr="00AB2192">
        <w:t>ed in line with this g</w:t>
      </w:r>
      <w:r w:rsidRPr="00AB2192">
        <w:t>uideline, hence the recommendation for treatment of osteoporosis in postmenopausal women, without the qualifica</w:t>
      </w:r>
      <w:r w:rsidR="005D04F4" w:rsidRPr="00AB2192">
        <w:t>tion, “</w:t>
      </w:r>
      <w:r w:rsidRPr="00AB2192">
        <w:t>at risk of fractures”.</w:t>
      </w:r>
    </w:p>
    <w:p w:rsidR="00A04841" w:rsidRDefault="00922327" w:rsidP="00922327">
      <w:pPr>
        <w:pStyle w:val="Heading4"/>
      </w:pPr>
      <w:r>
        <w:t>Safety</w:t>
      </w:r>
    </w:p>
    <w:p w:rsidR="00922327" w:rsidRPr="00922327" w:rsidRDefault="00922327" w:rsidP="00922327">
      <w:r w:rsidRPr="00922327">
        <w:t xml:space="preserve">The </w:t>
      </w:r>
      <w:r w:rsidR="006747FC">
        <w:t>AE</w:t>
      </w:r>
      <w:r w:rsidRPr="00922327">
        <w:t xml:space="preserve">s in pivotal </w:t>
      </w:r>
      <w:r w:rsidR="00AF6618">
        <w:t>S</w:t>
      </w:r>
      <w:r w:rsidRPr="00922327">
        <w:t>tudy 20080098 are discussed. Th</w:t>
      </w:r>
      <w:r w:rsidR="00F27FC8">
        <w:t>ere is</w:t>
      </w:r>
      <w:r w:rsidRPr="00922327">
        <w:t xml:space="preserve"> safety data also provided on the extension studies (20050233 and 20060289) in postmenopausal osteoporotic women.</w:t>
      </w:r>
    </w:p>
    <w:p w:rsidR="00922327" w:rsidRPr="00922327" w:rsidRDefault="00E24269" w:rsidP="00922327">
      <w:r>
        <w:t xml:space="preserve">A total of </w:t>
      </w:r>
      <w:r w:rsidR="00922327" w:rsidRPr="00922327">
        <w:t xml:space="preserve">121 men have been exposed to </w:t>
      </w:r>
      <w:proofErr w:type="spellStart"/>
      <w:r w:rsidR="00922327" w:rsidRPr="00922327">
        <w:t>denosumab</w:t>
      </w:r>
      <w:proofErr w:type="spellEnd"/>
      <w:r w:rsidR="00922327" w:rsidRPr="00922327">
        <w:t xml:space="preserve"> in the pivotal study 20080098. The </w:t>
      </w:r>
      <w:r w:rsidR="006747FC">
        <w:t>AE</w:t>
      </w:r>
      <w:r w:rsidR="00922327" w:rsidRPr="00922327">
        <w:t>s by system organ class are included. The trends observed in the original submission in the studies on women (infections, malignancy, dermatological events, pancreatitis</w:t>
      </w:r>
      <w:r w:rsidR="00657FB5">
        <w:t>,</w:t>
      </w:r>
      <w:r w:rsidR="00922327" w:rsidRPr="00922327">
        <w:t xml:space="preserve"> etc</w:t>
      </w:r>
      <w:r w:rsidR="00657FB5">
        <w:t>.</w:t>
      </w:r>
      <w:r w:rsidR="00922327" w:rsidRPr="00922327">
        <w:t xml:space="preserve">) were not observed in </w:t>
      </w:r>
      <w:r w:rsidR="00EE477A">
        <w:t>S</w:t>
      </w:r>
      <w:r w:rsidR="00922327" w:rsidRPr="00922327">
        <w:t>tudy 20080098. However, the numbers in the male study may not have been sufficient to detect these trends.</w:t>
      </w:r>
    </w:p>
    <w:p w:rsidR="00922327" w:rsidRPr="00922327" w:rsidRDefault="00922327" w:rsidP="00922327">
      <w:r w:rsidRPr="00922327">
        <w:t xml:space="preserve">Treatment related events were 1.7% in the </w:t>
      </w:r>
      <w:proofErr w:type="spellStart"/>
      <w:r w:rsidRPr="00922327">
        <w:t>denosumab</w:t>
      </w:r>
      <w:proofErr w:type="spellEnd"/>
      <w:r w:rsidRPr="00922327">
        <w:t xml:space="preserve"> group and 5.0% in the placebo group. There were 2 deaths </w:t>
      </w:r>
      <w:r w:rsidR="00342602">
        <w:t xml:space="preserve">in the </w:t>
      </w:r>
      <w:proofErr w:type="spellStart"/>
      <w:r w:rsidR="00342602">
        <w:t>denosumab</w:t>
      </w:r>
      <w:proofErr w:type="spellEnd"/>
      <w:r w:rsidR="00342602">
        <w:t xml:space="preserve"> group</w:t>
      </w:r>
      <w:r w:rsidRPr="00922327">
        <w:t xml:space="preserve">. They appeared not to be related to </w:t>
      </w:r>
      <w:proofErr w:type="spellStart"/>
      <w:r w:rsidRPr="00922327">
        <w:t>denosumab</w:t>
      </w:r>
      <w:proofErr w:type="spellEnd"/>
      <w:r w:rsidRPr="00922327">
        <w:t xml:space="preserve">. No obvious trends </w:t>
      </w:r>
      <w:r w:rsidR="00342602">
        <w:t xml:space="preserve">in the </w:t>
      </w:r>
      <w:r w:rsidR="00342602" w:rsidRPr="00922327">
        <w:t xml:space="preserve">serious </w:t>
      </w:r>
      <w:r w:rsidR="006747FC">
        <w:t>AE</w:t>
      </w:r>
      <w:r w:rsidR="00342602" w:rsidRPr="00922327">
        <w:t xml:space="preserve">s </w:t>
      </w:r>
      <w:r w:rsidRPr="00922327">
        <w:t>are observed.</w:t>
      </w:r>
      <w:r w:rsidR="009943CA">
        <w:t xml:space="preserve"> </w:t>
      </w:r>
      <w:r w:rsidRPr="00922327">
        <w:t xml:space="preserve">Of the 3 subjects who withdrew due to </w:t>
      </w:r>
      <w:r w:rsidR="006747FC">
        <w:t>AE</w:t>
      </w:r>
      <w:r w:rsidRPr="00922327">
        <w:t xml:space="preserve">s, one was due to prostate cancer. There were no significant changes in vital signs or laboratory investigations. </w:t>
      </w:r>
    </w:p>
    <w:p w:rsidR="00922327" w:rsidRPr="00922327" w:rsidRDefault="00922327" w:rsidP="00922327">
      <w:r w:rsidRPr="00922327">
        <w:t xml:space="preserve">The long term studies on women generally reflected the incidence of the events reported in the original </w:t>
      </w:r>
      <w:proofErr w:type="spellStart"/>
      <w:r w:rsidRPr="00922327">
        <w:t>postmenopasual</w:t>
      </w:r>
      <w:proofErr w:type="spellEnd"/>
      <w:r w:rsidRPr="00922327">
        <w:t xml:space="preserve"> osteoporosis studies.</w:t>
      </w:r>
    </w:p>
    <w:p w:rsidR="00922327" w:rsidRPr="00922327" w:rsidRDefault="00922327" w:rsidP="00922327">
      <w:r w:rsidRPr="00922327">
        <w:lastRenderedPageBreak/>
        <w:t xml:space="preserve">There were 4 reports of </w:t>
      </w:r>
      <w:r w:rsidR="004F1616" w:rsidRPr="004F1616">
        <w:t xml:space="preserve">osteonecrosis of the jaw </w:t>
      </w:r>
      <w:r w:rsidR="004F1616">
        <w:t>(</w:t>
      </w:r>
      <w:r w:rsidRPr="00922327">
        <w:t>ONJ</w:t>
      </w:r>
      <w:r w:rsidR="004F1616">
        <w:t>)</w:t>
      </w:r>
      <w:r w:rsidRPr="00922327">
        <w:t xml:space="preserve"> in these long term studies. There were 7 incidents of avascular necrosis at other sites. These are not included in the draft PI and should be included.</w:t>
      </w:r>
    </w:p>
    <w:p w:rsidR="00922327" w:rsidRPr="00922327" w:rsidRDefault="00922327" w:rsidP="00922327">
      <w:r w:rsidRPr="00922327">
        <w:t>Overall</w:t>
      </w:r>
      <w:r w:rsidR="007E2011">
        <w:t>,</w:t>
      </w:r>
      <w:r w:rsidRPr="00922327">
        <w:t xml:space="preserve"> the evaluator concludes that the safety profile is adequate. The evaluator also recommends that the ONJ observed in the long term studies in women should be included, in the draft PI.</w:t>
      </w:r>
    </w:p>
    <w:p w:rsidR="00922327" w:rsidRPr="00922327" w:rsidRDefault="00922327" w:rsidP="00EA246C">
      <w:pPr>
        <w:pStyle w:val="Heading4"/>
      </w:pPr>
      <w:r w:rsidRPr="00922327">
        <w:t xml:space="preserve">Overall conclusion of the </w:t>
      </w:r>
      <w:r w:rsidR="00EA246C">
        <w:t xml:space="preserve">clinical </w:t>
      </w:r>
      <w:r w:rsidRPr="00922327">
        <w:t>evaluator</w:t>
      </w:r>
    </w:p>
    <w:p w:rsidR="00922327" w:rsidRPr="00922327" w:rsidRDefault="00922327" w:rsidP="00922327">
      <w:r w:rsidRPr="00922327">
        <w:t xml:space="preserve">The evaluator </w:t>
      </w:r>
      <w:r w:rsidR="00666DB3">
        <w:t>concludes that the overall risk-</w:t>
      </w:r>
      <w:r w:rsidRPr="00922327">
        <w:t>benefit profile for the proposed indication is satisfactory. The lack of fracture data as an efficacy endpoint in the pivotal study is justified on the basis that the magnitude of change in relation to BMD in males is similar to that in females. The evaluator recommends that the indication should be changed to “treatment of osteoporosis in men at high risk of fracture” as the evaluator is of the opinion that the bridging study satis</w:t>
      </w:r>
      <w:r w:rsidR="00AE69DB">
        <w:t>fies the requirement of the European Medicines Agency (EMA)</w:t>
      </w:r>
      <w:r w:rsidRPr="00922327">
        <w:t xml:space="preserve"> Guideline.</w:t>
      </w:r>
      <w:r w:rsidR="009943CA">
        <w:t xml:space="preserve"> </w:t>
      </w:r>
      <w:r w:rsidRPr="00922327">
        <w:t xml:space="preserve">Other PI changes are also </w:t>
      </w:r>
      <w:r w:rsidR="00A57C82">
        <w:t>recommended.</w:t>
      </w:r>
    </w:p>
    <w:p w:rsidR="00922327" w:rsidRPr="00922327" w:rsidRDefault="009A2923" w:rsidP="00922327">
      <w:r>
        <w:t>In t</w:t>
      </w:r>
      <w:r w:rsidR="00922327" w:rsidRPr="00922327">
        <w:t>he sponsor’s res</w:t>
      </w:r>
      <w:r>
        <w:t xml:space="preserve">ponse to the clinical evaluation report, it </w:t>
      </w:r>
      <w:r w:rsidR="00922327" w:rsidRPr="00922327">
        <w:t>is stated that there have been safety related notifications resulting in the amendment to the PI, since submittin</w:t>
      </w:r>
      <w:r w:rsidR="00E45C45">
        <w:t>g this application</w:t>
      </w:r>
      <w:r w:rsidR="00922327" w:rsidRPr="00922327">
        <w:t>. These notifications have included hypersensitivity reactions, atypical femoral fractures, severe symptomatic hypocalcae</w:t>
      </w:r>
      <w:r w:rsidR="00A57C82">
        <w:t>mia and anaphylactic reactions.</w:t>
      </w:r>
    </w:p>
    <w:p w:rsidR="00922327" w:rsidRPr="00922327" w:rsidRDefault="00922327" w:rsidP="00922327">
      <w:r w:rsidRPr="00922327">
        <w:t>Overall, there are no contentions regarding th</w:t>
      </w:r>
      <w:r w:rsidR="00A57C82">
        <w:t>e conclusions of the evaluator.</w:t>
      </w:r>
    </w:p>
    <w:p w:rsidR="008E7846" w:rsidRDefault="00386150" w:rsidP="008E7846">
      <w:pPr>
        <w:pStyle w:val="Heading3"/>
        <w:rPr>
          <w:lang w:eastAsia="en-AU"/>
        </w:rPr>
      </w:pPr>
      <w:bookmarkStart w:id="104" w:name="_Toc314842514"/>
      <w:bookmarkStart w:id="105" w:name="_Toc382916066"/>
      <w:r>
        <w:rPr>
          <w:lang w:eastAsia="en-AU"/>
        </w:rPr>
        <w:t>Risk m</w:t>
      </w:r>
      <w:r w:rsidR="008E7846">
        <w:rPr>
          <w:lang w:eastAsia="en-AU"/>
        </w:rPr>
        <w:t xml:space="preserve">anagement </w:t>
      </w:r>
      <w:r>
        <w:rPr>
          <w:lang w:eastAsia="en-AU"/>
        </w:rPr>
        <w:t>p</w:t>
      </w:r>
      <w:r w:rsidR="008E7846">
        <w:rPr>
          <w:lang w:eastAsia="en-AU"/>
        </w:rPr>
        <w:t>lan</w:t>
      </w:r>
      <w:bookmarkEnd w:id="104"/>
      <w:bookmarkEnd w:id="105"/>
    </w:p>
    <w:p w:rsidR="00EA246C" w:rsidRPr="00922327" w:rsidRDefault="00EA246C" w:rsidP="00EA246C">
      <w:r w:rsidRPr="00922327">
        <w:t>The relevant recommendation</w:t>
      </w:r>
      <w:r w:rsidR="0026382D">
        <w:t>s extracted from the report are:</w:t>
      </w:r>
    </w:p>
    <w:p w:rsidR="00EA246C" w:rsidRPr="00822B50" w:rsidRDefault="00EA246C" w:rsidP="00822B50">
      <w:pPr>
        <w:ind w:left="720"/>
        <w:rPr>
          <w:i/>
        </w:rPr>
      </w:pPr>
      <w:r w:rsidRPr="00822B50">
        <w:rPr>
          <w:i/>
        </w:rPr>
        <w:t xml:space="preserve">3. It is recommended to the Delegate that the sponsor re-name the important identified risk – ‘Skin infection leading to </w:t>
      </w:r>
      <w:r w:rsidR="009943CA">
        <w:rPr>
          <w:i/>
        </w:rPr>
        <w:t>hospitalisation</w:t>
      </w:r>
      <w:r w:rsidRPr="00822B50">
        <w:rPr>
          <w:i/>
        </w:rPr>
        <w:t>’ to ‘</w:t>
      </w:r>
      <w:proofErr w:type="gramStart"/>
      <w:r w:rsidRPr="00822B50">
        <w:rPr>
          <w:i/>
        </w:rPr>
        <w:t>Serious</w:t>
      </w:r>
      <w:proofErr w:type="gramEnd"/>
      <w:r w:rsidRPr="00822B50">
        <w:rPr>
          <w:i/>
        </w:rPr>
        <w:t xml:space="preserve"> infection leading to </w:t>
      </w:r>
      <w:r w:rsidR="009943CA">
        <w:rPr>
          <w:i/>
        </w:rPr>
        <w:t>hospitalisation</w:t>
      </w:r>
      <w:r w:rsidRPr="00822B50">
        <w:rPr>
          <w:i/>
        </w:rPr>
        <w:t xml:space="preserve">’. That is, serious infections reported in clinical trials with </w:t>
      </w:r>
      <w:proofErr w:type="spellStart"/>
      <w:r w:rsidRPr="00822B50">
        <w:rPr>
          <w:i/>
        </w:rPr>
        <w:t>Prolia</w:t>
      </w:r>
      <w:proofErr w:type="spellEnd"/>
      <w:r w:rsidRPr="00822B50">
        <w:rPr>
          <w:i/>
        </w:rPr>
        <w:t xml:space="preserve"> encompassed not only skin infections but other organs. It is also recommended to the Delegate that adequate and appropriate </w:t>
      </w:r>
      <w:proofErr w:type="spellStart"/>
      <w:r w:rsidRPr="00822B50">
        <w:rPr>
          <w:i/>
        </w:rPr>
        <w:t>pharmacovigilance</w:t>
      </w:r>
      <w:proofErr w:type="spellEnd"/>
      <w:r w:rsidRPr="00822B50">
        <w:rPr>
          <w:i/>
        </w:rPr>
        <w:t xml:space="preserve"> and risk </w:t>
      </w:r>
      <w:r w:rsidR="009943CA">
        <w:rPr>
          <w:i/>
        </w:rPr>
        <w:t>minimisation</w:t>
      </w:r>
      <w:r w:rsidRPr="00822B50">
        <w:rPr>
          <w:i/>
        </w:rPr>
        <w:t xml:space="preserve"> activities are assigned to this risk.</w:t>
      </w:r>
    </w:p>
    <w:p w:rsidR="00EA246C" w:rsidRPr="00822B50" w:rsidRDefault="00EA246C" w:rsidP="00822B50">
      <w:pPr>
        <w:ind w:left="720"/>
        <w:rPr>
          <w:i/>
        </w:rPr>
      </w:pPr>
      <w:r w:rsidRPr="00822B50">
        <w:rPr>
          <w:i/>
        </w:rPr>
        <w:t xml:space="preserve">4. It is recommended to the Delegate that the sponsor add ‘Suppression of bone turnover’ to the list important identified risks, as supported by data from clinical studies with </w:t>
      </w:r>
      <w:proofErr w:type="spellStart"/>
      <w:r w:rsidRPr="00822B50">
        <w:rPr>
          <w:i/>
        </w:rPr>
        <w:t>Prolia</w:t>
      </w:r>
      <w:proofErr w:type="spellEnd"/>
      <w:r w:rsidRPr="00822B50">
        <w:rPr>
          <w:i/>
        </w:rPr>
        <w:t xml:space="preserve">. It is also recommended to the Delegate that adequate and appropriate </w:t>
      </w:r>
      <w:proofErr w:type="spellStart"/>
      <w:r w:rsidRPr="00822B50">
        <w:rPr>
          <w:i/>
        </w:rPr>
        <w:t>pharmacovigilance</w:t>
      </w:r>
      <w:proofErr w:type="spellEnd"/>
      <w:r w:rsidRPr="00822B50">
        <w:rPr>
          <w:i/>
        </w:rPr>
        <w:t xml:space="preserve"> and risk minimi</w:t>
      </w:r>
      <w:r w:rsidR="0026382D">
        <w:rPr>
          <w:i/>
        </w:rPr>
        <w:t>s</w:t>
      </w:r>
      <w:r w:rsidRPr="00822B50">
        <w:rPr>
          <w:i/>
        </w:rPr>
        <w:t>ation activities are assigned to this risk.</w:t>
      </w:r>
    </w:p>
    <w:p w:rsidR="00EA246C" w:rsidRPr="00822B50" w:rsidRDefault="00EA246C" w:rsidP="00822B50">
      <w:pPr>
        <w:ind w:left="720"/>
        <w:rPr>
          <w:i/>
        </w:rPr>
      </w:pPr>
      <w:r w:rsidRPr="00822B50">
        <w:rPr>
          <w:i/>
        </w:rPr>
        <w:t>5. It is recommended to the Delegate that the sponsor provide the proposed Australian PI changes for the important identified risk – ‘Atypical femoral fracture’ (the sponsor states in the RMP “A change to the prescribing information is planned. Atypical femoral fracture will be added to the Precautions and Adverse Effects sec</w:t>
      </w:r>
      <w:r w:rsidR="007B2437">
        <w:rPr>
          <w:i/>
        </w:rPr>
        <w:t>tions (submission pending)” [see RMP page 155]</w:t>
      </w:r>
      <w:r w:rsidRPr="00822B50">
        <w:rPr>
          <w:i/>
        </w:rPr>
        <w:t>).</w:t>
      </w:r>
    </w:p>
    <w:p w:rsidR="00EA246C" w:rsidRPr="00822B50" w:rsidRDefault="00EA246C" w:rsidP="00822B50">
      <w:pPr>
        <w:ind w:left="720"/>
        <w:rPr>
          <w:i/>
        </w:rPr>
      </w:pPr>
      <w:r w:rsidRPr="00822B50">
        <w:rPr>
          <w:i/>
        </w:rPr>
        <w:t>6. It is also recommended to the Delegate that additional precautions be added to relevant parts of the proposed Australian PI to further inform prescribers and healthcare professionals of the risks of serious infections, dermatologic adverse reactions and osteonecrosis of the jaw and suppression of bone turnover (see relevant information extracted from the FDA Product Label in Risk Minimisation Activities section on page 6 of this report).</w:t>
      </w:r>
    </w:p>
    <w:p w:rsidR="00EA246C" w:rsidRPr="00922327" w:rsidRDefault="00EA246C" w:rsidP="00822B50">
      <w:pPr>
        <w:ind w:left="720"/>
      </w:pPr>
      <w:r w:rsidRPr="00822B50">
        <w:rPr>
          <w:i/>
        </w:rPr>
        <w:t xml:space="preserve">7. It is recommended to the Delegate that the sponsor revise the PRECAUTION in the proposed Australian PI on Carcinogenicity to inform prescribers and healthcare professionals that malignancies with </w:t>
      </w:r>
      <w:proofErr w:type="spellStart"/>
      <w:r w:rsidRPr="00822B50">
        <w:rPr>
          <w:i/>
        </w:rPr>
        <w:t>Prolia</w:t>
      </w:r>
      <w:proofErr w:type="spellEnd"/>
      <w:r w:rsidRPr="00822B50">
        <w:rPr>
          <w:i/>
        </w:rPr>
        <w:t xml:space="preserve"> have been reported (see relevant </w:t>
      </w:r>
      <w:r w:rsidRPr="00822B50">
        <w:rPr>
          <w:i/>
        </w:rPr>
        <w:lastRenderedPageBreak/>
        <w:t>information extracted from the FDA Product Label in Risk Minimisation Activities section on page 6 of this report).</w:t>
      </w:r>
    </w:p>
    <w:p w:rsidR="008E7846" w:rsidRDefault="00AA0ED0" w:rsidP="008E7846">
      <w:pPr>
        <w:pStyle w:val="Heading3"/>
      </w:pPr>
      <w:bookmarkStart w:id="106" w:name="_Toc247691531"/>
      <w:bookmarkStart w:id="107" w:name="_Toc314842515"/>
      <w:bookmarkStart w:id="108" w:name="_Toc196046505"/>
      <w:bookmarkStart w:id="109" w:name="_Toc196046949"/>
      <w:bookmarkStart w:id="110" w:name="_Toc382916067"/>
      <w:r>
        <w:t>Risk-benefit a</w:t>
      </w:r>
      <w:r w:rsidR="008E7846">
        <w:t>nalysis</w:t>
      </w:r>
      <w:bookmarkEnd w:id="106"/>
      <w:bookmarkEnd w:id="107"/>
      <w:bookmarkEnd w:id="110"/>
    </w:p>
    <w:p w:rsidR="008E7846" w:rsidRDefault="008E7846" w:rsidP="008E7846">
      <w:pPr>
        <w:pStyle w:val="Heading4"/>
      </w:pPr>
      <w:r>
        <w:t xml:space="preserve">Delegate </w:t>
      </w:r>
      <w:r w:rsidR="00ED3CAD">
        <w:t>c</w:t>
      </w:r>
      <w:r>
        <w:t>onsiderations</w:t>
      </w:r>
    </w:p>
    <w:p w:rsidR="00EA246C" w:rsidRPr="00922327" w:rsidRDefault="00EA246C" w:rsidP="00EA246C">
      <w:r w:rsidRPr="00922327">
        <w:t>This submission is based on one bridging study, 20080098 to support the indication, “treatment of osteoporosis in men”.</w:t>
      </w:r>
      <w:r w:rsidR="009943CA">
        <w:t xml:space="preserve"> </w:t>
      </w:r>
      <w:r w:rsidRPr="00922327">
        <w:t xml:space="preserve">This study has included BMD as the primary efficacy endpoint without fracture data in the efficacy analyses. The sponsor states, in its letter of application, that the treatment effect observed in the study in men was similar in magnitude to that observed in the pivotal studies in women in relation to BMD; in addition, the baseline fracture risk for men in Study 20080098 showed a considerable overlap with that for women with PMO in study 20030216. Thus, it is “reasonable to extrapolate the </w:t>
      </w:r>
      <w:proofErr w:type="spellStart"/>
      <w:r w:rsidRPr="00922327">
        <w:t>anti</w:t>
      </w:r>
      <w:r w:rsidR="00714B79">
        <w:t xml:space="preserve"> </w:t>
      </w:r>
      <w:r w:rsidRPr="00922327">
        <w:t>fracture</w:t>
      </w:r>
      <w:proofErr w:type="spellEnd"/>
      <w:r w:rsidRPr="00922327">
        <w:t xml:space="preserve"> efficacy in men, based on the </w:t>
      </w:r>
      <w:proofErr w:type="spellStart"/>
      <w:r w:rsidRPr="00922327">
        <w:t>anti</w:t>
      </w:r>
      <w:r w:rsidR="00EE1AE2">
        <w:t xml:space="preserve"> </w:t>
      </w:r>
      <w:r w:rsidR="00A57C82">
        <w:t>fracture</w:t>
      </w:r>
      <w:proofErr w:type="spellEnd"/>
      <w:r w:rsidR="00A57C82">
        <w:t xml:space="preserve"> efficacy in women”.</w:t>
      </w:r>
    </w:p>
    <w:p w:rsidR="00EA246C" w:rsidRPr="00922327" w:rsidRDefault="00EA246C" w:rsidP="00EA246C">
      <w:r w:rsidRPr="00922327">
        <w:t xml:space="preserve">It also states </w:t>
      </w:r>
      <w:r w:rsidR="004A0933">
        <w:t>that regulatory guidance</w:t>
      </w:r>
      <w:r w:rsidR="004A0933">
        <w:rPr>
          <w:rStyle w:val="FootnoteReference"/>
        </w:rPr>
        <w:footnoteReference w:id="5"/>
      </w:r>
      <w:r w:rsidR="004A0933">
        <w:t xml:space="preserve"> </w:t>
      </w:r>
      <w:r w:rsidRPr="00922327">
        <w:t>supports the evaluation of BMD to demonstrate efficacy in men with osteoporosis after the therapy has demonstrated efficacy at reducing fracture risk in women with osteoporosis. It is stated that re</w:t>
      </w:r>
      <w:r w:rsidR="001C155C">
        <w:t>gulatory agencies, including the US</w:t>
      </w:r>
      <w:r w:rsidRPr="00922327">
        <w:t xml:space="preserve"> FDA and Health Canada</w:t>
      </w:r>
      <w:r w:rsidR="002D32F8">
        <w:t xml:space="preserve">, </w:t>
      </w:r>
      <w:r w:rsidRPr="00922327">
        <w:t xml:space="preserve">have endorsed BMD as the primary measure of efficacy as was communicated at scientific advice meetings held before study 2008098 was started. The 12 month double blind treatment duration is considered adequate to </w:t>
      </w:r>
      <w:r w:rsidRPr="00A000DF">
        <w:rPr>
          <w:i/>
        </w:rPr>
        <w:t>demonstrate effects on BMD</w:t>
      </w:r>
      <w:r w:rsidR="00A000DF">
        <w:t xml:space="preserve"> </w:t>
      </w:r>
      <w:r w:rsidRPr="00922327">
        <w:t>by those agencies.</w:t>
      </w:r>
    </w:p>
    <w:p w:rsidR="00EA246C" w:rsidRPr="00922327" w:rsidRDefault="00822B50" w:rsidP="00EA246C">
      <w:r>
        <w:t>The Delegate</w:t>
      </w:r>
      <w:r w:rsidR="00EA246C" w:rsidRPr="00922327">
        <w:t xml:space="preserve"> agree</w:t>
      </w:r>
      <w:r>
        <w:t>s</w:t>
      </w:r>
      <w:r w:rsidR="00EA246C" w:rsidRPr="00922327">
        <w:t xml:space="preserve"> that the 12 month double blind treatment duration is considered adequate to demonstrate effects on BM</w:t>
      </w:r>
      <w:r w:rsidR="006A260F">
        <w:t>D. H</w:t>
      </w:r>
      <w:r w:rsidR="00EA246C" w:rsidRPr="00922327">
        <w:t>owever, the</w:t>
      </w:r>
      <w:r w:rsidR="006A260F">
        <w:t xml:space="preserve"> issue of extrapolating to anti </w:t>
      </w:r>
      <w:r w:rsidR="00EA246C" w:rsidRPr="00922327">
        <w:t>fracture efficacy appears difficult on the following grounds:</w:t>
      </w:r>
    </w:p>
    <w:p w:rsidR="00EA246C" w:rsidRPr="00922327" w:rsidRDefault="00EA246C" w:rsidP="00A57C82">
      <w:pPr>
        <w:pStyle w:val="ListBullet"/>
      </w:pPr>
      <w:r w:rsidRPr="00922327">
        <w:t>The inclu</w:t>
      </w:r>
      <w:r w:rsidR="00896475">
        <w:t>sion criteria stipulated S</w:t>
      </w:r>
      <w:r w:rsidRPr="00922327">
        <w:t>tudy</w:t>
      </w:r>
      <w:r w:rsidR="00896475">
        <w:t xml:space="preserve"> </w:t>
      </w:r>
      <w:r w:rsidRPr="00922327">
        <w:t>20080098 uses a higher BMD cut</w:t>
      </w:r>
      <w:r w:rsidR="00896475">
        <w:t>-</w:t>
      </w:r>
      <w:r w:rsidRPr="00922327">
        <w:t xml:space="preserve">off </w:t>
      </w:r>
      <w:r w:rsidR="00896475">
        <w:t xml:space="preserve">of </w:t>
      </w:r>
      <w:r w:rsidRPr="00922327">
        <w:t>≤</w:t>
      </w:r>
      <w:r w:rsidR="009943CA">
        <w:t xml:space="preserve"> </w:t>
      </w:r>
      <w:r w:rsidR="003D27BB">
        <w:t xml:space="preserve">-2.0 </w:t>
      </w:r>
      <w:r w:rsidRPr="00922327">
        <w:t xml:space="preserve">than that used in the </w:t>
      </w:r>
      <w:r w:rsidR="004E26C3">
        <w:t>WHO definition for osteoporosis</w:t>
      </w:r>
      <w:r w:rsidRPr="00922327">
        <w:t xml:space="preserve"> which</w:t>
      </w:r>
      <w:r w:rsidR="009943CA">
        <w:t xml:space="preserve"> </w:t>
      </w:r>
      <w:r w:rsidRPr="00922327">
        <w:t>is</w:t>
      </w:r>
      <w:r w:rsidR="009943CA">
        <w:t xml:space="preserve"> </w:t>
      </w:r>
      <w:r w:rsidRPr="00922327">
        <w:t>≤</w:t>
      </w:r>
      <w:r w:rsidR="009943CA">
        <w:t xml:space="preserve"> </w:t>
      </w:r>
      <w:r w:rsidRPr="00922327">
        <w:t xml:space="preserve">-2.5. The study on males, was stratified according to </w:t>
      </w:r>
      <w:r w:rsidRPr="00A57C82">
        <w:t>BMD</w:t>
      </w:r>
      <w:r w:rsidRPr="00922327">
        <w:t>; it is stated that those with ≤</w:t>
      </w:r>
      <w:r w:rsidR="009943CA">
        <w:t xml:space="preserve"> </w:t>
      </w:r>
      <w:r w:rsidR="00510B56">
        <w:t>-</w:t>
      </w:r>
      <w:r w:rsidRPr="00922327">
        <w:t xml:space="preserve">2.5 in the </w:t>
      </w:r>
      <w:proofErr w:type="spellStart"/>
      <w:r w:rsidRPr="00922327">
        <w:t>denosumab</w:t>
      </w:r>
      <w:proofErr w:type="spellEnd"/>
      <w:r w:rsidRPr="00922327">
        <w:t xml:space="preserve"> group was 61 (50%) at study entry. Thus, only 50% met the criteria for osteoporosis in a</w:t>
      </w:r>
      <w:r w:rsidR="005972DD">
        <w:t xml:space="preserve"> relatively small study. The EMA g</w:t>
      </w:r>
      <w:r w:rsidRPr="00922327">
        <w:t>uideline suggests that patients with variable le</w:t>
      </w:r>
      <w:r w:rsidR="000A66F3">
        <w:t xml:space="preserve">vels of BMD could be recruited </w:t>
      </w:r>
      <w:r w:rsidRPr="00922327">
        <w:t xml:space="preserve">(for studies in </w:t>
      </w:r>
      <w:proofErr w:type="spellStart"/>
      <w:r w:rsidRPr="00922327">
        <w:t>post menopausal</w:t>
      </w:r>
      <w:proofErr w:type="spellEnd"/>
      <w:r w:rsidRPr="00922327">
        <w:t xml:space="preserve"> osteoporosis) provided their 10 year risk of fracture is increased. The inclusion of only 50% of men with osteopenia is not justified with increased (10 year) fracture risk. The 10 year fracture risk is 8.4 (5.3, 12.7) in men compared</w:t>
      </w:r>
      <w:r w:rsidR="00510B56">
        <w:t xml:space="preserve"> to 15.1 (10.4, 21.5) in women. T</w:t>
      </w:r>
      <w:r w:rsidRPr="00922327">
        <w:t xml:space="preserve">his is based on the current study and previously submitted study on </w:t>
      </w:r>
      <w:r w:rsidR="009B0459">
        <w:t>PMO</w:t>
      </w:r>
      <w:r w:rsidRPr="00922327">
        <w:t>.</w:t>
      </w:r>
    </w:p>
    <w:p w:rsidR="00EA246C" w:rsidRPr="00922327" w:rsidRDefault="00EA246C" w:rsidP="00822B50">
      <w:pPr>
        <w:pStyle w:val="ListBullet"/>
      </w:pPr>
      <w:r w:rsidRPr="00922327">
        <w:t xml:space="preserve">The other independent risk factors in osteoporosis in males are not validated. It is also stated that 19% of the </w:t>
      </w:r>
      <w:proofErr w:type="spellStart"/>
      <w:r w:rsidRPr="00922327">
        <w:t>denosumab</w:t>
      </w:r>
      <w:proofErr w:type="spellEnd"/>
      <w:r w:rsidRPr="00922327">
        <w:t xml:space="preserve"> population had prior osteoporotic fractures, at baseline. The sponsor should state, in its pre</w:t>
      </w:r>
      <w:r w:rsidR="00047B06">
        <w:t xml:space="preserve"> </w:t>
      </w:r>
      <w:r w:rsidRPr="00922327">
        <w:t>ACPM response, the number who had prior osteoporotic fractures in</w:t>
      </w:r>
      <w:r w:rsidR="00A57C82">
        <w:t xml:space="preserve"> those with BMD less than -2.5.</w:t>
      </w:r>
    </w:p>
    <w:p w:rsidR="00EA246C" w:rsidRPr="00922327" w:rsidRDefault="00047B06" w:rsidP="00822B50">
      <w:pPr>
        <w:pStyle w:val="ListBullet"/>
      </w:pPr>
      <w:r>
        <w:t>S</w:t>
      </w:r>
      <w:r w:rsidR="00EA246C" w:rsidRPr="00922327">
        <w:t>ection 5.3.4</w:t>
      </w:r>
      <w:r>
        <w:t xml:space="preserve"> of the relevant CHMP guideline</w:t>
      </w:r>
      <w:r>
        <w:rPr>
          <w:rStyle w:val="FootnoteReference"/>
        </w:rPr>
        <w:footnoteReference w:id="6"/>
      </w:r>
      <w:r w:rsidR="00EA246C" w:rsidRPr="00922327">
        <w:t xml:space="preserve"> </w:t>
      </w:r>
      <w:r>
        <w:t xml:space="preserve">states </w:t>
      </w:r>
      <w:r w:rsidR="00EA246C" w:rsidRPr="00922327">
        <w:t>the minimal requirement necessary in order to be granted a marketing indication for the treatment of osteoporosis in men at increased risk o</w:t>
      </w:r>
      <w:r>
        <w:t>f fracture. This aspect of the g</w:t>
      </w:r>
      <w:r w:rsidR="00EA246C" w:rsidRPr="00922327">
        <w:t xml:space="preserve">uideline states </w:t>
      </w:r>
      <w:r w:rsidR="00EA246C" w:rsidRPr="00922327">
        <w:lastRenderedPageBreak/>
        <w:t>that a bridging study could be sufficient provided that the sponsor addresses certain crit</w:t>
      </w:r>
      <w:r>
        <w:t>eria</w:t>
      </w:r>
      <w:r w:rsidR="00EA246C" w:rsidRPr="00922327">
        <w:t>. One criterion of note is:</w:t>
      </w:r>
    </w:p>
    <w:p w:rsidR="00EA246C" w:rsidRPr="00822B50" w:rsidRDefault="000F21E9" w:rsidP="00822B50">
      <w:pPr>
        <w:ind w:left="360"/>
        <w:rPr>
          <w:i/>
        </w:rPr>
      </w:pPr>
      <w:r>
        <w:rPr>
          <w:i/>
        </w:rPr>
        <w:t>T</w:t>
      </w:r>
      <w:r w:rsidR="00EA246C" w:rsidRPr="00822B50">
        <w:rPr>
          <w:i/>
        </w:rPr>
        <w:t>he applicant justifies that the cut-off of BMD, age and any other risk factor chosen for the inclusion of men in the pivotal study will generate a fracture risk of a similar magnitude compared with postmenopausal women that were recruited in the studies used to obtain the indication “Treatment of postmenopausal osteoporosis in women at increased risk of fracture”</w:t>
      </w:r>
    </w:p>
    <w:p w:rsidR="00EA246C" w:rsidRPr="00922327" w:rsidRDefault="00EA246C" w:rsidP="00822B50">
      <w:pPr>
        <w:ind w:left="360"/>
      </w:pPr>
      <w:r w:rsidRPr="00922327">
        <w:t>This clearly has not been addressed satisfactorily as the BMD cut off used in the male study is not representative of the osteoporosis target population. Other independent risk factors (including prevalent fractures) have not been identified in this population. How do factors such as age, prior fractures, a family history of hip fractures, high bone turn-over, tobacco use, alcohol abuse affect the 10 year fracture risk in men? This is not defined in this submission.</w:t>
      </w:r>
    </w:p>
    <w:p w:rsidR="00EA246C" w:rsidRPr="00922327" w:rsidRDefault="001D08A5" w:rsidP="00822B50">
      <w:pPr>
        <w:ind w:left="360"/>
      </w:pPr>
      <w:r>
        <w:t>B</w:t>
      </w:r>
      <w:r w:rsidR="00EA246C" w:rsidRPr="00922327">
        <w:t>ased on these concerns</w:t>
      </w:r>
      <w:r>
        <w:t>, it is</w:t>
      </w:r>
      <w:r w:rsidR="00EA246C" w:rsidRPr="00922327">
        <w:t xml:space="preserve"> recommend</w:t>
      </w:r>
      <w:r>
        <w:t>ed</w:t>
      </w:r>
      <w:r w:rsidR="00EA246C" w:rsidRPr="00922327">
        <w:t xml:space="preserve"> </w:t>
      </w:r>
      <w:r>
        <w:t xml:space="preserve">that </w:t>
      </w:r>
      <w:r w:rsidR="00EA246C" w:rsidRPr="00922327">
        <w:t xml:space="preserve">approval </w:t>
      </w:r>
      <w:r>
        <w:t xml:space="preserve">be granted for </w:t>
      </w:r>
      <w:r w:rsidR="00EA246C" w:rsidRPr="00922327">
        <w:t>the following indication:</w:t>
      </w:r>
    </w:p>
    <w:p w:rsidR="00EA246C" w:rsidRPr="001D08A5" w:rsidRDefault="00EA246C" w:rsidP="00822B50">
      <w:pPr>
        <w:ind w:left="360"/>
        <w:rPr>
          <w:i/>
        </w:rPr>
      </w:pPr>
      <w:proofErr w:type="gramStart"/>
      <w:r w:rsidRPr="001D08A5">
        <w:rPr>
          <w:i/>
        </w:rPr>
        <w:t>Treatment to increase bone mass in men with osteoporosis at high risk for fracture.</w:t>
      </w:r>
      <w:proofErr w:type="gramEnd"/>
    </w:p>
    <w:p w:rsidR="00EA246C" w:rsidRPr="00922327" w:rsidRDefault="00866730" w:rsidP="00822B50">
      <w:pPr>
        <w:ind w:left="360"/>
      </w:pPr>
      <w:r>
        <w:t>The approval in the US</w:t>
      </w:r>
      <w:r w:rsidR="00EA246C" w:rsidRPr="00922327">
        <w:t xml:space="preserve"> </w:t>
      </w:r>
      <w:r w:rsidR="007941B1">
        <w:t xml:space="preserve">is </w:t>
      </w:r>
      <w:r w:rsidR="006604AF">
        <w:t xml:space="preserve">based on the same study </w:t>
      </w:r>
      <w:r w:rsidR="00EA246C" w:rsidRPr="00922327">
        <w:t xml:space="preserve">as above. </w:t>
      </w:r>
    </w:p>
    <w:p w:rsidR="00EA246C" w:rsidRPr="00922327" w:rsidRDefault="00EA246C" w:rsidP="007B2437">
      <w:r w:rsidRPr="00922327">
        <w:t>The PI recommendations recommended by the clinical and OPR evaluator are endorsed. All risk management activities recommended by the OP</w:t>
      </w:r>
      <w:r w:rsidR="000A66F3">
        <w:t>R evaluator are also endorsed. The Delegate</w:t>
      </w:r>
      <w:r w:rsidRPr="00922327">
        <w:t xml:space="preserve"> also recommend</w:t>
      </w:r>
      <w:r w:rsidR="000A66F3">
        <w:t>s</w:t>
      </w:r>
      <w:r w:rsidRPr="00922327">
        <w:t xml:space="preserve"> that baseline characteristics relating to BMD (the number with T score &lt; -2.5 and &gt; -2.5 at either lumbar spine or femoral neck) shou</w:t>
      </w:r>
      <w:r w:rsidR="001E1EDC">
        <w:t>ld be included in the draft PI.</w:t>
      </w:r>
    </w:p>
    <w:p w:rsidR="00EA246C" w:rsidRPr="008B7A48" w:rsidRDefault="00EA246C" w:rsidP="008B7A48">
      <w:r w:rsidRPr="008B7A48">
        <w:t xml:space="preserve">The committee’s advice is </w:t>
      </w:r>
      <w:r w:rsidR="007B2437">
        <w:t xml:space="preserve">to be </w:t>
      </w:r>
      <w:r w:rsidR="00A57C82">
        <w:t>sought.</w:t>
      </w:r>
    </w:p>
    <w:p w:rsidR="008E7846" w:rsidRDefault="008E7846" w:rsidP="008E7846">
      <w:pPr>
        <w:pStyle w:val="Heading4"/>
      </w:pPr>
      <w:r>
        <w:t xml:space="preserve">Response from </w:t>
      </w:r>
      <w:r w:rsidR="00B530C1">
        <w:t>s</w:t>
      </w:r>
      <w:r>
        <w:t>ponsor</w:t>
      </w:r>
    </w:p>
    <w:p w:rsidR="008E7846" w:rsidRDefault="005E5D67" w:rsidP="005E5D67">
      <w:pPr>
        <w:pStyle w:val="Heading5"/>
      </w:pPr>
      <w:r>
        <w:t>Summary</w:t>
      </w:r>
    </w:p>
    <w:p w:rsidR="005E5D67" w:rsidRDefault="00196470" w:rsidP="008E7846">
      <w:r>
        <w:t>The sponsor</w:t>
      </w:r>
      <w:r w:rsidR="009637C4">
        <w:t xml:space="preserve"> supports the draft indication recommended by the TGA Delegate with slightly revised wording:</w:t>
      </w:r>
    </w:p>
    <w:p w:rsidR="009637C4" w:rsidRPr="003A1867" w:rsidRDefault="009637C4" w:rsidP="003A1867">
      <w:pPr>
        <w:ind w:left="720"/>
        <w:rPr>
          <w:i/>
        </w:rPr>
      </w:pPr>
      <w:r w:rsidRPr="003A1867">
        <w:rPr>
          <w:i/>
        </w:rPr>
        <w:t>Treatment to increase bone mass in men with osteoporosi</w:t>
      </w:r>
      <w:r w:rsidR="0064089D">
        <w:rPr>
          <w:i/>
        </w:rPr>
        <w:t>s at increased risk of fracture</w:t>
      </w:r>
    </w:p>
    <w:p w:rsidR="00850015" w:rsidRDefault="0047642D" w:rsidP="008E7846">
      <w:r>
        <w:t xml:space="preserve">This is </w:t>
      </w:r>
      <w:r w:rsidR="009637C4">
        <w:t xml:space="preserve">to reflect </w:t>
      </w:r>
      <w:r w:rsidR="00BA1343">
        <w:t xml:space="preserve">the </w:t>
      </w:r>
      <w:r w:rsidR="009637C4">
        <w:t>terminology used in the CHMP osteoporosis guidance for the indication statement (“increased risk of fracture”</w:t>
      </w:r>
      <w:r w:rsidR="005661F0">
        <w:t xml:space="preserve">). </w:t>
      </w:r>
      <w:r w:rsidR="00C37183">
        <w:t xml:space="preserve">The sponsor </w:t>
      </w:r>
      <w:r w:rsidR="005661F0">
        <w:t xml:space="preserve">considers the population of men in Study 20080098 was comparable to the population enrolled in Study 20030216 in women with </w:t>
      </w:r>
      <w:r w:rsidR="009B0459">
        <w:t>PMO</w:t>
      </w:r>
      <w:r w:rsidR="005661F0">
        <w:t xml:space="preserve"> with respect to fracture risk, consistent with the requirements in the CHMP osteoporosis guidance.</w:t>
      </w:r>
      <w:r w:rsidR="00FC2EF9">
        <w:t xml:space="preserve"> Subjects enrolled in Study 20080098 encompassed a broad spectrum of baseline fracture risk, as evaluated by BMD T</w:t>
      </w:r>
      <w:r w:rsidR="009A303A">
        <w:t xml:space="preserve"> </w:t>
      </w:r>
      <w:r w:rsidR="00FC2EF9">
        <w:t>score, prevalent vertebral fracture, prior osteoporotic failure, and 10 year major osteoporotic fracture risk</w:t>
      </w:r>
      <w:r w:rsidR="0064329B">
        <w:t>.</w:t>
      </w:r>
      <w:r w:rsidR="006B7DC7">
        <w:t xml:space="preserve"> The distribution of 10 year major osteoporotic fracture risk between </w:t>
      </w:r>
      <w:r w:rsidR="009A303A">
        <w:t>S</w:t>
      </w:r>
      <w:r w:rsidR="006B7DC7">
        <w:t>tudies 20080098 and 20030216 ha</w:t>
      </w:r>
      <w:r w:rsidR="00005845">
        <w:t>s</w:t>
      </w:r>
      <w:r w:rsidR="006B7DC7">
        <w:t xml:space="preserve"> considerable overlap.</w:t>
      </w:r>
      <w:r w:rsidR="00116070">
        <w:t xml:space="preserve"> The population studied in </w:t>
      </w:r>
      <w:r w:rsidR="005A4A83">
        <w:t xml:space="preserve">Study </w:t>
      </w:r>
      <w:r w:rsidR="00116070">
        <w:t xml:space="preserve">20030216 is considered to be at increased risk of fracture; the similarity </w:t>
      </w:r>
      <w:r w:rsidR="006545A6">
        <w:t>in the risk distributions would indicate that the population in Study 20080098 is also at increased risk of fracture.</w:t>
      </w:r>
      <w:r w:rsidR="006F6B78">
        <w:t xml:space="preserve"> As acknowledged by the clinical evaluator, there is a body of evidence for long term anti fracture efficacy (up to 6 years) and i</w:t>
      </w:r>
      <w:r w:rsidR="003269CA">
        <w:t xml:space="preserve">ncreases in BMD (up to 8 years) with </w:t>
      </w:r>
      <w:proofErr w:type="spellStart"/>
      <w:r w:rsidR="003269CA">
        <w:t>denosumab</w:t>
      </w:r>
      <w:proofErr w:type="spellEnd"/>
      <w:r w:rsidR="003269CA">
        <w:t xml:space="preserve"> treatment in PMO.</w:t>
      </w:r>
      <w:r w:rsidR="000A7DA7">
        <w:t xml:space="preserve"> Long term safety data in bone loss conditions has not identified any new safety issues not already described in the Australian </w:t>
      </w:r>
      <w:proofErr w:type="spellStart"/>
      <w:r w:rsidR="000A7DA7">
        <w:t>Prolia</w:t>
      </w:r>
      <w:proofErr w:type="spellEnd"/>
      <w:r w:rsidR="000A7DA7">
        <w:t xml:space="preserve"> PI. </w:t>
      </w:r>
      <w:r w:rsidR="00BE2BB3">
        <w:t>The sponsor</w:t>
      </w:r>
      <w:r w:rsidR="000A7DA7">
        <w:t xml:space="preserve"> wishes to advise the</w:t>
      </w:r>
      <w:r w:rsidR="00946CBA" w:rsidRPr="00946CBA">
        <w:t xml:space="preserve"> </w:t>
      </w:r>
      <w:r w:rsidR="00A3527C">
        <w:t>ACPM</w:t>
      </w:r>
      <w:r w:rsidR="001579C7">
        <w:t xml:space="preserve"> of a significant proce</w:t>
      </w:r>
      <w:r w:rsidR="00946CBA">
        <w:t>dural inconsistency:</w:t>
      </w:r>
      <w:r w:rsidR="00A751BA">
        <w:t xml:space="preserve"> </w:t>
      </w:r>
      <w:r w:rsidR="00A751BA" w:rsidRPr="00235030">
        <w:rPr>
          <w:i/>
        </w:rPr>
        <w:t xml:space="preserve">Safety matters that have been addressed twice to the satisfaction of TGA are now raised for a third time by the Delegate. </w:t>
      </w:r>
      <w:r w:rsidR="00BE2BB3">
        <w:rPr>
          <w:i/>
        </w:rPr>
        <w:t>The sponsor</w:t>
      </w:r>
      <w:r w:rsidR="00A751BA" w:rsidRPr="00235030">
        <w:rPr>
          <w:i/>
        </w:rPr>
        <w:t xml:space="preserve"> questions the relevance of revisiting, for a third time, matters of serious infection, dermatologic adverse reactions, suppression of bone turnover, osteonecrosis of the </w:t>
      </w:r>
      <w:r w:rsidR="00A751BA" w:rsidRPr="00235030">
        <w:rPr>
          <w:i/>
        </w:rPr>
        <w:lastRenderedPageBreak/>
        <w:t xml:space="preserve">jaw and malignancy and with the view to include some of these matters as new PRECAUTIONS or revisions to </w:t>
      </w:r>
      <w:r w:rsidR="00850015" w:rsidRPr="00235030">
        <w:rPr>
          <w:i/>
        </w:rPr>
        <w:t xml:space="preserve">ADVERSE EVENTS in the </w:t>
      </w:r>
      <w:proofErr w:type="spellStart"/>
      <w:r w:rsidR="00850015" w:rsidRPr="00235030">
        <w:rPr>
          <w:i/>
        </w:rPr>
        <w:t>Prolia</w:t>
      </w:r>
      <w:proofErr w:type="spellEnd"/>
      <w:r w:rsidR="00850015" w:rsidRPr="00235030">
        <w:rPr>
          <w:i/>
        </w:rPr>
        <w:t xml:space="preserve"> PI</w:t>
      </w:r>
      <w:r w:rsidR="00850015">
        <w:t>, especially considering that:</w:t>
      </w:r>
    </w:p>
    <w:p w:rsidR="009637C4" w:rsidRDefault="00CF3622" w:rsidP="0021535C">
      <w:pPr>
        <w:pStyle w:val="ListBullet"/>
      </w:pPr>
      <w:r>
        <w:t xml:space="preserve">These same matters were addressed in the original PMO indication assessment and resulted in registration of the PMO indication but </w:t>
      </w:r>
      <w:r w:rsidRPr="000D6733">
        <w:rPr>
          <w:i/>
        </w:rPr>
        <w:t xml:space="preserve">without change to the PRECAUTIONS or ADVERSE EVENTS sections </w:t>
      </w:r>
      <w:r>
        <w:t xml:space="preserve">of the </w:t>
      </w:r>
      <w:proofErr w:type="spellStart"/>
      <w:r>
        <w:t>Prolia</w:t>
      </w:r>
      <w:proofErr w:type="spellEnd"/>
      <w:r>
        <w:t xml:space="preserve"> PI.</w:t>
      </w:r>
    </w:p>
    <w:p w:rsidR="0021535C" w:rsidRDefault="00F55DDB" w:rsidP="0021535C">
      <w:pPr>
        <w:pStyle w:val="ListBullet"/>
      </w:pPr>
      <w:r>
        <w:t xml:space="preserve">These matters were addressed at the Administrative Appeals Tribunal via mediation and resulted in a substituted decision by the TGA: the registration of the prostate HALT indication </w:t>
      </w:r>
      <w:r w:rsidR="00393788">
        <w:t xml:space="preserve">and an update to the </w:t>
      </w:r>
      <w:proofErr w:type="spellStart"/>
      <w:r w:rsidR="00393788">
        <w:t>Prolia</w:t>
      </w:r>
      <w:proofErr w:type="spellEnd"/>
      <w:r w:rsidR="00393788">
        <w:t xml:space="preserve"> PI regarding the CLINICAL TRIALS section, and notably </w:t>
      </w:r>
      <w:r w:rsidR="00393788" w:rsidRPr="00622C68">
        <w:rPr>
          <w:i/>
        </w:rPr>
        <w:t>without change to the PRECAUTIONS or ADVERSE EVENTS sections</w:t>
      </w:r>
      <w:r w:rsidR="00393788">
        <w:t>.</w:t>
      </w:r>
    </w:p>
    <w:p w:rsidR="00393788" w:rsidRDefault="00FD35FF" w:rsidP="0021535C">
      <w:pPr>
        <w:pStyle w:val="ListBullet"/>
      </w:pPr>
      <w:r>
        <w:t>In the male osteoporosis registration application, long term safety data in PMO (6 years) and in women with low bone mass (8 years) is acknowledged by the clinical evaluator.</w:t>
      </w:r>
    </w:p>
    <w:p w:rsidR="00CF3622" w:rsidRPr="007B2437" w:rsidRDefault="00B25601" w:rsidP="008E7846">
      <w:r w:rsidRPr="007B2437">
        <w:t xml:space="preserve">Therefore, </w:t>
      </w:r>
      <w:r w:rsidR="00BE2BB3" w:rsidRPr="007B2437">
        <w:t>the sponsor</w:t>
      </w:r>
      <w:r w:rsidR="00F57738" w:rsidRPr="007B2437">
        <w:t xml:space="preserve"> disagrees with the recommendations for the </w:t>
      </w:r>
      <w:proofErr w:type="spellStart"/>
      <w:r w:rsidR="00F57738" w:rsidRPr="007B2437">
        <w:t>Prolia</w:t>
      </w:r>
      <w:proofErr w:type="spellEnd"/>
      <w:r w:rsidR="00F57738" w:rsidRPr="007B2437">
        <w:t xml:space="preserve"> PI (for PRECAUTIONS AND ADVERSE EVENTS sections), the risk management activities from the OPR evaluator, and endorsed by the Delegate.</w:t>
      </w:r>
    </w:p>
    <w:p w:rsidR="00F57738" w:rsidRDefault="009B11C3" w:rsidP="009B11C3">
      <w:pPr>
        <w:pStyle w:val="Heading5"/>
      </w:pPr>
      <w:r>
        <w:t>Response</w:t>
      </w:r>
    </w:p>
    <w:p w:rsidR="009B11C3" w:rsidRPr="009B11C3" w:rsidRDefault="009B11C3" w:rsidP="009B11C3">
      <w:r w:rsidRPr="009B11C3">
        <w:t>There is a body of evidence for long</w:t>
      </w:r>
      <w:r w:rsidR="007A7799">
        <w:t xml:space="preserve"> </w:t>
      </w:r>
      <w:r w:rsidRPr="009B11C3">
        <w:t>term anti</w:t>
      </w:r>
      <w:r w:rsidR="007A7799">
        <w:t xml:space="preserve"> </w:t>
      </w:r>
      <w:r w:rsidRPr="009B11C3">
        <w:t>fractu</w:t>
      </w:r>
      <w:r>
        <w:t xml:space="preserve">re efficacy (up to 6 years) and </w:t>
      </w:r>
      <w:r w:rsidRPr="009B11C3">
        <w:t>increases</w:t>
      </w:r>
      <w:r>
        <w:t xml:space="preserve"> in BMD (up to 8 years</w:t>
      </w:r>
      <w:r>
        <w:rPr>
          <w:rStyle w:val="FootnoteReference"/>
        </w:rPr>
        <w:footnoteReference w:id="7"/>
      </w:r>
      <w:r w:rsidRPr="009B11C3">
        <w:t xml:space="preserve">) with </w:t>
      </w:r>
      <w:proofErr w:type="spellStart"/>
      <w:r w:rsidRPr="009B11C3">
        <w:t>denosumab</w:t>
      </w:r>
      <w:proofErr w:type="spellEnd"/>
      <w:r w:rsidRPr="009B11C3">
        <w:t xml:space="preserve"> treatment in </w:t>
      </w:r>
      <w:r w:rsidR="009B0459">
        <w:t>PMO</w:t>
      </w:r>
      <w:r>
        <w:t>.</w:t>
      </w:r>
    </w:p>
    <w:p w:rsidR="009B11C3" w:rsidRDefault="009B11C3" w:rsidP="009B11C3">
      <w:r w:rsidRPr="009B11C3">
        <w:t xml:space="preserve">The efficacy of </w:t>
      </w:r>
      <w:proofErr w:type="spellStart"/>
      <w:r w:rsidRPr="009B11C3">
        <w:t>denosumab</w:t>
      </w:r>
      <w:proofErr w:type="spellEnd"/>
      <w:r w:rsidRPr="009B11C3">
        <w:t xml:space="preserve"> in women with </w:t>
      </w:r>
      <w:r w:rsidR="009B0459">
        <w:t>PMO</w:t>
      </w:r>
      <w:r>
        <w:t xml:space="preserve"> has been </w:t>
      </w:r>
      <w:r w:rsidRPr="009B11C3">
        <w:t>consistent and sustained over long</w:t>
      </w:r>
      <w:r w:rsidR="005F0152">
        <w:t xml:space="preserve"> </w:t>
      </w:r>
      <w:r w:rsidRPr="009B11C3">
        <w:t>term treatment. For</w:t>
      </w:r>
      <w:r w:rsidR="00717AC8">
        <w:t xml:space="preserve"> the single arm exte</w:t>
      </w:r>
      <w:r>
        <w:t xml:space="preserve">nsion study </w:t>
      </w:r>
      <w:r w:rsidRPr="009B11C3">
        <w:t>(20060289)</w:t>
      </w:r>
      <w:r>
        <w:t xml:space="preserve"> </w:t>
      </w:r>
      <w:r w:rsidRPr="009B11C3">
        <w:t>of the 20030216 pivotal fr</w:t>
      </w:r>
      <w:r w:rsidR="00771BCD">
        <w:t xml:space="preserve">acture efficacy study in women </w:t>
      </w:r>
      <w:r w:rsidR="00053D48">
        <w:t>w</w:t>
      </w:r>
      <w:r w:rsidRPr="009B11C3">
        <w:t xml:space="preserve">ith PMO, the TGA </w:t>
      </w:r>
      <w:r w:rsidR="00834E29">
        <w:t>c</w:t>
      </w:r>
      <w:r w:rsidRPr="009B11C3">
        <w:t xml:space="preserve">linical </w:t>
      </w:r>
      <w:r w:rsidR="00834E29">
        <w:t>e</w:t>
      </w:r>
      <w:r w:rsidRPr="009B11C3">
        <w:t>valuator</w:t>
      </w:r>
      <w:r>
        <w:t xml:space="preserve"> stated:</w:t>
      </w:r>
    </w:p>
    <w:p w:rsidR="009B11C3" w:rsidRPr="009B11C3" w:rsidRDefault="009B11C3" w:rsidP="009B11C3">
      <w:pPr>
        <w:ind w:left="720"/>
        <w:rPr>
          <w:i/>
        </w:rPr>
      </w:pPr>
      <w:r w:rsidRPr="009B11C3">
        <w:rPr>
          <w:i/>
        </w:rPr>
        <w:t xml:space="preserve">After 6 years of </w:t>
      </w:r>
      <w:proofErr w:type="spellStart"/>
      <w:r w:rsidRPr="009B11C3">
        <w:rPr>
          <w:i/>
        </w:rPr>
        <w:t>denosumab</w:t>
      </w:r>
      <w:proofErr w:type="spellEnd"/>
      <w:r w:rsidRPr="009B11C3">
        <w:rPr>
          <w:i/>
        </w:rPr>
        <w:t xml:space="preserve"> administration, the safety and tolerability profile of the subjects who participated in the extension study remains similar to that observed in the original 20030216 study</w:t>
      </w:r>
    </w:p>
    <w:p w:rsidR="009B11C3" w:rsidRDefault="00A036D3" w:rsidP="009B11C3">
      <w:proofErr w:type="gramStart"/>
      <w:r>
        <w:t>and</w:t>
      </w:r>
      <w:proofErr w:type="gramEnd"/>
      <w:r>
        <w:t>, in the cross</w:t>
      </w:r>
      <w:r w:rsidR="00B830D7">
        <w:t xml:space="preserve"> </w:t>
      </w:r>
      <w:r w:rsidR="009B11C3" w:rsidRPr="009B11C3">
        <w:t>ove</w:t>
      </w:r>
      <w:r w:rsidR="009B11C3">
        <w:t xml:space="preserve">r (placebo to </w:t>
      </w:r>
      <w:proofErr w:type="spellStart"/>
      <w:r w:rsidR="009B11C3">
        <w:t>denosumab</w:t>
      </w:r>
      <w:proofErr w:type="spellEnd"/>
      <w:r w:rsidR="009B11C3">
        <w:t>) group</w:t>
      </w:r>
      <w:r w:rsidR="00F7652E">
        <w:t>:</w:t>
      </w:r>
    </w:p>
    <w:p w:rsidR="009B11C3" w:rsidRPr="009B11C3" w:rsidRDefault="0064089D" w:rsidP="009B11C3">
      <w:pPr>
        <w:ind w:left="720"/>
        <w:rPr>
          <w:i/>
        </w:rPr>
      </w:pPr>
      <w:r>
        <w:rPr>
          <w:i/>
        </w:rPr>
        <w:t>T</w:t>
      </w:r>
      <w:r w:rsidR="009B11C3" w:rsidRPr="009B11C3">
        <w:rPr>
          <w:i/>
        </w:rPr>
        <w:t>here was a prompt decrease in the incidence of vertebral fractures through 36 months of the extension study, which is consistent with wha</w:t>
      </w:r>
      <w:r w:rsidR="00B830D7">
        <w:rPr>
          <w:i/>
        </w:rPr>
        <w:t xml:space="preserve">t was observed in the </w:t>
      </w:r>
      <w:proofErr w:type="spellStart"/>
      <w:r w:rsidR="00B830D7">
        <w:rPr>
          <w:i/>
        </w:rPr>
        <w:t>denosumab</w:t>
      </w:r>
      <w:proofErr w:type="spellEnd"/>
      <w:r w:rsidR="00B830D7">
        <w:rPr>
          <w:i/>
        </w:rPr>
        <w:t xml:space="preserve"> </w:t>
      </w:r>
      <w:r w:rsidR="009B11C3" w:rsidRPr="009B11C3">
        <w:rPr>
          <w:i/>
        </w:rPr>
        <w:t>t</w:t>
      </w:r>
      <w:r>
        <w:rPr>
          <w:i/>
        </w:rPr>
        <w:t>reated group of Study 20030216.</w:t>
      </w:r>
    </w:p>
    <w:p w:rsidR="00F7652E" w:rsidRDefault="009B11C3" w:rsidP="009B11C3">
      <w:r w:rsidRPr="009B11C3">
        <w:t>For the long</w:t>
      </w:r>
      <w:r w:rsidR="00281148">
        <w:t xml:space="preserve"> </w:t>
      </w:r>
      <w:r w:rsidRPr="009B11C3">
        <w:t xml:space="preserve">term study in postmenopausal women with low </w:t>
      </w:r>
      <w:r w:rsidR="00300B25">
        <w:t>BMD</w:t>
      </w:r>
      <w:r w:rsidR="00F7652E">
        <w:t xml:space="preserve"> </w:t>
      </w:r>
      <w:r w:rsidRPr="009B11C3">
        <w:t>(Study 20050233</w:t>
      </w:r>
      <w:r w:rsidR="00F7652E">
        <w:rPr>
          <w:rStyle w:val="FootnoteReference"/>
        </w:rPr>
        <w:footnoteReference w:id="8"/>
      </w:r>
      <w:r w:rsidR="00A712E3">
        <w:t xml:space="preserve">), </w:t>
      </w:r>
      <w:r w:rsidRPr="009B11C3">
        <w:t xml:space="preserve">the TGA </w:t>
      </w:r>
      <w:r w:rsidR="00B830D7">
        <w:t>c</w:t>
      </w:r>
      <w:r w:rsidRPr="009B11C3">
        <w:t>lin</w:t>
      </w:r>
      <w:r w:rsidR="00F7652E">
        <w:t xml:space="preserve">ical </w:t>
      </w:r>
      <w:r w:rsidR="00B830D7">
        <w:t>e</w:t>
      </w:r>
      <w:r w:rsidR="00F7652E">
        <w:t>valuator stated:</w:t>
      </w:r>
    </w:p>
    <w:p w:rsidR="009B11C3" w:rsidRPr="00F7652E" w:rsidRDefault="009B11C3" w:rsidP="00F7652E">
      <w:pPr>
        <w:ind w:left="720"/>
        <w:rPr>
          <w:i/>
        </w:rPr>
      </w:pPr>
      <w:r w:rsidRPr="00F7652E">
        <w:rPr>
          <w:i/>
        </w:rPr>
        <w:t xml:space="preserve">After 8 years of </w:t>
      </w:r>
      <w:proofErr w:type="spellStart"/>
      <w:r w:rsidRPr="00F7652E">
        <w:rPr>
          <w:i/>
        </w:rPr>
        <w:t>denosumab</w:t>
      </w:r>
      <w:proofErr w:type="spellEnd"/>
      <w:r w:rsidR="00F7652E" w:rsidRPr="00F7652E">
        <w:rPr>
          <w:i/>
        </w:rPr>
        <w:t xml:space="preserve"> </w:t>
      </w:r>
      <w:r w:rsidRPr="00F7652E">
        <w:rPr>
          <w:i/>
        </w:rPr>
        <w:t>treatment, the LSM BMD percent change from the parent Study 20010223 baseline was 16.5% at</w:t>
      </w:r>
      <w:r w:rsidR="00F7652E" w:rsidRPr="00F7652E">
        <w:rPr>
          <w:i/>
        </w:rPr>
        <w:t xml:space="preserve"> </w:t>
      </w:r>
      <w:r w:rsidRPr="00F7652E">
        <w:rPr>
          <w:i/>
        </w:rPr>
        <w:t>the lumbar spine, 6.8% at total hip, 6.8% at the femoral neck, 11.2% the trochanter, and 1.3% the</w:t>
      </w:r>
      <w:r w:rsidR="0064089D">
        <w:rPr>
          <w:i/>
        </w:rPr>
        <w:t xml:space="preserve"> distal radius.</w:t>
      </w:r>
    </w:p>
    <w:p w:rsidR="00F7652E" w:rsidRPr="008A57DD" w:rsidRDefault="008A57DD" w:rsidP="00593B0F">
      <w:pPr>
        <w:pStyle w:val="Heading5"/>
        <w:rPr>
          <w:rFonts w:eastAsia="TimesNewRoman,Bold"/>
        </w:rPr>
      </w:pPr>
      <w:r>
        <w:t>A: Responses to TGA Delegate’</w:t>
      </w:r>
      <w:r w:rsidRPr="008A57DD">
        <w:rPr>
          <w:rFonts w:eastAsia="TimesNewRoman,Bold"/>
        </w:rPr>
        <w:t xml:space="preserve">s questions and recommendations for the draft </w:t>
      </w:r>
      <w:proofErr w:type="spellStart"/>
      <w:r w:rsidRPr="008A57DD">
        <w:rPr>
          <w:rFonts w:eastAsia="TimesNewRoman,Bold"/>
        </w:rPr>
        <w:t>Prolia</w:t>
      </w:r>
      <w:proofErr w:type="spellEnd"/>
      <w:r w:rsidRPr="008A57DD">
        <w:rPr>
          <w:rFonts w:eastAsia="TimesNewRoman,Bold"/>
        </w:rPr>
        <w:t xml:space="preserve"> PI</w:t>
      </w:r>
      <w:r>
        <w:t xml:space="preserve"> </w:t>
      </w:r>
      <w:r w:rsidRPr="008A57DD">
        <w:rPr>
          <w:rFonts w:eastAsia="TimesNewRoman,Bold"/>
        </w:rPr>
        <w:t>INDICATION and CLINICAL TRIALS for Study 20080098 in men</w:t>
      </w:r>
    </w:p>
    <w:p w:rsidR="007D79B4" w:rsidRPr="007D79B4" w:rsidRDefault="007D79B4" w:rsidP="007D79B4">
      <w:r w:rsidRPr="007D79B4">
        <w:t>The sponsor supports the draft indication recommended by the TGA Delegate with slightly</w:t>
      </w:r>
      <w:r>
        <w:t xml:space="preserve"> </w:t>
      </w:r>
      <w:r w:rsidRPr="007D79B4">
        <w:t>different wording to reflect terminology used in th</w:t>
      </w:r>
      <w:r>
        <w:t xml:space="preserve">e CHMP indication statement for </w:t>
      </w:r>
      <w:r w:rsidRPr="007D79B4">
        <w:t>‘increased risk</w:t>
      </w:r>
      <w:r>
        <w:t xml:space="preserve"> </w:t>
      </w:r>
      <w:r w:rsidRPr="007D79B4">
        <w:t>of fracture’ as follows:</w:t>
      </w:r>
    </w:p>
    <w:p w:rsidR="007D79B4" w:rsidRPr="00EC402E" w:rsidRDefault="007D79B4" w:rsidP="00EC402E">
      <w:pPr>
        <w:ind w:left="720"/>
        <w:rPr>
          <w:i/>
        </w:rPr>
      </w:pPr>
      <w:proofErr w:type="gramStart"/>
      <w:r w:rsidRPr="00EC402E">
        <w:rPr>
          <w:i/>
        </w:rPr>
        <w:t>Treatment to increase bone mass in men with osteoporosis at increased risk of fracture.</w:t>
      </w:r>
      <w:proofErr w:type="gramEnd"/>
    </w:p>
    <w:p w:rsidR="007D79B4" w:rsidRPr="007D79B4" w:rsidRDefault="00BE2BB3" w:rsidP="007D79B4">
      <w:r>
        <w:t>The sponsor</w:t>
      </w:r>
      <w:r w:rsidR="007D79B4" w:rsidRPr="007D79B4">
        <w:t xml:space="preserve"> considers the population of men in Study 20080098 w</w:t>
      </w:r>
      <w:r w:rsidR="007D79B4">
        <w:t xml:space="preserve">as comparable to the population </w:t>
      </w:r>
      <w:r w:rsidR="007D79B4" w:rsidRPr="007D79B4">
        <w:t>enrolled in Study 20030216 in women with PMO with respect to fracture risk, consistent with the</w:t>
      </w:r>
      <w:r w:rsidR="007D79B4">
        <w:t xml:space="preserve"> </w:t>
      </w:r>
      <w:r w:rsidR="007D79B4" w:rsidRPr="007D79B4">
        <w:t>requirements in the CHMP osteoporosis guidance. Subj</w:t>
      </w:r>
      <w:r w:rsidR="007D79B4">
        <w:t xml:space="preserve">ects enrolled in Study 20080098 </w:t>
      </w:r>
      <w:r w:rsidR="007D79B4" w:rsidRPr="007D79B4">
        <w:t>encompassed a broad spectrum of baseline fracture risk, as eval</w:t>
      </w:r>
      <w:r w:rsidR="0003668D">
        <w:t xml:space="preserve">uated by </w:t>
      </w:r>
      <w:r w:rsidR="0003668D">
        <w:lastRenderedPageBreak/>
        <w:t xml:space="preserve">BMD T </w:t>
      </w:r>
      <w:r w:rsidR="007D79B4">
        <w:t xml:space="preserve">score, prevalent </w:t>
      </w:r>
      <w:r w:rsidR="007D79B4" w:rsidRPr="007D79B4">
        <w:t>vertebral fracture, prio</w:t>
      </w:r>
      <w:r w:rsidR="0003668D">
        <w:t xml:space="preserve">r osteoporotic fracture, and 10 </w:t>
      </w:r>
      <w:r w:rsidR="007D79B4" w:rsidRPr="007D79B4">
        <w:t>year major osteoporo</w:t>
      </w:r>
      <w:r w:rsidR="007D79B4">
        <w:t xml:space="preserve">tic fracture risk. The </w:t>
      </w:r>
      <w:r w:rsidR="007D79B4" w:rsidRPr="007D79B4">
        <w:t>distribution of 10</w:t>
      </w:r>
      <w:r w:rsidR="0003668D">
        <w:t xml:space="preserve"> </w:t>
      </w:r>
      <w:r w:rsidR="007D79B4" w:rsidRPr="007D79B4">
        <w:t>year major osteoporotic fracture risk betwee</w:t>
      </w:r>
      <w:r w:rsidR="007D79B4">
        <w:t xml:space="preserve">n </w:t>
      </w:r>
      <w:r w:rsidR="0003668D">
        <w:t>S</w:t>
      </w:r>
      <w:r w:rsidR="007D79B4">
        <w:t xml:space="preserve">tudies 20080098 and 20030216 </w:t>
      </w:r>
      <w:r w:rsidR="007D79B4" w:rsidRPr="007D79B4">
        <w:t xml:space="preserve">have considerable overlap. The population studied in </w:t>
      </w:r>
      <w:r w:rsidR="0003668D">
        <w:t xml:space="preserve">Study </w:t>
      </w:r>
      <w:r w:rsidR="007D79B4" w:rsidRPr="007D79B4">
        <w:t>20030216 i</w:t>
      </w:r>
      <w:r w:rsidR="007D79B4">
        <w:t xml:space="preserve">s considered to be at increased </w:t>
      </w:r>
      <w:r w:rsidR="007D79B4" w:rsidRPr="007D79B4">
        <w:t xml:space="preserve">risk of </w:t>
      </w:r>
      <w:r w:rsidR="007D79B4">
        <w:t xml:space="preserve">fracture; the similarity in the </w:t>
      </w:r>
      <w:r w:rsidR="007D79B4" w:rsidRPr="007D79B4">
        <w:t>risk distributions would indica</w:t>
      </w:r>
      <w:r w:rsidR="007D79B4">
        <w:t xml:space="preserve">te that the population in </w:t>
      </w:r>
      <w:r w:rsidR="0003668D">
        <w:t>S</w:t>
      </w:r>
      <w:r w:rsidR="007D79B4">
        <w:t xml:space="preserve">tudy </w:t>
      </w:r>
      <w:r w:rsidR="007D79B4" w:rsidRPr="007D79B4">
        <w:t>20080098 is also at increased risk of fracture.</w:t>
      </w:r>
    </w:p>
    <w:p w:rsidR="009B79AE" w:rsidRDefault="00BE2BB3" w:rsidP="007D79B4">
      <w:r>
        <w:t>The sponsor</w:t>
      </w:r>
      <w:r w:rsidR="007D79B4" w:rsidRPr="007D79B4">
        <w:t xml:space="preserve"> also agrees to include in the CLINICAL TRIALS </w:t>
      </w:r>
      <w:r w:rsidR="009B79AE">
        <w:t>section:</w:t>
      </w:r>
    </w:p>
    <w:p w:rsidR="007D79B4" w:rsidRPr="009B79AE" w:rsidRDefault="009B79AE" w:rsidP="009B79AE">
      <w:pPr>
        <w:ind w:left="720"/>
        <w:rPr>
          <w:i/>
        </w:rPr>
      </w:pPr>
      <w:r w:rsidRPr="009B79AE">
        <w:rPr>
          <w:i/>
        </w:rPr>
        <w:t>…</w:t>
      </w:r>
      <w:r w:rsidR="007D79B4" w:rsidRPr="009B79AE">
        <w:rPr>
          <w:i/>
        </w:rPr>
        <w:t xml:space="preserve">baseline characteristics relating to BMD (the number with T score </w:t>
      </w:r>
      <w:r w:rsidR="00D85D40" w:rsidRPr="009B79AE">
        <w:rPr>
          <w:i/>
        </w:rPr>
        <w:t xml:space="preserve">≤ </w:t>
      </w:r>
      <w:r w:rsidR="007D79B4" w:rsidRPr="009B79AE">
        <w:rPr>
          <w:i/>
        </w:rPr>
        <w:t>-2.5 and &gt;</w:t>
      </w:r>
      <w:r w:rsidR="00D85D40" w:rsidRPr="009B79AE">
        <w:rPr>
          <w:i/>
        </w:rPr>
        <w:t xml:space="preserve"> </w:t>
      </w:r>
      <w:r w:rsidR="007D79B4" w:rsidRPr="009B79AE">
        <w:rPr>
          <w:i/>
        </w:rPr>
        <w:t xml:space="preserve">-2.5 at either lumbar spine or femoral </w:t>
      </w:r>
      <w:r w:rsidR="0064089D">
        <w:rPr>
          <w:i/>
        </w:rPr>
        <w:t>neck).</w:t>
      </w:r>
    </w:p>
    <w:p w:rsidR="00854877" w:rsidRDefault="006005D4" w:rsidP="007D79B4">
      <w:r>
        <w:t>Request from the TGA Delegate</w:t>
      </w:r>
      <w:r w:rsidR="00854877">
        <w:t>:</w:t>
      </w:r>
    </w:p>
    <w:p w:rsidR="00854877" w:rsidRDefault="007D79B4" w:rsidP="00C52A86">
      <w:pPr>
        <w:ind w:left="720"/>
        <w:rPr>
          <w:i/>
        </w:rPr>
      </w:pPr>
      <w:r w:rsidRPr="006005D4">
        <w:rPr>
          <w:i/>
        </w:rPr>
        <w:t>The sponsor should state in its pre</w:t>
      </w:r>
      <w:r w:rsidR="008079CD">
        <w:rPr>
          <w:i/>
        </w:rPr>
        <w:t xml:space="preserve"> </w:t>
      </w:r>
      <w:r w:rsidRPr="006005D4">
        <w:rPr>
          <w:i/>
        </w:rPr>
        <w:t>ACPM response, the number who had prior osteoporotic fractures in those with</w:t>
      </w:r>
      <w:r w:rsidR="0064089D">
        <w:rPr>
          <w:i/>
        </w:rPr>
        <w:t xml:space="preserve"> BMD less than -2.5.</w:t>
      </w:r>
    </w:p>
    <w:p w:rsidR="007D79B4" w:rsidRPr="007D79B4" w:rsidRDefault="007D79B4" w:rsidP="007D79B4">
      <w:r>
        <w:t xml:space="preserve">In response, </w:t>
      </w:r>
      <w:r w:rsidR="00B370DA">
        <w:t>Table 8</w:t>
      </w:r>
      <w:r w:rsidRPr="007D79B4">
        <w:t xml:space="preserve"> is provided by </w:t>
      </w:r>
      <w:r w:rsidR="00BE2BB3">
        <w:t>the sponsor</w:t>
      </w:r>
      <w:r w:rsidRPr="007D79B4">
        <w:t>.</w:t>
      </w:r>
    </w:p>
    <w:p w:rsidR="00FA6B65" w:rsidRDefault="00FA6B65" w:rsidP="00C703FF">
      <w:pPr>
        <w:pStyle w:val="TableTitle"/>
        <w:rPr>
          <w:lang w:val="en-GB"/>
        </w:rPr>
      </w:pPr>
      <w:r>
        <w:t xml:space="preserve">Table </w:t>
      </w:r>
      <w:r w:rsidR="00B370DA">
        <w:t>8</w:t>
      </w:r>
      <w:r>
        <w:t>:</w:t>
      </w:r>
      <w:r w:rsidRPr="004C5C28">
        <w:t xml:space="preserve"> </w:t>
      </w:r>
      <w:r w:rsidRPr="00FA6B65">
        <w:t xml:space="preserve">Number of </w:t>
      </w:r>
      <w:r w:rsidR="0003668D">
        <w:t>s</w:t>
      </w:r>
      <w:r w:rsidRPr="00FA6B65">
        <w:t xml:space="preserve">ubjects </w:t>
      </w:r>
      <w:r w:rsidR="0003668D">
        <w:t>w</w:t>
      </w:r>
      <w:r w:rsidRPr="00FA6B65">
        <w:t xml:space="preserve">ith </w:t>
      </w:r>
      <w:r w:rsidR="0003668D">
        <w:t>p</w:t>
      </w:r>
      <w:r w:rsidRPr="00FA6B65">
        <w:t xml:space="preserve">rior </w:t>
      </w:r>
      <w:r w:rsidR="0003668D">
        <w:t>o</w:t>
      </w:r>
      <w:r w:rsidRPr="00FA6B65">
        <w:t xml:space="preserve">steoporotic </w:t>
      </w:r>
      <w:r w:rsidR="0003668D">
        <w:t>f</w:t>
      </w:r>
      <w:r w:rsidRPr="00FA6B65">
        <w:t xml:space="preserve">racture by </w:t>
      </w:r>
      <w:r w:rsidR="0003668D">
        <w:t>m</w:t>
      </w:r>
      <w:r w:rsidRPr="00FA6B65">
        <w:t xml:space="preserve">inimum </w:t>
      </w:r>
      <w:r w:rsidR="0003668D">
        <w:t>b</w:t>
      </w:r>
      <w:r w:rsidRPr="00FA6B65">
        <w:t>aseline BMD</w:t>
      </w:r>
      <w:r w:rsidR="0003668D">
        <w:t xml:space="preserve"> </w:t>
      </w:r>
      <w:r w:rsidRPr="00FA6B65">
        <w:t xml:space="preserve">T-score ≤ -2.5 (Study 20080098, </w:t>
      </w:r>
      <w:r w:rsidR="0003668D">
        <w:t>p</w:t>
      </w:r>
      <w:r w:rsidRPr="00FA6B65">
        <w:t xml:space="preserve">ivotal </w:t>
      </w:r>
      <w:r w:rsidR="0003668D">
        <w:t>m</w:t>
      </w:r>
      <w:r w:rsidRPr="00FA6B65">
        <w:t xml:space="preserve">ale </w:t>
      </w:r>
      <w:r w:rsidR="0003668D">
        <w:t>o</w:t>
      </w:r>
      <w:r w:rsidRPr="00FA6B65">
        <w:t xml:space="preserve">steoporosis </w:t>
      </w:r>
      <w:r w:rsidR="0003668D">
        <w:t>t</w:t>
      </w:r>
      <w:r w:rsidRPr="00FA6B65">
        <w:t>rial)</w:t>
      </w:r>
      <w:r>
        <w:t>.</w:t>
      </w:r>
    </w:p>
    <w:p w:rsidR="008A57DD" w:rsidRDefault="00B73BA9" w:rsidP="007D79B4">
      <w:r>
        <w:rPr>
          <w:noProof/>
          <w:lang w:eastAsia="en-AU"/>
        </w:rPr>
        <w:drawing>
          <wp:inline distT="0" distB="0" distL="0" distR="0">
            <wp:extent cx="4443095" cy="931545"/>
            <wp:effectExtent l="0" t="0" r="0" b="1905"/>
            <wp:docPr id="11" name="Picture 11" descr="Table 8: Number of subjects with prior osteoporotic fracture by minimum baseline BMD T-score ≤ -2.5 (Study 20080098, pivotal male osteoporosis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ble 8: Number of subjects with prior osteoporotic fracture by minimum baseline BMD T-score ≤ -2.5 (Study 20080098, pivotal male osteoporosis tria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43095" cy="931545"/>
                    </a:xfrm>
                    <a:prstGeom prst="rect">
                      <a:avLst/>
                    </a:prstGeom>
                    <a:noFill/>
                    <a:ln>
                      <a:noFill/>
                    </a:ln>
                  </pic:spPr>
                </pic:pic>
              </a:graphicData>
            </a:graphic>
          </wp:inline>
        </w:drawing>
      </w:r>
    </w:p>
    <w:p w:rsidR="00C266E2" w:rsidRDefault="00C266E2" w:rsidP="00CF0B75">
      <w:pPr>
        <w:pStyle w:val="TableDescription"/>
      </w:pPr>
      <w:r w:rsidRPr="00C266E2">
        <w:t>* Minimum BMD T</w:t>
      </w:r>
      <w:r w:rsidR="006F4848">
        <w:t xml:space="preserve"> </w:t>
      </w:r>
      <w:r w:rsidRPr="00C266E2">
        <w:t>score at lumbar spine or femoral neck</w:t>
      </w:r>
    </w:p>
    <w:p w:rsidR="00981383" w:rsidRPr="00981383" w:rsidRDefault="006F4848" w:rsidP="00981383">
      <w:r>
        <w:t>It is noteworthy that t</w:t>
      </w:r>
      <w:r w:rsidR="00981383" w:rsidRPr="00981383">
        <w:t>he proportion of subjects in Study 20080098 with a history of fracture is</w:t>
      </w:r>
      <w:r w:rsidR="004F6685">
        <w:t xml:space="preserve"> </w:t>
      </w:r>
      <w:r w:rsidR="00981383" w:rsidRPr="00981383">
        <w:t xml:space="preserve">consistent with previous clinical studies of </w:t>
      </w:r>
      <w:proofErr w:type="spellStart"/>
      <w:r w:rsidR="00981383" w:rsidRPr="00981383">
        <w:t>denosumab</w:t>
      </w:r>
      <w:proofErr w:type="spellEnd"/>
      <w:r w:rsidR="00981383" w:rsidRPr="00981383">
        <w:t>. In addit</w:t>
      </w:r>
      <w:r>
        <w:t>ion, t</w:t>
      </w:r>
      <w:r w:rsidR="004F6685">
        <w:t xml:space="preserve">he proportion of subjects </w:t>
      </w:r>
      <w:r w:rsidR="00981383" w:rsidRPr="00981383">
        <w:t xml:space="preserve">with prevalent vertebral fracture in Study 20080098 (24.8% </w:t>
      </w:r>
      <w:proofErr w:type="spellStart"/>
      <w:r w:rsidR="00981383" w:rsidRPr="00981383">
        <w:t>denos</w:t>
      </w:r>
      <w:r w:rsidR="004F6685">
        <w:t>umab</w:t>
      </w:r>
      <w:proofErr w:type="spellEnd"/>
      <w:r w:rsidR="004F6685">
        <w:t xml:space="preserve">; 20.7% placebo) is similar </w:t>
      </w:r>
      <w:r w:rsidR="00981383" w:rsidRPr="00981383">
        <w:t xml:space="preserve">to that in Study 20030216 (23.8% </w:t>
      </w:r>
      <w:proofErr w:type="spellStart"/>
      <w:r w:rsidR="00981383" w:rsidRPr="00981383">
        <w:t>denosumab</w:t>
      </w:r>
      <w:proofErr w:type="spellEnd"/>
      <w:r w:rsidR="00981383" w:rsidRPr="00981383">
        <w:t>; 23.4% placebo) and St</w:t>
      </w:r>
      <w:r w:rsidR="004F6685">
        <w:t xml:space="preserve">udy 20040138 </w:t>
      </w:r>
      <w:r w:rsidR="00981383" w:rsidRPr="00981383">
        <w:t xml:space="preserve">(21.1% </w:t>
      </w:r>
      <w:proofErr w:type="spellStart"/>
      <w:r w:rsidR="00981383" w:rsidRPr="00981383">
        <w:t>denosumab</w:t>
      </w:r>
      <w:proofErr w:type="spellEnd"/>
      <w:r w:rsidR="00981383" w:rsidRPr="00981383">
        <w:t>; 23.7% placebo).</w:t>
      </w:r>
    </w:p>
    <w:p w:rsidR="00981383" w:rsidRPr="004F6685" w:rsidRDefault="004F6685" w:rsidP="00981383">
      <w:pPr>
        <w:rPr>
          <w:i/>
        </w:rPr>
      </w:pPr>
      <w:r w:rsidRPr="004F6685">
        <w:rPr>
          <w:i/>
        </w:rPr>
        <w:t xml:space="preserve">Long </w:t>
      </w:r>
      <w:r w:rsidR="00981383" w:rsidRPr="004F6685">
        <w:rPr>
          <w:i/>
        </w:rPr>
        <w:t>term safety data in bone loss conditions has not ident</w:t>
      </w:r>
      <w:r w:rsidRPr="004F6685">
        <w:rPr>
          <w:i/>
        </w:rPr>
        <w:t xml:space="preserve">ified any new safety issues not </w:t>
      </w:r>
      <w:r w:rsidR="00981383" w:rsidRPr="004F6685">
        <w:rPr>
          <w:i/>
        </w:rPr>
        <w:t xml:space="preserve">already described in the Australian </w:t>
      </w:r>
      <w:proofErr w:type="spellStart"/>
      <w:r w:rsidR="00981383" w:rsidRPr="004F6685">
        <w:rPr>
          <w:i/>
        </w:rPr>
        <w:t>Prolia</w:t>
      </w:r>
      <w:proofErr w:type="spellEnd"/>
      <w:r w:rsidR="00981383" w:rsidRPr="004F6685">
        <w:rPr>
          <w:i/>
        </w:rPr>
        <w:t xml:space="preserve"> PI. Safety matters</w:t>
      </w:r>
      <w:r w:rsidRPr="004F6685">
        <w:rPr>
          <w:i/>
        </w:rPr>
        <w:t xml:space="preserve"> that have been addressed twice </w:t>
      </w:r>
      <w:r w:rsidR="00981383" w:rsidRPr="004F6685">
        <w:rPr>
          <w:i/>
        </w:rPr>
        <w:t>to the satisfaction of TGA are now raised for a third time</w:t>
      </w:r>
      <w:r w:rsidRPr="004F6685">
        <w:rPr>
          <w:i/>
        </w:rPr>
        <w:t>.</w:t>
      </w:r>
    </w:p>
    <w:p w:rsidR="00981383" w:rsidRPr="00981383" w:rsidRDefault="00981383" w:rsidP="00981383">
      <w:r w:rsidRPr="00981383">
        <w:t xml:space="preserve">In June 2010, initial registration of </w:t>
      </w:r>
      <w:proofErr w:type="spellStart"/>
      <w:r w:rsidRPr="00981383">
        <w:t>Prolia</w:t>
      </w:r>
      <w:proofErr w:type="spellEnd"/>
      <w:r w:rsidRPr="00981383">
        <w:t xml:space="preserve"> for PMO was conti</w:t>
      </w:r>
      <w:r w:rsidR="00966075">
        <w:t xml:space="preserve">ngent on </w:t>
      </w:r>
      <w:r w:rsidR="00BE2BB3">
        <w:t>the sponsor</w:t>
      </w:r>
      <w:r w:rsidR="00966075">
        <w:t xml:space="preserve"> having addressed </w:t>
      </w:r>
      <w:r w:rsidRPr="00981383">
        <w:t>revisions to the</w:t>
      </w:r>
      <w:r w:rsidR="006F4848">
        <w:t xml:space="preserve"> PI and RMP</w:t>
      </w:r>
      <w:r w:rsidRPr="00981383">
        <w:t xml:space="preserve"> to the satisfaction of TGA</w:t>
      </w:r>
      <w:r w:rsidR="006F4848">
        <w:t>.</w:t>
      </w:r>
      <w:r w:rsidR="006F4848">
        <w:rPr>
          <w:rStyle w:val="FootnoteReference"/>
        </w:rPr>
        <w:footnoteReference w:id="9"/>
      </w:r>
      <w:r w:rsidR="00966075">
        <w:t xml:space="preserve"> Since then, </w:t>
      </w:r>
      <w:r w:rsidR="00BE2BB3">
        <w:t>the sponsor</w:t>
      </w:r>
      <w:r w:rsidR="00966075">
        <w:t xml:space="preserve"> has </w:t>
      </w:r>
      <w:r w:rsidRPr="00981383">
        <w:t>implemented safety</w:t>
      </w:r>
      <w:r w:rsidR="001D527D">
        <w:t xml:space="preserve"> </w:t>
      </w:r>
      <w:r w:rsidRPr="00981383">
        <w:t xml:space="preserve">related updates to the </w:t>
      </w:r>
      <w:proofErr w:type="spellStart"/>
      <w:r w:rsidRPr="00981383">
        <w:t>Prolia</w:t>
      </w:r>
      <w:proofErr w:type="spellEnd"/>
      <w:r w:rsidRPr="00981383">
        <w:t xml:space="preserve"> PI (acknowled</w:t>
      </w:r>
      <w:r w:rsidR="00966075">
        <w:t>ged by TGA) and has</w:t>
      </w:r>
      <w:r w:rsidR="001D527D">
        <w:t xml:space="preserve"> submitted five</w:t>
      </w:r>
      <w:r w:rsidR="00966075">
        <w:t xml:space="preserve"> </w:t>
      </w:r>
      <w:r w:rsidR="00E4077D">
        <w:t>PSURs</w:t>
      </w:r>
      <w:r w:rsidRPr="00981383">
        <w:t xml:space="preserve"> on a six</w:t>
      </w:r>
      <w:r w:rsidR="001D527D">
        <w:t xml:space="preserve"> </w:t>
      </w:r>
      <w:r w:rsidRPr="00981383">
        <w:t>monthly cycle (without reply from TGA).</w:t>
      </w:r>
    </w:p>
    <w:p w:rsidR="00981383" w:rsidRPr="00981383" w:rsidRDefault="00981383" w:rsidP="00981383">
      <w:r w:rsidRPr="00981383">
        <w:t xml:space="preserve">Under </w:t>
      </w:r>
      <w:r w:rsidR="00E4077D">
        <w:t>a</w:t>
      </w:r>
      <w:r w:rsidRPr="00981383">
        <w:t xml:space="preserve">ppeal provisions pursued by </w:t>
      </w:r>
      <w:r w:rsidR="00BE2BB3">
        <w:t>the sponsor</w:t>
      </w:r>
      <w:r w:rsidRPr="00981383">
        <w:t>, the pr</w:t>
      </w:r>
      <w:r w:rsidR="00966075">
        <w:t xml:space="preserve">ostate HALT indication became a </w:t>
      </w:r>
      <w:r w:rsidRPr="00981383">
        <w:t>substituted decision (TGA rejection set aside and substituted with</w:t>
      </w:r>
      <w:r w:rsidR="00966075">
        <w:t xml:space="preserve"> TGA approval); the substituted </w:t>
      </w:r>
      <w:r w:rsidRPr="00981383">
        <w:t>decision was contingent on revisions to the PI and RMP to the satisfaction of T</w:t>
      </w:r>
      <w:r w:rsidR="00D33746">
        <w:t xml:space="preserve">GA and </w:t>
      </w:r>
      <w:r w:rsidR="00BE2BB3">
        <w:t>the sponsor</w:t>
      </w:r>
      <w:r w:rsidRPr="00981383">
        <w:t>.</w:t>
      </w:r>
      <w:r w:rsidR="00D33746">
        <w:rPr>
          <w:rStyle w:val="FootnoteReference"/>
        </w:rPr>
        <w:footnoteReference w:id="10"/>
      </w:r>
    </w:p>
    <w:p w:rsidR="00C266E2" w:rsidRDefault="00BE2BB3" w:rsidP="00981383">
      <w:r>
        <w:t>The sponsor</w:t>
      </w:r>
      <w:r w:rsidR="00981383" w:rsidRPr="00981383">
        <w:t xml:space="preserve"> questions the relevance of revisiting, for a third time</w:t>
      </w:r>
      <w:r w:rsidR="00966075">
        <w:t xml:space="preserve">, matters of serious infection, </w:t>
      </w:r>
      <w:r w:rsidR="00981383" w:rsidRPr="00981383">
        <w:t>dermatologic adverse reactions, suppression of bone tur</w:t>
      </w:r>
      <w:r w:rsidR="00966075">
        <w:t xml:space="preserve">nover, osteonecrosis of the jaw </w:t>
      </w:r>
      <w:r w:rsidR="00981383" w:rsidRPr="00981383">
        <w:t>and</w:t>
      </w:r>
      <w:r w:rsidR="00966075">
        <w:t xml:space="preserve"> </w:t>
      </w:r>
      <w:r w:rsidR="00981383" w:rsidRPr="00981383">
        <w:t>malignancy and with the view to include some of these matters as new PRECAUTIONS or revisions</w:t>
      </w:r>
      <w:r w:rsidR="00966075">
        <w:t xml:space="preserve"> </w:t>
      </w:r>
      <w:r w:rsidR="00981383" w:rsidRPr="00981383">
        <w:t xml:space="preserve">to ADVERSE EVENTS in the </w:t>
      </w:r>
      <w:proofErr w:type="spellStart"/>
      <w:r w:rsidR="00981383" w:rsidRPr="00981383">
        <w:t>Prolia</w:t>
      </w:r>
      <w:proofErr w:type="spellEnd"/>
      <w:r w:rsidR="00981383" w:rsidRPr="00981383">
        <w:t xml:space="preserve"> PI, especially considering that:</w:t>
      </w:r>
    </w:p>
    <w:p w:rsidR="0038063A" w:rsidRPr="0038063A" w:rsidRDefault="0038063A" w:rsidP="009625B6">
      <w:pPr>
        <w:pStyle w:val="ListBullet"/>
      </w:pPr>
      <w:r w:rsidRPr="0038063A">
        <w:lastRenderedPageBreak/>
        <w:t>These same matters were addressed in the original PMO i</w:t>
      </w:r>
      <w:r>
        <w:t xml:space="preserve">ndication assessment and </w:t>
      </w:r>
      <w:r w:rsidRPr="0038063A">
        <w:t>resulted in</w:t>
      </w:r>
      <w:r>
        <w:t xml:space="preserve"> </w:t>
      </w:r>
      <w:r w:rsidRPr="0038063A">
        <w:t xml:space="preserve">registration of the PMO indication but </w:t>
      </w:r>
      <w:r w:rsidRPr="009625B6">
        <w:rPr>
          <w:i/>
        </w:rPr>
        <w:t xml:space="preserve">without change to the PRECAUTIONS or ADVERSE EVENTS sections of the </w:t>
      </w:r>
      <w:proofErr w:type="spellStart"/>
      <w:r w:rsidRPr="009625B6">
        <w:rPr>
          <w:i/>
        </w:rPr>
        <w:t>Prolia</w:t>
      </w:r>
      <w:proofErr w:type="spellEnd"/>
      <w:r w:rsidRPr="009625B6">
        <w:rPr>
          <w:i/>
        </w:rPr>
        <w:t xml:space="preserve"> PI</w:t>
      </w:r>
      <w:r w:rsidRPr="0038063A">
        <w:t>.</w:t>
      </w:r>
    </w:p>
    <w:p w:rsidR="0038063A" w:rsidRPr="0038063A" w:rsidRDefault="0038063A" w:rsidP="009625B6">
      <w:pPr>
        <w:pStyle w:val="ListBullet"/>
      </w:pPr>
      <w:r w:rsidRPr="0038063A">
        <w:t>These matters were addressed at the Administrative Appeals Tribunal via mediation and resulted</w:t>
      </w:r>
      <w:r>
        <w:t xml:space="preserve"> </w:t>
      </w:r>
      <w:r w:rsidRPr="0038063A">
        <w:t>in a substituted decision by TGA: the registration of the prostat</w:t>
      </w:r>
      <w:r>
        <w:t xml:space="preserve">e HALT indication and an update </w:t>
      </w:r>
      <w:r w:rsidRPr="0038063A">
        <w:t xml:space="preserve">to the </w:t>
      </w:r>
      <w:proofErr w:type="spellStart"/>
      <w:r w:rsidRPr="0038063A">
        <w:t>Prolia</w:t>
      </w:r>
      <w:proofErr w:type="spellEnd"/>
      <w:r w:rsidRPr="0038063A">
        <w:t xml:space="preserve"> PI regarding the CLINICAL TRIALS section, and</w:t>
      </w:r>
      <w:r>
        <w:t xml:space="preserve"> notably, </w:t>
      </w:r>
      <w:r w:rsidRPr="0038063A">
        <w:rPr>
          <w:i/>
        </w:rPr>
        <w:t>without change to the PRECAUTIONS or ADVERSE EVENTS sections</w:t>
      </w:r>
      <w:r w:rsidRPr="0038063A">
        <w:t>.</w:t>
      </w:r>
    </w:p>
    <w:p w:rsidR="00A113F2" w:rsidRDefault="0038063A" w:rsidP="009625B6">
      <w:pPr>
        <w:pStyle w:val="ListBullet"/>
      </w:pPr>
      <w:r w:rsidRPr="0038063A">
        <w:t>In the male osteoporosis registration application, long</w:t>
      </w:r>
      <w:r w:rsidR="002F12F4">
        <w:t xml:space="preserve"> </w:t>
      </w:r>
      <w:r w:rsidRPr="0038063A">
        <w:t>term safety data in PMO (6 years) and in</w:t>
      </w:r>
      <w:r w:rsidR="005C23CC">
        <w:t xml:space="preserve"> </w:t>
      </w:r>
      <w:r w:rsidRPr="0038063A">
        <w:t>w</w:t>
      </w:r>
      <w:r w:rsidR="005C23CC">
        <w:t>omen with low bone mass (8 years</w:t>
      </w:r>
      <w:r w:rsidR="005C23CC">
        <w:rPr>
          <w:rStyle w:val="FootnoteReference"/>
        </w:rPr>
        <w:footnoteReference w:id="11"/>
      </w:r>
      <w:r w:rsidRPr="0038063A">
        <w:t>) is acknowledge</w:t>
      </w:r>
      <w:r w:rsidR="006957A6">
        <w:t xml:space="preserve">d by the TGA </w:t>
      </w:r>
      <w:r w:rsidR="002F12F4">
        <w:t>c</w:t>
      </w:r>
      <w:r w:rsidR="006957A6">
        <w:t xml:space="preserve">linical </w:t>
      </w:r>
      <w:r w:rsidR="002F12F4">
        <w:t>e</w:t>
      </w:r>
      <w:r w:rsidR="006957A6">
        <w:t>valuator:</w:t>
      </w:r>
    </w:p>
    <w:p w:rsidR="00A113F2" w:rsidRPr="00A113F2" w:rsidRDefault="0038063A" w:rsidP="00A113F2">
      <w:pPr>
        <w:pStyle w:val="ListBullet"/>
        <w:numPr>
          <w:ilvl w:val="0"/>
          <w:numId w:val="0"/>
        </w:numPr>
        <w:ind w:left="720"/>
        <w:rPr>
          <w:i/>
        </w:rPr>
      </w:pPr>
      <w:r w:rsidRPr="00A113F2">
        <w:rPr>
          <w:i/>
        </w:rPr>
        <w:t>The SAE rate in the first 36 months of the extens</w:t>
      </w:r>
      <w:r w:rsidR="006957A6" w:rsidRPr="00A113F2">
        <w:rPr>
          <w:i/>
        </w:rPr>
        <w:t xml:space="preserve">ion study was comparable to the </w:t>
      </w:r>
      <w:r w:rsidRPr="00A113F2">
        <w:rPr>
          <w:i/>
        </w:rPr>
        <w:t>rate</w:t>
      </w:r>
      <w:r w:rsidR="002F12F4">
        <w:rPr>
          <w:i/>
        </w:rPr>
        <w:t xml:space="preserve"> in the original Study 20030216: </w:t>
      </w:r>
      <w:r w:rsidRPr="00A113F2">
        <w:rPr>
          <w:i/>
        </w:rPr>
        <w:t>17.3 per 100 subject y</w:t>
      </w:r>
      <w:r w:rsidR="006957A6" w:rsidRPr="00A113F2">
        <w:rPr>
          <w:i/>
        </w:rPr>
        <w:t xml:space="preserve">ears in the </w:t>
      </w:r>
      <w:proofErr w:type="spellStart"/>
      <w:r w:rsidR="006957A6" w:rsidRPr="00A113F2">
        <w:rPr>
          <w:i/>
        </w:rPr>
        <w:t>denosumab</w:t>
      </w:r>
      <w:proofErr w:type="spellEnd"/>
      <w:r w:rsidR="006957A6" w:rsidRPr="00A113F2">
        <w:rPr>
          <w:i/>
        </w:rPr>
        <w:t xml:space="preserve"> group and </w:t>
      </w:r>
      <w:r w:rsidRPr="00A113F2">
        <w:rPr>
          <w:i/>
        </w:rPr>
        <w:t>16.4 per 100 sub</w:t>
      </w:r>
      <w:r w:rsidR="00A113F2" w:rsidRPr="00A113F2">
        <w:rPr>
          <w:i/>
        </w:rPr>
        <w:t xml:space="preserve">ject years in </w:t>
      </w:r>
      <w:r w:rsidR="0064089D">
        <w:rPr>
          <w:i/>
        </w:rPr>
        <w:t>the placebo group.</w:t>
      </w:r>
    </w:p>
    <w:p w:rsidR="00DA06DD" w:rsidRDefault="0038063A" w:rsidP="00A113F2">
      <w:pPr>
        <w:pStyle w:val="ListBullet"/>
        <w:numPr>
          <w:ilvl w:val="0"/>
          <w:numId w:val="0"/>
        </w:numPr>
        <w:ind w:left="360"/>
      </w:pPr>
      <w:r w:rsidRPr="0038063A">
        <w:t>No new a</w:t>
      </w:r>
      <w:r w:rsidR="006957A6">
        <w:t xml:space="preserve">dverse drug reactions have been </w:t>
      </w:r>
      <w:r w:rsidRPr="0038063A">
        <w:t>observed with long</w:t>
      </w:r>
      <w:r w:rsidR="002F12F4">
        <w:t xml:space="preserve"> </w:t>
      </w:r>
      <w:r w:rsidRPr="0038063A">
        <w:t xml:space="preserve">term treatment with </w:t>
      </w:r>
      <w:proofErr w:type="spellStart"/>
      <w:r w:rsidRPr="0038063A">
        <w:t>denosumab</w:t>
      </w:r>
      <w:proofErr w:type="spellEnd"/>
      <w:r w:rsidRPr="0038063A">
        <w:t xml:space="preserve"> other than those that have also been seen</w:t>
      </w:r>
      <w:r w:rsidR="006957A6">
        <w:t xml:space="preserve"> </w:t>
      </w:r>
      <w:r w:rsidRPr="0038063A">
        <w:t>with other anti</w:t>
      </w:r>
      <w:r w:rsidR="002F12F4">
        <w:t xml:space="preserve"> </w:t>
      </w:r>
      <w:proofErr w:type="spellStart"/>
      <w:r w:rsidRPr="0038063A">
        <w:t>resorptive</w:t>
      </w:r>
      <w:proofErr w:type="spellEnd"/>
      <w:r w:rsidRPr="0038063A">
        <w:t xml:space="preserve"> agents, namely, osteonecrosis of the jaw</w:t>
      </w:r>
      <w:r w:rsidR="006957A6">
        <w:t xml:space="preserve"> and atypical femoral fracture. </w:t>
      </w:r>
      <w:r w:rsidRPr="0038063A">
        <w:t xml:space="preserve">Both of these events are described in the Australian </w:t>
      </w:r>
      <w:proofErr w:type="spellStart"/>
      <w:r w:rsidRPr="0038063A">
        <w:t>Prolia</w:t>
      </w:r>
      <w:proofErr w:type="spellEnd"/>
      <w:r w:rsidRPr="0038063A">
        <w:t xml:space="preserve"> PI. Rates of other </w:t>
      </w:r>
      <w:r w:rsidR="006747FC">
        <w:t>AE</w:t>
      </w:r>
      <w:r w:rsidRPr="0038063A">
        <w:t>s,</w:t>
      </w:r>
      <w:r w:rsidR="006957A6">
        <w:t xml:space="preserve"> </w:t>
      </w:r>
      <w:r w:rsidRPr="0038063A">
        <w:t>including infections and malignancies, have not increased with long</w:t>
      </w:r>
      <w:r w:rsidR="002F12F4">
        <w:t xml:space="preserve"> </w:t>
      </w:r>
      <w:r w:rsidRPr="0038063A">
        <w:t>term exposure. The TGA</w:t>
      </w:r>
      <w:r w:rsidR="006957A6">
        <w:t xml:space="preserve"> </w:t>
      </w:r>
      <w:r w:rsidRPr="0038063A">
        <w:t>Clinical Evaluator similarly conclude</w:t>
      </w:r>
      <w:r w:rsidR="00DA06DD">
        <w:t>d for Study 20050233:</w:t>
      </w:r>
    </w:p>
    <w:p w:rsidR="00966075" w:rsidRPr="00DA06DD" w:rsidRDefault="0038063A" w:rsidP="00DA06DD">
      <w:pPr>
        <w:pStyle w:val="ListBullet"/>
        <w:numPr>
          <w:ilvl w:val="0"/>
          <w:numId w:val="0"/>
        </w:numPr>
        <w:ind w:left="720"/>
        <w:rPr>
          <w:i/>
        </w:rPr>
      </w:pPr>
      <w:r w:rsidRPr="00DA06DD">
        <w:rPr>
          <w:i/>
        </w:rPr>
        <w:t>Overall, the types and</w:t>
      </w:r>
      <w:r w:rsidR="006957A6" w:rsidRPr="00DA06DD">
        <w:rPr>
          <w:i/>
        </w:rPr>
        <w:t xml:space="preserve"> </w:t>
      </w:r>
      <w:r w:rsidRPr="00DA06DD">
        <w:rPr>
          <w:i/>
        </w:rPr>
        <w:t xml:space="preserve">incidence of </w:t>
      </w:r>
      <w:r w:rsidR="006747FC">
        <w:rPr>
          <w:i/>
        </w:rPr>
        <w:t>AE</w:t>
      </w:r>
      <w:r w:rsidRPr="00DA06DD">
        <w:rPr>
          <w:i/>
        </w:rPr>
        <w:t>s were not unexpected of a 4</w:t>
      </w:r>
      <w:r w:rsidR="002F12F4">
        <w:rPr>
          <w:i/>
        </w:rPr>
        <w:t xml:space="preserve"> </w:t>
      </w:r>
      <w:r w:rsidRPr="00DA06DD">
        <w:rPr>
          <w:i/>
        </w:rPr>
        <w:t>year pe</w:t>
      </w:r>
      <w:r w:rsidR="00C13EB1" w:rsidRPr="00DA06DD">
        <w:rPr>
          <w:i/>
        </w:rPr>
        <w:t>r</w:t>
      </w:r>
      <w:r w:rsidR="0064089D">
        <w:rPr>
          <w:i/>
        </w:rPr>
        <w:t>iod in this subject population.</w:t>
      </w:r>
    </w:p>
    <w:p w:rsidR="00C13EB1" w:rsidRDefault="00903F6B" w:rsidP="00903F6B">
      <w:pPr>
        <w:pStyle w:val="Heading5"/>
      </w:pPr>
      <w:r>
        <w:t xml:space="preserve">B: </w:t>
      </w:r>
      <w:r w:rsidR="00DB5097">
        <w:t>Responses to TGA Delegate’</w:t>
      </w:r>
      <w:r w:rsidR="00DB5097" w:rsidRPr="00DB5097">
        <w:rPr>
          <w:rFonts w:eastAsia="TimesNewRoman,Bold"/>
        </w:rPr>
        <w:t xml:space="preserve">s recommendations for </w:t>
      </w:r>
      <w:proofErr w:type="spellStart"/>
      <w:r w:rsidR="00DB5097" w:rsidRPr="00DB5097">
        <w:rPr>
          <w:rFonts w:eastAsia="TimesNewRoman,Bold"/>
        </w:rPr>
        <w:t>Prolia</w:t>
      </w:r>
      <w:proofErr w:type="spellEnd"/>
      <w:r w:rsidR="00DB5097" w:rsidRPr="00DB5097">
        <w:rPr>
          <w:rFonts w:eastAsia="TimesNewRoman,Bold"/>
        </w:rPr>
        <w:t xml:space="preserve"> PI and appropriate risk</w:t>
      </w:r>
      <w:r w:rsidR="00DB5097">
        <w:t xml:space="preserve"> </w:t>
      </w:r>
      <w:r w:rsidR="00DB5097" w:rsidRPr="00DB5097">
        <w:rPr>
          <w:rFonts w:eastAsia="TimesNewRoman,Bold"/>
        </w:rPr>
        <w:t xml:space="preserve">management and </w:t>
      </w:r>
      <w:proofErr w:type="spellStart"/>
      <w:r w:rsidR="00DB5097" w:rsidRPr="00DB5097">
        <w:rPr>
          <w:rFonts w:eastAsia="TimesNewRoman,Bold"/>
        </w:rPr>
        <w:t>pharmacovigilance</w:t>
      </w:r>
      <w:proofErr w:type="spellEnd"/>
      <w:r w:rsidR="00DB5097" w:rsidRPr="00DB5097">
        <w:rPr>
          <w:rFonts w:eastAsia="TimesNewRoman,Bold"/>
        </w:rPr>
        <w:t xml:space="preserve"> activities</w:t>
      </w:r>
    </w:p>
    <w:p w:rsidR="00454F00" w:rsidRPr="00454F00" w:rsidRDefault="0064089D" w:rsidP="00454F00">
      <w:pPr>
        <w:rPr>
          <w:i/>
        </w:rPr>
      </w:pPr>
      <w:r>
        <w:rPr>
          <w:i/>
        </w:rPr>
        <w:t xml:space="preserve">B1: </w:t>
      </w:r>
      <w:r w:rsidR="00454F00">
        <w:rPr>
          <w:i/>
        </w:rPr>
        <w:t xml:space="preserve">It is recommended … </w:t>
      </w:r>
      <w:r w:rsidR="00454F00" w:rsidRPr="00454F00">
        <w:rPr>
          <w:i/>
        </w:rPr>
        <w:t>the sponsor re-name</w:t>
      </w:r>
      <w:r w:rsidR="002F12F4">
        <w:rPr>
          <w:i/>
        </w:rPr>
        <w:t xml:space="preserve"> the important identified risk</w:t>
      </w:r>
      <w:r w:rsidR="00454F00" w:rsidRPr="00454F00">
        <w:rPr>
          <w:i/>
        </w:rPr>
        <w:t xml:space="preserve"> 'Skin infection leading to hospitalisation' to '</w:t>
      </w:r>
      <w:proofErr w:type="gramStart"/>
      <w:r w:rsidR="00454F00" w:rsidRPr="00454F00">
        <w:rPr>
          <w:i/>
        </w:rPr>
        <w:t>Serious</w:t>
      </w:r>
      <w:proofErr w:type="gramEnd"/>
      <w:r w:rsidR="00454F00" w:rsidRPr="00454F00">
        <w:rPr>
          <w:i/>
        </w:rPr>
        <w:t xml:space="preserve"> infection leading to </w:t>
      </w:r>
      <w:r w:rsidR="009943CA">
        <w:rPr>
          <w:i/>
        </w:rPr>
        <w:t>hospitalisation</w:t>
      </w:r>
      <w:r w:rsidR="00454F00" w:rsidRPr="00454F00">
        <w:rPr>
          <w:i/>
        </w:rPr>
        <w:t>'. That is, serious infections r</w:t>
      </w:r>
      <w:r w:rsidR="00454F00">
        <w:rPr>
          <w:i/>
        </w:rPr>
        <w:t xml:space="preserve">eported in clinical trials … </w:t>
      </w:r>
      <w:r w:rsidR="00454F00" w:rsidRPr="00454F00">
        <w:rPr>
          <w:i/>
        </w:rPr>
        <w:t>encompassed not only skin infections but other organs.</w:t>
      </w:r>
    </w:p>
    <w:p w:rsidR="00454F00" w:rsidRPr="00FB6ABD" w:rsidRDefault="00BE2BB3" w:rsidP="00454F00">
      <w:pPr>
        <w:rPr>
          <w:b/>
        </w:rPr>
      </w:pPr>
      <w:r>
        <w:rPr>
          <w:b/>
        </w:rPr>
        <w:t>The sponsor</w:t>
      </w:r>
      <w:r w:rsidR="00454F00" w:rsidRPr="00FB6ABD">
        <w:rPr>
          <w:b/>
        </w:rPr>
        <w:t xml:space="preserve"> disagrees with the above recommendation</w:t>
      </w:r>
      <w:r w:rsidR="00E90009" w:rsidRPr="00FB6ABD">
        <w:rPr>
          <w:b/>
        </w:rPr>
        <w:t>.</w:t>
      </w:r>
    </w:p>
    <w:p w:rsidR="00CF0B75" w:rsidRDefault="00004DCE" w:rsidP="00CF0B75">
      <w:r w:rsidRPr="00004DCE">
        <w:t>During Study 20080098 in men with osteoporosis th</w:t>
      </w:r>
      <w:r>
        <w:t xml:space="preserve">ere was 1 serious </w:t>
      </w:r>
      <w:r w:rsidR="006747FC">
        <w:t>AE</w:t>
      </w:r>
      <w:r>
        <w:t xml:space="preserve"> </w:t>
      </w:r>
      <w:r w:rsidRPr="00004DCE">
        <w:t>of</w:t>
      </w:r>
      <w:r>
        <w:t xml:space="preserve"> </w:t>
      </w:r>
      <w:r w:rsidRPr="00004DCE">
        <w:t xml:space="preserve">infection, reported in a subject receiving placebo (Table </w:t>
      </w:r>
      <w:r w:rsidR="00190ED3">
        <w:t>9</w:t>
      </w:r>
      <w:r w:rsidRPr="00004DCE">
        <w:t>). In addition, the safety profile with</w:t>
      </w:r>
      <w:r>
        <w:t xml:space="preserve"> </w:t>
      </w:r>
      <w:r w:rsidRPr="00004DCE">
        <w:t>respect to infections has been consistent over long</w:t>
      </w:r>
      <w:r w:rsidR="002F12F4">
        <w:t xml:space="preserve"> </w:t>
      </w:r>
      <w:r w:rsidRPr="00004DCE">
        <w:t>term treatment in women with PMO. Thus,</w:t>
      </w:r>
      <w:r>
        <w:t xml:space="preserve"> </w:t>
      </w:r>
      <w:r w:rsidRPr="00004DCE">
        <w:t>there is no new evidence to support making this change based on data provided in the male</w:t>
      </w:r>
      <w:r>
        <w:t xml:space="preserve"> </w:t>
      </w:r>
      <w:r w:rsidRPr="00004DCE">
        <w:t xml:space="preserve">osteoporosis marketing application. As stated above, a systematic evaluation of </w:t>
      </w:r>
      <w:r w:rsidR="006747FC">
        <w:t>AE</w:t>
      </w:r>
      <w:r w:rsidRPr="00004DCE">
        <w:t>s of</w:t>
      </w:r>
      <w:r>
        <w:t xml:space="preserve"> </w:t>
      </w:r>
      <w:r w:rsidRPr="00004DCE">
        <w:t>infection including opportunistic inf</w:t>
      </w:r>
      <w:r w:rsidR="009647EB">
        <w:t>ection (Table 10</w:t>
      </w:r>
      <w:r w:rsidRPr="00004DCE">
        <w:t xml:space="preserve">) was performed for the initial </w:t>
      </w:r>
      <w:r w:rsidR="009B0459">
        <w:t>PMO</w:t>
      </w:r>
      <w:r w:rsidRPr="00004DCE">
        <w:t xml:space="preserve"> and hormone ablation therapy (HALT</w:t>
      </w:r>
      <w:r w:rsidR="00CF0B75">
        <w:t>) clinical development program.</w:t>
      </w:r>
    </w:p>
    <w:p w:rsidR="00004DCE" w:rsidRDefault="00004DCE" w:rsidP="00CF0B75">
      <w:pPr>
        <w:pStyle w:val="TableTitle"/>
        <w:rPr>
          <w:lang w:val="en-GB"/>
        </w:rPr>
      </w:pPr>
      <w:r>
        <w:t xml:space="preserve">Table </w:t>
      </w:r>
      <w:r w:rsidR="00190ED3">
        <w:t>9</w:t>
      </w:r>
      <w:r>
        <w:t>:</w:t>
      </w:r>
      <w:r w:rsidRPr="004C5C28">
        <w:t xml:space="preserve"> </w:t>
      </w:r>
      <w:r w:rsidRPr="00004DCE">
        <w:t xml:space="preserve">Summary of Serious </w:t>
      </w:r>
      <w:r w:rsidR="006747FC">
        <w:t>AE</w:t>
      </w:r>
      <w:r w:rsidRPr="00004DCE">
        <w:t>s of Interest: Infection and Skin Infection</w:t>
      </w:r>
      <w:r>
        <w:t>.</w:t>
      </w:r>
    </w:p>
    <w:p w:rsidR="00CD70A3" w:rsidRDefault="00B73BA9" w:rsidP="00004DCE">
      <w:r>
        <w:rPr>
          <w:noProof/>
          <w:lang w:eastAsia="en-AU"/>
        </w:rPr>
        <w:drawing>
          <wp:inline distT="0" distB="0" distL="0" distR="0">
            <wp:extent cx="4869180" cy="841375"/>
            <wp:effectExtent l="0" t="0" r="7620" b="0"/>
            <wp:docPr id="12" name="Picture 12" descr="Table 9: Summary of Serious AEs of Interest: Infection and Skin Inf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ble 9: Summary of Serious AEs of Interest: Infection and Skin Infecti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69180" cy="841375"/>
                    </a:xfrm>
                    <a:prstGeom prst="rect">
                      <a:avLst/>
                    </a:prstGeom>
                    <a:noFill/>
                    <a:ln>
                      <a:noFill/>
                    </a:ln>
                  </pic:spPr>
                </pic:pic>
              </a:graphicData>
            </a:graphic>
          </wp:inline>
        </w:drawing>
      </w:r>
    </w:p>
    <w:p w:rsidR="00480853" w:rsidRPr="00480853" w:rsidRDefault="00480853" w:rsidP="00CF0B75">
      <w:pPr>
        <w:pStyle w:val="TableDescription"/>
      </w:pPr>
      <w:r w:rsidRPr="00480853">
        <w:t xml:space="preserve">+ Pivotal </w:t>
      </w:r>
      <w:r w:rsidR="009B0459">
        <w:t>PMO</w:t>
      </w:r>
      <w:r w:rsidRPr="00480853">
        <w:t xml:space="preserve"> study</w:t>
      </w:r>
    </w:p>
    <w:p w:rsidR="00480853" w:rsidRPr="00480853" w:rsidRDefault="00480853" w:rsidP="00CF0B75">
      <w:pPr>
        <w:pStyle w:val="TableDescription"/>
      </w:pPr>
      <w:r w:rsidRPr="00480853">
        <w:t>++ Pivotal prostate cancer trial in men under</w:t>
      </w:r>
      <w:r w:rsidR="009B0459">
        <w:t>going HALT</w:t>
      </w:r>
    </w:p>
    <w:p w:rsidR="00E03B04" w:rsidRDefault="00E03B04" w:rsidP="00C703FF">
      <w:pPr>
        <w:pStyle w:val="TableTitle"/>
        <w:rPr>
          <w:lang w:val="en-GB"/>
        </w:rPr>
      </w:pPr>
      <w:r>
        <w:lastRenderedPageBreak/>
        <w:t>Table 10:</w:t>
      </w:r>
      <w:r w:rsidRPr="004C5C28">
        <w:t xml:space="preserve"> </w:t>
      </w:r>
      <w:r w:rsidR="006747FC">
        <w:t>AE</w:t>
      </w:r>
      <w:r w:rsidRPr="005C5AC6">
        <w:t>s of Opportunistic Infectio</w:t>
      </w:r>
      <w:r w:rsidR="002F12F4">
        <w:t xml:space="preserve">n: </w:t>
      </w:r>
      <w:r w:rsidRPr="005C5AC6">
        <w:t xml:space="preserve">PMO and HALT Groups </w:t>
      </w:r>
      <w:r w:rsidR="002F12F4">
        <w:t>c</w:t>
      </w:r>
      <w:r w:rsidRPr="005C5AC6">
        <w:t>ombined</w:t>
      </w:r>
      <w:r>
        <w:t>.</w:t>
      </w:r>
    </w:p>
    <w:p w:rsidR="00E03B04" w:rsidRDefault="00B73BA9" w:rsidP="00E03B04">
      <w:r>
        <w:rPr>
          <w:noProof/>
          <w:lang w:eastAsia="en-AU"/>
        </w:rPr>
        <w:drawing>
          <wp:inline distT="0" distB="0" distL="0" distR="0">
            <wp:extent cx="4611370" cy="1553845"/>
            <wp:effectExtent l="0" t="0" r="0" b="8255"/>
            <wp:docPr id="13" name="Picture 13" descr="Table 10: AEs of Opportunistic Infection: PMO and HALT Groups comb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ble 10: AEs of Opportunistic Infection: PMO and HALT Groups combin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11370" cy="1553845"/>
                    </a:xfrm>
                    <a:prstGeom prst="rect">
                      <a:avLst/>
                    </a:prstGeom>
                    <a:noFill/>
                    <a:ln>
                      <a:noFill/>
                    </a:ln>
                  </pic:spPr>
                </pic:pic>
              </a:graphicData>
            </a:graphic>
          </wp:inline>
        </w:drawing>
      </w:r>
    </w:p>
    <w:p w:rsidR="00E03B04" w:rsidRPr="003C35E0" w:rsidRDefault="00E03B04" w:rsidP="002C6D8D">
      <w:pPr>
        <w:pStyle w:val="TableDescription"/>
      </w:pPr>
      <w:r w:rsidRPr="003C35E0">
        <w:t>* Herpes zoster, herpes zoster ophthalmic, herpes zoster neurologic</w:t>
      </w:r>
    </w:p>
    <w:p w:rsidR="00E964BD" w:rsidRDefault="00952248" w:rsidP="00952248">
      <w:r w:rsidRPr="00952248">
        <w:t>With the exception of skin infections requiring hospit</w:t>
      </w:r>
      <w:r w:rsidR="00052D30">
        <w:t xml:space="preserve">alisation, no safety signal was </w:t>
      </w:r>
      <w:r w:rsidRPr="00952248">
        <w:t>identified for</w:t>
      </w:r>
      <w:r w:rsidR="00052D30">
        <w:t xml:space="preserve"> </w:t>
      </w:r>
      <w:r w:rsidRPr="00952248">
        <w:t xml:space="preserve">any other infection type. Thus, </w:t>
      </w:r>
      <w:r w:rsidR="00BE2BB3">
        <w:t>the sponsor</w:t>
      </w:r>
      <w:r w:rsidRPr="00952248">
        <w:t xml:space="preserve"> designated skin infection leading to hospitalisation as an</w:t>
      </w:r>
      <w:r w:rsidR="00052D30">
        <w:t xml:space="preserve"> </w:t>
      </w:r>
      <w:r w:rsidRPr="00952248">
        <w:t xml:space="preserve">identified risk, while other infections (including all </w:t>
      </w:r>
      <w:r w:rsidR="00814EC4">
        <w:t>s</w:t>
      </w:r>
      <w:r w:rsidR="00E2532F">
        <w:t xml:space="preserve">erious </w:t>
      </w:r>
      <w:r w:rsidRPr="00952248">
        <w:t>AEs of infection) are designated as a pote</w:t>
      </w:r>
      <w:r w:rsidR="00052D30">
        <w:t xml:space="preserve">ntial </w:t>
      </w:r>
      <w:r w:rsidRPr="00952248">
        <w:t xml:space="preserve">risk in the </w:t>
      </w:r>
      <w:r w:rsidR="00052D30">
        <w:t>RMP</w:t>
      </w:r>
      <w:r w:rsidRPr="00952248">
        <w:t xml:space="preserve"> for </w:t>
      </w:r>
      <w:proofErr w:type="spellStart"/>
      <w:r w:rsidRPr="00952248">
        <w:t>denosumab</w:t>
      </w:r>
      <w:proofErr w:type="spellEnd"/>
      <w:r w:rsidRPr="00952248">
        <w:t>. The identified r</w:t>
      </w:r>
      <w:r w:rsidR="007D0BE7">
        <w:t xml:space="preserve">isk is stated in the Australian </w:t>
      </w:r>
      <w:proofErr w:type="spellStart"/>
      <w:r w:rsidRPr="00952248">
        <w:t>Prolia</w:t>
      </w:r>
      <w:proofErr w:type="spellEnd"/>
      <w:r w:rsidRPr="00952248">
        <w:t xml:space="preserve"> PI (excerpt below):</w:t>
      </w:r>
    </w:p>
    <w:p w:rsidR="00952248" w:rsidRPr="00952248" w:rsidRDefault="00952248" w:rsidP="00E964BD">
      <w:pPr>
        <w:ind w:left="720"/>
      </w:pPr>
      <w:r w:rsidRPr="00952248">
        <w:t xml:space="preserve">PRECAUTIONS, Skin Infections: </w:t>
      </w:r>
      <w:r w:rsidR="00A50B8D">
        <w:t xml:space="preserve">Patients receiving </w:t>
      </w:r>
      <w:proofErr w:type="spellStart"/>
      <w:r w:rsidR="00A50B8D">
        <w:t>Prolia</w:t>
      </w:r>
      <w:proofErr w:type="spellEnd"/>
      <w:r w:rsidRPr="00952248">
        <w:t xml:space="preserve"> may develop skin infections (predominantly</w:t>
      </w:r>
      <w:r w:rsidR="00E964BD">
        <w:t xml:space="preserve"> </w:t>
      </w:r>
      <w:r w:rsidRPr="00952248">
        <w:t>cellulitis) leading to hospitalisation (see ADVERSE EFFECTS). Patients should be</w:t>
      </w:r>
      <w:r w:rsidR="00E964BD">
        <w:t xml:space="preserve"> advised to seek prompt medical </w:t>
      </w:r>
      <w:r w:rsidRPr="00952248">
        <w:t>attention if they develop signs or symptoms of cellulitis.</w:t>
      </w:r>
    </w:p>
    <w:p w:rsidR="00952248" w:rsidRPr="00952248" w:rsidRDefault="00952248" w:rsidP="00E964BD">
      <w:pPr>
        <w:ind w:left="720"/>
      </w:pPr>
      <w:r w:rsidRPr="00952248">
        <w:t xml:space="preserve">ADVERSE EFFECTS, Skin Infections: In two </w:t>
      </w:r>
      <w:r w:rsidR="00BB2731">
        <w:t>P</w:t>
      </w:r>
      <w:r w:rsidRPr="00952248">
        <w:t xml:space="preserve">hase III </w:t>
      </w:r>
      <w:proofErr w:type="gramStart"/>
      <w:r w:rsidRPr="00952248">
        <w:t>placebo</w:t>
      </w:r>
      <w:proofErr w:type="gramEnd"/>
      <w:r w:rsidR="00BB2731">
        <w:t xml:space="preserve"> </w:t>
      </w:r>
      <w:r w:rsidRPr="00952248">
        <w:t>controlled cl</w:t>
      </w:r>
      <w:r w:rsidR="00E964BD">
        <w:t xml:space="preserve">inical trials in postmenopausal </w:t>
      </w:r>
      <w:r w:rsidRPr="00952248">
        <w:t>women with osteoporosis, skin infections leading to hospitalisation were reporte</w:t>
      </w:r>
      <w:r w:rsidR="00E964BD">
        <w:t xml:space="preserve">d more frequently in the </w:t>
      </w:r>
      <w:proofErr w:type="spellStart"/>
      <w:r w:rsidR="00E964BD">
        <w:t>Prolia</w:t>
      </w:r>
      <w:proofErr w:type="spellEnd"/>
      <w:r w:rsidR="00E964BD">
        <w:t xml:space="preserve"> </w:t>
      </w:r>
      <w:r w:rsidRPr="00952248">
        <w:t>(0.4%, 16 of 4,050) versus the placebo (0.1%, 3 of 4,041) groups, respectively. These cases were predominantly</w:t>
      </w:r>
      <w:r w:rsidR="00E964BD">
        <w:t xml:space="preserve"> </w:t>
      </w:r>
      <w:r w:rsidRPr="00952248">
        <w:t>cellulitis. The overall incidence of skin infections</w:t>
      </w:r>
      <w:r w:rsidR="00E964BD">
        <w:t xml:space="preserve"> was similar between the </w:t>
      </w:r>
      <w:proofErr w:type="spellStart"/>
      <w:r w:rsidR="00E964BD">
        <w:t>Prolia</w:t>
      </w:r>
      <w:proofErr w:type="spellEnd"/>
      <w:r w:rsidR="00E964BD">
        <w:t xml:space="preserve"> (1.5%, 59 of 4,050) and </w:t>
      </w:r>
      <w:r w:rsidRPr="00952248">
        <w:t>plac</w:t>
      </w:r>
      <w:r w:rsidR="0064089D">
        <w:t>ebo groups (1.2%, 50 of 4,041).</w:t>
      </w:r>
    </w:p>
    <w:p w:rsidR="00952248" w:rsidRPr="00952248" w:rsidRDefault="006747FC" w:rsidP="00A63203">
      <w:pPr>
        <w:pStyle w:val="Heading6"/>
        <w:rPr>
          <w:rFonts w:eastAsia="TimesNewRoman,Bold"/>
        </w:rPr>
      </w:pPr>
      <w:r>
        <w:rPr>
          <w:rFonts w:eastAsia="TimesNewRoman,Bold"/>
        </w:rPr>
        <w:t>Serious AEs</w:t>
      </w:r>
      <w:r w:rsidR="002C6D8D">
        <w:rPr>
          <w:rFonts w:eastAsia="TimesNewRoman,Bold"/>
        </w:rPr>
        <w:t xml:space="preserve"> of i</w:t>
      </w:r>
      <w:r w:rsidR="00952248" w:rsidRPr="00952248">
        <w:rPr>
          <w:rFonts w:eastAsia="TimesNewRoman,Bold"/>
        </w:rPr>
        <w:t>nfection</w:t>
      </w:r>
    </w:p>
    <w:p w:rsidR="00E90009" w:rsidRDefault="00BE2BB3" w:rsidP="00952248">
      <w:r>
        <w:t>The sponsor</w:t>
      </w:r>
      <w:r w:rsidR="00952248" w:rsidRPr="00952248">
        <w:t xml:space="preserve"> has comprehensively evaluated the potential for </w:t>
      </w:r>
      <w:proofErr w:type="spellStart"/>
      <w:r w:rsidR="00952248" w:rsidRPr="00952248">
        <w:t>denosumab</w:t>
      </w:r>
      <w:proofErr w:type="spellEnd"/>
      <w:r w:rsidR="00952248" w:rsidRPr="00952248">
        <w:t xml:space="preserve"> </w:t>
      </w:r>
      <w:r w:rsidR="00A63203">
        <w:t xml:space="preserve">to increase the risk of serious </w:t>
      </w:r>
      <w:r w:rsidR="00952248" w:rsidRPr="00952248">
        <w:t xml:space="preserve">infections generally, both in the </w:t>
      </w:r>
      <w:proofErr w:type="spellStart"/>
      <w:r w:rsidR="00952248" w:rsidRPr="00952248">
        <w:t>pre</w:t>
      </w:r>
      <w:r w:rsidR="00BB2731">
        <w:t xml:space="preserve"> </w:t>
      </w:r>
      <w:r w:rsidR="00952248" w:rsidRPr="00952248">
        <w:t>market</w:t>
      </w:r>
      <w:proofErr w:type="spellEnd"/>
      <w:r w:rsidR="00952248" w:rsidRPr="00952248">
        <w:t xml:space="preserve"> and post</w:t>
      </w:r>
      <w:r w:rsidR="00BB2731">
        <w:t xml:space="preserve"> </w:t>
      </w:r>
      <w:r w:rsidR="00952248" w:rsidRPr="00952248">
        <w:t>market settings:</w:t>
      </w:r>
    </w:p>
    <w:p w:rsidR="00694C63" w:rsidRPr="00694C63" w:rsidRDefault="00BB2731" w:rsidP="00054297">
      <w:pPr>
        <w:pStyle w:val="ListBullet"/>
      </w:pPr>
      <w:r>
        <w:t xml:space="preserve">PSUR </w:t>
      </w:r>
      <w:r w:rsidRPr="00694C63">
        <w:t>#3</w:t>
      </w:r>
      <w:r>
        <w:t xml:space="preserve"> of January 2012 </w:t>
      </w:r>
      <w:r w:rsidR="00694C63" w:rsidRPr="00694C63">
        <w:t>has been provided to TGA and</w:t>
      </w:r>
      <w:r w:rsidR="00054297">
        <w:t xml:space="preserve"> </w:t>
      </w:r>
      <w:r w:rsidR="00694C63" w:rsidRPr="00694C63">
        <w:t>contained a Safety Assessment Report for pneumonia</w:t>
      </w:r>
      <w:r w:rsidR="00054297">
        <w:t xml:space="preserve"> in association with the use of </w:t>
      </w:r>
      <w:proofErr w:type="spellStart"/>
      <w:r w:rsidR="00694C63" w:rsidRPr="00694C63">
        <w:t>denosumab</w:t>
      </w:r>
      <w:proofErr w:type="spellEnd"/>
      <w:r w:rsidR="00694C63" w:rsidRPr="00694C63">
        <w:t xml:space="preserve"> (Appendix 12) and Safety Assessment Report for infections in association with</w:t>
      </w:r>
      <w:r w:rsidR="00054297">
        <w:t xml:space="preserve"> </w:t>
      </w:r>
      <w:r w:rsidR="00694C63" w:rsidRPr="00694C63">
        <w:t xml:space="preserve">the use of </w:t>
      </w:r>
      <w:proofErr w:type="spellStart"/>
      <w:r w:rsidR="00694C63" w:rsidRPr="00694C63">
        <w:t>denosumab</w:t>
      </w:r>
      <w:proofErr w:type="spellEnd"/>
      <w:r w:rsidR="00694C63" w:rsidRPr="00694C63">
        <w:t xml:space="preserve"> (Appendix 13). These analyses wer</w:t>
      </w:r>
      <w:r w:rsidR="00054297">
        <w:t xml:space="preserve">e performed to address specific </w:t>
      </w:r>
      <w:r w:rsidR="00694C63" w:rsidRPr="00694C63">
        <w:t>questions from</w:t>
      </w:r>
      <w:r w:rsidR="001E4E3F">
        <w:t xml:space="preserve"> the EMA</w:t>
      </w:r>
      <w:r w:rsidR="00694C63" w:rsidRPr="00694C63">
        <w:t xml:space="preserve"> </w:t>
      </w:r>
      <w:r w:rsidR="00054297">
        <w:t xml:space="preserve">via their assessment report for </w:t>
      </w:r>
      <w:r w:rsidR="00694C63" w:rsidRPr="00694C63">
        <w:t>PSUR</w:t>
      </w:r>
      <w:r w:rsidR="00054297">
        <w:t xml:space="preserve"> </w:t>
      </w:r>
      <w:r w:rsidR="00694C63" w:rsidRPr="00694C63">
        <w:t xml:space="preserve">#2. Following detailed review of clinical and </w:t>
      </w:r>
      <w:proofErr w:type="spellStart"/>
      <w:r w:rsidR="00694C63" w:rsidRPr="00694C63">
        <w:t>non</w:t>
      </w:r>
      <w:r w:rsidR="00432029">
        <w:t xml:space="preserve"> </w:t>
      </w:r>
      <w:r w:rsidR="00694C63" w:rsidRPr="00694C63">
        <w:t>study</w:t>
      </w:r>
      <w:proofErr w:type="spellEnd"/>
      <w:r w:rsidR="00694C63" w:rsidRPr="00694C63">
        <w:t xml:space="preserve"> pneumonia events, an increased risk</w:t>
      </w:r>
      <w:r w:rsidR="00054297">
        <w:t xml:space="preserve"> </w:t>
      </w:r>
      <w:r w:rsidR="00694C63" w:rsidRPr="00694C63">
        <w:t xml:space="preserve">after </w:t>
      </w:r>
      <w:proofErr w:type="spellStart"/>
      <w:r w:rsidR="00694C63" w:rsidRPr="00694C63">
        <w:t>denosumab</w:t>
      </w:r>
      <w:proofErr w:type="spellEnd"/>
      <w:r w:rsidR="00694C63" w:rsidRPr="00694C63">
        <w:t xml:space="preserve"> administration was not established.</w:t>
      </w:r>
    </w:p>
    <w:p w:rsidR="00054297" w:rsidRDefault="00694C63" w:rsidP="00054297">
      <w:pPr>
        <w:pStyle w:val="ListBullet"/>
      </w:pPr>
      <w:r w:rsidRPr="00694C63">
        <w:t>PSUR #4 of July 2012 has been provided to TGA and contained a Safety Assessment Report</w:t>
      </w:r>
      <w:r w:rsidR="00054297">
        <w:t xml:space="preserve"> </w:t>
      </w:r>
      <w:r w:rsidRPr="00694C63">
        <w:t>for infections associated with latent infection with the</w:t>
      </w:r>
      <w:r w:rsidR="00054297">
        <w:t xml:space="preserve"> use of </w:t>
      </w:r>
      <w:proofErr w:type="spellStart"/>
      <w:r w:rsidR="00054297">
        <w:t>denosumab</w:t>
      </w:r>
      <w:proofErr w:type="spellEnd"/>
      <w:r w:rsidR="00054297">
        <w:t xml:space="preserve"> (Appendix 14) </w:t>
      </w:r>
      <w:r w:rsidRPr="00694C63">
        <w:t>and</w:t>
      </w:r>
      <w:r w:rsidR="00054297">
        <w:t xml:space="preserve"> </w:t>
      </w:r>
      <w:r w:rsidRPr="00694C63">
        <w:t>included line listings or case narratives in response to an EMA Assessment Report for PSUR</w:t>
      </w:r>
      <w:r w:rsidR="00054297">
        <w:t xml:space="preserve"> </w:t>
      </w:r>
      <w:r w:rsidRPr="00694C63">
        <w:t xml:space="preserve">#3. Following detailed review of clinical and </w:t>
      </w:r>
      <w:proofErr w:type="spellStart"/>
      <w:r w:rsidRPr="00694C63">
        <w:t>non</w:t>
      </w:r>
      <w:r w:rsidR="001E4E3F">
        <w:t xml:space="preserve"> </w:t>
      </w:r>
      <w:r w:rsidRPr="00694C63">
        <w:t>study</w:t>
      </w:r>
      <w:proofErr w:type="spellEnd"/>
      <w:r w:rsidRPr="00694C63">
        <w:t xml:space="preserve"> infection events, worsening of latent,</w:t>
      </w:r>
      <w:r w:rsidR="00054297">
        <w:t xml:space="preserve"> </w:t>
      </w:r>
      <w:r w:rsidRPr="00694C63">
        <w:t xml:space="preserve">underlying or subclinical infections after </w:t>
      </w:r>
      <w:proofErr w:type="spellStart"/>
      <w:r w:rsidRPr="00694C63">
        <w:t>denosumab</w:t>
      </w:r>
      <w:proofErr w:type="spellEnd"/>
      <w:r w:rsidRPr="00694C63">
        <w:t xml:space="preserve"> administration was not established.</w:t>
      </w:r>
    </w:p>
    <w:p w:rsidR="000C3D1E" w:rsidRDefault="00694C63" w:rsidP="00694C63">
      <w:r w:rsidRPr="00694C63">
        <w:t xml:space="preserve">Extensive nonclinical studies provide no evidence that </w:t>
      </w:r>
      <w:proofErr w:type="spellStart"/>
      <w:r w:rsidRPr="00694C63">
        <w:t>denosumab</w:t>
      </w:r>
      <w:proofErr w:type="spellEnd"/>
      <w:r w:rsidRPr="00694C63">
        <w:t xml:space="preserve"> itself or RANKL inhibition is</w:t>
      </w:r>
      <w:r w:rsidR="00054297">
        <w:t xml:space="preserve"> </w:t>
      </w:r>
      <w:r w:rsidRPr="00694C63">
        <w:t>broadly immunosuppressive. Conditions associated with an impaired immune system may be</w:t>
      </w:r>
      <w:r w:rsidR="00054297">
        <w:t xml:space="preserve"> </w:t>
      </w:r>
      <w:r w:rsidRPr="00694C63">
        <w:t>manifested as cell</w:t>
      </w:r>
      <w:r w:rsidR="001E4E3F">
        <w:t xml:space="preserve"> </w:t>
      </w:r>
      <w:r w:rsidRPr="00694C63">
        <w:t>mediated immune deficiency including opportunistic fungal, viral and parasitic</w:t>
      </w:r>
      <w:r w:rsidR="00054297">
        <w:t xml:space="preserve"> </w:t>
      </w:r>
      <w:r w:rsidRPr="00694C63">
        <w:t xml:space="preserve">infections. In the </w:t>
      </w:r>
      <w:proofErr w:type="spellStart"/>
      <w:r w:rsidRPr="00694C63">
        <w:t>denosumab</w:t>
      </w:r>
      <w:proofErr w:type="spellEnd"/>
      <w:r w:rsidRPr="00694C63">
        <w:t xml:space="preserve"> clinical program, no increased incidence in such infections has been</w:t>
      </w:r>
      <w:r w:rsidR="00054297">
        <w:t xml:space="preserve"> </w:t>
      </w:r>
      <w:r w:rsidRPr="00694C63">
        <w:t xml:space="preserve">observed (Table </w:t>
      </w:r>
      <w:r w:rsidR="002B3335">
        <w:t>10</w:t>
      </w:r>
      <w:r w:rsidRPr="00694C63">
        <w:t>).</w:t>
      </w:r>
    </w:p>
    <w:p w:rsidR="00902FE9" w:rsidRDefault="006956D7" w:rsidP="002C6D8D">
      <w:r w:rsidRPr="006956D7">
        <w:t>For a subgroup analysis of the primary PMO study: in</w:t>
      </w:r>
      <w:r>
        <w:t xml:space="preserve"> </w:t>
      </w:r>
      <w:proofErr w:type="spellStart"/>
      <w:r>
        <w:t>denosumab</w:t>
      </w:r>
      <w:proofErr w:type="spellEnd"/>
      <w:r w:rsidR="00814EC4">
        <w:t xml:space="preserve"> </w:t>
      </w:r>
      <w:r>
        <w:t xml:space="preserve">treated subjects who </w:t>
      </w:r>
      <w:r w:rsidRPr="006956D7">
        <w:t>could</w:t>
      </w:r>
      <w:r>
        <w:t xml:space="preserve"> </w:t>
      </w:r>
      <w:r w:rsidRPr="006956D7">
        <w:t xml:space="preserve">possibly have an impaired immune system, such as those receiving concurrent </w:t>
      </w:r>
      <w:r w:rsidRPr="006956D7">
        <w:lastRenderedPageBreak/>
        <w:t xml:space="preserve">steroids (Table </w:t>
      </w:r>
      <w:r w:rsidR="005725B7">
        <w:t>11</w:t>
      </w:r>
      <w:r w:rsidRPr="006956D7">
        <w:t>)</w:t>
      </w:r>
      <w:r>
        <w:t xml:space="preserve"> </w:t>
      </w:r>
      <w:r w:rsidRPr="006956D7">
        <w:t xml:space="preserve">and subjects of older age (≥75 years) (Table </w:t>
      </w:r>
      <w:r w:rsidR="005725B7">
        <w:t>12</w:t>
      </w:r>
      <w:r w:rsidRPr="006956D7">
        <w:t>), a similar pattern of infection SAEs was</w:t>
      </w:r>
      <w:r>
        <w:t xml:space="preserve"> </w:t>
      </w:r>
      <w:r w:rsidRPr="006956D7">
        <w:t xml:space="preserve">demonstrated as for the overall study population providing evidence that </w:t>
      </w:r>
      <w:proofErr w:type="spellStart"/>
      <w:r w:rsidRPr="006956D7">
        <w:t>denosumab</w:t>
      </w:r>
      <w:proofErr w:type="spellEnd"/>
      <w:r w:rsidRPr="006956D7">
        <w:t xml:space="preserve"> does not</w:t>
      </w:r>
      <w:r>
        <w:t xml:space="preserve"> </w:t>
      </w:r>
      <w:r w:rsidRPr="006956D7">
        <w:t xml:space="preserve">increase the risk of infection in patient populations that may be </w:t>
      </w:r>
      <w:proofErr w:type="spellStart"/>
      <w:r w:rsidRPr="006956D7">
        <w:t>immunocompromised</w:t>
      </w:r>
      <w:proofErr w:type="spellEnd"/>
      <w:r w:rsidRPr="006956D7">
        <w:t>. Further, as</w:t>
      </w:r>
      <w:r>
        <w:t xml:space="preserve"> </w:t>
      </w:r>
      <w:r w:rsidRPr="006956D7">
        <w:t>stated above, no increase in the incidence of infections has been observed with long</w:t>
      </w:r>
      <w:r w:rsidR="00814EC4">
        <w:t xml:space="preserve"> </w:t>
      </w:r>
      <w:r w:rsidRPr="006956D7">
        <w:t>term exposure</w:t>
      </w:r>
      <w:r>
        <w:t xml:space="preserve"> </w:t>
      </w:r>
      <w:r w:rsidRPr="006956D7">
        <w:t>in Study 20060289. Collectively</w:t>
      </w:r>
      <w:r w:rsidR="00814EC4">
        <w:t>,</w:t>
      </w:r>
      <w:r w:rsidRPr="006956D7">
        <w:t xml:space="preserve"> these data indicat</w:t>
      </w:r>
      <w:r>
        <w:t xml:space="preserve">e that </w:t>
      </w:r>
      <w:proofErr w:type="spellStart"/>
      <w:r>
        <w:t>denosumab</w:t>
      </w:r>
      <w:proofErr w:type="spellEnd"/>
      <w:r>
        <w:t xml:space="preserve"> is not broadly </w:t>
      </w:r>
      <w:r w:rsidRPr="006956D7">
        <w:t>immunosuppressive; hence an identified risk for all serious infections is not warranted</w:t>
      </w:r>
      <w:r w:rsidR="00814EC4">
        <w:t>.</w:t>
      </w:r>
    </w:p>
    <w:p w:rsidR="00A82D73" w:rsidRDefault="00A82D73" w:rsidP="00C703FF">
      <w:pPr>
        <w:pStyle w:val="TableTitle"/>
        <w:rPr>
          <w:lang w:val="en-GB"/>
        </w:rPr>
      </w:pPr>
      <w:r>
        <w:t xml:space="preserve">Table </w:t>
      </w:r>
      <w:r w:rsidR="005725B7">
        <w:t>11</w:t>
      </w:r>
      <w:r>
        <w:t>:</w:t>
      </w:r>
      <w:r w:rsidRPr="004C5C28">
        <w:t xml:space="preserve"> </w:t>
      </w:r>
      <w:r w:rsidR="00FA2817" w:rsidRPr="00FA2817">
        <w:t xml:space="preserve">Serious </w:t>
      </w:r>
      <w:r w:rsidR="00814EC4">
        <w:t>a</w:t>
      </w:r>
      <w:r w:rsidR="00FA2817" w:rsidRPr="00FA2817">
        <w:t xml:space="preserve">dverse </w:t>
      </w:r>
      <w:r w:rsidR="00814EC4">
        <w:t>e</w:t>
      </w:r>
      <w:r w:rsidR="00FA2817" w:rsidRPr="00FA2817">
        <w:t xml:space="preserve">vents (SAEs) of </w:t>
      </w:r>
      <w:r w:rsidR="00814EC4">
        <w:t>i</w:t>
      </w:r>
      <w:r w:rsidR="00FA2817" w:rsidRPr="00FA2817">
        <w:t xml:space="preserve">nfection by </w:t>
      </w:r>
      <w:r w:rsidR="00814EC4">
        <w:t>c</w:t>
      </w:r>
      <w:r w:rsidR="00FA2817" w:rsidRPr="00FA2817">
        <w:t xml:space="preserve">oncomitant </w:t>
      </w:r>
      <w:r w:rsidR="00814EC4">
        <w:t>s</w:t>
      </w:r>
      <w:r w:rsidR="00FA2817" w:rsidRPr="00FA2817">
        <w:t xml:space="preserve">teroid </w:t>
      </w:r>
      <w:r w:rsidR="00814EC4">
        <w:t>u</w:t>
      </w:r>
      <w:r w:rsidR="00FA2817" w:rsidRPr="00FA2817">
        <w:t>se for</w:t>
      </w:r>
      <w:r w:rsidR="00DA08C1">
        <w:t xml:space="preserve"> </w:t>
      </w:r>
      <w:r w:rsidR="00814EC4">
        <w:t>p</w:t>
      </w:r>
      <w:r w:rsidR="00FA2817" w:rsidRPr="00FA2817">
        <w:t xml:space="preserve">rimary </w:t>
      </w:r>
      <w:r w:rsidR="009B0459">
        <w:t>PMO</w:t>
      </w:r>
      <w:r w:rsidR="00FA2817" w:rsidRPr="00FA2817">
        <w:t xml:space="preserve"> </w:t>
      </w:r>
      <w:r w:rsidR="00814EC4">
        <w:t>s</w:t>
      </w:r>
      <w:r w:rsidR="00FA2817" w:rsidRPr="00FA2817">
        <w:t xml:space="preserve">afety </w:t>
      </w:r>
      <w:r w:rsidR="00814EC4">
        <w:t>a</w:t>
      </w:r>
      <w:r w:rsidR="00FA2817" w:rsidRPr="00FA2817">
        <w:t xml:space="preserve">nalysis </w:t>
      </w:r>
      <w:r w:rsidR="00814EC4">
        <w:t>s</w:t>
      </w:r>
      <w:r w:rsidR="00FA2817" w:rsidRPr="00FA2817">
        <w:t>et (Study 20030216)</w:t>
      </w:r>
      <w:r>
        <w:t>.</w:t>
      </w:r>
    </w:p>
    <w:p w:rsidR="006956D7" w:rsidRDefault="00B73BA9" w:rsidP="006956D7">
      <w:r>
        <w:rPr>
          <w:noProof/>
          <w:lang w:eastAsia="en-AU"/>
        </w:rPr>
        <w:drawing>
          <wp:inline distT="0" distB="0" distL="0" distR="0">
            <wp:extent cx="4858385" cy="914400"/>
            <wp:effectExtent l="0" t="0" r="0" b="0"/>
            <wp:docPr id="14" name="Picture 14" descr="Table 11: Serious adverse events (SAEs) of infection by concomitant steroid use for primary PMO safety analysis set (Study 20030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ble 11: Serious adverse events (SAEs) of infection by concomitant steroid use for primary PMO safety analysis set (Study 200302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58385" cy="914400"/>
                    </a:xfrm>
                    <a:prstGeom prst="rect">
                      <a:avLst/>
                    </a:prstGeom>
                    <a:noFill/>
                    <a:ln>
                      <a:noFill/>
                    </a:ln>
                  </pic:spPr>
                </pic:pic>
              </a:graphicData>
            </a:graphic>
          </wp:inline>
        </w:drawing>
      </w:r>
    </w:p>
    <w:p w:rsidR="00A82D73" w:rsidRDefault="00A82D73" w:rsidP="00C703FF">
      <w:pPr>
        <w:pStyle w:val="TableTitle"/>
        <w:rPr>
          <w:lang w:val="en-GB"/>
        </w:rPr>
      </w:pPr>
      <w:r>
        <w:t xml:space="preserve">Table </w:t>
      </w:r>
      <w:r w:rsidR="005725B7">
        <w:t>12</w:t>
      </w:r>
      <w:r>
        <w:t>:</w:t>
      </w:r>
      <w:r w:rsidRPr="004C5C28">
        <w:t xml:space="preserve"> </w:t>
      </w:r>
      <w:r w:rsidR="00FA2817" w:rsidRPr="00FA2817">
        <w:t xml:space="preserve">Number of </w:t>
      </w:r>
      <w:r w:rsidR="00814EC4">
        <w:t>s</w:t>
      </w:r>
      <w:r w:rsidR="00FA2817" w:rsidRPr="00FA2817">
        <w:t xml:space="preserve">ubjects </w:t>
      </w:r>
      <w:r w:rsidR="00814EC4">
        <w:t>r</w:t>
      </w:r>
      <w:r w:rsidR="00FA2817" w:rsidRPr="00FA2817">
        <w:t xml:space="preserve">eporting </w:t>
      </w:r>
      <w:r w:rsidR="00814EC4">
        <w:t>s</w:t>
      </w:r>
      <w:r w:rsidR="00FA2817" w:rsidRPr="00FA2817">
        <w:t xml:space="preserve">erious </w:t>
      </w:r>
      <w:r w:rsidR="00814EC4">
        <w:t>a</w:t>
      </w:r>
      <w:r w:rsidR="00FA2817" w:rsidRPr="00FA2817">
        <w:t xml:space="preserve">dverse </w:t>
      </w:r>
      <w:r w:rsidR="00814EC4">
        <w:t>e</w:t>
      </w:r>
      <w:r w:rsidR="00FA2817" w:rsidRPr="00FA2817">
        <w:t xml:space="preserve">vents (SAEs) of </w:t>
      </w:r>
      <w:r w:rsidR="00814EC4">
        <w:t>i</w:t>
      </w:r>
      <w:r w:rsidR="00FA2817" w:rsidRPr="00FA2817">
        <w:t xml:space="preserve">nfection by </w:t>
      </w:r>
      <w:r w:rsidR="00EB1E7D">
        <w:t>a</w:t>
      </w:r>
      <w:r w:rsidR="00FA2817" w:rsidRPr="00FA2817">
        <w:t>ge</w:t>
      </w:r>
      <w:r w:rsidR="00DA08C1">
        <w:t xml:space="preserve"> </w:t>
      </w:r>
      <w:r w:rsidR="00EB1E7D">
        <w:t>s</w:t>
      </w:r>
      <w:r w:rsidR="00FA2817" w:rsidRPr="00FA2817">
        <w:t xml:space="preserve">ubgroup for </w:t>
      </w:r>
      <w:r w:rsidR="00EB1E7D">
        <w:t>p</w:t>
      </w:r>
      <w:r w:rsidR="00FA2817" w:rsidRPr="00FA2817">
        <w:t xml:space="preserve">rimary </w:t>
      </w:r>
      <w:r w:rsidR="009B0459">
        <w:t>PMO</w:t>
      </w:r>
      <w:r w:rsidR="00FA2817" w:rsidRPr="00FA2817">
        <w:t xml:space="preserve"> </w:t>
      </w:r>
      <w:r w:rsidR="00EB1E7D">
        <w:t>s</w:t>
      </w:r>
      <w:r w:rsidR="00FA2817" w:rsidRPr="00FA2817">
        <w:t xml:space="preserve">afety </w:t>
      </w:r>
      <w:r w:rsidR="00EB1E7D">
        <w:t>a</w:t>
      </w:r>
      <w:r w:rsidR="00FA2817" w:rsidRPr="00FA2817">
        <w:t xml:space="preserve">nalysis </w:t>
      </w:r>
      <w:r w:rsidR="00EB1E7D">
        <w:t>s</w:t>
      </w:r>
      <w:r w:rsidR="00FA2817" w:rsidRPr="00FA2817">
        <w:t>et (Study 20030216)</w:t>
      </w:r>
      <w:r>
        <w:t>.</w:t>
      </w:r>
    </w:p>
    <w:p w:rsidR="00A82D73" w:rsidRDefault="00B73BA9" w:rsidP="006956D7">
      <w:r>
        <w:rPr>
          <w:noProof/>
          <w:lang w:eastAsia="en-AU"/>
        </w:rPr>
        <w:drawing>
          <wp:inline distT="0" distB="0" distL="0" distR="0">
            <wp:extent cx="4858385" cy="734695"/>
            <wp:effectExtent l="0" t="0" r="0" b="8255"/>
            <wp:docPr id="15" name="Picture 15" descr="Table 12: Number of subjects reporting serious adverse events (SAEs) of infection by age subgroup for primary PMO safety analysis set (Study 20030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ble 12: Number of subjects reporting serious adverse events (SAEs) of infection by age subgroup for primary PMO safety analysis set (Study 200302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58385" cy="734695"/>
                    </a:xfrm>
                    <a:prstGeom prst="rect">
                      <a:avLst/>
                    </a:prstGeom>
                    <a:noFill/>
                    <a:ln>
                      <a:noFill/>
                    </a:ln>
                  </pic:spPr>
                </pic:pic>
              </a:graphicData>
            </a:graphic>
          </wp:inline>
        </w:drawing>
      </w:r>
    </w:p>
    <w:p w:rsidR="00D928A0" w:rsidRPr="00D928A0" w:rsidRDefault="00D928A0" w:rsidP="00D928A0">
      <w:pPr>
        <w:pStyle w:val="Heading6"/>
        <w:rPr>
          <w:rFonts w:eastAsia="TimesNewRoman,Bold"/>
        </w:rPr>
      </w:pPr>
      <w:proofErr w:type="spellStart"/>
      <w:r w:rsidRPr="00D928A0">
        <w:rPr>
          <w:rFonts w:eastAsia="TimesNewRoman,Bold"/>
        </w:rPr>
        <w:t>Pharmacovigilance</w:t>
      </w:r>
      <w:proofErr w:type="spellEnd"/>
      <w:r w:rsidRPr="00D928A0">
        <w:rPr>
          <w:rFonts w:eastAsia="TimesNewRoman,Bold"/>
        </w:rPr>
        <w:t xml:space="preserve"> and </w:t>
      </w:r>
      <w:r w:rsidR="002C6D8D">
        <w:rPr>
          <w:rFonts w:eastAsia="TimesNewRoman,Bold"/>
        </w:rPr>
        <w:t>r</w:t>
      </w:r>
      <w:r w:rsidRPr="00D928A0">
        <w:rPr>
          <w:rFonts w:eastAsia="TimesNewRoman,Bold"/>
        </w:rPr>
        <w:t xml:space="preserve">isk </w:t>
      </w:r>
      <w:r w:rsidR="002C6D8D">
        <w:rPr>
          <w:rFonts w:eastAsia="TimesNewRoman,Bold"/>
        </w:rPr>
        <w:t>m</w:t>
      </w:r>
      <w:r w:rsidRPr="00D928A0">
        <w:rPr>
          <w:rFonts w:eastAsia="TimesNewRoman,Bold"/>
        </w:rPr>
        <w:t xml:space="preserve">inimisation </w:t>
      </w:r>
      <w:r w:rsidR="002C6D8D">
        <w:rPr>
          <w:rFonts w:eastAsia="TimesNewRoman,Bold"/>
        </w:rPr>
        <w:t>a</w:t>
      </w:r>
      <w:r w:rsidRPr="00D928A0">
        <w:rPr>
          <w:rFonts w:eastAsia="TimesNewRoman,Bold"/>
        </w:rPr>
        <w:t>ctivities</w:t>
      </w:r>
    </w:p>
    <w:p w:rsidR="001837F6" w:rsidRPr="001837F6" w:rsidRDefault="00D928A0" w:rsidP="001837F6">
      <w:r w:rsidRPr="00D928A0">
        <w:t>For both skin infections leading to hospitalisation and SAEs of</w:t>
      </w:r>
      <w:r>
        <w:t xml:space="preserve"> infection, </w:t>
      </w:r>
      <w:r w:rsidR="00BE2BB3">
        <w:t>the sponsor</w:t>
      </w:r>
      <w:r>
        <w:t xml:space="preserve"> is conducting </w:t>
      </w:r>
      <w:r w:rsidRPr="00D928A0">
        <w:t xml:space="preserve">routine </w:t>
      </w:r>
      <w:proofErr w:type="spellStart"/>
      <w:r w:rsidRPr="00D928A0">
        <w:t>pharmacovigilance</w:t>
      </w:r>
      <w:proofErr w:type="spellEnd"/>
      <w:r w:rsidRPr="00D928A0">
        <w:t xml:space="preserve"> augmented by active surveillance, which </w:t>
      </w:r>
      <w:r>
        <w:t xml:space="preserve">includes collection of detailed </w:t>
      </w:r>
      <w:r w:rsidRPr="00D928A0">
        <w:t>information on events of infection received through spontaneous reports, and identification of rates</w:t>
      </w:r>
      <w:r>
        <w:t xml:space="preserve"> </w:t>
      </w:r>
      <w:r w:rsidRPr="00D928A0">
        <w:t>of SAEs of infection in Study 20090522. Study 20090522 is a c</w:t>
      </w:r>
      <w:r>
        <w:t>omprehensive post</w:t>
      </w:r>
      <w:r w:rsidR="00304E05">
        <w:t xml:space="preserve"> </w:t>
      </w:r>
      <w:r>
        <w:t xml:space="preserve">marketing </w:t>
      </w:r>
      <w:r w:rsidRPr="00D928A0">
        <w:t>safety observation study in women with PMO and men with osteopor</w:t>
      </w:r>
      <w:r>
        <w:t xml:space="preserve">osis that uses large electronic </w:t>
      </w:r>
      <w:r w:rsidRPr="00D928A0">
        <w:t>medical records databases and administrative databases to assess sel</w:t>
      </w:r>
      <w:r>
        <w:t xml:space="preserve">ected </w:t>
      </w:r>
      <w:r w:rsidR="006747FC">
        <w:t>AE</w:t>
      </w:r>
      <w:r>
        <w:t xml:space="preserve">s of special </w:t>
      </w:r>
      <w:r w:rsidRPr="00D928A0">
        <w:t>interest, including the incidence of all infections leading to hospi</w:t>
      </w:r>
      <w:r>
        <w:t xml:space="preserve">talisation, emergency visit, or </w:t>
      </w:r>
      <w:r w:rsidRPr="00D928A0">
        <w:t xml:space="preserve">administration of parenteral </w:t>
      </w:r>
      <w:proofErr w:type="spellStart"/>
      <w:r w:rsidRPr="00D928A0">
        <w:t>anti</w:t>
      </w:r>
      <w:r w:rsidR="00304E05">
        <w:t xml:space="preserve"> </w:t>
      </w:r>
      <w:r w:rsidRPr="00D928A0">
        <w:t>infective</w:t>
      </w:r>
      <w:proofErr w:type="spellEnd"/>
      <w:r w:rsidRPr="00D928A0">
        <w:t xml:space="preserve"> medication. Any significant finding from Study</w:t>
      </w:r>
      <w:r w:rsidR="001837F6">
        <w:t xml:space="preserve"> </w:t>
      </w:r>
      <w:r w:rsidR="001837F6" w:rsidRPr="001837F6">
        <w:t xml:space="preserve">20090522 will be communicated to TGA via the </w:t>
      </w:r>
      <w:r w:rsidR="00304E05">
        <w:t>PSURs</w:t>
      </w:r>
      <w:r w:rsidR="001837F6" w:rsidRPr="001837F6">
        <w:t xml:space="preserve"> and/or revision to</w:t>
      </w:r>
      <w:r w:rsidR="00BD2B61">
        <w:t xml:space="preserve"> </w:t>
      </w:r>
      <w:r w:rsidR="001837F6" w:rsidRPr="001837F6">
        <w:t xml:space="preserve">the </w:t>
      </w:r>
      <w:proofErr w:type="spellStart"/>
      <w:r w:rsidR="001837F6" w:rsidRPr="001837F6">
        <w:t>Prolia</w:t>
      </w:r>
      <w:proofErr w:type="spellEnd"/>
      <w:r w:rsidR="001837F6" w:rsidRPr="001837F6">
        <w:t xml:space="preserve"> (</w:t>
      </w:r>
      <w:proofErr w:type="spellStart"/>
      <w:r w:rsidR="001837F6" w:rsidRPr="001837F6">
        <w:t>denosumab</w:t>
      </w:r>
      <w:proofErr w:type="spellEnd"/>
      <w:r w:rsidR="001837F6" w:rsidRPr="001837F6">
        <w:t>) PI.</w:t>
      </w:r>
    </w:p>
    <w:p w:rsidR="001837F6" w:rsidRPr="0040571E" w:rsidRDefault="0064089D" w:rsidP="001837F6">
      <w:pPr>
        <w:rPr>
          <w:i/>
        </w:rPr>
      </w:pPr>
      <w:r>
        <w:rPr>
          <w:i/>
        </w:rPr>
        <w:t xml:space="preserve">B2: </w:t>
      </w:r>
      <w:r w:rsidR="009B18D3" w:rsidRPr="0040571E">
        <w:rPr>
          <w:i/>
        </w:rPr>
        <w:t>It is recommended …</w:t>
      </w:r>
      <w:r w:rsidR="001837F6" w:rsidRPr="0040571E">
        <w:rPr>
          <w:i/>
        </w:rPr>
        <w:t xml:space="preserve"> that the sponsor add 'Suppression of bone turnover' to the list</w:t>
      </w:r>
      <w:r w:rsidR="009B18D3" w:rsidRPr="0040571E">
        <w:rPr>
          <w:i/>
        </w:rPr>
        <w:t xml:space="preserve"> </w:t>
      </w:r>
      <w:r w:rsidR="001837F6" w:rsidRPr="0040571E">
        <w:rPr>
          <w:i/>
        </w:rPr>
        <w:t>important identified risks, as supported by data fr</w:t>
      </w:r>
      <w:r w:rsidR="009B18D3" w:rsidRPr="0040571E">
        <w:rPr>
          <w:i/>
        </w:rPr>
        <w:t>o</w:t>
      </w:r>
      <w:r>
        <w:rPr>
          <w:i/>
        </w:rPr>
        <w:t xml:space="preserve">m clinical studies with </w:t>
      </w:r>
      <w:proofErr w:type="spellStart"/>
      <w:r>
        <w:rPr>
          <w:i/>
        </w:rPr>
        <w:t>Prolia</w:t>
      </w:r>
      <w:proofErr w:type="spellEnd"/>
      <w:r>
        <w:rPr>
          <w:i/>
        </w:rPr>
        <w:t>.</w:t>
      </w:r>
    </w:p>
    <w:p w:rsidR="001837F6" w:rsidRPr="00FB6ABD" w:rsidRDefault="00BE2BB3" w:rsidP="001837F6">
      <w:pPr>
        <w:rPr>
          <w:b/>
        </w:rPr>
      </w:pPr>
      <w:r>
        <w:rPr>
          <w:b/>
        </w:rPr>
        <w:t>The sponsor</w:t>
      </w:r>
      <w:r w:rsidR="001837F6" w:rsidRPr="00FB6ABD">
        <w:rPr>
          <w:b/>
        </w:rPr>
        <w:t xml:space="preserve"> disagrees with the above recommendation.</w:t>
      </w:r>
    </w:p>
    <w:p w:rsidR="001837F6" w:rsidRPr="001837F6" w:rsidRDefault="001837F6" w:rsidP="001837F6">
      <w:r w:rsidRPr="001837F6">
        <w:t>Suppression of bone turnover may lead to 3 potential eve</w:t>
      </w:r>
      <w:r w:rsidR="0040571E">
        <w:t xml:space="preserve">nts: atypical femoral fracture, </w:t>
      </w:r>
      <w:r w:rsidR="00304E05">
        <w:t>ONJ</w:t>
      </w:r>
      <w:r w:rsidRPr="001837F6">
        <w:t xml:space="preserve">, and fracture healing </w:t>
      </w:r>
      <w:r w:rsidR="0040571E">
        <w:t xml:space="preserve">complications. Atypical femoral </w:t>
      </w:r>
      <w:r w:rsidRPr="001837F6">
        <w:t>fracture and</w:t>
      </w:r>
      <w:r w:rsidR="0040571E">
        <w:t xml:space="preserve"> </w:t>
      </w:r>
      <w:r w:rsidRPr="001837F6">
        <w:t xml:space="preserve">ONJ are currently classified as identified risks and stated in the Australian </w:t>
      </w:r>
      <w:proofErr w:type="spellStart"/>
      <w:r w:rsidRPr="001837F6">
        <w:t>Prolia</w:t>
      </w:r>
      <w:proofErr w:type="spellEnd"/>
      <w:r w:rsidRPr="001837F6">
        <w:t xml:space="preserve"> PI. Fracture</w:t>
      </w:r>
      <w:r w:rsidR="0040571E">
        <w:t xml:space="preserve"> </w:t>
      </w:r>
      <w:r w:rsidRPr="001837F6">
        <w:t xml:space="preserve">healing complications is classified </w:t>
      </w:r>
      <w:r w:rsidR="0040571E">
        <w:t>as a potential risk in the RMP</w:t>
      </w:r>
      <w:r w:rsidRPr="001837F6">
        <w:t>.</w:t>
      </w:r>
    </w:p>
    <w:p w:rsidR="001837F6" w:rsidRPr="001837F6" w:rsidRDefault="001837F6" w:rsidP="001837F6">
      <w:r w:rsidRPr="001837F6">
        <w:t xml:space="preserve">Data from </w:t>
      </w:r>
      <w:proofErr w:type="spellStart"/>
      <w:r w:rsidRPr="001837F6">
        <w:t>denosumab</w:t>
      </w:r>
      <w:proofErr w:type="spellEnd"/>
      <w:r w:rsidRPr="001837F6">
        <w:t xml:space="preserve"> clinical studies are consistent with the nonclinical data in that there was no</w:t>
      </w:r>
      <w:r w:rsidR="007F46F5">
        <w:t xml:space="preserve"> </w:t>
      </w:r>
      <w:r w:rsidRPr="001837F6">
        <w:t xml:space="preserve">evidence of an adverse effect of </w:t>
      </w:r>
      <w:proofErr w:type="spellStart"/>
      <w:r w:rsidRPr="001837F6">
        <w:t>denosumab</w:t>
      </w:r>
      <w:proofErr w:type="spellEnd"/>
      <w:r w:rsidRPr="001837F6">
        <w:t xml:space="preserve"> on the union and healing of fractures as evaluated in</w:t>
      </w:r>
      <w:r w:rsidR="007F46F5">
        <w:t xml:space="preserve"> </w:t>
      </w:r>
      <w:r w:rsidRPr="001837F6">
        <w:t xml:space="preserve">Studies 20030216, 20040138, and 20040135 (breast HALT study). </w:t>
      </w:r>
      <w:r w:rsidR="00BE2BB3">
        <w:t>The sponsor</w:t>
      </w:r>
      <w:r w:rsidRPr="001837F6">
        <w:t xml:space="preserve"> has committed to</w:t>
      </w:r>
      <w:r w:rsidR="007F46F5">
        <w:t xml:space="preserve"> </w:t>
      </w:r>
      <w:r w:rsidRPr="001837F6">
        <w:t>evaluating fracture healing in Study 20050209. This study includes a specific case report form to</w:t>
      </w:r>
      <w:r w:rsidR="007F46F5">
        <w:t xml:space="preserve"> </w:t>
      </w:r>
      <w:r w:rsidRPr="001837F6">
        <w:t xml:space="preserve">capture information on all fracture </w:t>
      </w:r>
      <w:r w:rsidR="006747FC">
        <w:t>AE</w:t>
      </w:r>
      <w:r w:rsidRPr="001837F6">
        <w:t>s. In this way, all clinical fractures will be</w:t>
      </w:r>
      <w:r w:rsidR="007F46F5">
        <w:t xml:space="preserve"> </w:t>
      </w:r>
      <w:r w:rsidRPr="001837F6">
        <w:t>followed until fracture healing has been resolved. Additionally, any recurrence of fracture events at</w:t>
      </w:r>
      <w:r w:rsidR="007F46F5">
        <w:t xml:space="preserve"> </w:t>
      </w:r>
      <w:r w:rsidRPr="001837F6">
        <w:t>previously reported fracture sites will be reported and evaluated.</w:t>
      </w:r>
    </w:p>
    <w:p w:rsidR="001837F6" w:rsidRPr="001837F6" w:rsidRDefault="001837F6" w:rsidP="001837F6">
      <w:r w:rsidRPr="001837F6">
        <w:lastRenderedPageBreak/>
        <w:t xml:space="preserve">Thus, </w:t>
      </w:r>
      <w:r w:rsidR="00BE2BB3">
        <w:t>the sponsor</w:t>
      </w:r>
      <w:r w:rsidRPr="001837F6">
        <w:t xml:space="preserve"> considers that the important identified and potential risks associated with suppression</w:t>
      </w:r>
      <w:r w:rsidR="007F46F5">
        <w:t xml:space="preserve"> </w:t>
      </w:r>
      <w:r w:rsidRPr="001837F6">
        <w:t>of bone turnover are already adequately described in the Australi</w:t>
      </w:r>
      <w:r w:rsidR="007F46F5">
        <w:t xml:space="preserve">an </w:t>
      </w:r>
      <w:proofErr w:type="spellStart"/>
      <w:r w:rsidR="007F46F5">
        <w:t>Prolia</w:t>
      </w:r>
      <w:proofErr w:type="spellEnd"/>
      <w:r w:rsidR="007F46F5">
        <w:t xml:space="preserve"> PI and </w:t>
      </w:r>
      <w:r w:rsidR="001C46EA">
        <w:t>RMP</w:t>
      </w:r>
      <w:r w:rsidRPr="001837F6">
        <w:t>.</w:t>
      </w:r>
    </w:p>
    <w:p w:rsidR="00D928A0" w:rsidRPr="00C2690F" w:rsidRDefault="0064089D" w:rsidP="001837F6">
      <w:pPr>
        <w:rPr>
          <w:i/>
        </w:rPr>
      </w:pPr>
      <w:r>
        <w:rPr>
          <w:i/>
        </w:rPr>
        <w:t xml:space="preserve">B3: </w:t>
      </w:r>
      <w:r w:rsidR="001837F6" w:rsidRPr="00C2690F">
        <w:rPr>
          <w:i/>
        </w:rPr>
        <w:t>There were 7 incidents of avascular necrosis at other site. These are not included in the draft</w:t>
      </w:r>
      <w:r>
        <w:rPr>
          <w:i/>
        </w:rPr>
        <w:t xml:space="preserve"> PI and should be included.</w:t>
      </w:r>
    </w:p>
    <w:p w:rsidR="00E36EC5" w:rsidRPr="00E36EC5" w:rsidRDefault="00E36EC5" w:rsidP="00E36EC5">
      <w:r w:rsidRPr="001C18C3">
        <w:rPr>
          <w:i/>
        </w:rPr>
        <w:t>Amgen disagrees with the above recommendati</w:t>
      </w:r>
      <w:r w:rsidR="001C18C3" w:rsidRPr="001C18C3">
        <w:rPr>
          <w:i/>
        </w:rPr>
        <w:t xml:space="preserve">on however Amgen will designate </w:t>
      </w:r>
      <w:r w:rsidRPr="001C18C3">
        <w:rPr>
          <w:i/>
        </w:rPr>
        <w:t>avascular</w:t>
      </w:r>
      <w:r w:rsidR="001C18C3" w:rsidRPr="001C18C3">
        <w:rPr>
          <w:i/>
        </w:rPr>
        <w:t xml:space="preserve"> </w:t>
      </w:r>
      <w:r w:rsidRPr="001C18C3">
        <w:rPr>
          <w:i/>
        </w:rPr>
        <w:t xml:space="preserve">necrosis as a potential risk in the Australian Risk Management Plan for </w:t>
      </w:r>
      <w:proofErr w:type="spellStart"/>
      <w:r w:rsidRPr="001C18C3">
        <w:rPr>
          <w:i/>
        </w:rPr>
        <w:t>Prolia</w:t>
      </w:r>
      <w:proofErr w:type="spellEnd"/>
      <w:r w:rsidRPr="001C18C3">
        <w:rPr>
          <w:i/>
        </w:rPr>
        <w:t xml:space="preserve"> (</w:t>
      </w:r>
      <w:proofErr w:type="spellStart"/>
      <w:r w:rsidRPr="001C18C3">
        <w:rPr>
          <w:i/>
        </w:rPr>
        <w:t>denosumab</w:t>
      </w:r>
      <w:proofErr w:type="spellEnd"/>
      <w:r w:rsidRPr="001C18C3">
        <w:rPr>
          <w:i/>
        </w:rPr>
        <w:t>).</w:t>
      </w:r>
      <w:r w:rsidR="001C18C3">
        <w:t xml:space="preserve"> </w:t>
      </w:r>
      <w:r w:rsidR="00BE2BB3">
        <w:t>The sponsor</w:t>
      </w:r>
      <w:r w:rsidRPr="00E36EC5">
        <w:t xml:space="preserve"> has agreed to summarise clinical study events of avascular necrosis in clinical study reports</w:t>
      </w:r>
      <w:r w:rsidR="001C18C3">
        <w:t xml:space="preserve"> </w:t>
      </w:r>
      <w:r w:rsidRPr="00E36EC5">
        <w:t xml:space="preserve">in accordance with the EU RMP for </w:t>
      </w:r>
      <w:proofErr w:type="spellStart"/>
      <w:r w:rsidRPr="00E36EC5">
        <w:t>Prolia</w:t>
      </w:r>
      <w:proofErr w:type="spellEnd"/>
      <w:r w:rsidRPr="00E36EC5">
        <w:t>, which lists avascular necrosis as a potential risk. It is</w:t>
      </w:r>
      <w:r w:rsidR="001C18C3">
        <w:t xml:space="preserve"> </w:t>
      </w:r>
      <w:r w:rsidRPr="00E36EC5">
        <w:t>important to note, though, that there is no biological plausibility for this event being a risk of</w:t>
      </w:r>
      <w:r w:rsidR="001C18C3">
        <w:t xml:space="preserve"> </w:t>
      </w:r>
      <w:proofErr w:type="spellStart"/>
      <w:r w:rsidRPr="00E36EC5">
        <w:t>denosumab</w:t>
      </w:r>
      <w:proofErr w:type="spellEnd"/>
      <w:r w:rsidRPr="00E36EC5">
        <w:t xml:space="preserve"> therapy and no evidence from clinical trials to support this risk. Few cases of</w:t>
      </w:r>
      <w:r w:rsidR="001C18C3">
        <w:t xml:space="preserve"> </w:t>
      </w:r>
      <w:r w:rsidRPr="00E36EC5">
        <w:t xml:space="preserve">osteonecrosis outside the jaw </w:t>
      </w:r>
      <w:r w:rsidR="00304E05">
        <w:t>(avascular necrosis: 0.2% cross</w:t>
      </w:r>
      <w:r w:rsidRPr="00E36EC5">
        <w:t>over group (n=4); 0.1% long</w:t>
      </w:r>
      <w:r w:rsidR="00304E05">
        <w:t xml:space="preserve"> </w:t>
      </w:r>
      <w:r w:rsidRPr="00E36EC5">
        <w:t>term</w:t>
      </w:r>
      <w:r w:rsidR="001C18C3">
        <w:t xml:space="preserve"> </w:t>
      </w:r>
      <w:r w:rsidRPr="00E36EC5">
        <w:t>group (n=3)) were observed in the clinical program and most of</w:t>
      </w:r>
      <w:r w:rsidR="001C18C3">
        <w:t xml:space="preserve"> the affected subjects had risk </w:t>
      </w:r>
      <w:r w:rsidRPr="00E36EC5">
        <w:t>factors for the development of avascular necrosis. Known pathophysiologic mechanisms for</w:t>
      </w:r>
      <w:r w:rsidR="001C18C3">
        <w:t xml:space="preserve"> </w:t>
      </w:r>
      <w:r w:rsidRPr="00E36EC5">
        <w:t>osteonecrosis outside the jaw are related to factors that reduce blood supply to affected bone. There</w:t>
      </w:r>
      <w:r w:rsidR="001C18C3">
        <w:t xml:space="preserve"> </w:t>
      </w:r>
      <w:r w:rsidRPr="00E36EC5">
        <w:t xml:space="preserve">is no known biological mechanism by which </w:t>
      </w:r>
      <w:proofErr w:type="spellStart"/>
      <w:r w:rsidRPr="00E36EC5">
        <w:t>denosumab</w:t>
      </w:r>
      <w:proofErr w:type="spellEnd"/>
      <w:r w:rsidRPr="00E36EC5">
        <w:t xml:space="preserve"> would impair blood supply. However,</w:t>
      </w:r>
      <w:r w:rsidR="001C18C3">
        <w:t xml:space="preserve"> </w:t>
      </w:r>
      <w:r w:rsidRPr="00E36EC5">
        <w:t xml:space="preserve">since ONJ has been observed with bisphosphonates and </w:t>
      </w:r>
      <w:proofErr w:type="spellStart"/>
      <w:r w:rsidRPr="00E36EC5">
        <w:t>denosumab</w:t>
      </w:r>
      <w:proofErr w:type="spellEnd"/>
      <w:r w:rsidRPr="00E36EC5">
        <w:t>, it is theoretically possible that</w:t>
      </w:r>
      <w:r w:rsidR="001C18C3">
        <w:t xml:space="preserve"> </w:t>
      </w:r>
      <w:r w:rsidRPr="00E36EC5">
        <w:t>an as yet unknown pathologic mechanism could occur in bones other than the jaw. Therefore, it</w:t>
      </w:r>
      <w:r w:rsidR="001C18C3">
        <w:t xml:space="preserve"> is </w:t>
      </w:r>
      <w:r w:rsidR="00BE2BB3">
        <w:t>the sponsor</w:t>
      </w:r>
      <w:r w:rsidRPr="00E36EC5">
        <w:t>’s position that avascular necrosis is not an adverse dr</w:t>
      </w:r>
      <w:r w:rsidR="001C18C3">
        <w:t xml:space="preserve">ug reaction of </w:t>
      </w:r>
      <w:proofErr w:type="spellStart"/>
      <w:r w:rsidR="001C18C3">
        <w:t>denosumab</w:t>
      </w:r>
      <w:proofErr w:type="spellEnd"/>
      <w:r w:rsidR="001C18C3">
        <w:t xml:space="preserve">. </w:t>
      </w:r>
      <w:r w:rsidR="00416832">
        <w:t>The sponsor</w:t>
      </w:r>
      <w:r w:rsidR="001C18C3">
        <w:t xml:space="preserve"> </w:t>
      </w:r>
      <w:r w:rsidRPr="00E36EC5">
        <w:t>contends that information on avascular necrosis is not warranted for inclusion in the Australian</w:t>
      </w:r>
      <w:r w:rsidR="001C18C3">
        <w:t xml:space="preserve"> </w:t>
      </w:r>
      <w:proofErr w:type="spellStart"/>
      <w:r w:rsidRPr="00E36EC5">
        <w:t>Prolia</w:t>
      </w:r>
      <w:proofErr w:type="spellEnd"/>
      <w:r w:rsidRPr="00E36EC5">
        <w:t xml:space="preserve"> PI. To achieve alignment with the </w:t>
      </w:r>
      <w:proofErr w:type="spellStart"/>
      <w:r w:rsidRPr="00E36EC5">
        <w:t>pre</w:t>
      </w:r>
      <w:r w:rsidR="00304E05">
        <w:t xml:space="preserve"> </w:t>
      </w:r>
      <w:r w:rsidRPr="00E36EC5">
        <w:t>existing</w:t>
      </w:r>
      <w:proofErr w:type="spellEnd"/>
      <w:r w:rsidRPr="00E36EC5">
        <w:t xml:space="preserve"> EU RMP for </w:t>
      </w:r>
      <w:proofErr w:type="spellStart"/>
      <w:r w:rsidRPr="00E36EC5">
        <w:t>Prolia</w:t>
      </w:r>
      <w:proofErr w:type="spellEnd"/>
      <w:r w:rsidRPr="00E36EC5">
        <w:t xml:space="preserve">, </w:t>
      </w:r>
      <w:r w:rsidR="00416832">
        <w:t>the sponsor</w:t>
      </w:r>
      <w:r w:rsidRPr="00E36EC5">
        <w:t xml:space="preserve"> will reflect</w:t>
      </w:r>
      <w:r w:rsidR="001C18C3">
        <w:t xml:space="preserve"> </w:t>
      </w:r>
      <w:r w:rsidRPr="00E36EC5">
        <w:t xml:space="preserve">avascular necrosis as a potential risk in the Australian </w:t>
      </w:r>
      <w:proofErr w:type="spellStart"/>
      <w:r w:rsidRPr="00E36EC5">
        <w:t>Prolia</w:t>
      </w:r>
      <w:proofErr w:type="spellEnd"/>
      <w:r w:rsidRPr="00E36EC5">
        <w:t xml:space="preserve"> RMP.</w:t>
      </w:r>
    </w:p>
    <w:p w:rsidR="00E36EC5" w:rsidRPr="000F54D1" w:rsidRDefault="0064089D" w:rsidP="00E36EC5">
      <w:pPr>
        <w:rPr>
          <w:i/>
        </w:rPr>
      </w:pPr>
      <w:r>
        <w:rPr>
          <w:i/>
        </w:rPr>
        <w:t xml:space="preserve">B4: </w:t>
      </w:r>
      <w:r w:rsidR="006835CB" w:rsidRPr="000F54D1">
        <w:rPr>
          <w:i/>
        </w:rPr>
        <w:t>It is also recommended …</w:t>
      </w:r>
      <w:r w:rsidR="00E36EC5" w:rsidRPr="000F54D1">
        <w:rPr>
          <w:i/>
        </w:rPr>
        <w:t xml:space="preserve"> that additional precaution</w:t>
      </w:r>
      <w:r w:rsidR="00567529" w:rsidRPr="000F54D1">
        <w:rPr>
          <w:i/>
        </w:rPr>
        <w:t xml:space="preserve">s be added to relevant parts of </w:t>
      </w:r>
      <w:r w:rsidR="00E36EC5" w:rsidRPr="000F54D1">
        <w:rPr>
          <w:i/>
        </w:rPr>
        <w:t>the</w:t>
      </w:r>
      <w:r w:rsidR="00567529" w:rsidRPr="000F54D1">
        <w:rPr>
          <w:i/>
        </w:rPr>
        <w:t xml:space="preserve"> </w:t>
      </w:r>
      <w:r w:rsidR="00E36EC5" w:rsidRPr="000F54D1">
        <w:rPr>
          <w:i/>
        </w:rPr>
        <w:t>proposed Australian PI to further inform prescribers and healthcare professionals of the risks</w:t>
      </w:r>
      <w:r w:rsidR="00567529" w:rsidRPr="000F54D1">
        <w:rPr>
          <w:i/>
        </w:rPr>
        <w:t xml:space="preserve"> </w:t>
      </w:r>
      <w:r w:rsidR="00E36EC5" w:rsidRPr="000F54D1">
        <w:rPr>
          <w:i/>
        </w:rPr>
        <w:t>of serious infections, dermatologic adverse reactions and osteonecrosis of the jaw and</w:t>
      </w:r>
      <w:r w:rsidR="00567529" w:rsidRPr="000F54D1">
        <w:rPr>
          <w:i/>
        </w:rPr>
        <w:t xml:space="preserve"> </w:t>
      </w:r>
      <w:r w:rsidR="00E36EC5" w:rsidRPr="000F54D1">
        <w:rPr>
          <w:i/>
        </w:rPr>
        <w:t>supp</w:t>
      </w:r>
      <w:r w:rsidR="00567529" w:rsidRPr="000F54D1">
        <w:rPr>
          <w:i/>
        </w:rPr>
        <w:t xml:space="preserve">ression of bone turnover…” </w:t>
      </w:r>
      <w:r w:rsidR="00567529" w:rsidRPr="00F239BF">
        <w:t xml:space="preserve">and </w:t>
      </w:r>
      <w:r w:rsidR="00567529" w:rsidRPr="000F54D1">
        <w:rPr>
          <w:i/>
        </w:rPr>
        <w:t>“</w:t>
      </w:r>
      <w:r w:rsidR="00E36EC5" w:rsidRPr="000F54D1">
        <w:rPr>
          <w:i/>
        </w:rPr>
        <w:t>ONJ observed in the long term studies in women</w:t>
      </w:r>
      <w:r w:rsidR="00567529" w:rsidRPr="000F54D1">
        <w:rPr>
          <w:i/>
        </w:rPr>
        <w:t xml:space="preserve"> </w:t>
      </w:r>
      <w:r w:rsidR="00E36EC5" w:rsidRPr="000F54D1">
        <w:rPr>
          <w:i/>
        </w:rPr>
        <w:t>sho</w:t>
      </w:r>
      <w:r w:rsidR="009C20F4" w:rsidRPr="000F54D1">
        <w:rPr>
          <w:i/>
        </w:rPr>
        <w:t>u</w:t>
      </w:r>
      <w:r>
        <w:rPr>
          <w:i/>
        </w:rPr>
        <w:t>ld be included, in the draft PI</w:t>
      </w:r>
      <w:r w:rsidR="004E542E">
        <w:rPr>
          <w:i/>
        </w:rPr>
        <w:t>.</w:t>
      </w:r>
    </w:p>
    <w:p w:rsidR="00E36EC5" w:rsidRPr="00E36EC5" w:rsidRDefault="00E36EC5" w:rsidP="00E36EC5">
      <w:r w:rsidRPr="00E36EC5">
        <w:t>Serious infections, ONJ, and suppression of bone turnover are discussed above.</w:t>
      </w:r>
    </w:p>
    <w:p w:rsidR="00C01442" w:rsidRDefault="00416832" w:rsidP="004E542E">
      <w:r>
        <w:t>The sponsor</w:t>
      </w:r>
      <w:r w:rsidR="00E36EC5" w:rsidRPr="00E36EC5">
        <w:t>’s position is that the currently approved Au</w:t>
      </w:r>
      <w:r w:rsidR="00F239BF">
        <w:t xml:space="preserve">stralian PI accurately reflects </w:t>
      </w:r>
      <w:r w:rsidR="00E36EC5" w:rsidRPr="00E36EC5">
        <w:t>information about</w:t>
      </w:r>
      <w:r w:rsidR="00F239BF">
        <w:t xml:space="preserve"> </w:t>
      </w:r>
      <w:r w:rsidR="00E36EC5" w:rsidRPr="00E36EC5">
        <w:t>these events, and that no new data is included in the male osteoporosis marketing application that</w:t>
      </w:r>
      <w:r w:rsidR="00F239BF">
        <w:t xml:space="preserve"> </w:t>
      </w:r>
      <w:r w:rsidR="00E36EC5" w:rsidRPr="00E36EC5">
        <w:t>would change this information:</w:t>
      </w:r>
    </w:p>
    <w:p w:rsidR="00893A1B" w:rsidRPr="00893A1B" w:rsidRDefault="0064089D" w:rsidP="00746B66">
      <w:pPr>
        <w:ind w:left="426"/>
      </w:pPr>
      <w:r>
        <w:t>1.</w:t>
      </w:r>
      <w:r w:rsidR="00893A1B" w:rsidRPr="00893A1B">
        <w:t xml:space="preserve"> A breakdown of ONJ by study number is not in keeping with the entire </w:t>
      </w:r>
      <w:proofErr w:type="spellStart"/>
      <w:r w:rsidR="00893A1B" w:rsidRPr="00893A1B">
        <w:t>Prolia</w:t>
      </w:r>
      <w:proofErr w:type="spellEnd"/>
      <w:r w:rsidR="00893A1B" w:rsidRPr="00893A1B">
        <w:t xml:space="preserve"> PI format or</w:t>
      </w:r>
      <w:r w:rsidR="00CF7ED6">
        <w:t xml:space="preserve"> </w:t>
      </w:r>
      <w:r w:rsidR="00893A1B" w:rsidRPr="00893A1B">
        <w:t>practical to upkeep. The statement ‘In the osteoporosis cli</w:t>
      </w:r>
      <w:r w:rsidR="007C2CFD">
        <w:t xml:space="preserve">nical program, ONJ was reported </w:t>
      </w:r>
      <w:r w:rsidR="00893A1B" w:rsidRPr="00893A1B">
        <w:t xml:space="preserve">rarely in patients treated with </w:t>
      </w:r>
      <w:proofErr w:type="spellStart"/>
      <w:r w:rsidR="00893A1B" w:rsidRPr="00893A1B">
        <w:t>Prolia</w:t>
      </w:r>
      <w:proofErr w:type="spellEnd"/>
      <w:r w:rsidR="00893A1B" w:rsidRPr="00893A1B">
        <w:t xml:space="preserve">’ is contained in the Australian </w:t>
      </w:r>
      <w:proofErr w:type="spellStart"/>
      <w:r w:rsidR="00893A1B" w:rsidRPr="00893A1B">
        <w:t>Prolia</w:t>
      </w:r>
      <w:proofErr w:type="spellEnd"/>
      <w:r w:rsidR="00893A1B" w:rsidRPr="00893A1B">
        <w:t xml:space="preserve"> approved PI and i</w:t>
      </w:r>
      <w:r w:rsidR="007C2CFD">
        <w:t xml:space="preserve">s </w:t>
      </w:r>
      <w:r w:rsidR="00893A1B" w:rsidRPr="00893A1B">
        <w:t>informative to healthcare professionals as to the frequency of ONJ events.</w:t>
      </w:r>
    </w:p>
    <w:p w:rsidR="00893A1B" w:rsidRPr="00893A1B" w:rsidRDefault="0064089D" w:rsidP="00746B66">
      <w:pPr>
        <w:ind w:left="426"/>
      </w:pPr>
      <w:r>
        <w:t>2.</w:t>
      </w:r>
      <w:r w:rsidR="00893A1B" w:rsidRPr="00893A1B">
        <w:t xml:space="preserve"> The risk of dermatologic events is adequately addressed in the current Australian PI. Events of</w:t>
      </w:r>
      <w:r w:rsidR="007C2CFD">
        <w:t xml:space="preserve"> </w:t>
      </w:r>
      <w:r w:rsidR="00893A1B" w:rsidRPr="00893A1B">
        <w:t>eczema are included as adverse drug reaction. Consistent with the mild to moderate severity of</w:t>
      </w:r>
      <w:r w:rsidR="007C2CFD">
        <w:t xml:space="preserve"> </w:t>
      </w:r>
      <w:r w:rsidR="00893A1B" w:rsidRPr="00893A1B">
        <w:t xml:space="preserve">these events, no precaution for eczema is included in the </w:t>
      </w:r>
      <w:proofErr w:type="spellStart"/>
      <w:r w:rsidR="00893A1B" w:rsidRPr="00893A1B">
        <w:t>Prolia</w:t>
      </w:r>
      <w:proofErr w:type="spellEnd"/>
      <w:r w:rsidR="00893A1B" w:rsidRPr="00893A1B">
        <w:t xml:space="preserve"> PI.</w:t>
      </w:r>
    </w:p>
    <w:p w:rsidR="00893A1B" w:rsidRPr="00893A1B" w:rsidRDefault="0064089D" w:rsidP="00746B66">
      <w:pPr>
        <w:ind w:left="426"/>
      </w:pPr>
      <w:r>
        <w:t>3.</w:t>
      </w:r>
      <w:r w:rsidR="00893A1B" w:rsidRPr="00893A1B">
        <w:t xml:space="preserve"> Based on the identification of post</w:t>
      </w:r>
      <w:r w:rsidR="001520D0">
        <w:t xml:space="preserve"> </w:t>
      </w:r>
      <w:r w:rsidR="00893A1B" w:rsidRPr="00893A1B">
        <w:t>marketing events of ‘h</w:t>
      </w:r>
      <w:r w:rsidR="007C2CFD">
        <w:t xml:space="preserve">ypersensitivity reactions, rash </w:t>
      </w:r>
      <w:proofErr w:type="spellStart"/>
      <w:r w:rsidR="00893A1B" w:rsidRPr="00893A1B">
        <w:t>urticaria</w:t>
      </w:r>
      <w:proofErr w:type="spellEnd"/>
      <w:r w:rsidR="00893A1B" w:rsidRPr="00893A1B">
        <w:t>, facial swelling, erythema and anaphylactic reactions</w:t>
      </w:r>
      <w:r w:rsidR="001520D0">
        <w:t xml:space="preserve">’ (safety </w:t>
      </w:r>
      <w:r w:rsidR="007C2CFD">
        <w:t xml:space="preserve">related update, </w:t>
      </w:r>
      <w:r w:rsidR="001520D0">
        <w:t>October 2012</w:t>
      </w:r>
      <w:r w:rsidR="00893A1B" w:rsidRPr="00893A1B">
        <w:t xml:space="preserve"> and </w:t>
      </w:r>
      <w:r w:rsidR="001520D0">
        <w:t>April 2013)</w:t>
      </w:r>
      <w:r w:rsidR="007C2CFD">
        <w:t xml:space="preserve">, these </w:t>
      </w:r>
      <w:r w:rsidR="00893A1B" w:rsidRPr="00893A1B">
        <w:t>events</w:t>
      </w:r>
      <w:r w:rsidR="007C2CFD">
        <w:t xml:space="preserve"> </w:t>
      </w:r>
      <w:r w:rsidR="00893A1B" w:rsidRPr="00893A1B">
        <w:t>included in the Australian PI as adverse drug reactions, and as a Contraindication statement:</w:t>
      </w:r>
      <w:r w:rsidR="007C2CFD">
        <w:t xml:space="preserve"> ‘</w:t>
      </w:r>
      <w:r w:rsidR="00893A1B" w:rsidRPr="00893A1B">
        <w:t>hypersensitivity to the active substance, to CHO</w:t>
      </w:r>
      <w:r w:rsidR="00256432">
        <w:t xml:space="preserve"> </w:t>
      </w:r>
      <w:r w:rsidR="00893A1B" w:rsidRPr="00893A1B">
        <w:t>derived prot</w:t>
      </w:r>
      <w:r w:rsidR="007C2CFD">
        <w:t>eins or to any of the excipients’</w:t>
      </w:r>
    </w:p>
    <w:p w:rsidR="00893A1B" w:rsidRPr="00746B66" w:rsidRDefault="0064089D" w:rsidP="00893A1B">
      <w:pPr>
        <w:rPr>
          <w:i/>
        </w:rPr>
      </w:pPr>
      <w:r>
        <w:rPr>
          <w:i/>
        </w:rPr>
        <w:t>B5: It is recommended</w:t>
      </w:r>
      <w:r w:rsidR="00746B66" w:rsidRPr="00746B66">
        <w:rPr>
          <w:i/>
        </w:rPr>
        <w:t>…</w:t>
      </w:r>
      <w:r w:rsidR="00893A1B" w:rsidRPr="00746B66">
        <w:rPr>
          <w:i/>
        </w:rPr>
        <w:t xml:space="preserve"> that the sponsor revise the PRECAUTION in the proposed Australian</w:t>
      </w:r>
      <w:r w:rsidR="00746B66" w:rsidRPr="00746B66">
        <w:rPr>
          <w:i/>
        </w:rPr>
        <w:t xml:space="preserve"> </w:t>
      </w:r>
      <w:r w:rsidR="00893A1B" w:rsidRPr="00746B66">
        <w:rPr>
          <w:i/>
        </w:rPr>
        <w:t>PI on Carcinogenicity to inform prescribers and healthcare professionals that malignancies</w:t>
      </w:r>
      <w:r w:rsidR="00746B66" w:rsidRPr="00746B66">
        <w:rPr>
          <w:i/>
        </w:rPr>
        <w:t xml:space="preserve"> </w:t>
      </w:r>
      <w:r w:rsidR="00893A1B" w:rsidRPr="00746B66">
        <w:rPr>
          <w:i/>
        </w:rPr>
        <w:t xml:space="preserve">with </w:t>
      </w:r>
      <w:proofErr w:type="spellStart"/>
      <w:r>
        <w:rPr>
          <w:i/>
        </w:rPr>
        <w:t>Prolia</w:t>
      </w:r>
      <w:proofErr w:type="spellEnd"/>
      <w:r>
        <w:rPr>
          <w:i/>
        </w:rPr>
        <w:t xml:space="preserve"> have been reported…</w:t>
      </w:r>
    </w:p>
    <w:p w:rsidR="00893A1B" w:rsidRPr="00FB6ABD" w:rsidRDefault="00416832" w:rsidP="00893A1B">
      <w:pPr>
        <w:rPr>
          <w:b/>
        </w:rPr>
      </w:pPr>
      <w:r>
        <w:rPr>
          <w:b/>
        </w:rPr>
        <w:lastRenderedPageBreak/>
        <w:t>The sponsor</w:t>
      </w:r>
      <w:r w:rsidR="00893A1B" w:rsidRPr="00FB6ABD">
        <w:rPr>
          <w:b/>
        </w:rPr>
        <w:t xml:space="preserve"> disagrees with the above recommendation.</w:t>
      </w:r>
    </w:p>
    <w:p w:rsidR="00893A1B" w:rsidRPr="00893A1B" w:rsidRDefault="00416832" w:rsidP="00893A1B">
      <w:r>
        <w:t>The sponsor</w:t>
      </w:r>
      <w:r w:rsidR="00893A1B" w:rsidRPr="00893A1B">
        <w:t xml:space="preserve"> does not consider it warranted to include inf</w:t>
      </w:r>
      <w:r w:rsidR="00E2331F">
        <w:t xml:space="preserve">ormation on malignancies in the </w:t>
      </w:r>
      <w:r w:rsidR="00893A1B" w:rsidRPr="00893A1B">
        <w:t xml:space="preserve">PRECAUTIONS of the Australian </w:t>
      </w:r>
      <w:proofErr w:type="spellStart"/>
      <w:r w:rsidR="00893A1B" w:rsidRPr="00893A1B">
        <w:t>Prolia</w:t>
      </w:r>
      <w:proofErr w:type="spellEnd"/>
      <w:r w:rsidR="00893A1B" w:rsidRPr="00893A1B">
        <w:t xml:space="preserve"> PI when there is n</w:t>
      </w:r>
      <w:r w:rsidR="00E2331F">
        <w:t xml:space="preserve">o evidence of a malignancy risk </w:t>
      </w:r>
      <w:r w:rsidR="00893A1B" w:rsidRPr="00893A1B">
        <w:t>with</w:t>
      </w:r>
      <w:r w:rsidR="00E2331F">
        <w:t xml:space="preserve"> </w:t>
      </w:r>
      <w:proofErr w:type="spellStart"/>
      <w:r w:rsidR="00893A1B" w:rsidRPr="00893A1B">
        <w:t>denosumab</w:t>
      </w:r>
      <w:proofErr w:type="spellEnd"/>
      <w:r w:rsidR="00893A1B" w:rsidRPr="00893A1B">
        <w:t>. In fact, this information would likely be confusing t</w:t>
      </w:r>
      <w:r w:rsidR="00E2331F">
        <w:t xml:space="preserve">o prescribers since </w:t>
      </w:r>
      <w:proofErr w:type="spellStart"/>
      <w:r w:rsidR="00E2331F">
        <w:t>denosumab</w:t>
      </w:r>
      <w:proofErr w:type="spellEnd"/>
      <w:r w:rsidR="00E2331F">
        <w:t xml:space="preserve"> is </w:t>
      </w:r>
      <w:r w:rsidR="00893A1B" w:rsidRPr="00893A1B">
        <w:t>indicated in patient populations with underlying cancer.</w:t>
      </w:r>
    </w:p>
    <w:p w:rsidR="00EC42BC" w:rsidRDefault="00893A1B" w:rsidP="00EC42BC">
      <w:r w:rsidRPr="00893A1B">
        <w:t xml:space="preserve">Under the new malignancies section of the US </w:t>
      </w:r>
      <w:proofErr w:type="spellStart"/>
      <w:r w:rsidRPr="00893A1B">
        <w:t>Prolia</w:t>
      </w:r>
      <w:proofErr w:type="spellEnd"/>
      <w:r w:rsidRPr="00893A1B">
        <w:t xml:space="preserve"> PI, it states that a causal relationship to drug</w:t>
      </w:r>
      <w:r w:rsidR="00E2331F">
        <w:t xml:space="preserve"> </w:t>
      </w:r>
      <w:r w:rsidRPr="00893A1B">
        <w:t>exposure has not been established</w:t>
      </w:r>
      <w:r w:rsidR="00D77434">
        <w:t>.</w:t>
      </w:r>
    </w:p>
    <w:p w:rsidR="00EC42BC" w:rsidRPr="006A6E7B" w:rsidRDefault="00EC42BC" w:rsidP="00EC42BC">
      <w:pPr>
        <w:rPr>
          <w:i/>
        </w:rPr>
      </w:pPr>
      <w:r w:rsidRPr="006A6E7B">
        <w:rPr>
          <w:i/>
        </w:rPr>
        <w:t>In the clinical program, malignancies were balanced between treatment groups. In women with</w:t>
      </w:r>
      <w:r w:rsidR="004E6F95" w:rsidRPr="006A6E7B">
        <w:rPr>
          <w:i/>
        </w:rPr>
        <w:t xml:space="preserve"> </w:t>
      </w:r>
      <w:r w:rsidRPr="006A6E7B">
        <w:rPr>
          <w:i/>
        </w:rPr>
        <w:t>PMO (</w:t>
      </w:r>
      <w:r w:rsidR="00256432">
        <w:rPr>
          <w:i/>
        </w:rPr>
        <w:t>S</w:t>
      </w:r>
      <w:r w:rsidRPr="006A6E7B">
        <w:rPr>
          <w:i/>
        </w:rPr>
        <w:t xml:space="preserve">tudy 20030216), the overall incidence of malignancies was 4.8% and 4.3% for </w:t>
      </w:r>
      <w:proofErr w:type="spellStart"/>
      <w:r w:rsidRPr="006A6E7B">
        <w:rPr>
          <w:i/>
        </w:rPr>
        <w:t>denosumab</w:t>
      </w:r>
      <w:proofErr w:type="spellEnd"/>
      <w:r w:rsidR="004E6F95" w:rsidRPr="006A6E7B">
        <w:rPr>
          <w:i/>
        </w:rPr>
        <w:t xml:space="preserve"> </w:t>
      </w:r>
      <w:r w:rsidRPr="006A6E7B">
        <w:rPr>
          <w:i/>
        </w:rPr>
        <w:t>and placebo, respectively. No single malignancy differed by &gt;0.2% in incidence between treatment</w:t>
      </w:r>
      <w:r w:rsidR="004E6F95" w:rsidRPr="006A6E7B">
        <w:rPr>
          <w:i/>
        </w:rPr>
        <w:t xml:space="preserve"> </w:t>
      </w:r>
      <w:r w:rsidRPr="006A6E7B">
        <w:rPr>
          <w:i/>
        </w:rPr>
        <w:t xml:space="preserve">groups (by </w:t>
      </w:r>
      <w:proofErr w:type="spellStart"/>
      <w:r w:rsidRPr="006A6E7B">
        <w:rPr>
          <w:i/>
        </w:rPr>
        <w:t>MedDRA</w:t>
      </w:r>
      <w:proofErr w:type="spellEnd"/>
      <w:r w:rsidRPr="006A6E7B">
        <w:rPr>
          <w:i/>
        </w:rPr>
        <w:t xml:space="preserve"> preferred term); there was no increase in the incidence of malignancy </w:t>
      </w:r>
      <w:r w:rsidR="006747FC">
        <w:rPr>
          <w:i/>
        </w:rPr>
        <w:t>AE</w:t>
      </w:r>
      <w:r w:rsidRPr="006A6E7B">
        <w:rPr>
          <w:i/>
        </w:rPr>
        <w:t>s between treatment grou</w:t>
      </w:r>
      <w:r w:rsidR="004E6F95" w:rsidRPr="006A6E7B">
        <w:rPr>
          <w:i/>
        </w:rPr>
        <w:t>ps with prolonged exposure …</w:t>
      </w:r>
      <w:r w:rsidRPr="006A6E7B">
        <w:rPr>
          <w:i/>
        </w:rPr>
        <w:t xml:space="preserve"> In the ongoing safety extension</w:t>
      </w:r>
      <w:r w:rsidR="004E6F95" w:rsidRPr="006A6E7B">
        <w:rPr>
          <w:i/>
        </w:rPr>
        <w:t xml:space="preserve"> </w:t>
      </w:r>
      <w:r w:rsidRPr="006A6E7B">
        <w:rPr>
          <w:i/>
        </w:rPr>
        <w:t>study to 20030216 (</w:t>
      </w:r>
      <w:r w:rsidR="00B322EF">
        <w:rPr>
          <w:i/>
        </w:rPr>
        <w:t>S</w:t>
      </w:r>
      <w:r w:rsidRPr="006A6E7B">
        <w:rPr>
          <w:i/>
        </w:rPr>
        <w:t>tudy 20060289) the incidence of malignancy was similar over time in patients</w:t>
      </w:r>
      <w:r w:rsidR="004E6F95" w:rsidRPr="006A6E7B">
        <w:rPr>
          <w:i/>
        </w:rPr>
        <w:t xml:space="preserve"> receiving </w:t>
      </w:r>
      <w:proofErr w:type="spellStart"/>
      <w:r w:rsidR="004E6F95" w:rsidRPr="006A6E7B">
        <w:rPr>
          <w:i/>
        </w:rPr>
        <w:t>denosumab</w:t>
      </w:r>
      <w:proofErr w:type="spellEnd"/>
      <w:r w:rsidR="004E6F95" w:rsidRPr="006A6E7B">
        <w:rPr>
          <w:i/>
        </w:rPr>
        <w:t>.</w:t>
      </w:r>
      <w:r w:rsidR="004E6F95" w:rsidRPr="006A6E7B">
        <w:rPr>
          <w:rStyle w:val="FootnoteReference"/>
          <w:i/>
        </w:rPr>
        <w:footnoteReference w:id="12"/>
      </w:r>
    </w:p>
    <w:p w:rsidR="00EC42BC" w:rsidRPr="006A6E7B" w:rsidRDefault="004E6F95" w:rsidP="00EC42BC">
      <w:pPr>
        <w:rPr>
          <w:i/>
        </w:rPr>
      </w:pPr>
      <w:r w:rsidRPr="006A6E7B">
        <w:rPr>
          <w:i/>
        </w:rPr>
        <w:t>T</w:t>
      </w:r>
      <w:r w:rsidR="00EC42BC" w:rsidRPr="006A6E7B">
        <w:rPr>
          <w:i/>
        </w:rPr>
        <w:t xml:space="preserve">here is no evidence that </w:t>
      </w:r>
      <w:proofErr w:type="spellStart"/>
      <w:r w:rsidR="00EC42BC" w:rsidRPr="006A6E7B">
        <w:rPr>
          <w:i/>
        </w:rPr>
        <w:t>denosumab</w:t>
      </w:r>
      <w:proofErr w:type="spellEnd"/>
      <w:r w:rsidR="00EC42BC" w:rsidRPr="006A6E7B">
        <w:rPr>
          <w:i/>
        </w:rPr>
        <w:t xml:space="preserve"> adversely affects cancer outcomes in men with prostate</w:t>
      </w:r>
      <w:r w:rsidR="0048494A" w:rsidRPr="006A6E7B">
        <w:rPr>
          <w:i/>
        </w:rPr>
        <w:t xml:space="preserve"> cancer’ (</w:t>
      </w:r>
      <w:r w:rsidR="00B322EF">
        <w:rPr>
          <w:i/>
        </w:rPr>
        <w:t>S</w:t>
      </w:r>
      <w:r w:rsidR="0048494A" w:rsidRPr="006A6E7B">
        <w:rPr>
          <w:i/>
        </w:rPr>
        <w:t>tudy 20040138) ‘</w:t>
      </w:r>
      <w:r w:rsidR="00EC42BC" w:rsidRPr="006A6E7B">
        <w:rPr>
          <w:i/>
        </w:rPr>
        <w:t xml:space="preserve">as measured by changes in </w:t>
      </w:r>
      <w:r w:rsidR="001C26AF">
        <w:rPr>
          <w:i/>
        </w:rPr>
        <w:t>p</w:t>
      </w:r>
      <w:r w:rsidR="001C26AF" w:rsidRPr="001C26AF">
        <w:rPr>
          <w:i/>
        </w:rPr>
        <w:t>rostate specific antigen</w:t>
      </w:r>
      <w:r w:rsidR="001C26AF">
        <w:rPr>
          <w:i/>
        </w:rPr>
        <w:t xml:space="preserve"> (PSA)</w:t>
      </w:r>
      <w:r w:rsidR="00EC42BC" w:rsidRPr="006A6E7B">
        <w:rPr>
          <w:i/>
        </w:rPr>
        <w:t xml:space="preserve">, bone </w:t>
      </w:r>
      <w:proofErr w:type="spellStart"/>
      <w:r w:rsidR="00EC42BC" w:rsidRPr="006A6E7B">
        <w:rPr>
          <w:i/>
        </w:rPr>
        <w:t>scintography</w:t>
      </w:r>
      <w:proofErr w:type="spellEnd"/>
      <w:r w:rsidR="00EC42BC" w:rsidRPr="006A6E7B">
        <w:rPr>
          <w:i/>
        </w:rPr>
        <w:t>, or overall survival</w:t>
      </w:r>
      <w:r w:rsidR="0048494A" w:rsidRPr="006A6E7B">
        <w:rPr>
          <w:rStyle w:val="FootnoteReference"/>
          <w:i/>
        </w:rPr>
        <w:footnoteReference w:id="13"/>
      </w:r>
    </w:p>
    <w:p w:rsidR="00EC42BC" w:rsidRPr="00EC42BC" w:rsidRDefault="00EC42BC" w:rsidP="00EC42BC">
      <w:r w:rsidRPr="00EC42BC">
        <w:t xml:space="preserve">Safety data from </w:t>
      </w:r>
      <w:proofErr w:type="spellStart"/>
      <w:r w:rsidRPr="00EC42BC">
        <w:t>Prolia</w:t>
      </w:r>
      <w:proofErr w:type="spellEnd"/>
      <w:r w:rsidRPr="00EC42BC">
        <w:t xml:space="preserve"> PMO, prostate HALT and male ost</w:t>
      </w:r>
      <w:r w:rsidR="006A6E7B">
        <w:t xml:space="preserve">eoporosis studies, is supported </w:t>
      </w:r>
      <w:r w:rsidRPr="00EC42BC">
        <w:t>by</w:t>
      </w:r>
      <w:r w:rsidR="006A6E7B">
        <w:t xml:space="preserve"> </w:t>
      </w:r>
      <w:r w:rsidRPr="00EC42BC">
        <w:t>studies in patients with advanced cancer [</w:t>
      </w:r>
      <w:proofErr w:type="spellStart"/>
      <w:r w:rsidRPr="00EC42BC">
        <w:t>Xgeva</w:t>
      </w:r>
      <w:proofErr w:type="spellEnd"/>
      <w:r w:rsidRPr="00EC42BC">
        <w:t xml:space="preserve"> (</w:t>
      </w:r>
      <w:proofErr w:type="spellStart"/>
      <w:r w:rsidRPr="00EC42BC">
        <w:t>deno</w:t>
      </w:r>
      <w:r w:rsidR="001C26AF">
        <w:t>sumab</w:t>
      </w:r>
      <w:proofErr w:type="spellEnd"/>
      <w:r w:rsidR="001C26AF">
        <w:t>) injection</w:t>
      </w:r>
      <w:r w:rsidRPr="00EC42BC">
        <w:t xml:space="preserve">, TGA </w:t>
      </w:r>
      <w:r w:rsidR="001C26AF">
        <w:t>a</w:t>
      </w:r>
      <w:r w:rsidRPr="00EC42BC">
        <w:t xml:space="preserve">pproved 29 August 2011]. Studies with </w:t>
      </w:r>
      <w:proofErr w:type="spellStart"/>
      <w:r w:rsidRPr="00EC42BC">
        <w:t>Xgeva</w:t>
      </w:r>
      <w:proofErr w:type="spellEnd"/>
      <w:r w:rsidRPr="00EC42BC">
        <w:t xml:space="preserve"> </w:t>
      </w:r>
      <w:r w:rsidR="006A6E7B">
        <w:t xml:space="preserve">demonstrate no </w:t>
      </w:r>
      <w:r w:rsidRPr="00EC42BC">
        <w:t>evidence of increased malignancy risk or of adverse effects on cancer progression or survival, using</w:t>
      </w:r>
      <w:r w:rsidR="006A6E7B">
        <w:t xml:space="preserve"> </w:t>
      </w:r>
      <w:r w:rsidRPr="00EC42BC">
        <w:t xml:space="preserve">a </w:t>
      </w:r>
      <w:proofErr w:type="spellStart"/>
      <w:r w:rsidRPr="00EC42BC">
        <w:t>denosumab</w:t>
      </w:r>
      <w:proofErr w:type="spellEnd"/>
      <w:r w:rsidRPr="00EC42BC">
        <w:t xml:space="preserve"> treatment regimen approximately 13 times th</w:t>
      </w:r>
      <w:r w:rsidR="006A6E7B">
        <w:t xml:space="preserve">e dose (120 mg Q4W, SC) in PMO, </w:t>
      </w:r>
      <w:r w:rsidRPr="00EC42BC">
        <w:t>osteoporosis and bone loss studies (60 mg, Q6M, SC) relative to an active comparator (</w:t>
      </w:r>
      <w:proofErr w:type="spellStart"/>
      <w:r w:rsidRPr="00EC42BC">
        <w:t>zoledronic</w:t>
      </w:r>
      <w:proofErr w:type="spellEnd"/>
      <w:r w:rsidR="006A6E7B">
        <w:t xml:space="preserve"> </w:t>
      </w:r>
      <w:r w:rsidRPr="00EC42BC">
        <w:t xml:space="preserve">acid). Cancer progression and overall survival were similar between </w:t>
      </w:r>
      <w:proofErr w:type="spellStart"/>
      <w:r w:rsidRPr="00EC42BC">
        <w:t>Xgeva</w:t>
      </w:r>
      <w:proofErr w:type="spellEnd"/>
      <w:r w:rsidRPr="00EC42BC">
        <w:t xml:space="preserve"> and </w:t>
      </w:r>
      <w:proofErr w:type="spellStart"/>
      <w:r w:rsidRPr="00EC42BC">
        <w:t>zoledronic</w:t>
      </w:r>
      <w:proofErr w:type="spellEnd"/>
      <w:r w:rsidRPr="00EC42BC">
        <w:t xml:space="preserve"> acid</w:t>
      </w:r>
      <w:r w:rsidR="006A6E7B">
        <w:t xml:space="preserve"> treatment groups.</w:t>
      </w:r>
      <w:r w:rsidR="006A6E7B">
        <w:rPr>
          <w:rStyle w:val="FootnoteReference"/>
        </w:rPr>
        <w:footnoteReference w:id="14"/>
      </w:r>
    </w:p>
    <w:p w:rsidR="00EC42BC" w:rsidRPr="00FB6ABD" w:rsidRDefault="0064089D" w:rsidP="00EC42BC">
      <w:pPr>
        <w:rPr>
          <w:i/>
        </w:rPr>
      </w:pPr>
      <w:r>
        <w:rPr>
          <w:i/>
        </w:rPr>
        <w:t xml:space="preserve">B6: </w:t>
      </w:r>
      <w:r w:rsidR="006A6E7B" w:rsidRPr="00FB6ABD">
        <w:rPr>
          <w:i/>
        </w:rPr>
        <w:t>It is recommended …</w:t>
      </w:r>
      <w:r w:rsidR="00EC42BC" w:rsidRPr="00FB6ABD">
        <w:rPr>
          <w:i/>
        </w:rPr>
        <w:t xml:space="preserve"> that the sponsor provide the proposed Australian PI changes for the</w:t>
      </w:r>
      <w:r w:rsidR="006A6E7B" w:rsidRPr="00FB6ABD">
        <w:rPr>
          <w:i/>
        </w:rPr>
        <w:t xml:space="preserve"> </w:t>
      </w:r>
      <w:r w:rsidR="00EC42BC" w:rsidRPr="00FB6ABD">
        <w:rPr>
          <w:i/>
        </w:rPr>
        <w:t>important identified risk - 'Atypical femoral fra</w:t>
      </w:r>
      <w:r>
        <w:rPr>
          <w:i/>
        </w:rPr>
        <w:t>cture' … (see RMP).</w:t>
      </w:r>
    </w:p>
    <w:p w:rsidR="00D77434" w:rsidRPr="00EC42BC" w:rsidRDefault="00416832" w:rsidP="00EC42BC">
      <w:r>
        <w:t>The sponsor</w:t>
      </w:r>
      <w:r w:rsidR="00EC42BC" w:rsidRPr="00EC42BC">
        <w:t>’s safety related notification was acknowledged by TGA on 2 O</w:t>
      </w:r>
      <w:r w:rsidR="00A16F1B">
        <w:t>ctober 2012</w:t>
      </w:r>
      <w:r w:rsidR="00EC42BC" w:rsidRPr="00EC42BC">
        <w:t>, regarding the addition of atypical femoral fracture within the</w:t>
      </w:r>
      <w:r w:rsidR="006A6E7B">
        <w:t xml:space="preserve"> </w:t>
      </w:r>
      <w:r w:rsidR="00EC42BC" w:rsidRPr="00EC42BC">
        <w:t xml:space="preserve">PRECAUTIONS and ADVERSE EFFECTS sections of the Australian </w:t>
      </w:r>
      <w:proofErr w:type="spellStart"/>
      <w:r w:rsidR="00EC42BC" w:rsidRPr="00EC42BC">
        <w:t>Prolia</w:t>
      </w:r>
      <w:proofErr w:type="spellEnd"/>
      <w:r w:rsidR="00EC42BC" w:rsidRPr="00EC42BC">
        <w:t xml:space="preserve"> PI.</w:t>
      </w:r>
    </w:p>
    <w:p w:rsidR="008E7846" w:rsidRDefault="004E542E" w:rsidP="008E7846">
      <w:pPr>
        <w:pStyle w:val="Heading4"/>
      </w:pPr>
      <w:r>
        <w:t>Advisory c</w:t>
      </w:r>
      <w:r w:rsidR="008E7846">
        <w:t xml:space="preserve">ommittee </w:t>
      </w:r>
      <w:r>
        <w:t>c</w:t>
      </w:r>
      <w:r w:rsidR="008E7846">
        <w:t>onsiderations</w:t>
      </w:r>
    </w:p>
    <w:p w:rsidR="00596A5C" w:rsidRDefault="005023B0" w:rsidP="00596A5C">
      <w:r w:rsidRPr="005023B0">
        <w:t xml:space="preserve">The ACPM, taking into account the submitted evidence of efficacy and safety, agreed with the </w:t>
      </w:r>
      <w:r w:rsidR="000B3957">
        <w:t>D</w:t>
      </w:r>
      <w:r w:rsidRPr="005023B0">
        <w:t xml:space="preserve">elegate and considered </w:t>
      </w:r>
      <w:proofErr w:type="spellStart"/>
      <w:r>
        <w:t>Prolia</w:t>
      </w:r>
      <w:proofErr w:type="spellEnd"/>
      <w:r w:rsidR="000E2815">
        <w:t xml:space="preserve"> solution for injection c</w:t>
      </w:r>
      <w:r w:rsidRPr="005023B0">
        <w:t xml:space="preserve">ontaining 60 mg/mL of </w:t>
      </w:r>
      <w:proofErr w:type="spellStart"/>
      <w:r w:rsidRPr="005023B0">
        <w:t>denosumab</w:t>
      </w:r>
      <w:proofErr w:type="spellEnd"/>
      <w:r w:rsidRPr="005023B0">
        <w:t xml:space="preserve"> to h</w:t>
      </w:r>
      <w:r w:rsidR="009B7987">
        <w:t>ave an overall positive ben</w:t>
      </w:r>
      <w:r w:rsidR="00596A5C">
        <w:t>efit-</w:t>
      </w:r>
      <w:r w:rsidRPr="005023B0">
        <w:t>risk profile for the amended indication</w:t>
      </w:r>
      <w:r w:rsidR="00596A5C">
        <w:t>:</w:t>
      </w:r>
    </w:p>
    <w:p w:rsidR="005023B0" w:rsidRPr="00596A5C" w:rsidRDefault="005023B0" w:rsidP="00564BA6">
      <w:pPr>
        <w:ind w:left="720"/>
      </w:pPr>
      <w:proofErr w:type="gramStart"/>
      <w:r w:rsidRPr="00596A5C">
        <w:rPr>
          <w:i/>
        </w:rPr>
        <w:t>Treatment to increase bone mass in men with osteoporosis at increased risk of</w:t>
      </w:r>
      <w:r w:rsidR="00596A5C">
        <w:rPr>
          <w:i/>
        </w:rPr>
        <w:t xml:space="preserve"> </w:t>
      </w:r>
      <w:r w:rsidRPr="00596A5C">
        <w:rPr>
          <w:i/>
        </w:rPr>
        <w:t>fracture</w:t>
      </w:r>
      <w:r w:rsidR="00A05D88">
        <w:rPr>
          <w:i/>
        </w:rPr>
        <w:t>.</w:t>
      </w:r>
      <w:proofErr w:type="gramEnd"/>
    </w:p>
    <w:p w:rsidR="005023B0" w:rsidRPr="00F74690" w:rsidRDefault="005023B0" w:rsidP="00596A5C">
      <w:pPr>
        <w:pStyle w:val="Heading5"/>
        <w:rPr>
          <w:lang w:val="en-GB"/>
        </w:rPr>
      </w:pPr>
      <w:r w:rsidRPr="00F74690">
        <w:rPr>
          <w:lang w:val="en-GB"/>
        </w:rPr>
        <w:t>Prop</w:t>
      </w:r>
      <w:r w:rsidR="00596A5C">
        <w:rPr>
          <w:lang w:val="en-GB"/>
        </w:rPr>
        <w:t>osed conditions of registration</w:t>
      </w:r>
    </w:p>
    <w:p w:rsidR="005023B0" w:rsidRPr="00A05D88" w:rsidRDefault="005023B0" w:rsidP="00A05D88">
      <w:r w:rsidRPr="00A05D88">
        <w:t xml:space="preserve">The ACPM agreed with the </w:t>
      </w:r>
      <w:r w:rsidR="003D3BAC">
        <w:t>D</w:t>
      </w:r>
      <w:r w:rsidRPr="00A05D88">
        <w:t xml:space="preserve">elegate on the proposed conditions of registration. </w:t>
      </w:r>
    </w:p>
    <w:p w:rsidR="005023B0" w:rsidRPr="00F74690" w:rsidRDefault="005023B0" w:rsidP="00A05D88">
      <w:pPr>
        <w:pStyle w:val="Heading5"/>
        <w:rPr>
          <w:u w:val="single"/>
          <w:lang w:val="en-GB"/>
        </w:rPr>
      </w:pPr>
      <w:r w:rsidRPr="00F74690">
        <w:rPr>
          <w:lang w:val="en-GB"/>
        </w:rPr>
        <w:t xml:space="preserve">Proposed </w:t>
      </w:r>
      <w:r>
        <w:rPr>
          <w:lang w:val="en-GB"/>
        </w:rPr>
        <w:t>Product Information (</w:t>
      </w:r>
      <w:r w:rsidRPr="00F74690">
        <w:rPr>
          <w:lang w:val="en-GB"/>
        </w:rPr>
        <w:t>PI</w:t>
      </w:r>
      <w:r>
        <w:rPr>
          <w:lang w:val="en-GB"/>
        </w:rPr>
        <w:t>)</w:t>
      </w:r>
      <w:r w:rsidRPr="00F74690">
        <w:rPr>
          <w:lang w:val="en-GB"/>
        </w:rPr>
        <w:t>/</w:t>
      </w:r>
      <w:r w:rsidR="00DF51AD">
        <w:rPr>
          <w:lang w:val="en-GB"/>
        </w:rPr>
        <w:t>Consumer Medicines</w:t>
      </w:r>
      <w:r>
        <w:rPr>
          <w:lang w:val="en-GB"/>
        </w:rPr>
        <w:t xml:space="preserve"> Information (</w:t>
      </w:r>
      <w:r w:rsidRPr="00F74690">
        <w:rPr>
          <w:lang w:val="en-GB"/>
        </w:rPr>
        <w:t>CMI</w:t>
      </w:r>
      <w:r>
        <w:rPr>
          <w:lang w:val="en-GB"/>
        </w:rPr>
        <w:t>)</w:t>
      </w:r>
      <w:r w:rsidRPr="00F74690">
        <w:rPr>
          <w:lang w:val="en-GB"/>
        </w:rPr>
        <w:t xml:space="preserve"> amendments:</w:t>
      </w:r>
    </w:p>
    <w:p w:rsidR="005023B0" w:rsidRPr="00A05D88" w:rsidRDefault="005023B0" w:rsidP="00A05D88">
      <w:r w:rsidRPr="00A05D88">
        <w:t xml:space="preserve">The ACPM agreed with the </w:t>
      </w:r>
      <w:r w:rsidR="00A05D88">
        <w:t>D</w:t>
      </w:r>
      <w:r w:rsidRPr="00A05D88">
        <w:t xml:space="preserve">elegate to the proposed amendments to the PI and CMI and specifically advised on the inclusion of the following: </w:t>
      </w:r>
    </w:p>
    <w:p w:rsidR="005023B0" w:rsidRPr="003117BC" w:rsidRDefault="005023B0" w:rsidP="003117BC">
      <w:pPr>
        <w:pStyle w:val="ListBullet"/>
      </w:pPr>
      <w:r w:rsidRPr="003117BC">
        <w:lastRenderedPageBreak/>
        <w:t xml:space="preserve">A statement in the </w:t>
      </w:r>
      <w:r w:rsidRPr="003117BC">
        <w:rPr>
          <w:i/>
        </w:rPr>
        <w:t>Dosage and Administration</w:t>
      </w:r>
      <w:r w:rsidRPr="003117BC">
        <w:t xml:space="preserve"> and </w:t>
      </w:r>
      <w:r w:rsidRPr="003117BC">
        <w:rPr>
          <w:i/>
        </w:rPr>
        <w:t>Precautions</w:t>
      </w:r>
      <w:r w:rsidRPr="003117BC">
        <w:t xml:space="preserve"> sections of the PI and relevant sections of the CMI to reflect the lack of data in the population with an </w:t>
      </w:r>
      <w:r w:rsidR="00902EAD" w:rsidRPr="00902EAD">
        <w:t xml:space="preserve">estimated glomerular filtration rate </w:t>
      </w:r>
      <w:r w:rsidR="00902EAD">
        <w:t>(</w:t>
      </w:r>
      <w:proofErr w:type="spellStart"/>
      <w:r w:rsidRPr="003117BC">
        <w:t>eGFR</w:t>
      </w:r>
      <w:proofErr w:type="spellEnd"/>
      <w:r w:rsidR="00902EAD">
        <w:t>)</w:t>
      </w:r>
      <w:r w:rsidRPr="003117BC">
        <w:t xml:space="preserve"> of 30 mL/minute or less, as these patients were excluded from the trial. </w:t>
      </w:r>
    </w:p>
    <w:p w:rsidR="005023B0" w:rsidRPr="003117BC" w:rsidRDefault="005023B0" w:rsidP="003117BC">
      <w:pPr>
        <w:pStyle w:val="ListBullet"/>
      </w:pPr>
      <w:r w:rsidRPr="003117BC">
        <w:t xml:space="preserve">A statement in the </w:t>
      </w:r>
      <w:r w:rsidR="003117BC" w:rsidRPr="003117BC">
        <w:rPr>
          <w:i/>
        </w:rPr>
        <w:t>Dosage and Administration</w:t>
      </w:r>
      <w:r w:rsidR="003117BC" w:rsidRPr="003117BC">
        <w:t xml:space="preserve"> and </w:t>
      </w:r>
      <w:r w:rsidR="003117BC" w:rsidRPr="003117BC">
        <w:rPr>
          <w:i/>
        </w:rPr>
        <w:t>Precautions</w:t>
      </w:r>
      <w:r w:rsidR="003117BC" w:rsidRPr="003117BC">
        <w:t xml:space="preserve"> </w:t>
      </w:r>
      <w:r w:rsidRPr="003117BC">
        <w:t>sections of the PI and relevant sections of the CMI to guide use in patients with renal i</w:t>
      </w:r>
      <w:r w:rsidR="00314D42">
        <w:t xml:space="preserve">mpairment with </w:t>
      </w:r>
      <w:proofErr w:type="spellStart"/>
      <w:r w:rsidR="00314D42">
        <w:t>eGFR</w:t>
      </w:r>
      <w:proofErr w:type="spellEnd"/>
      <w:r w:rsidR="00314D42">
        <w:t xml:space="preserve"> between 35-</w:t>
      </w:r>
      <w:r w:rsidRPr="003117BC">
        <w:t>45 mL/minute.</w:t>
      </w:r>
    </w:p>
    <w:p w:rsidR="005023B0" w:rsidRPr="003117BC" w:rsidRDefault="005023B0" w:rsidP="003117BC">
      <w:pPr>
        <w:pStyle w:val="ListBullet"/>
      </w:pPr>
      <w:r w:rsidRPr="003117BC">
        <w:t xml:space="preserve">A statement in the </w:t>
      </w:r>
      <w:r w:rsidRPr="003117BC">
        <w:rPr>
          <w:i/>
        </w:rPr>
        <w:t>Dosage and Administration</w:t>
      </w:r>
      <w:r w:rsidRPr="003117BC">
        <w:t xml:space="preserve"> and </w:t>
      </w:r>
      <w:r w:rsidRPr="003117BC">
        <w:rPr>
          <w:i/>
        </w:rPr>
        <w:t>Contraindications</w:t>
      </w:r>
      <w:r w:rsidRPr="003117BC">
        <w:t xml:space="preserve"> sections of the PI and relevant sections of the CMI to ensure this agent is not used in patients with </w:t>
      </w:r>
      <w:r w:rsidR="00355EF3">
        <w:t>chronic kidney disease (</w:t>
      </w:r>
      <w:r w:rsidRPr="003117BC">
        <w:t>CKD</w:t>
      </w:r>
      <w:r w:rsidR="00355EF3">
        <w:t>)</w:t>
      </w:r>
      <w:r w:rsidRPr="003117BC">
        <w:t xml:space="preserve"> stage 5.</w:t>
      </w:r>
    </w:p>
    <w:p w:rsidR="005023B0" w:rsidRPr="003117BC" w:rsidRDefault="005023B0" w:rsidP="003117BC">
      <w:r w:rsidRPr="003117BC">
        <w:t>The ACPM advised that the implementation by the sponsor of the recommendations outlined above to the satisfaction of the TGA, in addition to the evidence of efficacy and safety provided would support the safe and effective use of this</w:t>
      </w:r>
      <w:r w:rsidR="004E542E">
        <w:t xml:space="preserve"> product.</w:t>
      </w:r>
    </w:p>
    <w:p w:rsidR="009B7A98" w:rsidRDefault="009B7A98" w:rsidP="001E2225">
      <w:pPr>
        <w:pStyle w:val="Heading4"/>
      </w:pPr>
      <w:bookmarkStart w:id="111" w:name="_Toc247691532"/>
      <w:bookmarkStart w:id="112" w:name="_Toc314842516"/>
      <w:bookmarkEnd w:id="69"/>
      <w:bookmarkEnd w:id="108"/>
      <w:bookmarkEnd w:id="109"/>
      <w:r>
        <w:t xml:space="preserve">Response </w:t>
      </w:r>
      <w:r w:rsidRPr="001E2225">
        <w:t>from</w:t>
      </w:r>
      <w:r>
        <w:t xml:space="preserve"> sponsor</w:t>
      </w:r>
    </w:p>
    <w:p w:rsidR="009B7A98" w:rsidRDefault="00F70275" w:rsidP="001E2225">
      <w:r>
        <w:t xml:space="preserve">Renal impairment does not impact the pharmacokinetics and pharmacodynamics of </w:t>
      </w:r>
      <w:proofErr w:type="spellStart"/>
      <w:r>
        <w:t>denosumab</w:t>
      </w:r>
      <w:proofErr w:type="spellEnd"/>
      <w:r>
        <w:t>; therefore, no dose adjustments are required for patients with impaired renal function. As stated in the ACPM minutes:</w:t>
      </w:r>
    </w:p>
    <w:p w:rsidR="00F70275" w:rsidRPr="00BF1D6D" w:rsidRDefault="00F70275" w:rsidP="00BF1D6D">
      <w:pPr>
        <w:ind w:left="720"/>
        <w:rPr>
          <w:i/>
        </w:rPr>
      </w:pPr>
      <w:r w:rsidRPr="00BF1D6D">
        <w:rPr>
          <w:i/>
        </w:rPr>
        <w:t xml:space="preserve">Given </w:t>
      </w:r>
      <w:r w:rsidR="00270782" w:rsidRPr="00BF1D6D">
        <w:rPr>
          <w:i/>
        </w:rPr>
        <w:t>there has been no evidence of a sex effect in the current or previous studies, then evidence from studies in one sex can be extrapolated to the other in support of registration. The magnitude of effect seen in safety and efficacy in men is</w:t>
      </w:r>
      <w:r w:rsidR="0064089D">
        <w:rPr>
          <w:i/>
        </w:rPr>
        <w:t xml:space="preserve"> similar to that seen in women.</w:t>
      </w:r>
    </w:p>
    <w:p w:rsidR="00270782" w:rsidRDefault="00270782" w:rsidP="009B7A98">
      <w:r>
        <w:t xml:space="preserve">The </w:t>
      </w:r>
      <w:proofErr w:type="spellStart"/>
      <w:r>
        <w:t>Prolia</w:t>
      </w:r>
      <w:proofErr w:type="spellEnd"/>
      <w:r>
        <w:t xml:space="preserve"> PI includes substantive information about patients with all stages of renal insufficiency. Overall, given there is no evidence of sex effect as agreed by the ACPM, the data available in the postmenopausal population with an </w:t>
      </w:r>
      <w:proofErr w:type="spellStart"/>
      <w:r>
        <w:t>eGFR</w:t>
      </w:r>
      <w:proofErr w:type="spellEnd"/>
      <w:r>
        <w:t xml:space="preserve"> of 30 mL/minute </w:t>
      </w:r>
      <w:r w:rsidR="0071667E">
        <w:t xml:space="preserve">or less are equally applicable to support the use of </w:t>
      </w:r>
      <w:proofErr w:type="spellStart"/>
      <w:r w:rsidR="0071667E">
        <w:t>Prolia</w:t>
      </w:r>
      <w:proofErr w:type="spellEnd"/>
      <w:r w:rsidR="0071667E">
        <w:t xml:space="preserve"> in the male osteoporosis population.</w:t>
      </w:r>
    </w:p>
    <w:p w:rsidR="0071667E" w:rsidRPr="009B7A98" w:rsidRDefault="00ED2A0E" w:rsidP="009B7A98">
      <w:r>
        <w:t xml:space="preserve">The sponsor </w:t>
      </w:r>
      <w:r w:rsidR="00BF1D6D">
        <w:t xml:space="preserve">therefore disagrees with the recommendation that specific guidance is necessary for the </w:t>
      </w:r>
      <w:proofErr w:type="spellStart"/>
      <w:r w:rsidR="00BF1D6D">
        <w:t>Prolia</w:t>
      </w:r>
      <w:proofErr w:type="spellEnd"/>
      <w:r w:rsidR="00BF1D6D">
        <w:t xml:space="preserve"> PI regarding use in patients with an </w:t>
      </w:r>
      <w:proofErr w:type="spellStart"/>
      <w:r w:rsidR="00BF1D6D">
        <w:t>eGFR</w:t>
      </w:r>
      <w:proofErr w:type="spellEnd"/>
      <w:r w:rsidR="00BF1D6D">
        <w:t xml:space="preserve"> between 35-45 mL/minute or in patients with CKD stage 5.</w:t>
      </w:r>
    </w:p>
    <w:p w:rsidR="008E7846" w:rsidRPr="002E238E" w:rsidRDefault="008E7846" w:rsidP="008E7846">
      <w:pPr>
        <w:pStyle w:val="Heading3"/>
      </w:pPr>
      <w:bookmarkStart w:id="113" w:name="_Toc382916068"/>
      <w:r>
        <w:t>Outcome</w:t>
      </w:r>
      <w:bookmarkEnd w:id="111"/>
      <w:bookmarkEnd w:id="112"/>
      <w:bookmarkEnd w:id="113"/>
    </w:p>
    <w:p w:rsidR="0008120E" w:rsidRDefault="00690779" w:rsidP="00690779">
      <w:r>
        <w:t xml:space="preserve">Based on a review of quality, safety and efficacy, TGA approved the </w:t>
      </w:r>
      <w:r w:rsidR="0008120E">
        <w:t>registration of:</w:t>
      </w:r>
    </w:p>
    <w:p w:rsidR="0008120E" w:rsidRPr="001E2225" w:rsidRDefault="0008120E" w:rsidP="001E2225">
      <w:pPr>
        <w:pStyle w:val="ListBullet"/>
      </w:pPr>
      <w:proofErr w:type="spellStart"/>
      <w:r>
        <w:t>Prolia</w:t>
      </w:r>
      <w:proofErr w:type="spellEnd"/>
      <w:r>
        <w:t xml:space="preserve"> </w:t>
      </w:r>
      <w:proofErr w:type="spellStart"/>
      <w:r w:rsidRPr="001E2225">
        <w:t>denosumab</w:t>
      </w:r>
      <w:proofErr w:type="spellEnd"/>
      <w:r w:rsidRPr="001E2225">
        <w:t xml:space="preserve"> 60 mg/mL solution for injection prefilled syringe</w:t>
      </w:r>
    </w:p>
    <w:p w:rsidR="0008120E" w:rsidRPr="001E2225" w:rsidRDefault="000B1FEF" w:rsidP="001E2225">
      <w:pPr>
        <w:pStyle w:val="ListBullet"/>
      </w:pPr>
      <w:proofErr w:type="spellStart"/>
      <w:r w:rsidRPr="001E2225">
        <w:t>Prolia</w:t>
      </w:r>
      <w:proofErr w:type="spellEnd"/>
      <w:r w:rsidRPr="001E2225">
        <w:t xml:space="preserve"> </w:t>
      </w:r>
      <w:proofErr w:type="spellStart"/>
      <w:r w:rsidRPr="001E2225">
        <w:t>denosumab</w:t>
      </w:r>
      <w:proofErr w:type="spellEnd"/>
      <w:r w:rsidRPr="001E2225">
        <w:t xml:space="preserve"> 60 mg/mL solution for injection prefilled syringe with automatic needle guard</w:t>
      </w:r>
    </w:p>
    <w:p w:rsidR="000B1FEF" w:rsidRDefault="002C0843" w:rsidP="001E2225">
      <w:pPr>
        <w:pStyle w:val="ListBullet"/>
      </w:pPr>
      <w:proofErr w:type="spellStart"/>
      <w:r w:rsidRPr="001E2225">
        <w:t>Prolia</w:t>
      </w:r>
      <w:proofErr w:type="spellEnd"/>
      <w:r w:rsidRPr="001E2225">
        <w:t xml:space="preserve"> </w:t>
      </w:r>
      <w:proofErr w:type="spellStart"/>
      <w:r w:rsidRPr="001E2225">
        <w:t>denosumab</w:t>
      </w:r>
      <w:proofErr w:type="spellEnd"/>
      <w:r w:rsidRPr="001E2225">
        <w:t xml:space="preserve"> 60 mg/mL solution</w:t>
      </w:r>
      <w:r>
        <w:t xml:space="preserve"> for injection vial</w:t>
      </w:r>
    </w:p>
    <w:p w:rsidR="00C16C81" w:rsidRDefault="00C16C81" w:rsidP="00690779">
      <w:proofErr w:type="gramStart"/>
      <w:r>
        <w:t>for</w:t>
      </w:r>
      <w:proofErr w:type="gramEnd"/>
      <w:r>
        <w:t xml:space="preserve"> the updated indications</w:t>
      </w:r>
      <w:r w:rsidR="00C30EB6">
        <w:t>:</w:t>
      </w:r>
    </w:p>
    <w:p w:rsidR="004A1D48" w:rsidRPr="006E6E06" w:rsidRDefault="004A1D48" w:rsidP="004A1D48">
      <w:pPr>
        <w:pStyle w:val="ListBullet"/>
        <w:rPr>
          <w:i/>
        </w:rPr>
      </w:pPr>
      <w:r w:rsidRPr="006E6E06">
        <w:rPr>
          <w:i/>
        </w:rPr>
        <w:t xml:space="preserve">The treatment of osteoporosis in postmenopausal women. </w:t>
      </w:r>
      <w:proofErr w:type="spellStart"/>
      <w:r w:rsidRPr="006E6E06">
        <w:rPr>
          <w:i/>
        </w:rPr>
        <w:t>Prolia</w:t>
      </w:r>
      <w:proofErr w:type="spellEnd"/>
      <w:r w:rsidRPr="006E6E06">
        <w:rPr>
          <w:i/>
        </w:rPr>
        <w:t xml:space="preserve"> significantly reduces the risk of vertebral, non-vertebral and hip fractures.</w:t>
      </w:r>
    </w:p>
    <w:p w:rsidR="004A1D48" w:rsidRPr="006E6E06" w:rsidRDefault="004A1D48" w:rsidP="004A1D48">
      <w:pPr>
        <w:pStyle w:val="ListBullet"/>
        <w:rPr>
          <w:i/>
        </w:rPr>
      </w:pPr>
      <w:r w:rsidRPr="006E6E06">
        <w:rPr>
          <w:i/>
        </w:rPr>
        <w:t xml:space="preserve">Treatment to increase bone mass in men with </w:t>
      </w:r>
      <w:proofErr w:type="spellStart"/>
      <w:r w:rsidRPr="006E6E06">
        <w:rPr>
          <w:i/>
        </w:rPr>
        <w:t>osteopaenia</w:t>
      </w:r>
      <w:proofErr w:type="spellEnd"/>
      <w:r w:rsidRPr="006E6E06">
        <w:rPr>
          <w:i/>
        </w:rPr>
        <w:t xml:space="preserve"> receiving androgen deprivation therapy for non-metastatic prostate cancer (see Clinical Trials).</w:t>
      </w:r>
    </w:p>
    <w:p w:rsidR="00690779" w:rsidRPr="006E6E06" w:rsidRDefault="004A1D48" w:rsidP="004A1D48">
      <w:pPr>
        <w:pStyle w:val="ListBullet"/>
        <w:rPr>
          <w:i/>
        </w:rPr>
      </w:pPr>
      <w:r w:rsidRPr="006E6E06">
        <w:rPr>
          <w:i/>
        </w:rPr>
        <w:t>Treatment to increase bone mass in men with osteoporosis at increased risk of fracture.</w:t>
      </w:r>
    </w:p>
    <w:p w:rsidR="008E7846" w:rsidRDefault="008E7846" w:rsidP="008E7846">
      <w:pPr>
        <w:pStyle w:val="Heading2"/>
      </w:pPr>
      <w:bookmarkStart w:id="114" w:name="_Toc247691533"/>
      <w:bookmarkStart w:id="115" w:name="_Toc314842517"/>
      <w:bookmarkStart w:id="116" w:name="_Toc382916069"/>
      <w:proofErr w:type="gramStart"/>
      <w:r>
        <w:lastRenderedPageBreak/>
        <w:t>Attachment 1.</w:t>
      </w:r>
      <w:proofErr w:type="gramEnd"/>
      <w:r>
        <w:tab/>
        <w:t xml:space="preserve">Product </w:t>
      </w:r>
      <w:r w:rsidR="00AA0ED0">
        <w:t>I</w:t>
      </w:r>
      <w:r>
        <w:t>nformation</w:t>
      </w:r>
      <w:bookmarkEnd w:id="114"/>
      <w:bookmarkEnd w:id="115"/>
      <w:bookmarkEnd w:id="116"/>
    </w:p>
    <w:p w:rsidR="00C80137" w:rsidRDefault="00C80137" w:rsidP="00C80137">
      <w:pPr>
        <w:rPr>
          <w:color w:val="000000"/>
          <w:lang w:eastAsia="en-AU"/>
        </w:rPr>
      </w:pPr>
      <w:r w:rsidRPr="0037352E">
        <w:t xml:space="preserve">The Product Information approved at the time this </w:t>
      </w:r>
      <w:proofErr w:type="spellStart"/>
      <w:r w:rsidRPr="0037352E">
        <w:t>AusPAR</w:t>
      </w:r>
      <w:proofErr w:type="spellEnd"/>
      <w:r w:rsidRPr="0037352E">
        <w:t xml:space="preserve"> was published</w:t>
      </w:r>
      <w:r>
        <w:t xml:space="preserve"> is at Attachment 1</w:t>
      </w:r>
      <w:r w:rsidRPr="0037352E">
        <w:t xml:space="preserve">. For the </w:t>
      </w:r>
      <w:r>
        <w:t>most recent</w:t>
      </w:r>
      <w:r w:rsidRPr="0037352E">
        <w:t xml:space="preserve"> Product Information please refer to the TGA website at</w:t>
      </w:r>
      <w:r w:rsidR="008F6943">
        <w:t xml:space="preserve"> &lt;</w:t>
      </w:r>
      <w:hyperlink r:id="rId32" w:history="1">
        <w:r w:rsidR="00722B57" w:rsidRPr="00625A6E">
          <w:rPr>
            <w:rStyle w:val="Hyperlink"/>
          </w:rPr>
          <w:t>http://www.tga.gov.au/hp/information-medicines-pi.htm</w:t>
        </w:r>
      </w:hyperlink>
      <w:hyperlink w:history="1"/>
      <w:r w:rsidR="008F6943">
        <w:rPr>
          <w:color w:val="000000"/>
          <w:lang w:eastAsia="en-AU"/>
        </w:rPr>
        <w:t>&gt;.</w:t>
      </w:r>
    </w:p>
    <w:p w:rsidR="00C80137" w:rsidRDefault="00C80137" w:rsidP="00C80137">
      <w:pPr>
        <w:pStyle w:val="Heading2"/>
        <w:rPr>
          <w:lang w:eastAsia="en-AU"/>
        </w:rPr>
      </w:pPr>
      <w:bookmarkStart w:id="117" w:name="_Toc382916070"/>
      <w:proofErr w:type="gramStart"/>
      <w:r>
        <w:rPr>
          <w:lang w:eastAsia="en-AU"/>
        </w:rPr>
        <w:t>Attachment 2.</w:t>
      </w:r>
      <w:proofErr w:type="gramEnd"/>
      <w:r>
        <w:rPr>
          <w:lang w:eastAsia="en-AU"/>
        </w:rPr>
        <w:t xml:space="preserve"> Extract from the Clinical Evaluation Report</w:t>
      </w:r>
      <w:bookmarkEnd w:id="117"/>
    </w:p>
    <w:p w:rsidR="00291957" w:rsidRDefault="00291957" w:rsidP="00291957">
      <w:pPr>
        <w:rPr>
          <w:lang w:eastAsia="ja-JP"/>
        </w:rPr>
      </w:pPr>
    </w:p>
    <w:p w:rsidR="00C80137" w:rsidRPr="001D043B" w:rsidRDefault="00C80137" w:rsidP="003A7F6C">
      <w:pPr>
        <w:pStyle w:val="TableTitle"/>
        <w:sectPr w:rsidR="00C80137" w:rsidRPr="001D043B" w:rsidSect="00B452CE">
          <w:headerReference w:type="even" r:id="rId33"/>
          <w:headerReference w:type="default" r:id="rId34"/>
          <w:footerReference w:type="default" r:id="rId35"/>
          <w:headerReference w:type="first" r:id="rId36"/>
          <w:footerReference w:type="first" r:id="rId37"/>
          <w:pgSz w:w="11906" w:h="16838" w:code="9"/>
          <w:pgMar w:top="834" w:right="1701" w:bottom="1191" w:left="1701" w:header="907" w:footer="216" w:gutter="0"/>
          <w:cols w:space="708"/>
          <w:docGrid w:linePitch="360"/>
        </w:sectPr>
      </w:pPr>
    </w:p>
    <w:p w:rsidR="00774E1D" w:rsidRPr="008A5E0B" w:rsidRDefault="00774E1D" w:rsidP="004C239D"/>
    <w:sectPr w:rsidR="00774E1D" w:rsidRPr="008A5E0B" w:rsidSect="004C239D">
      <w:headerReference w:type="even" r:id="rId38"/>
      <w:headerReference w:type="default" r:id="rId39"/>
      <w:footerReference w:type="default" r:id="rId40"/>
      <w:headerReference w:type="first" r:id="rId41"/>
      <w:footerReference w:type="first" r:id="rId42"/>
      <w:pgSz w:w="11906" w:h="16838" w:code="9"/>
      <w:pgMar w:top="1818" w:right="1701" w:bottom="1701"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4B45" w:rsidRDefault="00BC4B45" w:rsidP="00C40A36">
      <w:pPr>
        <w:spacing w:after="0"/>
      </w:pPr>
      <w:r>
        <w:separator/>
      </w:r>
    </w:p>
  </w:endnote>
  <w:endnote w:type="continuationSeparator" w:id="0">
    <w:p w:rsidR="00BC4B45" w:rsidRDefault="00BC4B45"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ymbolMT">
    <w:altName w:val="MS Mincho"/>
    <w:panose1 w:val="00000000000000000000"/>
    <w:charset w:val="80"/>
    <w:family w:val="auto"/>
    <w:notTrueType/>
    <w:pitch w:val="default"/>
    <w:sig w:usb0="00000001" w:usb1="08070000" w:usb2="00000010" w:usb3="00000000" w:csb0="00020000" w:csb1="00000000"/>
  </w:font>
  <w:font w:name="TimesNewRoman,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B45" w:rsidRDefault="00BC4B4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BC4B45" w:rsidRPr="00487162" w:rsidTr="0053625B">
      <w:trPr>
        <w:trHeight w:val="269"/>
      </w:trPr>
      <w:tc>
        <w:tcPr>
          <w:tcW w:w="7938" w:type="dxa"/>
          <w:tcMar>
            <w:top w:w="142" w:type="dxa"/>
            <w:bottom w:w="0" w:type="dxa"/>
          </w:tcMar>
        </w:tcPr>
        <w:p w:rsidR="00BC4B45" w:rsidRPr="00487162" w:rsidRDefault="00BC4B45" w:rsidP="00A52822">
          <w:pPr>
            <w:pStyle w:val="Footer"/>
          </w:pPr>
          <w:proofErr w:type="spellStart"/>
          <w:r w:rsidRPr="00487162">
            <w:t>AusPAR</w:t>
          </w:r>
          <w:proofErr w:type="spellEnd"/>
          <w:r w:rsidRPr="00487162">
            <w:t xml:space="preserve"> </w:t>
          </w:r>
          <w:proofErr w:type="spellStart"/>
          <w:r>
            <w:t>Prolia</w:t>
          </w:r>
          <w:proofErr w:type="spellEnd"/>
          <w:r>
            <w:t xml:space="preserve"> </w:t>
          </w:r>
          <w:r w:rsidRPr="002D176A">
            <w:t xml:space="preserve">Amgen Australia Pty Ltd </w:t>
          </w:r>
          <w:r w:rsidRPr="008253D6">
            <w:t>PM-2012-02302-3-5</w:t>
          </w:r>
          <w:r>
            <w:br/>
            <w:t>Final 28 January 2014</w:t>
          </w:r>
        </w:p>
      </w:tc>
      <w:tc>
        <w:tcPr>
          <w:tcW w:w="923" w:type="dxa"/>
          <w:tcMar>
            <w:top w:w="142" w:type="dxa"/>
            <w:bottom w:w="0" w:type="dxa"/>
          </w:tcMar>
        </w:tcPr>
        <w:p w:rsidR="00BC4B45" w:rsidRPr="00487162" w:rsidRDefault="00BC4B45" w:rsidP="00D855D4">
          <w:pPr>
            <w:pStyle w:val="Footer"/>
            <w:jc w:val="right"/>
          </w:pPr>
          <w:r w:rsidRPr="00487162">
            <w:t xml:space="preserve">Page </w:t>
          </w:r>
          <w:r>
            <w:t>2</w:t>
          </w:r>
          <w:r w:rsidRPr="00487162">
            <w:t xml:space="preserve"> of </w:t>
          </w:r>
          <w:r w:rsidR="00A816D6">
            <w:fldChar w:fldCharType="begin"/>
          </w:r>
          <w:r w:rsidR="00A816D6">
            <w:instrText xml:space="preserve"> NUMPAGES  \* Arabic </w:instrText>
          </w:r>
          <w:r w:rsidR="00A816D6">
            <w:fldChar w:fldCharType="separate"/>
          </w:r>
          <w:r w:rsidR="00A816D6">
            <w:rPr>
              <w:noProof/>
            </w:rPr>
            <w:t>34</w:t>
          </w:r>
          <w:r w:rsidR="00A816D6">
            <w:rPr>
              <w:noProof/>
            </w:rPr>
            <w:fldChar w:fldCharType="end"/>
          </w:r>
        </w:p>
      </w:tc>
    </w:tr>
  </w:tbl>
  <w:p w:rsidR="00BC4B45" w:rsidRDefault="00BC4B45" w:rsidP="003D1E6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B45" w:rsidRDefault="00BC4B4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4519"/>
      <w:gridCol w:w="4342"/>
    </w:tblGrid>
    <w:tr w:rsidR="00BC4B45" w:rsidRPr="00487162" w:rsidTr="00E26130">
      <w:trPr>
        <w:trHeight w:val="269"/>
      </w:trPr>
      <w:tc>
        <w:tcPr>
          <w:tcW w:w="4519" w:type="dxa"/>
          <w:tcMar>
            <w:top w:w="142" w:type="dxa"/>
            <w:bottom w:w="0" w:type="dxa"/>
          </w:tcMar>
        </w:tcPr>
        <w:p w:rsidR="00BC4B45" w:rsidRPr="00487162" w:rsidRDefault="00BC4B45" w:rsidP="00A52822">
          <w:pPr>
            <w:pStyle w:val="Footer"/>
          </w:pPr>
          <w:proofErr w:type="spellStart"/>
          <w:r w:rsidRPr="00487162">
            <w:t>Au</w:t>
          </w:r>
          <w:r w:rsidRPr="003B4D60">
            <w:t>sPAR</w:t>
          </w:r>
          <w:proofErr w:type="spellEnd"/>
          <w:r w:rsidRPr="003B4D60">
            <w:t xml:space="preserve"> </w:t>
          </w:r>
          <w:proofErr w:type="spellStart"/>
          <w:r>
            <w:t>Prolia</w:t>
          </w:r>
          <w:proofErr w:type="spellEnd"/>
          <w:r>
            <w:t xml:space="preserve"> </w:t>
          </w:r>
          <w:r w:rsidRPr="00F103EF">
            <w:t>Amgen Australia Pty Ltd</w:t>
          </w:r>
          <w:r w:rsidRPr="00487162">
            <w:t xml:space="preserve"> </w:t>
          </w:r>
          <w:r w:rsidRPr="008253D6">
            <w:t>PM-2012-02302-3-5</w:t>
          </w:r>
          <w:r>
            <w:br/>
            <w:t>Final 28 January 2014</w:t>
          </w:r>
        </w:p>
      </w:tc>
      <w:tc>
        <w:tcPr>
          <w:tcW w:w="4342" w:type="dxa"/>
          <w:tcMar>
            <w:top w:w="142" w:type="dxa"/>
            <w:bottom w:w="0" w:type="dxa"/>
          </w:tcMar>
        </w:tcPr>
        <w:p w:rsidR="00BC4B45" w:rsidRPr="00487162" w:rsidRDefault="00BC4B45" w:rsidP="00E45619">
          <w:pPr>
            <w:pStyle w:val="Footer"/>
            <w:jc w:val="right"/>
          </w:pPr>
          <w:r w:rsidRPr="00487162">
            <w:t xml:space="preserve">Page </w:t>
          </w:r>
          <w:r>
            <w:fldChar w:fldCharType="begin"/>
          </w:r>
          <w:r>
            <w:instrText>PAGE</w:instrText>
          </w:r>
          <w:r>
            <w:fldChar w:fldCharType="separate"/>
          </w:r>
          <w:r w:rsidR="00A816D6">
            <w:rPr>
              <w:noProof/>
            </w:rPr>
            <w:t>3</w:t>
          </w:r>
          <w:r>
            <w:fldChar w:fldCharType="end"/>
          </w:r>
          <w:r w:rsidRPr="00487162">
            <w:t xml:space="preserve"> of </w:t>
          </w:r>
          <w:r w:rsidR="00A816D6">
            <w:fldChar w:fldCharType="begin"/>
          </w:r>
          <w:r w:rsidR="00A816D6">
            <w:instrText xml:space="preserve"> NUMPAGES  \* Arabic </w:instrText>
          </w:r>
          <w:r w:rsidR="00A816D6">
            <w:fldChar w:fldCharType="separate"/>
          </w:r>
          <w:r w:rsidR="00A816D6">
            <w:rPr>
              <w:noProof/>
            </w:rPr>
            <w:t>34</w:t>
          </w:r>
          <w:r w:rsidR="00A816D6">
            <w:rPr>
              <w:noProof/>
            </w:rPr>
            <w:fldChar w:fldCharType="end"/>
          </w:r>
        </w:p>
      </w:tc>
    </w:tr>
  </w:tbl>
  <w:p w:rsidR="00BC4B45" w:rsidRDefault="00BC4B45" w:rsidP="00E2613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BC4B45" w:rsidRPr="00487162" w:rsidTr="00E45619">
      <w:trPr>
        <w:trHeight w:val="269"/>
      </w:trPr>
      <w:tc>
        <w:tcPr>
          <w:tcW w:w="4519" w:type="dxa"/>
          <w:tcBorders>
            <w:top w:val="single" w:sz="4" w:space="0" w:color="auto"/>
          </w:tcBorders>
          <w:tcMar>
            <w:top w:w="142" w:type="dxa"/>
            <w:bottom w:w="0" w:type="dxa"/>
          </w:tcMar>
        </w:tcPr>
        <w:p w:rsidR="00BC4B45" w:rsidRPr="00487162" w:rsidRDefault="00BC4B45" w:rsidP="00FE1DEE">
          <w:pPr>
            <w:pStyle w:val="Footer"/>
          </w:pPr>
          <w:r w:rsidRPr="00487162">
            <w:t>Document title, Part #, Section # - Section title</w:t>
          </w:r>
        </w:p>
        <w:p w:rsidR="00BC4B45" w:rsidRPr="00487162" w:rsidRDefault="00BC4B45" w:rsidP="00FE1DEE">
          <w:pPr>
            <w:pStyle w:val="Footer"/>
          </w:pPr>
          <w:r w:rsidRPr="00487162">
            <w:t>V1.0 October 2010</w:t>
          </w:r>
        </w:p>
      </w:tc>
      <w:tc>
        <w:tcPr>
          <w:tcW w:w="4342" w:type="dxa"/>
          <w:tcBorders>
            <w:top w:val="single" w:sz="4" w:space="0" w:color="auto"/>
          </w:tcBorders>
          <w:tcMar>
            <w:top w:w="142" w:type="dxa"/>
            <w:bottom w:w="0" w:type="dxa"/>
          </w:tcMar>
        </w:tcPr>
        <w:p w:rsidR="00BC4B45" w:rsidRPr="00487162" w:rsidRDefault="00BC4B45"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fldChar w:fldCharType="end"/>
          </w:r>
          <w:r w:rsidRPr="00487162">
            <w:t xml:space="preserve"> of </w:t>
          </w:r>
          <w:r w:rsidR="00A816D6">
            <w:fldChar w:fldCharType="begin"/>
          </w:r>
          <w:r w:rsidR="00A816D6">
            <w:instrText xml:space="preserve"> NUMPAGES  </w:instrText>
          </w:r>
          <w:r w:rsidR="00A816D6">
            <w:fldChar w:fldCharType="separate"/>
          </w:r>
          <w:r>
            <w:rPr>
              <w:noProof/>
            </w:rPr>
            <w:t>33</w:t>
          </w:r>
          <w:r w:rsidR="00A816D6">
            <w:rPr>
              <w:noProof/>
            </w:rPr>
            <w:fldChar w:fldCharType="end"/>
          </w:r>
        </w:p>
      </w:tc>
    </w:tr>
  </w:tbl>
  <w:p w:rsidR="00BC4B45" w:rsidRDefault="00BC4B4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C4B45" w:rsidRPr="00487162" w:rsidTr="00E45619">
      <w:trPr>
        <w:trHeight w:hRule="exact" w:val="704"/>
      </w:trPr>
      <w:tc>
        <w:tcPr>
          <w:tcW w:w="9175" w:type="dxa"/>
        </w:tcPr>
        <w:p w:rsidR="00BC4B45" w:rsidRPr="00487162" w:rsidRDefault="00BC4B45" w:rsidP="008E7846">
          <w:pPr>
            <w:pStyle w:val="TGASignoff"/>
          </w:pPr>
          <w:r w:rsidRPr="00487162">
            <w:t>Therapeutic Goods Administration</w:t>
          </w:r>
        </w:p>
      </w:tc>
    </w:tr>
    <w:tr w:rsidR="00BC4B45" w:rsidRPr="00487162" w:rsidTr="00E45619">
      <w:trPr>
        <w:trHeight w:val="1221"/>
      </w:trPr>
      <w:tc>
        <w:tcPr>
          <w:tcW w:w="9175" w:type="dxa"/>
          <w:tcMar>
            <w:top w:w="28" w:type="dxa"/>
          </w:tcMar>
        </w:tcPr>
        <w:p w:rsidR="00BC4B45" w:rsidRPr="00487162" w:rsidRDefault="00BC4B45" w:rsidP="00E45619">
          <w:pPr>
            <w:pStyle w:val="Address"/>
          </w:pPr>
          <w:r w:rsidRPr="00487162">
            <w:t>PO Box 100 Woden ACT 2606 Australia</w:t>
          </w:r>
        </w:p>
        <w:p w:rsidR="00BC4B45" w:rsidRPr="00487162" w:rsidRDefault="00BC4B45" w:rsidP="00E45619">
          <w:pPr>
            <w:pStyle w:val="Address"/>
          </w:pPr>
          <w:r w:rsidRPr="00487162">
            <w:t xml:space="preserve">Email: </w:t>
          </w:r>
          <w:hyperlink r:id="rId1" w:history="1">
            <w:r w:rsidRPr="004C239D">
              <w:rPr>
                <w:rStyle w:val="Hyperlink"/>
              </w:rPr>
              <w:t>info@tga.gov.au</w:t>
            </w:r>
          </w:hyperlink>
          <w:r>
            <w:t xml:space="preserve"> </w:t>
          </w:r>
          <w:r w:rsidRPr="00487162">
            <w:t>Phone: 1800 020 653</w:t>
          </w:r>
          <w:r>
            <w:t xml:space="preserve"> </w:t>
          </w:r>
          <w:r w:rsidRPr="00487162">
            <w:t>Fax: 02 6232 8605</w:t>
          </w:r>
        </w:p>
        <w:p w:rsidR="00BC4B45" w:rsidRPr="004C239D" w:rsidRDefault="00A816D6" w:rsidP="004C239D">
          <w:pPr>
            <w:pStyle w:val="Address"/>
            <w:spacing w:line="260" w:lineRule="atLeast"/>
            <w:rPr>
              <w:b/>
              <w:color w:val="0000FF"/>
              <w:u w:val="single"/>
            </w:rPr>
          </w:pPr>
          <w:hyperlink r:id="rId2" w:history="1">
            <w:r w:rsidR="00BC4B45" w:rsidRPr="00607888">
              <w:rPr>
                <w:rStyle w:val="Hyperlink"/>
                <w:b/>
              </w:rPr>
              <w:t>http://www.tga.gov.au</w:t>
            </w:r>
          </w:hyperlink>
        </w:p>
      </w:tc>
    </w:tr>
  </w:tbl>
  <w:p w:rsidR="00BC4B45" w:rsidRDefault="00BC4B45" w:rsidP="008E7846">
    <w:pPr>
      <w:pStyle w:val="Note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BC4B45" w:rsidTr="0010601F">
      <w:trPr>
        <w:trHeight w:val="108"/>
      </w:trPr>
      <w:tc>
        <w:tcPr>
          <w:tcW w:w="8875" w:type="dxa"/>
          <w:gridSpan w:val="2"/>
          <w:tcBorders>
            <w:bottom w:val="single" w:sz="4" w:space="0" w:color="auto"/>
          </w:tcBorders>
          <w:tcMar>
            <w:right w:w="284" w:type="dxa"/>
          </w:tcMar>
        </w:tcPr>
        <w:p w:rsidR="00BC4B45" w:rsidRDefault="00BC4B45" w:rsidP="006E08B3">
          <w:pPr>
            <w:pStyle w:val="Heading3"/>
          </w:pPr>
          <w:r>
            <w:t>Copyright</w:t>
          </w:r>
        </w:p>
        <w:p w:rsidR="00BC4B45" w:rsidRDefault="00BC4B45" w:rsidP="006E08B3">
          <w:r>
            <w:rPr>
              <w:rFonts w:cs="Arial"/>
            </w:rPr>
            <w:t>©</w:t>
          </w:r>
          <w:r>
            <w:t xml:space="preserve"> Commonwealth of Australia [add year]</w:t>
          </w:r>
        </w:p>
        <w:p w:rsidR="00BC4B45" w:rsidRDefault="00BC4B45" w:rsidP="006E08B3"/>
        <w:p w:rsidR="00BC4B45" w:rsidRDefault="00BC4B45"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BC4B45" w:rsidRDefault="00BC4B45" w:rsidP="006E08B3"/>
        <w:p w:rsidR="00BC4B45" w:rsidRDefault="00BC4B45" w:rsidP="006E08B3">
          <w:pPr>
            <w:pStyle w:val="Heading3"/>
          </w:pPr>
          <w:r>
            <w:t>Confidentiality</w:t>
          </w:r>
        </w:p>
        <w:p w:rsidR="00BC4B45" w:rsidRDefault="00BC4B45"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BC4B45" w:rsidRDefault="00BC4B45" w:rsidP="006E08B3"/>
        <w:p w:rsidR="00BC4B45" w:rsidRDefault="00BC4B45" w:rsidP="006E08B3">
          <w:r>
            <w:t>For submission made by individuals, all personal details, other than your name, will be removed from your submission before it is published on the TGA’s Internet site.</w:t>
          </w:r>
        </w:p>
        <w:p w:rsidR="00BC4B45" w:rsidRDefault="00BC4B45" w:rsidP="006E08B3"/>
        <w:p w:rsidR="00BC4B45" w:rsidRDefault="00BC4B45"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BC4B45" w:rsidTr="0010601F">
      <w:trPr>
        <w:trHeight w:val="417"/>
      </w:trPr>
      <w:tc>
        <w:tcPr>
          <w:tcW w:w="4519" w:type="dxa"/>
          <w:tcBorders>
            <w:top w:val="single" w:sz="4" w:space="0" w:color="auto"/>
          </w:tcBorders>
          <w:tcMar>
            <w:top w:w="142" w:type="dxa"/>
            <w:bottom w:w="0" w:type="dxa"/>
          </w:tcMar>
        </w:tcPr>
        <w:p w:rsidR="00BC4B45" w:rsidRDefault="00BC4B45" w:rsidP="006E08B3">
          <w:r>
            <w:t>Document title, Part #, Section # - Section title</w:t>
          </w:r>
        </w:p>
        <w:p w:rsidR="00BC4B45" w:rsidRDefault="00BC4B45" w:rsidP="006E08B3">
          <w:r>
            <w:t>V1.0 October 2010</w:t>
          </w:r>
        </w:p>
      </w:tc>
      <w:tc>
        <w:tcPr>
          <w:tcW w:w="4356" w:type="dxa"/>
          <w:tcBorders>
            <w:top w:val="single" w:sz="4" w:space="0" w:color="auto"/>
          </w:tcBorders>
          <w:tcMar>
            <w:top w:w="142" w:type="dxa"/>
            <w:bottom w:w="0" w:type="dxa"/>
          </w:tcMar>
        </w:tcPr>
        <w:p w:rsidR="00BC4B45" w:rsidRDefault="00BC4B45" w:rsidP="006E08B3">
          <w:pPr>
            <w:jc w:val="right"/>
          </w:pPr>
          <w:r>
            <w:t xml:space="preserve">Page </w:t>
          </w:r>
          <w:r>
            <w:fldChar w:fldCharType="begin"/>
          </w:r>
          <w:r>
            <w:instrText xml:space="preserve"> PAGE   \* MERGEFORMAT </w:instrText>
          </w:r>
          <w:r>
            <w:fldChar w:fldCharType="separate"/>
          </w:r>
          <w:r>
            <w:rPr>
              <w:noProof/>
            </w:rPr>
            <w:t>1</w:t>
          </w:r>
          <w:r>
            <w:fldChar w:fldCharType="end"/>
          </w:r>
          <w:r>
            <w:t xml:space="preserve"> of </w:t>
          </w:r>
          <w:r w:rsidR="00A816D6">
            <w:fldChar w:fldCharType="begin"/>
          </w:r>
          <w:r w:rsidR="00A816D6">
            <w:instrText xml:space="preserve"> NUMPAGES  \* Arabic </w:instrText>
          </w:r>
          <w:r w:rsidR="00A816D6">
            <w:fldChar w:fldCharType="separate"/>
          </w:r>
          <w:r>
            <w:rPr>
              <w:noProof/>
            </w:rPr>
            <w:t>33</w:t>
          </w:r>
          <w:r w:rsidR="00A816D6">
            <w:rPr>
              <w:noProof/>
            </w:rPr>
            <w:fldChar w:fldCharType="end"/>
          </w:r>
          <w:r>
            <w:t xml:space="preserve"> </w:t>
          </w:r>
        </w:p>
      </w:tc>
    </w:tr>
  </w:tbl>
  <w:p w:rsidR="00BC4B45" w:rsidRDefault="00BC4B4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4B45" w:rsidRDefault="00BC4B45" w:rsidP="00C40A36">
      <w:pPr>
        <w:spacing w:after="0"/>
      </w:pPr>
      <w:r>
        <w:separator/>
      </w:r>
    </w:p>
  </w:footnote>
  <w:footnote w:type="continuationSeparator" w:id="0">
    <w:p w:rsidR="00BC4B45" w:rsidRDefault="00BC4B45" w:rsidP="00C40A36">
      <w:pPr>
        <w:spacing w:after="0"/>
      </w:pPr>
      <w:r>
        <w:continuationSeparator/>
      </w:r>
    </w:p>
  </w:footnote>
  <w:footnote w:id="1">
    <w:p w:rsidR="00BC4B45" w:rsidRDefault="00BC4B45">
      <w:pPr>
        <w:pStyle w:val="FootnoteText"/>
      </w:pPr>
      <w:r>
        <w:rPr>
          <w:rStyle w:val="FootnoteReference"/>
        </w:rPr>
        <w:footnoteRef/>
      </w:r>
      <w:r>
        <w:t xml:space="preserve"> </w:t>
      </w:r>
      <w:r w:rsidRPr="00264719">
        <w:t xml:space="preserve">European Medicines </w:t>
      </w:r>
      <w:r w:rsidRPr="00E86CA1">
        <w:t xml:space="preserve">Agency, “Committee for medicinal products for human use (CHMP): </w:t>
      </w:r>
      <w:r>
        <w:t>Guideline on the evaluation of medicinal products in the treatment of primary osteoporosis (</w:t>
      </w:r>
      <w:r w:rsidRPr="007D24FE">
        <w:t>CPMP/EWP/552/95 Rev. 2</w:t>
      </w:r>
      <w:r>
        <w:t>)</w:t>
      </w:r>
      <w:r w:rsidRPr="00E86CA1">
        <w:t xml:space="preserve">”, </w:t>
      </w:r>
      <w:r>
        <w:t>16 November 2006</w:t>
      </w:r>
      <w:r w:rsidRPr="00E86CA1">
        <w:t xml:space="preserve">, Web, accessed </w:t>
      </w:r>
      <w:r>
        <w:t>2 January 2014</w:t>
      </w:r>
      <w:r w:rsidRPr="00264719">
        <w:t xml:space="preserve"> </w:t>
      </w:r>
      <w:r>
        <w:t>&lt;</w:t>
      </w:r>
      <w:r w:rsidRPr="008161CC">
        <w:t>www.ema.europa.eu/docs/en_GB/document_library/Scientific_guideline/2009/09/WC500003405.pdf</w:t>
      </w:r>
      <w:r w:rsidRPr="00264719">
        <w:t>&gt;.</w:t>
      </w:r>
    </w:p>
  </w:footnote>
  <w:footnote w:id="2">
    <w:p w:rsidR="00BC4B45" w:rsidRDefault="00BC4B45">
      <w:pPr>
        <w:pStyle w:val="FootnoteText"/>
      </w:pPr>
      <w:r>
        <w:rPr>
          <w:rStyle w:val="FootnoteReference"/>
        </w:rPr>
        <w:footnoteRef/>
      </w:r>
      <w:r>
        <w:t xml:space="preserve"> </w:t>
      </w:r>
      <w:r w:rsidRPr="00264719">
        <w:t xml:space="preserve">European Medicines </w:t>
      </w:r>
      <w:r w:rsidRPr="00E86CA1">
        <w:t xml:space="preserve">Agency, “Committee for medicinal products for human use (CHMP): </w:t>
      </w:r>
      <w:r>
        <w:t>Guideline on the evaluation of medicinal products in the treatment of primary osteoporosis (</w:t>
      </w:r>
      <w:r w:rsidRPr="007D24FE">
        <w:t>CPMP/EWP/552/95 Rev. 2</w:t>
      </w:r>
      <w:r>
        <w:t>)</w:t>
      </w:r>
      <w:r w:rsidRPr="00E86CA1">
        <w:t xml:space="preserve">”, </w:t>
      </w:r>
      <w:r>
        <w:t>16 November 2006</w:t>
      </w:r>
      <w:r w:rsidRPr="00E86CA1">
        <w:t xml:space="preserve">, Web, accessed </w:t>
      </w:r>
      <w:r>
        <w:t>2 January 2014</w:t>
      </w:r>
      <w:r w:rsidRPr="00264719">
        <w:t xml:space="preserve"> </w:t>
      </w:r>
      <w:r>
        <w:t>&lt;</w:t>
      </w:r>
      <w:r w:rsidRPr="008161CC">
        <w:t>www.ema.europa.eu/docs/en_GB/document_library/Scientific_guideline/2009/09/WC500003405.pdf</w:t>
      </w:r>
      <w:r w:rsidRPr="00264719">
        <w:t>&gt;.</w:t>
      </w:r>
    </w:p>
  </w:footnote>
  <w:footnote w:id="3">
    <w:p w:rsidR="00BC4B45" w:rsidRDefault="00BC4B45">
      <w:pPr>
        <w:pStyle w:val="FootnoteText"/>
      </w:pPr>
      <w:r>
        <w:rPr>
          <w:rStyle w:val="FootnoteReference"/>
        </w:rPr>
        <w:footnoteRef/>
      </w:r>
      <w:r>
        <w:t xml:space="preserve"> </w:t>
      </w:r>
      <w:r w:rsidRPr="00264719">
        <w:t xml:space="preserve">European Medicines </w:t>
      </w:r>
      <w:r w:rsidRPr="00E86CA1">
        <w:t xml:space="preserve">Agency, “Committee for medicinal products for human use (CHMP): </w:t>
      </w:r>
      <w:r>
        <w:t>Guideline on the evaluation of medicinal products in the treatment of primary osteoporosis (</w:t>
      </w:r>
      <w:r w:rsidRPr="007D24FE">
        <w:t>CPMP/EWP/552/95 Rev. 2</w:t>
      </w:r>
      <w:r>
        <w:t>)</w:t>
      </w:r>
      <w:r w:rsidRPr="00E86CA1">
        <w:t xml:space="preserve">”, </w:t>
      </w:r>
      <w:r>
        <w:t>16 November 2006</w:t>
      </w:r>
      <w:r w:rsidRPr="00E86CA1">
        <w:t xml:space="preserve">, Web, accessed </w:t>
      </w:r>
      <w:r>
        <w:t>2 January 2014</w:t>
      </w:r>
      <w:r w:rsidRPr="00264719">
        <w:t xml:space="preserve"> </w:t>
      </w:r>
      <w:r>
        <w:t>&lt;</w:t>
      </w:r>
      <w:r w:rsidRPr="008161CC">
        <w:t>www.ema.europa.eu/docs/en_GB/document_library/Scientific_guideline/2009/09/WC500003405.pdf</w:t>
      </w:r>
      <w:r w:rsidRPr="00264719">
        <w:t>&gt;.</w:t>
      </w:r>
    </w:p>
  </w:footnote>
  <w:footnote w:id="4">
    <w:p w:rsidR="00BC4B45" w:rsidRDefault="00BC4B45">
      <w:pPr>
        <w:pStyle w:val="FootnoteText"/>
      </w:pPr>
      <w:r>
        <w:rPr>
          <w:rStyle w:val="FootnoteReference"/>
        </w:rPr>
        <w:footnoteRef/>
      </w:r>
      <w:r>
        <w:t xml:space="preserve"> </w:t>
      </w:r>
      <w:r w:rsidRPr="00264719">
        <w:t xml:space="preserve">European Medicines </w:t>
      </w:r>
      <w:r w:rsidRPr="00E86CA1">
        <w:t xml:space="preserve">Agency, “Committee for medicinal products for human use (CHMP): </w:t>
      </w:r>
      <w:r>
        <w:t>Guideline on the evaluation of medicinal products in the treatment of primary osteoporosis (</w:t>
      </w:r>
      <w:r w:rsidRPr="007D24FE">
        <w:t>CPMP/EWP/552/95 Rev. 2</w:t>
      </w:r>
      <w:r>
        <w:t>)</w:t>
      </w:r>
      <w:r w:rsidRPr="00E86CA1">
        <w:t xml:space="preserve">”, </w:t>
      </w:r>
      <w:r>
        <w:t>16 November 2006</w:t>
      </w:r>
      <w:r w:rsidRPr="00E86CA1">
        <w:t xml:space="preserve">, Web, accessed </w:t>
      </w:r>
      <w:r>
        <w:t>2 January 2014</w:t>
      </w:r>
      <w:r w:rsidRPr="00264719">
        <w:t xml:space="preserve"> </w:t>
      </w:r>
      <w:r>
        <w:t>&lt;</w:t>
      </w:r>
      <w:r w:rsidRPr="008161CC">
        <w:t>www.ema.europa.eu/docs/en_GB/document_library/Scientific_guideline/2009/09/WC500003405.pdf</w:t>
      </w:r>
      <w:r w:rsidRPr="00264719">
        <w:t>&gt;.</w:t>
      </w:r>
    </w:p>
  </w:footnote>
  <w:footnote w:id="5">
    <w:p w:rsidR="00BC4B45" w:rsidRDefault="00BC4B45">
      <w:pPr>
        <w:pStyle w:val="FootnoteText"/>
      </w:pPr>
      <w:r>
        <w:rPr>
          <w:rStyle w:val="FootnoteReference"/>
        </w:rPr>
        <w:footnoteRef/>
      </w:r>
      <w:r>
        <w:t xml:space="preserve"> </w:t>
      </w:r>
      <w:r w:rsidRPr="00264719">
        <w:t xml:space="preserve">European Medicines </w:t>
      </w:r>
      <w:r w:rsidRPr="00E86CA1">
        <w:t xml:space="preserve">Agency, “Committee for medicinal products for human use (CHMP): </w:t>
      </w:r>
      <w:r>
        <w:t>Guideline on the evaluation of medicinal products in the treatment of primary osteoporosis (</w:t>
      </w:r>
      <w:r w:rsidRPr="007D24FE">
        <w:t>CPMP/EWP/552/95 Rev. 2</w:t>
      </w:r>
      <w:r>
        <w:t>)</w:t>
      </w:r>
      <w:r w:rsidRPr="00E86CA1">
        <w:t xml:space="preserve">”, </w:t>
      </w:r>
      <w:r>
        <w:t>16 November 2006</w:t>
      </w:r>
      <w:r w:rsidRPr="00E86CA1">
        <w:t xml:space="preserve">, Web, accessed </w:t>
      </w:r>
      <w:r>
        <w:t>2 January 2014</w:t>
      </w:r>
      <w:r w:rsidRPr="00264719">
        <w:t xml:space="preserve"> </w:t>
      </w:r>
      <w:r>
        <w:t>&lt;</w:t>
      </w:r>
      <w:r w:rsidRPr="008161CC">
        <w:t>www.ema.europa.eu/docs/en_GB/document_library/Scientific_guideline/2009/09/WC500003405.pdf</w:t>
      </w:r>
      <w:r w:rsidRPr="00264719">
        <w:t>&gt;.</w:t>
      </w:r>
    </w:p>
  </w:footnote>
  <w:footnote w:id="6">
    <w:p w:rsidR="00BC4B45" w:rsidRDefault="00BC4B45">
      <w:pPr>
        <w:pStyle w:val="FootnoteText"/>
      </w:pPr>
      <w:r>
        <w:rPr>
          <w:rStyle w:val="FootnoteReference"/>
        </w:rPr>
        <w:footnoteRef/>
      </w:r>
      <w:r>
        <w:t xml:space="preserve"> </w:t>
      </w:r>
      <w:r w:rsidRPr="00264719">
        <w:t xml:space="preserve">European Medicines </w:t>
      </w:r>
      <w:r w:rsidRPr="00E86CA1">
        <w:t xml:space="preserve">Agency, “Committee for medicinal products for human use (CHMP): </w:t>
      </w:r>
      <w:r>
        <w:t>Guideline on the evaluation of medicinal products in the treatment of primary osteoporosis (</w:t>
      </w:r>
      <w:r w:rsidRPr="007D24FE">
        <w:t>CPMP/EWP/552/95 Rev. 2</w:t>
      </w:r>
      <w:r>
        <w:t>)</w:t>
      </w:r>
      <w:r w:rsidRPr="00E86CA1">
        <w:t xml:space="preserve">”, </w:t>
      </w:r>
      <w:r>
        <w:t>16 November 2006</w:t>
      </w:r>
      <w:r w:rsidRPr="00E86CA1">
        <w:t xml:space="preserve">, Web, accessed </w:t>
      </w:r>
      <w:r>
        <w:t>2 January 2014</w:t>
      </w:r>
      <w:r w:rsidRPr="00264719">
        <w:t xml:space="preserve"> </w:t>
      </w:r>
      <w:r>
        <w:t>&lt;</w:t>
      </w:r>
      <w:r w:rsidRPr="008161CC">
        <w:t>www.ema.europa.eu/docs/en_GB/document_library/Scientific_guideline/2009/09/WC500003405.pdf</w:t>
      </w:r>
      <w:r w:rsidRPr="00264719">
        <w:t>&gt;.</w:t>
      </w:r>
    </w:p>
  </w:footnote>
  <w:footnote w:id="7">
    <w:p w:rsidR="00BC4B45" w:rsidRDefault="00BC4B45">
      <w:pPr>
        <w:pStyle w:val="FootnoteText"/>
      </w:pPr>
      <w:r>
        <w:rPr>
          <w:rStyle w:val="FootnoteReference"/>
        </w:rPr>
        <w:footnoteRef/>
      </w:r>
      <w:r>
        <w:t xml:space="preserve"> </w:t>
      </w:r>
      <w:proofErr w:type="gramStart"/>
      <w:r w:rsidRPr="00C47FC8">
        <w:t>Based on 4 years in the parent study (20010223) and 4 years in the extension study (20050233).</w:t>
      </w:r>
      <w:proofErr w:type="gramEnd"/>
    </w:p>
  </w:footnote>
  <w:footnote w:id="8">
    <w:p w:rsidR="00BC4B45" w:rsidRDefault="00BC4B45">
      <w:pPr>
        <w:pStyle w:val="FootnoteText"/>
      </w:pPr>
      <w:r>
        <w:rPr>
          <w:rStyle w:val="FootnoteReference"/>
        </w:rPr>
        <w:footnoteRef/>
      </w:r>
      <w:r>
        <w:t xml:space="preserve"> </w:t>
      </w:r>
      <w:proofErr w:type="gramStart"/>
      <w:r w:rsidRPr="00C47FC8">
        <w:t>Based on 4 years in the parent study (20010223) and 4 years in the extension study (20050233).</w:t>
      </w:r>
      <w:proofErr w:type="gramEnd"/>
    </w:p>
  </w:footnote>
  <w:footnote w:id="9">
    <w:p w:rsidR="00BC4B45" w:rsidRDefault="00BC4B45">
      <w:pPr>
        <w:pStyle w:val="FootnoteText"/>
      </w:pPr>
      <w:r>
        <w:rPr>
          <w:rStyle w:val="FootnoteReference"/>
        </w:rPr>
        <w:footnoteRef/>
      </w:r>
      <w:r>
        <w:t xml:space="preserve"> </w:t>
      </w:r>
      <w:proofErr w:type="spellStart"/>
      <w:r w:rsidRPr="006F4848">
        <w:t>Prolia</w:t>
      </w:r>
      <w:proofErr w:type="spellEnd"/>
      <w:r w:rsidRPr="006F4848">
        <w:t xml:space="preserve"> </w:t>
      </w:r>
      <w:proofErr w:type="spellStart"/>
      <w:r w:rsidRPr="006F4848">
        <w:t>AusPAR</w:t>
      </w:r>
      <w:proofErr w:type="spellEnd"/>
      <w:r w:rsidRPr="006F4848">
        <w:t xml:space="preserve">, January 2011, page 76 </w:t>
      </w:r>
      <w:r>
        <w:t>&lt;</w:t>
      </w:r>
      <w:r w:rsidRPr="006F4848">
        <w:t>www.tga.gov.au/pdf/auspar/auspar-prolia.pdf</w:t>
      </w:r>
      <w:r>
        <w:t>&gt;.</w:t>
      </w:r>
    </w:p>
  </w:footnote>
  <w:footnote w:id="10">
    <w:p w:rsidR="00BC4B45" w:rsidRDefault="00BC4B45">
      <w:pPr>
        <w:pStyle w:val="FootnoteText"/>
      </w:pPr>
      <w:r>
        <w:rPr>
          <w:rStyle w:val="FootnoteReference"/>
        </w:rPr>
        <w:footnoteRef/>
      </w:r>
      <w:r>
        <w:t xml:space="preserve"> </w:t>
      </w:r>
      <w:r w:rsidRPr="00981383">
        <w:t>Administrative Appeals Tribunal, No 2010/4818, Terms of Agreement as to Decision, 22 December 2011</w:t>
      </w:r>
      <w:r>
        <w:t>.</w:t>
      </w:r>
    </w:p>
  </w:footnote>
  <w:footnote w:id="11">
    <w:p w:rsidR="00BC4B45" w:rsidRDefault="00BC4B45">
      <w:pPr>
        <w:pStyle w:val="FootnoteText"/>
      </w:pPr>
      <w:r>
        <w:rPr>
          <w:rStyle w:val="FootnoteReference"/>
        </w:rPr>
        <w:footnoteRef/>
      </w:r>
      <w:r>
        <w:t xml:space="preserve"> </w:t>
      </w:r>
      <w:proofErr w:type="gramStart"/>
      <w:r w:rsidRPr="005C23CC">
        <w:t>Based on 4 years in the parent study (20010223) and 4 years in the extension study (20050233)</w:t>
      </w:r>
      <w:r>
        <w:t>.</w:t>
      </w:r>
      <w:proofErr w:type="gramEnd"/>
    </w:p>
  </w:footnote>
  <w:footnote w:id="12">
    <w:p w:rsidR="00BC4B45" w:rsidRDefault="00BC4B45">
      <w:pPr>
        <w:pStyle w:val="FootnoteText"/>
      </w:pPr>
      <w:r>
        <w:rPr>
          <w:rStyle w:val="FootnoteReference"/>
        </w:rPr>
        <w:footnoteRef/>
      </w:r>
      <w:r>
        <w:t xml:space="preserve"> Excerpt: Amgen Pre </w:t>
      </w:r>
      <w:r w:rsidRPr="00EC42BC">
        <w:t>ADEC response of 11 January 2010 for PMO and prostate HALT indications</w:t>
      </w:r>
      <w:r>
        <w:t>.</w:t>
      </w:r>
    </w:p>
  </w:footnote>
  <w:footnote w:id="13">
    <w:p w:rsidR="00BC4B45" w:rsidRDefault="00BC4B45">
      <w:pPr>
        <w:pStyle w:val="FootnoteText"/>
      </w:pPr>
      <w:r>
        <w:rPr>
          <w:rStyle w:val="FootnoteReference"/>
        </w:rPr>
        <w:footnoteRef/>
      </w:r>
      <w:r>
        <w:t xml:space="preserve"> Excerpt: Amgen Pre </w:t>
      </w:r>
      <w:r w:rsidRPr="00EC42BC">
        <w:t>ADEC response of 11 January 2010 for PMO and prostate HALT indications</w:t>
      </w:r>
      <w:r>
        <w:t>.</w:t>
      </w:r>
    </w:p>
  </w:footnote>
  <w:footnote w:id="14">
    <w:p w:rsidR="00BC4B45" w:rsidRDefault="00BC4B45">
      <w:pPr>
        <w:pStyle w:val="FootnoteText"/>
      </w:pPr>
      <w:r>
        <w:rPr>
          <w:rStyle w:val="FootnoteReference"/>
        </w:rPr>
        <w:footnoteRef/>
      </w:r>
      <w:r>
        <w:t xml:space="preserve"> P</w:t>
      </w:r>
      <w:r w:rsidRPr="00EC42BC">
        <w:t>araphrase from: Amgen Pre</w:t>
      </w:r>
      <w:r>
        <w:t xml:space="preserve"> </w:t>
      </w:r>
      <w:r w:rsidRPr="00EC42BC">
        <w:t>ADEC response,</w:t>
      </w:r>
      <w:r>
        <w:t xml:space="preserve"> 11 January 2010, </w:t>
      </w:r>
      <w:proofErr w:type="spellStart"/>
      <w:r>
        <w:t>Prolia</w:t>
      </w:r>
      <w:proofErr w:type="spellEnd"/>
      <w:r>
        <w:t xml:space="preserve"> PMO and</w:t>
      </w:r>
      <w:r w:rsidRPr="00EC42BC">
        <w:t xml:space="preserve"> prostate HALT indications</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B45" w:rsidRDefault="00BC4B4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B45" w:rsidRDefault="00BC4B45" w:rsidP="00E45619">
    <w:pPr>
      <w:pStyle w:val="Header"/>
    </w:pPr>
    <w:r>
      <w:t>Therapeutic Goods Administration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B45" w:rsidRDefault="00BC4B45">
    <w:pPr>
      <w:rPr>
        <w:noProof/>
        <w:lang w:eastAsia="en-AU"/>
      </w:rPr>
    </w:pPr>
    <w:r>
      <w:rPr>
        <w:noProof/>
        <w:lang w:eastAsia="en-AU"/>
      </w:rPr>
      <w:drawing>
        <wp:anchor distT="0" distB="0" distL="114300" distR="114300" simplePos="0" relativeHeight="251657728" behindDoc="1" locked="0" layoutInCell="1" allowOverlap="1">
          <wp:simplePos x="0" y="0"/>
          <wp:positionH relativeFrom="column">
            <wp:posOffset>-1089660</wp:posOffset>
          </wp:positionH>
          <wp:positionV relativeFrom="paragraph">
            <wp:posOffset>-585470</wp:posOffset>
          </wp:positionV>
          <wp:extent cx="7572375" cy="10706100"/>
          <wp:effectExtent l="0" t="0" r="9525"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herapeutic Goods Administr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0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4B45" w:rsidRDefault="00BC4B45" w:rsidP="00593AD1">
    <w:pPr>
      <w:pStyle w:val="HeaderNoLine"/>
    </w:pPr>
    <w:r>
      <w:rPr>
        <w:noProof/>
        <w:lang w:eastAsia="en-AU"/>
      </w:rPr>
      <w:drawing>
        <wp:inline distT="0" distB="0" distL="0" distR="0">
          <wp:extent cx="5396865" cy="7635240"/>
          <wp:effectExtent l="0" t="0" r="0" b="3810"/>
          <wp:docPr id="16" name="Picture 16"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6865" cy="763524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B45" w:rsidRDefault="00BC4B4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B45" w:rsidRDefault="00BC4B45">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B45" w:rsidRDefault="00BC4B45">
    <w:pPr>
      <w:pStyle w:val="Header"/>
    </w:pPr>
    <w:r>
      <w:t>Therapeutic Goods Administration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B45" w:rsidRDefault="00BC4B4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B45" w:rsidRDefault="00BC4B45" w:rsidP="004C239D">
    <w:pPr>
      <w:pStyle w:val="HeaderNoLin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B45" w:rsidRDefault="00BC4B45" w:rsidP="006E08B3">
    <w:r>
      <w:t>Therapeutic Goods Administration</w:t>
    </w:r>
  </w:p>
  <w:p w:rsidR="00BC4B45" w:rsidRDefault="00BC4B45"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122D27E"/>
    <w:lvl w:ilvl="0">
      <w:start w:val="1"/>
      <w:numFmt w:val="decimal"/>
      <w:lvlText w:val="%1."/>
      <w:lvlJc w:val="left"/>
      <w:pPr>
        <w:tabs>
          <w:tab w:val="num" w:pos="1492"/>
        </w:tabs>
        <w:ind w:left="1492" w:hanging="360"/>
      </w:pPr>
    </w:lvl>
  </w:abstractNum>
  <w:abstractNum w:abstractNumId="1">
    <w:nsid w:val="FFFFFF7D"/>
    <w:multiLevelType w:val="singleLevel"/>
    <w:tmpl w:val="A4409AA0"/>
    <w:lvl w:ilvl="0">
      <w:start w:val="1"/>
      <w:numFmt w:val="decimal"/>
      <w:lvlText w:val="%1."/>
      <w:lvlJc w:val="left"/>
      <w:pPr>
        <w:tabs>
          <w:tab w:val="num" w:pos="1209"/>
        </w:tabs>
        <w:ind w:left="1209" w:hanging="360"/>
      </w:pPr>
    </w:lvl>
  </w:abstractNum>
  <w:abstractNum w:abstractNumId="2">
    <w:nsid w:val="FFFFFF7E"/>
    <w:multiLevelType w:val="singleLevel"/>
    <w:tmpl w:val="84041972"/>
    <w:lvl w:ilvl="0">
      <w:start w:val="1"/>
      <w:numFmt w:val="decimal"/>
      <w:lvlText w:val="%1."/>
      <w:lvlJc w:val="left"/>
      <w:pPr>
        <w:tabs>
          <w:tab w:val="num" w:pos="926"/>
        </w:tabs>
        <w:ind w:left="926" w:hanging="360"/>
      </w:pPr>
    </w:lvl>
  </w:abstractNum>
  <w:abstractNum w:abstractNumId="3">
    <w:nsid w:val="FFFFFF7F"/>
    <w:multiLevelType w:val="singleLevel"/>
    <w:tmpl w:val="7206F480"/>
    <w:lvl w:ilvl="0">
      <w:start w:val="1"/>
      <w:numFmt w:val="decimal"/>
      <w:lvlText w:val="%1."/>
      <w:lvlJc w:val="left"/>
      <w:pPr>
        <w:tabs>
          <w:tab w:val="num" w:pos="643"/>
        </w:tabs>
        <w:ind w:left="643" w:hanging="360"/>
      </w:pPr>
    </w:lvl>
  </w:abstractNum>
  <w:abstractNum w:abstractNumId="4">
    <w:nsid w:val="FFFFFF80"/>
    <w:multiLevelType w:val="singleLevel"/>
    <w:tmpl w:val="DD7ED13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D48D76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8">
    <w:nsid w:val="FFFFFF88"/>
    <w:multiLevelType w:val="singleLevel"/>
    <w:tmpl w:val="39606580"/>
    <w:lvl w:ilvl="0">
      <w:start w:val="1"/>
      <w:numFmt w:val="decimal"/>
      <w:lvlText w:val="%1."/>
      <w:lvlJc w:val="left"/>
      <w:pPr>
        <w:tabs>
          <w:tab w:val="num" w:pos="360"/>
        </w:tabs>
        <w:ind w:left="360" w:hanging="360"/>
      </w:pPr>
    </w:lvl>
  </w:abstractNum>
  <w:abstractNum w:abstractNumId="9">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8320B0A"/>
    <w:lvl w:ilvl="0">
      <w:numFmt w:val="bullet"/>
      <w:lvlText w:val="*"/>
      <w:lvlJc w:val="left"/>
    </w:lvl>
  </w:abstractNum>
  <w:abstractNum w:abstractNumId="11">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2">
    <w:nsid w:val="16242893"/>
    <w:multiLevelType w:val="hybridMultilevel"/>
    <w:tmpl w:val="7742BE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4">
    <w:nsid w:val="264B44DE"/>
    <w:multiLevelType w:val="hybridMultilevel"/>
    <w:tmpl w:val="8C122AF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5">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6">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7">
    <w:nsid w:val="42B44459"/>
    <w:multiLevelType w:val="hybridMultilevel"/>
    <w:tmpl w:val="035EA5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4E683253"/>
    <w:multiLevelType w:val="hybridMultilevel"/>
    <w:tmpl w:val="4648CEC8"/>
    <w:lvl w:ilvl="0" w:tplc="6D363C50">
      <w:start w:val="1"/>
      <w:numFmt w:val="decimal"/>
      <w:lvlText w:val="%1)"/>
      <w:lvlJc w:val="left"/>
      <w:pPr>
        <w:ind w:left="1647" w:hanging="360"/>
      </w:pPr>
      <w:rPr>
        <w:rFonts w:hint="default"/>
        <w:b/>
      </w:rPr>
    </w:lvl>
    <w:lvl w:ilvl="1" w:tplc="0C090019" w:tentative="1">
      <w:start w:val="1"/>
      <w:numFmt w:val="lowerLetter"/>
      <w:lvlText w:val="%2."/>
      <w:lvlJc w:val="left"/>
      <w:pPr>
        <w:ind w:left="2367" w:hanging="360"/>
      </w:pPr>
    </w:lvl>
    <w:lvl w:ilvl="2" w:tplc="0C09001B" w:tentative="1">
      <w:start w:val="1"/>
      <w:numFmt w:val="lowerRoman"/>
      <w:lvlText w:val="%3."/>
      <w:lvlJc w:val="right"/>
      <w:pPr>
        <w:ind w:left="3087" w:hanging="180"/>
      </w:pPr>
    </w:lvl>
    <w:lvl w:ilvl="3" w:tplc="0C09000F" w:tentative="1">
      <w:start w:val="1"/>
      <w:numFmt w:val="decimal"/>
      <w:lvlText w:val="%4."/>
      <w:lvlJc w:val="left"/>
      <w:pPr>
        <w:ind w:left="3807" w:hanging="360"/>
      </w:pPr>
    </w:lvl>
    <w:lvl w:ilvl="4" w:tplc="0C090019" w:tentative="1">
      <w:start w:val="1"/>
      <w:numFmt w:val="lowerLetter"/>
      <w:lvlText w:val="%5."/>
      <w:lvlJc w:val="left"/>
      <w:pPr>
        <w:ind w:left="4527" w:hanging="360"/>
      </w:pPr>
    </w:lvl>
    <w:lvl w:ilvl="5" w:tplc="0C09001B" w:tentative="1">
      <w:start w:val="1"/>
      <w:numFmt w:val="lowerRoman"/>
      <w:lvlText w:val="%6."/>
      <w:lvlJc w:val="right"/>
      <w:pPr>
        <w:ind w:left="5247" w:hanging="180"/>
      </w:pPr>
    </w:lvl>
    <w:lvl w:ilvl="6" w:tplc="0C09000F" w:tentative="1">
      <w:start w:val="1"/>
      <w:numFmt w:val="decimal"/>
      <w:lvlText w:val="%7."/>
      <w:lvlJc w:val="left"/>
      <w:pPr>
        <w:ind w:left="5967" w:hanging="360"/>
      </w:pPr>
    </w:lvl>
    <w:lvl w:ilvl="7" w:tplc="0C090019" w:tentative="1">
      <w:start w:val="1"/>
      <w:numFmt w:val="lowerLetter"/>
      <w:lvlText w:val="%8."/>
      <w:lvlJc w:val="left"/>
      <w:pPr>
        <w:ind w:left="6687" w:hanging="360"/>
      </w:pPr>
    </w:lvl>
    <w:lvl w:ilvl="8" w:tplc="0C09001B" w:tentative="1">
      <w:start w:val="1"/>
      <w:numFmt w:val="lowerRoman"/>
      <w:lvlText w:val="%9."/>
      <w:lvlJc w:val="right"/>
      <w:pPr>
        <w:ind w:left="7407" w:hanging="180"/>
      </w:pPr>
    </w:lvl>
  </w:abstractNum>
  <w:abstractNum w:abstractNumId="19">
    <w:nsid w:val="643B6F1B"/>
    <w:multiLevelType w:val="hybridMultilevel"/>
    <w:tmpl w:val="6C8CD19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502"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70827DA1"/>
    <w:multiLevelType w:val="hybridMultilevel"/>
    <w:tmpl w:val="E054BB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062"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7336342E"/>
    <w:multiLevelType w:val="hybridMultilevel"/>
    <w:tmpl w:val="04BE27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6BB3DA9"/>
    <w:multiLevelType w:val="hybridMultilevel"/>
    <w:tmpl w:val="4C66652A"/>
    <w:lvl w:ilvl="0" w:tplc="F860240C">
      <w:start w:val="1"/>
      <w:numFmt w:val="decimal"/>
      <w:lvlText w:val="%1)"/>
      <w:lvlJc w:val="left"/>
      <w:pPr>
        <w:ind w:left="924" w:hanging="360"/>
      </w:pPr>
      <w:rPr>
        <w:rFonts w:eastAsia="Times New Roman" w:hint="default"/>
      </w:rPr>
    </w:lvl>
    <w:lvl w:ilvl="1" w:tplc="0C090019" w:tentative="1">
      <w:start w:val="1"/>
      <w:numFmt w:val="lowerLetter"/>
      <w:lvlText w:val="%2."/>
      <w:lvlJc w:val="left"/>
      <w:pPr>
        <w:ind w:left="1644" w:hanging="360"/>
      </w:pPr>
    </w:lvl>
    <w:lvl w:ilvl="2" w:tplc="0C09001B" w:tentative="1">
      <w:start w:val="1"/>
      <w:numFmt w:val="lowerRoman"/>
      <w:lvlText w:val="%3."/>
      <w:lvlJc w:val="right"/>
      <w:pPr>
        <w:ind w:left="2364" w:hanging="180"/>
      </w:pPr>
    </w:lvl>
    <w:lvl w:ilvl="3" w:tplc="0C09000F" w:tentative="1">
      <w:start w:val="1"/>
      <w:numFmt w:val="decimal"/>
      <w:lvlText w:val="%4."/>
      <w:lvlJc w:val="left"/>
      <w:pPr>
        <w:ind w:left="3084" w:hanging="360"/>
      </w:pPr>
    </w:lvl>
    <w:lvl w:ilvl="4" w:tplc="0C090019" w:tentative="1">
      <w:start w:val="1"/>
      <w:numFmt w:val="lowerLetter"/>
      <w:lvlText w:val="%5."/>
      <w:lvlJc w:val="left"/>
      <w:pPr>
        <w:ind w:left="3804" w:hanging="360"/>
      </w:pPr>
    </w:lvl>
    <w:lvl w:ilvl="5" w:tplc="0C09001B" w:tentative="1">
      <w:start w:val="1"/>
      <w:numFmt w:val="lowerRoman"/>
      <w:lvlText w:val="%6."/>
      <w:lvlJc w:val="right"/>
      <w:pPr>
        <w:ind w:left="4524" w:hanging="180"/>
      </w:pPr>
    </w:lvl>
    <w:lvl w:ilvl="6" w:tplc="0C09000F" w:tentative="1">
      <w:start w:val="1"/>
      <w:numFmt w:val="decimal"/>
      <w:lvlText w:val="%7."/>
      <w:lvlJc w:val="left"/>
      <w:pPr>
        <w:ind w:left="5244" w:hanging="360"/>
      </w:pPr>
    </w:lvl>
    <w:lvl w:ilvl="7" w:tplc="0C090019" w:tentative="1">
      <w:start w:val="1"/>
      <w:numFmt w:val="lowerLetter"/>
      <w:lvlText w:val="%8."/>
      <w:lvlJc w:val="left"/>
      <w:pPr>
        <w:ind w:left="5964" w:hanging="360"/>
      </w:pPr>
    </w:lvl>
    <w:lvl w:ilvl="8" w:tplc="0C09001B" w:tentative="1">
      <w:start w:val="1"/>
      <w:numFmt w:val="lowerRoman"/>
      <w:lvlText w:val="%9."/>
      <w:lvlJc w:val="right"/>
      <w:pPr>
        <w:ind w:left="6684" w:hanging="180"/>
      </w:pPr>
    </w:lvl>
  </w:abstractNum>
  <w:num w:numId="1">
    <w:abstractNumId w:val="9"/>
  </w:num>
  <w:num w:numId="2">
    <w:abstractNumId w:val="7"/>
  </w:num>
  <w:num w:numId="3">
    <w:abstractNumId w:val="13"/>
  </w:num>
  <w:num w:numId="4">
    <w:abstractNumId w:val="13"/>
  </w:num>
  <w:num w:numId="5">
    <w:abstractNumId w:val="6"/>
  </w:num>
  <w:num w:numId="6">
    <w:abstractNumId w:val="13"/>
  </w:num>
  <w:num w:numId="7">
    <w:abstractNumId w:val="13"/>
  </w:num>
  <w:num w:numId="8">
    <w:abstractNumId w:val="11"/>
  </w:num>
  <w:num w:numId="9">
    <w:abstractNumId w:val="11"/>
  </w:num>
  <w:num w:numId="10">
    <w:abstractNumId w:val="11"/>
  </w:num>
  <w:num w:numId="11">
    <w:abstractNumId w:val="11"/>
  </w:num>
  <w:num w:numId="12">
    <w:abstractNumId w:val="10"/>
    <w:lvlOverride w:ilvl="0">
      <w:lvl w:ilvl="0">
        <w:numFmt w:val="bullet"/>
        <w:lvlText w:val="•"/>
        <w:legacy w:legacy="1" w:legacySpace="0" w:legacyIndent="0"/>
        <w:lvlJc w:val="left"/>
        <w:rPr>
          <w:rFonts w:ascii="Helv" w:hAnsi="Helv" w:hint="default"/>
        </w:rPr>
      </w:lvl>
    </w:lvlOverride>
  </w:num>
  <w:num w:numId="13">
    <w:abstractNumId w:val="13"/>
  </w:num>
  <w:num w:numId="14">
    <w:abstractNumId w:val="13"/>
  </w:num>
  <w:num w:numId="15">
    <w:abstractNumId w:val="13"/>
  </w:num>
  <w:num w:numId="16">
    <w:abstractNumId w:val="11"/>
  </w:num>
  <w:num w:numId="17">
    <w:abstractNumId w:val="11"/>
  </w:num>
  <w:num w:numId="18">
    <w:abstractNumId w:val="11"/>
  </w:num>
  <w:num w:numId="19">
    <w:abstractNumId w:val="13"/>
  </w:num>
  <w:num w:numId="20">
    <w:abstractNumId w:val="13"/>
  </w:num>
  <w:num w:numId="21">
    <w:abstractNumId w:val="13"/>
  </w:num>
  <w:num w:numId="22">
    <w:abstractNumId w:val="11"/>
  </w:num>
  <w:num w:numId="23">
    <w:abstractNumId w:val="11"/>
  </w:num>
  <w:num w:numId="24">
    <w:abstractNumId w:val="11"/>
  </w:num>
  <w:num w:numId="25">
    <w:abstractNumId w:val="1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1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21"/>
  </w:num>
  <w:num w:numId="28">
    <w:abstractNumId w:val="12"/>
  </w:num>
  <w:num w:numId="29">
    <w:abstractNumId w:val="15"/>
  </w:num>
  <w:num w:numId="30">
    <w:abstractNumId w:val="16"/>
  </w:num>
  <w:num w:numId="31">
    <w:abstractNumId w:val="19"/>
  </w:num>
  <w:num w:numId="32">
    <w:abstractNumId w:val="20"/>
  </w:num>
  <w:num w:numId="33">
    <w:abstractNumId w:val="14"/>
  </w:num>
  <w:num w:numId="34">
    <w:abstractNumId w:val="18"/>
  </w:num>
  <w:num w:numId="35">
    <w:abstractNumId w:val="22"/>
  </w:num>
  <w:num w:numId="36">
    <w:abstractNumId w:val="17"/>
  </w:num>
  <w:num w:numId="37">
    <w:abstractNumId w:val="5"/>
  </w:num>
  <w:num w:numId="38">
    <w:abstractNumId w:val="4"/>
  </w:num>
  <w:num w:numId="39">
    <w:abstractNumId w:val="8"/>
  </w:num>
  <w:num w:numId="40">
    <w:abstractNumId w:val="3"/>
  </w:num>
  <w:num w:numId="41">
    <w:abstractNumId w:val="2"/>
  </w:num>
  <w:num w:numId="42">
    <w:abstractNumId w:val="1"/>
  </w:num>
  <w:num w:numId="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56321">
      <o:colormenu v:ext="edit" fillcolor="none [320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7D38"/>
    <w:rsid w:val="000013C8"/>
    <w:rsid w:val="00002031"/>
    <w:rsid w:val="00004734"/>
    <w:rsid w:val="00004DCE"/>
    <w:rsid w:val="00005845"/>
    <w:rsid w:val="000059BF"/>
    <w:rsid w:val="00006B22"/>
    <w:rsid w:val="0001276A"/>
    <w:rsid w:val="000246AE"/>
    <w:rsid w:val="00025C67"/>
    <w:rsid w:val="0003668D"/>
    <w:rsid w:val="00045B9A"/>
    <w:rsid w:val="00047B06"/>
    <w:rsid w:val="000517FC"/>
    <w:rsid w:val="00052D30"/>
    <w:rsid w:val="00053D48"/>
    <w:rsid w:val="00054297"/>
    <w:rsid w:val="0005559E"/>
    <w:rsid w:val="00061447"/>
    <w:rsid w:val="00062CDD"/>
    <w:rsid w:val="00064E39"/>
    <w:rsid w:val="00077775"/>
    <w:rsid w:val="0008120E"/>
    <w:rsid w:val="00086972"/>
    <w:rsid w:val="00090471"/>
    <w:rsid w:val="00096AA7"/>
    <w:rsid w:val="00097855"/>
    <w:rsid w:val="000A3AED"/>
    <w:rsid w:val="000A66F3"/>
    <w:rsid w:val="000A7C51"/>
    <w:rsid w:val="000A7DA7"/>
    <w:rsid w:val="000B1FEF"/>
    <w:rsid w:val="000B2AF0"/>
    <w:rsid w:val="000B311D"/>
    <w:rsid w:val="000B3532"/>
    <w:rsid w:val="000B3957"/>
    <w:rsid w:val="000B3A75"/>
    <w:rsid w:val="000C0195"/>
    <w:rsid w:val="000C16B3"/>
    <w:rsid w:val="000C31E9"/>
    <w:rsid w:val="000C3D1E"/>
    <w:rsid w:val="000C4CF9"/>
    <w:rsid w:val="000C64D1"/>
    <w:rsid w:val="000C690F"/>
    <w:rsid w:val="000D1295"/>
    <w:rsid w:val="000D391B"/>
    <w:rsid w:val="000D3D6D"/>
    <w:rsid w:val="000D41CE"/>
    <w:rsid w:val="000D4FC7"/>
    <w:rsid w:val="000D6196"/>
    <w:rsid w:val="000D6733"/>
    <w:rsid w:val="000E2815"/>
    <w:rsid w:val="000E4322"/>
    <w:rsid w:val="000E54F5"/>
    <w:rsid w:val="000E6F38"/>
    <w:rsid w:val="000F1186"/>
    <w:rsid w:val="000F21E9"/>
    <w:rsid w:val="000F4869"/>
    <w:rsid w:val="000F54D1"/>
    <w:rsid w:val="000F5B42"/>
    <w:rsid w:val="000F6E6F"/>
    <w:rsid w:val="00100DA8"/>
    <w:rsid w:val="0010601F"/>
    <w:rsid w:val="0010788A"/>
    <w:rsid w:val="00107A31"/>
    <w:rsid w:val="00110DB6"/>
    <w:rsid w:val="00110EA5"/>
    <w:rsid w:val="00112F56"/>
    <w:rsid w:val="00116070"/>
    <w:rsid w:val="001220D1"/>
    <w:rsid w:val="00124F1F"/>
    <w:rsid w:val="00125318"/>
    <w:rsid w:val="001305A2"/>
    <w:rsid w:val="00130B17"/>
    <w:rsid w:val="00131271"/>
    <w:rsid w:val="0013234D"/>
    <w:rsid w:val="00133238"/>
    <w:rsid w:val="00134B04"/>
    <w:rsid w:val="001360D9"/>
    <w:rsid w:val="00141741"/>
    <w:rsid w:val="0014197B"/>
    <w:rsid w:val="0014221D"/>
    <w:rsid w:val="001447CD"/>
    <w:rsid w:val="00145524"/>
    <w:rsid w:val="001516B1"/>
    <w:rsid w:val="001520D0"/>
    <w:rsid w:val="00153E2E"/>
    <w:rsid w:val="00154945"/>
    <w:rsid w:val="00154EBB"/>
    <w:rsid w:val="00156316"/>
    <w:rsid w:val="001579C7"/>
    <w:rsid w:val="00162D14"/>
    <w:rsid w:val="00165389"/>
    <w:rsid w:val="00166CAB"/>
    <w:rsid w:val="001727FA"/>
    <w:rsid w:val="00174108"/>
    <w:rsid w:val="00175239"/>
    <w:rsid w:val="0017693F"/>
    <w:rsid w:val="0018110E"/>
    <w:rsid w:val="00181684"/>
    <w:rsid w:val="001826A6"/>
    <w:rsid w:val="001837F6"/>
    <w:rsid w:val="001843C6"/>
    <w:rsid w:val="001850E0"/>
    <w:rsid w:val="00190ED3"/>
    <w:rsid w:val="00196470"/>
    <w:rsid w:val="001A2158"/>
    <w:rsid w:val="001A525F"/>
    <w:rsid w:val="001A7E37"/>
    <w:rsid w:val="001B09F9"/>
    <w:rsid w:val="001B161E"/>
    <w:rsid w:val="001B6448"/>
    <w:rsid w:val="001C155C"/>
    <w:rsid w:val="001C18C3"/>
    <w:rsid w:val="001C26AF"/>
    <w:rsid w:val="001C3E53"/>
    <w:rsid w:val="001C46EA"/>
    <w:rsid w:val="001D08A5"/>
    <w:rsid w:val="001D527D"/>
    <w:rsid w:val="001E07CF"/>
    <w:rsid w:val="001E1EDC"/>
    <w:rsid w:val="001E2225"/>
    <w:rsid w:val="001E4E3F"/>
    <w:rsid w:val="001E59F1"/>
    <w:rsid w:val="001F3B28"/>
    <w:rsid w:val="001F49EB"/>
    <w:rsid w:val="001F6CBA"/>
    <w:rsid w:val="00201D4E"/>
    <w:rsid w:val="00202C0E"/>
    <w:rsid w:val="002049AD"/>
    <w:rsid w:val="002076C9"/>
    <w:rsid w:val="0021535C"/>
    <w:rsid w:val="0022030B"/>
    <w:rsid w:val="00220B8A"/>
    <w:rsid w:val="002257F3"/>
    <w:rsid w:val="00233456"/>
    <w:rsid w:val="002339A5"/>
    <w:rsid w:val="00235030"/>
    <w:rsid w:val="00244767"/>
    <w:rsid w:val="00246D47"/>
    <w:rsid w:val="00253FB4"/>
    <w:rsid w:val="00256432"/>
    <w:rsid w:val="00257848"/>
    <w:rsid w:val="0026382D"/>
    <w:rsid w:val="00270782"/>
    <w:rsid w:val="0027084A"/>
    <w:rsid w:val="0027236A"/>
    <w:rsid w:val="00281148"/>
    <w:rsid w:val="00283A2B"/>
    <w:rsid w:val="002860D0"/>
    <w:rsid w:val="00286434"/>
    <w:rsid w:val="00286C59"/>
    <w:rsid w:val="002875BD"/>
    <w:rsid w:val="00291957"/>
    <w:rsid w:val="002942D1"/>
    <w:rsid w:val="0029501A"/>
    <w:rsid w:val="002A0943"/>
    <w:rsid w:val="002A4C00"/>
    <w:rsid w:val="002A6650"/>
    <w:rsid w:val="002A672D"/>
    <w:rsid w:val="002B1638"/>
    <w:rsid w:val="002B247E"/>
    <w:rsid w:val="002B3335"/>
    <w:rsid w:val="002B6978"/>
    <w:rsid w:val="002B6B79"/>
    <w:rsid w:val="002C0843"/>
    <w:rsid w:val="002C1885"/>
    <w:rsid w:val="002C6D8D"/>
    <w:rsid w:val="002D176A"/>
    <w:rsid w:val="002D32F8"/>
    <w:rsid w:val="002D3C53"/>
    <w:rsid w:val="002D465D"/>
    <w:rsid w:val="002E4C9A"/>
    <w:rsid w:val="002E5F90"/>
    <w:rsid w:val="002F11F8"/>
    <w:rsid w:val="002F12F4"/>
    <w:rsid w:val="002F3F56"/>
    <w:rsid w:val="002F44B5"/>
    <w:rsid w:val="002F5C05"/>
    <w:rsid w:val="002F79FB"/>
    <w:rsid w:val="00300B25"/>
    <w:rsid w:val="003012A6"/>
    <w:rsid w:val="0030264D"/>
    <w:rsid w:val="003044AC"/>
    <w:rsid w:val="00304E05"/>
    <w:rsid w:val="003117BC"/>
    <w:rsid w:val="00311AC0"/>
    <w:rsid w:val="003138C4"/>
    <w:rsid w:val="0031405C"/>
    <w:rsid w:val="00314D42"/>
    <w:rsid w:val="00315A42"/>
    <w:rsid w:val="0032583B"/>
    <w:rsid w:val="003269CA"/>
    <w:rsid w:val="00327883"/>
    <w:rsid w:val="00335504"/>
    <w:rsid w:val="00342602"/>
    <w:rsid w:val="00347824"/>
    <w:rsid w:val="00350567"/>
    <w:rsid w:val="00351999"/>
    <w:rsid w:val="003521E8"/>
    <w:rsid w:val="00355ACB"/>
    <w:rsid w:val="00355EF3"/>
    <w:rsid w:val="00363472"/>
    <w:rsid w:val="00370057"/>
    <w:rsid w:val="003728F3"/>
    <w:rsid w:val="003747C5"/>
    <w:rsid w:val="0037496E"/>
    <w:rsid w:val="003775D2"/>
    <w:rsid w:val="0038063A"/>
    <w:rsid w:val="003841F1"/>
    <w:rsid w:val="00386150"/>
    <w:rsid w:val="003874CE"/>
    <w:rsid w:val="00390900"/>
    <w:rsid w:val="00390ED5"/>
    <w:rsid w:val="00393788"/>
    <w:rsid w:val="00397FFC"/>
    <w:rsid w:val="003A13CE"/>
    <w:rsid w:val="003A1867"/>
    <w:rsid w:val="003A367A"/>
    <w:rsid w:val="003A41C6"/>
    <w:rsid w:val="003A7F6C"/>
    <w:rsid w:val="003B3604"/>
    <w:rsid w:val="003B4D60"/>
    <w:rsid w:val="003B564D"/>
    <w:rsid w:val="003B7E39"/>
    <w:rsid w:val="003C35E0"/>
    <w:rsid w:val="003C5633"/>
    <w:rsid w:val="003C58DC"/>
    <w:rsid w:val="003C7172"/>
    <w:rsid w:val="003C76B6"/>
    <w:rsid w:val="003D1E62"/>
    <w:rsid w:val="003D27BB"/>
    <w:rsid w:val="003D3BAC"/>
    <w:rsid w:val="003E008A"/>
    <w:rsid w:val="003E2486"/>
    <w:rsid w:val="003E3208"/>
    <w:rsid w:val="003E6906"/>
    <w:rsid w:val="003F0B04"/>
    <w:rsid w:val="0040134E"/>
    <w:rsid w:val="00401F1D"/>
    <w:rsid w:val="0040571E"/>
    <w:rsid w:val="00405EC1"/>
    <w:rsid w:val="00407A9B"/>
    <w:rsid w:val="004135C6"/>
    <w:rsid w:val="0041610D"/>
    <w:rsid w:val="00416832"/>
    <w:rsid w:val="00417E43"/>
    <w:rsid w:val="00432029"/>
    <w:rsid w:val="00433877"/>
    <w:rsid w:val="00440A2D"/>
    <w:rsid w:val="00446366"/>
    <w:rsid w:val="00447DB6"/>
    <w:rsid w:val="00454F00"/>
    <w:rsid w:val="004564A7"/>
    <w:rsid w:val="00456D5A"/>
    <w:rsid w:val="004617BF"/>
    <w:rsid w:val="00463658"/>
    <w:rsid w:val="00467661"/>
    <w:rsid w:val="004717C2"/>
    <w:rsid w:val="004722CC"/>
    <w:rsid w:val="004723D4"/>
    <w:rsid w:val="0047642D"/>
    <w:rsid w:val="00480086"/>
    <w:rsid w:val="00480853"/>
    <w:rsid w:val="00480A0B"/>
    <w:rsid w:val="0048494A"/>
    <w:rsid w:val="00485791"/>
    <w:rsid w:val="004936E4"/>
    <w:rsid w:val="00494E60"/>
    <w:rsid w:val="00497487"/>
    <w:rsid w:val="004A0933"/>
    <w:rsid w:val="004A0C05"/>
    <w:rsid w:val="004A1D48"/>
    <w:rsid w:val="004B2E8F"/>
    <w:rsid w:val="004B7B76"/>
    <w:rsid w:val="004C239D"/>
    <w:rsid w:val="004C2DCA"/>
    <w:rsid w:val="004D02DA"/>
    <w:rsid w:val="004D26EA"/>
    <w:rsid w:val="004D575E"/>
    <w:rsid w:val="004E06A6"/>
    <w:rsid w:val="004E2410"/>
    <w:rsid w:val="004E26C3"/>
    <w:rsid w:val="004E542E"/>
    <w:rsid w:val="004E6DD0"/>
    <w:rsid w:val="004E6F95"/>
    <w:rsid w:val="004E7076"/>
    <w:rsid w:val="004F0F38"/>
    <w:rsid w:val="004F1616"/>
    <w:rsid w:val="004F1E88"/>
    <w:rsid w:val="004F6685"/>
    <w:rsid w:val="00501921"/>
    <w:rsid w:val="005023B0"/>
    <w:rsid w:val="00507DDA"/>
    <w:rsid w:val="00510B56"/>
    <w:rsid w:val="0051469D"/>
    <w:rsid w:val="00530354"/>
    <w:rsid w:val="00535014"/>
    <w:rsid w:val="0053625B"/>
    <w:rsid w:val="005434C6"/>
    <w:rsid w:val="00543B39"/>
    <w:rsid w:val="0054447F"/>
    <w:rsid w:val="005467BA"/>
    <w:rsid w:val="00550096"/>
    <w:rsid w:val="00557FF9"/>
    <w:rsid w:val="00564BA6"/>
    <w:rsid w:val="00565E37"/>
    <w:rsid w:val="005661F0"/>
    <w:rsid w:val="00567529"/>
    <w:rsid w:val="005714FE"/>
    <w:rsid w:val="005725B7"/>
    <w:rsid w:val="00576378"/>
    <w:rsid w:val="00576E3E"/>
    <w:rsid w:val="00577130"/>
    <w:rsid w:val="00577945"/>
    <w:rsid w:val="00577E38"/>
    <w:rsid w:val="0058044E"/>
    <w:rsid w:val="00580ACB"/>
    <w:rsid w:val="00581D70"/>
    <w:rsid w:val="00585322"/>
    <w:rsid w:val="005857C6"/>
    <w:rsid w:val="00585985"/>
    <w:rsid w:val="00585C64"/>
    <w:rsid w:val="00587D38"/>
    <w:rsid w:val="00592D57"/>
    <w:rsid w:val="00592F6E"/>
    <w:rsid w:val="00593AD1"/>
    <w:rsid w:val="00593B0F"/>
    <w:rsid w:val="00596A5C"/>
    <w:rsid w:val="00596E7B"/>
    <w:rsid w:val="005972DD"/>
    <w:rsid w:val="0059784D"/>
    <w:rsid w:val="005A394E"/>
    <w:rsid w:val="005A4A83"/>
    <w:rsid w:val="005A5BC8"/>
    <w:rsid w:val="005A657F"/>
    <w:rsid w:val="005A68B6"/>
    <w:rsid w:val="005C23CC"/>
    <w:rsid w:val="005C2C1A"/>
    <w:rsid w:val="005C5570"/>
    <w:rsid w:val="005C5AC6"/>
    <w:rsid w:val="005C79A4"/>
    <w:rsid w:val="005D04F4"/>
    <w:rsid w:val="005D2EE8"/>
    <w:rsid w:val="005D5442"/>
    <w:rsid w:val="005D692C"/>
    <w:rsid w:val="005D7584"/>
    <w:rsid w:val="005E0FE0"/>
    <w:rsid w:val="005E27DB"/>
    <w:rsid w:val="005E5D67"/>
    <w:rsid w:val="005E6996"/>
    <w:rsid w:val="005F0152"/>
    <w:rsid w:val="005F5B19"/>
    <w:rsid w:val="006005D4"/>
    <w:rsid w:val="00603F32"/>
    <w:rsid w:val="00610E22"/>
    <w:rsid w:val="00613CFE"/>
    <w:rsid w:val="00620A87"/>
    <w:rsid w:val="00621C2E"/>
    <w:rsid w:val="00622C68"/>
    <w:rsid w:val="00625A6E"/>
    <w:rsid w:val="00632398"/>
    <w:rsid w:val="00632C53"/>
    <w:rsid w:val="0063536B"/>
    <w:rsid w:val="00635F6A"/>
    <w:rsid w:val="0064089D"/>
    <w:rsid w:val="00640FC3"/>
    <w:rsid w:val="00642020"/>
    <w:rsid w:val="00642629"/>
    <w:rsid w:val="00642B8D"/>
    <w:rsid w:val="0064329B"/>
    <w:rsid w:val="0065337B"/>
    <w:rsid w:val="0065419D"/>
    <w:rsid w:val="006545A6"/>
    <w:rsid w:val="00657FB5"/>
    <w:rsid w:val="006604AF"/>
    <w:rsid w:val="006604D8"/>
    <w:rsid w:val="00664A5B"/>
    <w:rsid w:val="00666DB3"/>
    <w:rsid w:val="006747FC"/>
    <w:rsid w:val="006763D2"/>
    <w:rsid w:val="00680C08"/>
    <w:rsid w:val="006835CB"/>
    <w:rsid w:val="0068614C"/>
    <w:rsid w:val="00690779"/>
    <w:rsid w:val="006931B1"/>
    <w:rsid w:val="00694C63"/>
    <w:rsid w:val="006956D7"/>
    <w:rsid w:val="006957A6"/>
    <w:rsid w:val="006966B9"/>
    <w:rsid w:val="006A15C0"/>
    <w:rsid w:val="006A260F"/>
    <w:rsid w:val="006A53FF"/>
    <w:rsid w:val="006A6E7B"/>
    <w:rsid w:val="006B4EAE"/>
    <w:rsid w:val="006B7DC7"/>
    <w:rsid w:val="006C1CEA"/>
    <w:rsid w:val="006C3E2A"/>
    <w:rsid w:val="006C5FEE"/>
    <w:rsid w:val="006C642F"/>
    <w:rsid w:val="006D03E5"/>
    <w:rsid w:val="006D08F3"/>
    <w:rsid w:val="006D5D3E"/>
    <w:rsid w:val="006E08B3"/>
    <w:rsid w:val="006E45E7"/>
    <w:rsid w:val="006E6E06"/>
    <w:rsid w:val="006F17AC"/>
    <w:rsid w:val="006F4848"/>
    <w:rsid w:val="006F572E"/>
    <w:rsid w:val="006F6B78"/>
    <w:rsid w:val="006F72FE"/>
    <w:rsid w:val="006F7B29"/>
    <w:rsid w:val="00702F6C"/>
    <w:rsid w:val="007046D6"/>
    <w:rsid w:val="00705DB0"/>
    <w:rsid w:val="00710385"/>
    <w:rsid w:val="00710ABF"/>
    <w:rsid w:val="00714B79"/>
    <w:rsid w:val="0071667E"/>
    <w:rsid w:val="00717AC8"/>
    <w:rsid w:val="00722B57"/>
    <w:rsid w:val="00736537"/>
    <w:rsid w:val="00737D2A"/>
    <w:rsid w:val="0074253D"/>
    <w:rsid w:val="0074429B"/>
    <w:rsid w:val="007459D7"/>
    <w:rsid w:val="00746B66"/>
    <w:rsid w:val="0075492C"/>
    <w:rsid w:val="00757E4D"/>
    <w:rsid w:val="007615BC"/>
    <w:rsid w:val="00762F05"/>
    <w:rsid w:val="00764E16"/>
    <w:rsid w:val="007652FF"/>
    <w:rsid w:val="00770689"/>
    <w:rsid w:val="00770EF1"/>
    <w:rsid w:val="00771BCD"/>
    <w:rsid w:val="007738BF"/>
    <w:rsid w:val="00773EF7"/>
    <w:rsid w:val="007742FC"/>
    <w:rsid w:val="00774E1D"/>
    <w:rsid w:val="0077675A"/>
    <w:rsid w:val="00777AB6"/>
    <w:rsid w:val="00780355"/>
    <w:rsid w:val="00785721"/>
    <w:rsid w:val="00785C59"/>
    <w:rsid w:val="00793A59"/>
    <w:rsid w:val="007941B1"/>
    <w:rsid w:val="007A7799"/>
    <w:rsid w:val="007A7A53"/>
    <w:rsid w:val="007B2437"/>
    <w:rsid w:val="007B429D"/>
    <w:rsid w:val="007B668F"/>
    <w:rsid w:val="007B6E9F"/>
    <w:rsid w:val="007B7C1E"/>
    <w:rsid w:val="007C1216"/>
    <w:rsid w:val="007C1AF7"/>
    <w:rsid w:val="007C2CFD"/>
    <w:rsid w:val="007C31C8"/>
    <w:rsid w:val="007C36EE"/>
    <w:rsid w:val="007C6951"/>
    <w:rsid w:val="007D0BE7"/>
    <w:rsid w:val="007D24FE"/>
    <w:rsid w:val="007D79B4"/>
    <w:rsid w:val="007E2011"/>
    <w:rsid w:val="007E60A1"/>
    <w:rsid w:val="007F0254"/>
    <w:rsid w:val="007F45B1"/>
    <w:rsid w:val="007F46F5"/>
    <w:rsid w:val="00805D27"/>
    <w:rsid w:val="008079CD"/>
    <w:rsid w:val="00814EC4"/>
    <w:rsid w:val="008161CC"/>
    <w:rsid w:val="008215CB"/>
    <w:rsid w:val="00821776"/>
    <w:rsid w:val="008223DF"/>
    <w:rsid w:val="00822B50"/>
    <w:rsid w:val="00823066"/>
    <w:rsid w:val="008253D6"/>
    <w:rsid w:val="008321F5"/>
    <w:rsid w:val="00832369"/>
    <w:rsid w:val="00834660"/>
    <w:rsid w:val="00834A94"/>
    <w:rsid w:val="00834E29"/>
    <w:rsid w:val="00836BC2"/>
    <w:rsid w:val="0084349C"/>
    <w:rsid w:val="00843A8D"/>
    <w:rsid w:val="00850015"/>
    <w:rsid w:val="00854877"/>
    <w:rsid w:val="0085523C"/>
    <w:rsid w:val="0085641B"/>
    <w:rsid w:val="00857136"/>
    <w:rsid w:val="0086126B"/>
    <w:rsid w:val="008612A5"/>
    <w:rsid w:val="00866730"/>
    <w:rsid w:val="008716ED"/>
    <w:rsid w:val="008824EF"/>
    <w:rsid w:val="00883D52"/>
    <w:rsid w:val="00885B11"/>
    <w:rsid w:val="00886D15"/>
    <w:rsid w:val="00887DD8"/>
    <w:rsid w:val="00893A1B"/>
    <w:rsid w:val="00896018"/>
    <w:rsid w:val="008960DD"/>
    <w:rsid w:val="00896169"/>
    <w:rsid w:val="00896260"/>
    <w:rsid w:val="0089635C"/>
    <w:rsid w:val="00896475"/>
    <w:rsid w:val="008978A6"/>
    <w:rsid w:val="00897E65"/>
    <w:rsid w:val="008A19C2"/>
    <w:rsid w:val="008A2B9D"/>
    <w:rsid w:val="008A57DD"/>
    <w:rsid w:val="008A5AD4"/>
    <w:rsid w:val="008A5E0B"/>
    <w:rsid w:val="008A6D59"/>
    <w:rsid w:val="008B4B03"/>
    <w:rsid w:val="008B4C02"/>
    <w:rsid w:val="008B596F"/>
    <w:rsid w:val="008B7A48"/>
    <w:rsid w:val="008B7C04"/>
    <w:rsid w:val="008C159F"/>
    <w:rsid w:val="008C1623"/>
    <w:rsid w:val="008C1850"/>
    <w:rsid w:val="008C4363"/>
    <w:rsid w:val="008C51A9"/>
    <w:rsid w:val="008E7846"/>
    <w:rsid w:val="008F1352"/>
    <w:rsid w:val="008F1CCC"/>
    <w:rsid w:val="008F2967"/>
    <w:rsid w:val="008F56CC"/>
    <w:rsid w:val="008F6943"/>
    <w:rsid w:val="008F6B21"/>
    <w:rsid w:val="008F6C2B"/>
    <w:rsid w:val="008F771D"/>
    <w:rsid w:val="009019E0"/>
    <w:rsid w:val="00902A21"/>
    <w:rsid w:val="00902EAD"/>
    <w:rsid w:val="00902FE9"/>
    <w:rsid w:val="00903F6B"/>
    <w:rsid w:val="0091031C"/>
    <w:rsid w:val="00920330"/>
    <w:rsid w:val="009219D7"/>
    <w:rsid w:val="00922327"/>
    <w:rsid w:val="00922D53"/>
    <w:rsid w:val="00923B70"/>
    <w:rsid w:val="00923F39"/>
    <w:rsid w:val="00924482"/>
    <w:rsid w:val="0092588F"/>
    <w:rsid w:val="00930237"/>
    <w:rsid w:val="00936F26"/>
    <w:rsid w:val="00946CBA"/>
    <w:rsid w:val="00946EA5"/>
    <w:rsid w:val="00952248"/>
    <w:rsid w:val="009625B6"/>
    <w:rsid w:val="00963432"/>
    <w:rsid w:val="009637C4"/>
    <w:rsid w:val="00963C08"/>
    <w:rsid w:val="009647EB"/>
    <w:rsid w:val="00966075"/>
    <w:rsid w:val="00981383"/>
    <w:rsid w:val="0098585A"/>
    <w:rsid w:val="009861F8"/>
    <w:rsid w:val="00993D09"/>
    <w:rsid w:val="009943CA"/>
    <w:rsid w:val="009A00EA"/>
    <w:rsid w:val="009A0F96"/>
    <w:rsid w:val="009A2923"/>
    <w:rsid w:val="009A303A"/>
    <w:rsid w:val="009A4CED"/>
    <w:rsid w:val="009A690D"/>
    <w:rsid w:val="009B0459"/>
    <w:rsid w:val="009B11C3"/>
    <w:rsid w:val="009B18D3"/>
    <w:rsid w:val="009B1D12"/>
    <w:rsid w:val="009B416B"/>
    <w:rsid w:val="009B7987"/>
    <w:rsid w:val="009B79AE"/>
    <w:rsid w:val="009B7A98"/>
    <w:rsid w:val="009C20F4"/>
    <w:rsid w:val="009C253E"/>
    <w:rsid w:val="009C2AD5"/>
    <w:rsid w:val="009C3419"/>
    <w:rsid w:val="009C4BD5"/>
    <w:rsid w:val="009D1416"/>
    <w:rsid w:val="009D7B77"/>
    <w:rsid w:val="009E0BB0"/>
    <w:rsid w:val="009E2603"/>
    <w:rsid w:val="009E3FBB"/>
    <w:rsid w:val="00A000DF"/>
    <w:rsid w:val="00A036D3"/>
    <w:rsid w:val="00A04841"/>
    <w:rsid w:val="00A05D88"/>
    <w:rsid w:val="00A06DF1"/>
    <w:rsid w:val="00A07945"/>
    <w:rsid w:val="00A102E4"/>
    <w:rsid w:val="00A113F2"/>
    <w:rsid w:val="00A12C42"/>
    <w:rsid w:val="00A14DF7"/>
    <w:rsid w:val="00A15B02"/>
    <w:rsid w:val="00A16F1B"/>
    <w:rsid w:val="00A3246D"/>
    <w:rsid w:val="00A3527C"/>
    <w:rsid w:val="00A3535E"/>
    <w:rsid w:val="00A367D7"/>
    <w:rsid w:val="00A36FA7"/>
    <w:rsid w:val="00A413F8"/>
    <w:rsid w:val="00A45404"/>
    <w:rsid w:val="00A475B7"/>
    <w:rsid w:val="00A476DC"/>
    <w:rsid w:val="00A47AF7"/>
    <w:rsid w:val="00A47C3E"/>
    <w:rsid w:val="00A50226"/>
    <w:rsid w:val="00A50B8D"/>
    <w:rsid w:val="00A52822"/>
    <w:rsid w:val="00A550A0"/>
    <w:rsid w:val="00A57843"/>
    <w:rsid w:val="00A57C82"/>
    <w:rsid w:val="00A60BAD"/>
    <w:rsid w:val="00A63203"/>
    <w:rsid w:val="00A70029"/>
    <w:rsid w:val="00A712E3"/>
    <w:rsid w:val="00A72BA8"/>
    <w:rsid w:val="00A751BA"/>
    <w:rsid w:val="00A762D3"/>
    <w:rsid w:val="00A816D6"/>
    <w:rsid w:val="00A81B54"/>
    <w:rsid w:val="00A82D73"/>
    <w:rsid w:val="00A83DDB"/>
    <w:rsid w:val="00A84E36"/>
    <w:rsid w:val="00A855E8"/>
    <w:rsid w:val="00A86960"/>
    <w:rsid w:val="00A94846"/>
    <w:rsid w:val="00A964D1"/>
    <w:rsid w:val="00A97DBA"/>
    <w:rsid w:val="00AA0ED0"/>
    <w:rsid w:val="00AA3B2E"/>
    <w:rsid w:val="00AA5A96"/>
    <w:rsid w:val="00AB2192"/>
    <w:rsid w:val="00AC145E"/>
    <w:rsid w:val="00AC1ED2"/>
    <w:rsid w:val="00AC2150"/>
    <w:rsid w:val="00AC2B40"/>
    <w:rsid w:val="00AC2BB2"/>
    <w:rsid w:val="00AC2C3C"/>
    <w:rsid w:val="00AC385A"/>
    <w:rsid w:val="00AC4C10"/>
    <w:rsid w:val="00AC512D"/>
    <w:rsid w:val="00AC75E5"/>
    <w:rsid w:val="00AC79EA"/>
    <w:rsid w:val="00AD0083"/>
    <w:rsid w:val="00AD01B9"/>
    <w:rsid w:val="00AD052E"/>
    <w:rsid w:val="00AD39D3"/>
    <w:rsid w:val="00AE254D"/>
    <w:rsid w:val="00AE65EB"/>
    <w:rsid w:val="00AE67A7"/>
    <w:rsid w:val="00AE69DB"/>
    <w:rsid w:val="00AF1D94"/>
    <w:rsid w:val="00AF4AA0"/>
    <w:rsid w:val="00AF60C5"/>
    <w:rsid w:val="00AF6618"/>
    <w:rsid w:val="00AF6A0F"/>
    <w:rsid w:val="00B009C6"/>
    <w:rsid w:val="00B01548"/>
    <w:rsid w:val="00B10F00"/>
    <w:rsid w:val="00B12135"/>
    <w:rsid w:val="00B12EEE"/>
    <w:rsid w:val="00B21D29"/>
    <w:rsid w:val="00B23395"/>
    <w:rsid w:val="00B25034"/>
    <w:rsid w:val="00B25601"/>
    <w:rsid w:val="00B309B9"/>
    <w:rsid w:val="00B322EF"/>
    <w:rsid w:val="00B32CBE"/>
    <w:rsid w:val="00B33588"/>
    <w:rsid w:val="00B33863"/>
    <w:rsid w:val="00B340A1"/>
    <w:rsid w:val="00B370DA"/>
    <w:rsid w:val="00B37D17"/>
    <w:rsid w:val="00B37F3C"/>
    <w:rsid w:val="00B4175E"/>
    <w:rsid w:val="00B452CE"/>
    <w:rsid w:val="00B4556B"/>
    <w:rsid w:val="00B478EA"/>
    <w:rsid w:val="00B530C1"/>
    <w:rsid w:val="00B54C25"/>
    <w:rsid w:val="00B55FD2"/>
    <w:rsid w:val="00B70A38"/>
    <w:rsid w:val="00B73BA9"/>
    <w:rsid w:val="00B74708"/>
    <w:rsid w:val="00B76B91"/>
    <w:rsid w:val="00B77EB1"/>
    <w:rsid w:val="00B811C6"/>
    <w:rsid w:val="00B830D7"/>
    <w:rsid w:val="00B83114"/>
    <w:rsid w:val="00B840AB"/>
    <w:rsid w:val="00B845EC"/>
    <w:rsid w:val="00B855B0"/>
    <w:rsid w:val="00B92D13"/>
    <w:rsid w:val="00B92E08"/>
    <w:rsid w:val="00BA0D66"/>
    <w:rsid w:val="00BA1343"/>
    <w:rsid w:val="00BA3E11"/>
    <w:rsid w:val="00BA5061"/>
    <w:rsid w:val="00BA7681"/>
    <w:rsid w:val="00BB2731"/>
    <w:rsid w:val="00BC000B"/>
    <w:rsid w:val="00BC4015"/>
    <w:rsid w:val="00BC4999"/>
    <w:rsid w:val="00BC4B45"/>
    <w:rsid w:val="00BC622A"/>
    <w:rsid w:val="00BD2B61"/>
    <w:rsid w:val="00BE0A78"/>
    <w:rsid w:val="00BE2BB3"/>
    <w:rsid w:val="00BE79F0"/>
    <w:rsid w:val="00BE7EF1"/>
    <w:rsid w:val="00BF046D"/>
    <w:rsid w:val="00BF1190"/>
    <w:rsid w:val="00BF1D6D"/>
    <w:rsid w:val="00BF5D04"/>
    <w:rsid w:val="00C01442"/>
    <w:rsid w:val="00C02E44"/>
    <w:rsid w:val="00C032A4"/>
    <w:rsid w:val="00C0494D"/>
    <w:rsid w:val="00C1164D"/>
    <w:rsid w:val="00C13EB1"/>
    <w:rsid w:val="00C16861"/>
    <w:rsid w:val="00C16C81"/>
    <w:rsid w:val="00C22A19"/>
    <w:rsid w:val="00C22C27"/>
    <w:rsid w:val="00C25BEF"/>
    <w:rsid w:val="00C266E2"/>
    <w:rsid w:val="00C2690F"/>
    <w:rsid w:val="00C2761A"/>
    <w:rsid w:val="00C30EB6"/>
    <w:rsid w:val="00C32EEC"/>
    <w:rsid w:val="00C36A0E"/>
    <w:rsid w:val="00C37183"/>
    <w:rsid w:val="00C372BB"/>
    <w:rsid w:val="00C404A6"/>
    <w:rsid w:val="00C40A36"/>
    <w:rsid w:val="00C40B29"/>
    <w:rsid w:val="00C42B14"/>
    <w:rsid w:val="00C44419"/>
    <w:rsid w:val="00C45E7B"/>
    <w:rsid w:val="00C471B1"/>
    <w:rsid w:val="00C47FC8"/>
    <w:rsid w:val="00C52A86"/>
    <w:rsid w:val="00C6316B"/>
    <w:rsid w:val="00C634A9"/>
    <w:rsid w:val="00C64586"/>
    <w:rsid w:val="00C65741"/>
    <w:rsid w:val="00C66ECA"/>
    <w:rsid w:val="00C703FF"/>
    <w:rsid w:val="00C70D53"/>
    <w:rsid w:val="00C711D7"/>
    <w:rsid w:val="00C73D0B"/>
    <w:rsid w:val="00C76449"/>
    <w:rsid w:val="00C772FF"/>
    <w:rsid w:val="00C80137"/>
    <w:rsid w:val="00C801AF"/>
    <w:rsid w:val="00C80256"/>
    <w:rsid w:val="00C82050"/>
    <w:rsid w:val="00C8391A"/>
    <w:rsid w:val="00C84A5D"/>
    <w:rsid w:val="00C8589C"/>
    <w:rsid w:val="00C86623"/>
    <w:rsid w:val="00C9091E"/>
    <w:rsid w:val="00CA11B3"/>
    <w:rsid w:val="00CB4841"/>
    <w:rsid w:val="00CB6BC0"/>
    <w:rsid w:val="00CC1B7C"/>
    <w:rsid w:val="00CC2297"/>
    <w:rsid w:val="00CC727F"/>
    <w:rsid w:val="00CD5119"/>
    <w:rsid w:val="00CD70A3"/>
    <w:rsid w:val="00CE4113"/>
    <w:rsid w:val="00CE5C0F"/>
    <w:rsid w:val="00CF0B75"/>
    <w:rsid w:val="00CF13DE"/>
    <w:rsid w:val="00CF15C3"/>
    <w:rsid w:val="00CF2B6F"/>
    <w:rsid w:val="00CF3622"/>
    <w:rsid w:val="00CF3A82"/>
    <w:rsid w:val="00CF58B6"/>
    <w:rsid w:val="00CF7ED6"/>
    <w:rsid w:val="00D00DC5"/>
    <w:rsid w:val="00D017ED"/>
    <w:rsid w:val="00D040D3"/>
    <w:rsid w:val="00D04B7D"/>
    <w:rsid w:val="00D04C65"/>
    <w:rsid w:val="00D10004"/>
    <w:rsid w:val="00D13C42"/>
    <w:rsid w:val="00D224FE"/>
    <w:rsid w:val="00D33746"/>
    <w:rsid w:val="00D3485D"/>
    <w:rsid w:val="00D636A8"/>
    <w:rsid w:val="00D6493E"/>
    <w:rsid w:val="00D714A5"/>
    <w:rsid w:val="00D72DFD"/>
    <w:rsid w:val="00D7301E"/>
    <w:rsid w:val="00D77434"/>
    <w:rsid w:val="00D83AE1"/>
    <w:rsid w:val="00D855D4"/>
    <w:rsid w:val="00D85D40"/>
    <w:rsid w:val="00D928A0"/>
    <w:rsid w:val="00D93466"/>
    <w:rsid w:val="00DA06DD"/>
    <w:rsid w:val="00DA08C1"/>
    <w:rsid w:val="00DA1124"/>
    <w:rsid w:val="00DA2F19"/>
    <w:rsid w:val="00DA3B2A"/>
    <w:rsid w:val="00DA53FA"/>
    <w:rsid w:val="00DB5097"/>
    <w:rsid w:val="00DB6124"/>
    <w:rsid w:val="00DB75B7"/>
    <w:rsid w:val="00DC49BD"/>
    <w:rsid w:val="00DC5D0D"/>
    <w:rsid w:val="00DC6E02"/>
    <w:rsid w:val="00DD5F12"/>
    <w:rsid w:val="00DE02AE"/>
    <w:rsid w:val="00DE7B96"/>
    <w:rsid w:val="00DF1D7F"/>
    <w:rsid w:val="00DF2994"/>
    <w:rsid w:val="00DF4BE4"/>
    <w:rsid w:val="00DF51AD"/>
    <w:rsid w:val="00E00974"/>
    <w:rsid w:val="00E02FB4"/>
    <w:rsid w:val="00E03B04"/>
    <w:rsid w:val="00E16FB4"/>
    <w:rsid w:val="00E17099"/>
    <w:rsid w:val="00E20571"/>
    <w:rsid w:val="00E226D9"/>
    <w:rsid w:val="00E2331F"/>
    <w:rsid w:val="00E235F7"/>
    <w:rsid w:val="00E23659"/>
    <w:rsid w:val="00E239D4"/>
    <w:rsid w:val="00E24269"/>
    <w:rsid w:val="00E2532F"/>
    <w:rsid w:val="00E26130"/>
    <w:rsid w:val="00E26C46"/>
    <w:rsid w:val="00E3661A"/>
    <w:rsid w:val="00E36EC5"/>
    <w:rsid w:val="00E4077D"/>
    <w:rsid w:val="00E40B22"/>
    <w:rsid w:val="00E438FA"/>
    <w:rsid w:val="00E45619"/>
    <w:rsid w:val="00E4588F"/>
    <w:rsid w:val="00E45C45"/>
    <w:rsid w:val="00E46DA3"/>
    <w:rsid w:val="00E47D17"/>
    <w:rsid w:val="00E51BB1"/>
    <w:rsid w:val="00E624A5"/>
    <w:rsid w:val="00E62DBA"/>
    <w:rsid w:val="00E70433"/>
    <w:rsid w:val="00E7344E"/>
    <w:rsid w:val="00E76FF2"/>
    <w:rsid w:val="00E840F7"/>
    <w:rsid w:val="00E90009"/>
    <w:rsid w:val="00E964BD"/>
    <w:rsid w:val="00EA246C"/>
    <w:rsid w:val="00EB0798"/>
    <w:rsid w:val="00EB1E7D"/>
    <w:rsid w:val="00EB40AD"/>
    <w:rsid w:val="00EB586E"/>
    <w:rsid w:val="00EB5FC8"/>
    <w:rsid w:val="00EB722F"/>
    <w:rsid w:val="00EC06A8"/>
    <w:rsid w:val="00EC402E"/>
    <w:rsid w:val="00EC42BC"/>
    <w:rsid w:val="00EC6482"/>
    <w:rsid w:val="00EC7A85"/>
    <w:rsid w:val="00ED2A0E"/>
    <w:rsid w:val="00ED3CAD"/>
    <w:rsid w:val="00ED4C7D"/>
    <w:rsid w:val="00ED5A41"/>
    <w:rsid w:val="00EE0F63"/>
    <w:rsid w:val="00EE1AE2"/>
    <w:rsid w:val="00EE1DE8"/>
    <w:rsid w:val="00EE2BFD"/>
    <w:rsid w:val="00EE477A"/>
    <w:rsid w:val="00EE4AC9"/>
    <w:rsid w:val="00EF455D"/>
    <w:rsid w:val="00EF595B"/>
    <w:rsid w:val="00EF6EEE"/>
    <w:rsid w:val="00F033EC"/>
    <w:rsid w:val="00F04F68"/>
    <w:rsid w:val="00F103EF"/>
    <w:rsid w:val="00F12670"/>
    <w:rsid w:val="00F12ED9"/>
    <w:rsid w:val="00F14B27"/>
    <w:rsid w:val="00F239BF"/>
    <w:rsid w:val="00F27FC8"/>
    <w:rsid w:val="00F30E7B"/>
    <w:rsid w:val="00F3148D"/>
    <w:rsid w:val="00F325C5"/>
    <w:rsid w:val="00F3285B"/>
    <w:rsid w:val="00F32FE0"/>
    <w:rsid w:val="00F35298"/>
    <w:rsid w:val="00F47333"/>
    <w:rsid w:val="00F47E37"/>
    <w:rsid w:val="00F53C07"/>
    <w:rsid w:val="00F54B65"/>
    <w:rsid w:val="00F55DDB"/>
    <w:rsid w:val="00F57738"/>
    <w:rsid w:val="00F635B4"/>
    <w:rsid w:val="00F640B6"/>
    <w:rsid w:val="00F675CC"/>
    <w:rsid w:val="00F70275"/>
    <w:rsid w:val="00F7652E"/>
    <w:rsid w:val="00F80E40"/>
    <w:rsid w:val="00F84196"/>
    <w:rsid w:val="00F848D9"/>
    <w:rsid w:val="00F9326B"/>
    <w:rsid w:val="00F95177"/>
    <w:rsid w:val="00F96CBE"/>
    <w:rsid w:val="00F97052"/>
    <w:rsid w:val="00FA1827"/>
    <w:rsid w:val="00FA2817"/>
    <w:rsid w:val="00FA5B82"/>
    <w:rsid w:val="00FA639E"/>
    <w:rsid w:val="00FA6B65"/>
    <w:rsid w:val="00FB1C1A"/>
    <w:rsid w:val="00FB6ABD"/>
    <w:rsid w:val="00FC001E"/>
    <w:rsid w:val="00FC113D"/>
    <w:rsid w:val="00FC25E4"/>
    <w:rsid w:val="00FC2EF9"/>
    <w:rsid w:val="00FC4EF7"/>
    <w:rsid w:val="00FD17F2"/>
    <w:rsid w:val="00FD35FF"/>
    <w:rsid w:val="00FD4D15"/>
    <w:rsid w:val="00FE1DEE"/>
    <w:rsid w:val="00FE22B9"/>
    <w:rsid w:val="00FE2DC4"/>
    <w:rsid w:val="00FF03C1"/>
    <w:rsid w:val="00FF2126"/>
    <w:rsid w:val="00FF30FF"/>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6321">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07945"/>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rFonts w:cs="Arial"/>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Arial" w:eastAsia="Times New Roman" w:hAnsi="Arial" w:cs="Arial"/>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110DB6"/>
    <w:pPr>
      <w:spacing w:before="0" w:after="0" w:line="360" w:lineRule="auto"/>
    </w:pPr>
    <w:rPr>
      <w:sz w:val="18"/>
    </w:rPr>
  </w:style>
  <w:style w:type="paragraph" w:customStyle="1" w:styleId="FigureTitle">
    <w:name w:val="Figure Title"/>
    <w:basedOn w:val="Normal"/>
    <w:qFormat/>
    <w:rsid w:val="00110DB6"/>
    <w:pPr>
      <w:keepNext/>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A07945"/>
    <w:pPr>
      <w:spacing w:line="240" w:lineRule="auto"/>
    </w:pPr>
    <w:rPr>
      <w:szCs w:val="19"/>
    </w:rPr>
  </w:style>
  <w:style w:type="table" w:styleId="TableGrid">
    <w:name w:val="Table Grid"/>
    <w:basedOn w:val="TableNormal"/>
    <w:uiPriority w:val="59"/>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basedOn w:val="DefaultParagraphFont"/>
    <w:link w:val="Title"/>
    <w:uiPriority w:val="10"/>
    <w:rsid w:val="00F3148D"/>
    <w:rPr>
      <w:rFonts w:ascii="Arial" w:eastAsia="Times New Roman" w:hAnsi="Arial"/>
      <w:spacing w:val="5"/>
      <w:kern w:val="28"/>
      <w:sz w:val="52"/>
      <w:szCs w:val="52"/>
      <w:lang w:val="en-AU" w:eastAsia="en-US" w:bidi="ar-SA"/>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imes New Roman"/>
      <w:color w:val="002035"/>
      <w:sz w:val="28"/>
      <w:lang w:val="en-US"/>
    </w:rPr>
  </w:style>
  <w:style w:type="paragraph" w:styleId="ListParagraph">
    <w:name w:val="List Paragraph"/>
    <w:basedOn w:val="Normal"/>
    <w:qFormat/>
    <w:rsid w:val="006D08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Bullet1">
    <w:name w:val="Bullet 1"/>
    <w:basedOn w:val="Normal"/>
    <w:rsid w:val="00485791"/>
    <w:pPr>
      <w:numPr>
        <w:numId w:val="29"/>
      </w:numPr>
      <w:spacing w:after="0" w:line="240" w:lineRule="auto"/>
    </w:pPr>
    <w:rPr>
      <w:rFonts w:eastAsia="Times New Roman"/>
      <w:kern w:val="24"/>
      <w:szCs w:val="24"/>
      <w:lang w:eastAsia="en-AU"/>
    </w:rPr>
  </w:style>
  <w:style w:type="paragraph" w:customStyle="1" w:styleId="Bullet2">
    <w:name w:val="Bullet 2"/>
    <w:basedOn w:val="Bullet1"/>
    <w:rsid w:val="00485791"/>
    <w:pPr>
      <w:numPr>
        <w:numId w:val="30"/>
      </w:numPr>
    </w:pPr>
  </w:style>
  <w:style w:type="paragraph" w:customStyle="1" w:styleId="Comment1">
    <w:name w:val="Comment 1"/>
    <w:basedOn w:val="Normal"/>
    <w:next w:val="Normal"/>
    <w:qFormat/>
    <w:rsid w:val="00485791"/>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FootnoteText">
    <w:name w:val="footnote text"/>
    <w:basedOn w:val="Normal"/>
    <w:link w:val="FootnoteTextChar"/>
    <w:uiPriority w:val="99"/>
    <w:semiHidden/>
    <w:unhideWhenUsed/>
    <w:rsid w:val="00A07945"/>
    <w:pPr>
      <w:spacing w:before="0" w:after="0" w:line="240" w:lineRule="auto"/>
    </w:pPr>
    <w:rPr>
      <w:sz w:val="18"/>
      <w:szCs w:val="20"/>
    </w:rPr>
  </w:style>
  <w:style w:type="character" w:customStyle="1" w:styleId="FootnoteTextChar">
    <w:name w:val="Footnote Text Char"/>
    <w:basedOn w:val="DefaultParagraphFont"/>
    <w:link w:val="FootnoteText"/>
    <w:uiPriority w:val="99"/>
    <w:semiHidden/>
    <w:rsid w:val="00A07945"/>
    <w:rPr>
      <w:sz w:val="18"/>
      <w:lang w:eastAsia="en-US"/>
    </w:rPr>
  </w:style>
  <w:style w:type="character" w:styleId="FootnoteReference">
    <w:name w:val="footnote reference"/>
    <w:basedOn w:val="DefaultParagraphFont"/>
    <w:uiPriority w:val="99"/>
    <w:semiHidden/>
    <w:unhideWhenUsed/>
    <w:rsid w:val="009B11C3"/>
    <w:rPr>
      <w:vertAlign w:val="superscript"/>
    </w:rPr>
  </w:style>
  <w:style w:type="paragraph" w:customStyle="1" w:styleId="CM20">
    <w:name w:val="CM20"/>
    <w:basedOn w:val="Normal"/>
    <w:next w:val="Normal"/>
    <w:uiPriority w:val="99"/>
    <w:rsid w:val="00E76FF2"/>
    <w:pPr>
      <w:autoSpaceDE w:val="0"/>
      <w:autoSpaceDN w:val="0"/>
      <w:adjustRightInd w:val="0"/>
      <w:spacing w:before="0" w:after="0" w:line="256" w:lineRule="atLeast"/>
    </w:pPr>
    <w:rPr>
      <w:rFonts w:ascii="Times New Roman" w:eastAsia="MS Mincho" w:hAnsi="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07945"/>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rFonts w:cs="Arial"/>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Arial" w:eastAsia="Times New Roman" w:hAnsi="Arial" w:cs="Arial"/>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110DB6"/>
    <w:pPr>
      <w:spacing w:before="0" w:after="0" w:line="360" w:lineRule="auto"/>
    </w:pPr>
    <w:rPr>
      <w:sz w:val="18"/>
    </w:rPr>
  </w:style>
  <w:style w:type="paragraph" w:customStyle="1" w:styleId="FigureTitle">
    <w:name w:val="Figure Title"/>
    <w:basedOn w:val="Normal"/>
    <w:qFormat/>
    <w:rsid w:val="00110DB6"/>
    <w:pPr>
      <w:keepNext/>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A07945"/>
    <w:pPr>
      <w:spacing w:line="240" w:lineRule="auto"/>
    </w:pPr>
    <w:rPr>
      <w:szCs w:val="19"/>
    </w:rPr>
  </w:style>
  <w:style w:type="table" w:styleId="TableGrid">
    <w:name w:val="Table Grid"/>
    <w:basedOn w:val="TableNormal"/>
    <w:uiPriority w:val="59"/>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basedOn w:val="DefaultParagraphFont"/>
    <w:link w:val="Title"/>
    <w:uiPriority w:val="10"/>
    <w:rsid w:val="00F3148D"/>
    <w:rPr>
      <w:rFonts w:ascii="Arial" w:eastAsia="Times New Roman" w:hAnsi="Arial"/>
      <w:spacing w:val="5"/>
      <w:kern w:val="28"/>
      <w:sz w:val="52"/>
      <w:szCs w:val="52"/>
      <w:lang w:val="en-AU" w:eastAsia="en-US" w:bidi="ar-SA"/>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imes New Roman"/>
      <w:color w:val="002035"/>
      <w:sz w:val="28"/>
      <w:lang w:val="en-US"/>
    </w:rPr>
  </w:style>
  <w:style w:type="paragraph" w:styleId="ListParagraph">
    <w:name w:val="List Paragraph"/>
    <w:basedOn w:val="Normal"/>
    <w:qFormat/>
    <w:rsid w:val="006D08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Bullet1">
    <w:name w:val="Bullet 1"/>
    <w:basedOn w:val="Normal"/>
    <w:rsid w:val="00485791"/>
    <w:pPr>
      <w:numPr>
        <w:numId w:val="29"/>
      </w:numPr>
      <w:spacing w:after="0" w:line="240" w:lineRule="auto"/>
    </w:pPr>
    <w:rPr>
      <w:rFonts w:eastAsia="Times New Roman"/>
      <w:kern w:val="24"/>
      <w:szCs w:val="24"/>
      <w:lang w:eastAsia="en-AU"/>
    </w:rPr>
  </w:style>
  <w:style w:type="paragraph" w:customStyle="1" w:styleId="Bullet2">
    <w:name w:val="Bullet 2"/>
    <w:basedOn w:val="Bullet1"/>
    <w:rsid w:val="00485791"/>
    <w:pPr>
      <w:numPr>
        <w:numId w:val="30"/>
      </w:numPr>
    </w:pPr>
  </w:style>
  <w:style w:type="paragraph" w:customStyle="1" w:styleId="Comment1">
    <w:name w:val="Comment 1"/>
    <w:basedOn w:val="Normal"/>
    <w:next w:val="Normal"/>
    <w:qFormat/>
    <w:rsid w:val="00485791"/>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FootnoteText">
    <w:name w:val="footnote text"/>
    <w:basedOn w:val="Normal"/>
    <w:link w:val="FootnoteTextChar"/>
    <w:uiPriority w:val="99"/>
    <w:semiHidden/>
    <w:unhideWhenUsed/>
    <w:rsid w:val="00A07945"/>
    <w:pPr>
      <w:spacing w:before="0" w:after="0" w:line="240" w:lineRule="auto"/>
    </w:pPr>
    <w:rPr>
      <w:sz w:val="18"/>
      <w:szCs w:val="20"/>
    </w:rPr>
  </w:style>
  <w:style w:type="character" w:customStyle="1" w:styleId="FootnoteTextChar">
    <w:name w:val="Footnote Text Char"/>
    <w:basedOn w:val="DefaultParagraphFont"/>
    <w:link w:val="FootnoteText"/>
    <w:uiPriority w:val="99"/>
    <w:semiHidden/>
    <w:rsid w:val="00A07945"/>
    <w:rPr>
      <w:sz w:val="18"/>
      <w:lang w:eastAsia="en-US"/>
    </w:rPr>
  </w:style>
  <w:style w:type="character" w:styleId="FootnoteReference">
    <w:name w:val="footnote reference"/>
    <w:basedOn w:val="DefaultParagraphFont"/>
    <w:uiPriority w:val="99"/>
    <w:semiHidden/>
    <w:unhideWhenUsed/>
    <w:rsid w:val="009B11C3"/>
    <w:rPr>
      <w:vertAlign w:val="superscript"/>
    </w:rPr>
  </w:style>
  <w:style w:type="paragraph" w:customStyle="1" w:styleId="CM20">
    <w:name w:val="CM20"/>
    <w:basedOn w:val="Normal"/>
    <w:next w:val="Normal"/>
    <w:uiPriority w:val="99"/>
    <w:rsid w:val="00E76FF2"/>
    <w:pPr>
      <w:autoSpaceDE w:val="0"/>
      <w:autoSpaceDN w:val="0"/>
      <w:adjustRightInd w:val="0"/>
      <w:spacing w:before="0" w:after="0" w:line="256" w:lineRule="atLeast"/>
    </w:pPr>
    <w:rPr>
      <w:rFonts w:ascii="Times New Roman" w:eastAsia="MS Mincho"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eader" Target="header5.xml"/><Relationship Id="rId42"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header" Target="header4.xml"/><Relationship Id="rId3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hyperlink" Target="http://www.tga.gov.au/hp/information-medicines-pi.htm" TargetMode="External"/><Relationship Id="rId37" Type="http://schemas.openxmlformats.org/officeDocument/2006/relationships/footer" Target="footer5.xml"/><Relationship Id="rId40"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eader" Target="header6.xml"/><Relationship Id="rId10" Type="http://schemas.openxmlformats.org/officeDocument/2006/relationships/hyperlink" Target="mailto:tga.copyright@tga.gov.au" TargetMode="Externa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footer" Target="footer4.xml"/><Relationship Id="rId43" Type="http://schemas.openxmlformats.org/officeDocument/2006/relationships/fontTable" Target="fontTable.xml"/></Relationships>
</file>

<file path=word/_rels/footer6.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18668\t0T4437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AA1512-C2BF-4CF8-AB75-436DDA27D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t0T4437A.DOTX</Template>
  <TotalTime>37</TotalTime>
  <Pages>34</Pages>
  <Words>12648</Words>
  <Characters>69190</Characters>
  <Application>Microsoft Office Word</Application>
  <DocSecurity>0</DocSecurity>
  <Lines>1235</Lines>
  <Paragraphs>531</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TGA</Company>
  <LinksUpToDate>false</LinksUpToDate>
  <CharactersWithSpaces>81307</CharactersWithSpaces>
  <SharedDoc>false</SharedDoc>
  <HLinks>
    <vt:vector size="186" baseType="variant">
      <vt:variant>
        <vt:i4>5701660</vt:i4>
      </vt:variant>
      <vt:variant>
        <vt:i4>165</vt:i4>
      </vt:variant>
      <vt:variant>
        <vt:i4>0</vt:i4>
      </vt:variant>
      <vt:variant>
        <vt:i4>5</vt:i4>
      </vt:variant>
      <vt:variant>
        <vt:lpwstr>http://www.tga.gov.au/hp/information-medicines-pi.htm</vt:lpwstr>
      </vt:variant>
      <vt:variant>
        <vt:lpwstr/>
      </vt:variant>
      <vt:variant>
        <vt:i4>1507380</vt:i4>
      </vt:variant>
      <vt:variant>
        <vt:i4>158</vt:i4>
      </vt:variant>
      <vt:variant>
        <vt:i4>0</vt:i4>
      </vt:variant>
      <vt:variant>
        <vt:i4>5</vt:i4>
      </vt:variant>
      <vt:variant>
        <vt:lpwstr/>
      </vt:variant>
      <vt:variant>
        <vt:lpwstr>_Toc378261947</vt:lpwstr>
      </vt:variant>
      <vt:variant>
        <vt:i4>1507380</vt:i4>
      </vt:variant>
      <vt:variant>
        <vt:i4>152</vt:i4>
      </vt:variant>
      <vt:variant>
        <vt:i4>0</vt:i4>
      </vt:variant>
      <vt:variant>
        <vt:i4>5</vt:i4>
      </vt:variant>
      <vt:variant>
        <vt:lpwstr/>
      </vt:variant>
      <vt:variant>
        <vt:lpwstr>_Toc378261946</vt:lpwstr>
      </vt:variant>
      <vt:variant>
        <vt:i4>1507380</vt:i4>
      </vt:variant>
      <vt:variant>
        <vt:i4>146</vt:i4>
      </vt:variant>
      <vt:variant>
        <vt:i4>0</vt:i4>
      </vt:variant>
      <vt:variant>
        <vt:i4>5</vt:i4>
      </vt:variant>
      <vt:variant>
        <vt:lpwstr/>
      </vt:variant>
      <vt:variant>
        <vt:lpwstr>_Toc378261945</vt:lpwstr>
      </vt:variant>
      <vt:variant>
        <vt:i4>1507380</vt:i4>
      </vt:variant>
      <vt:variant>
        <vt:i4>140</vt:i4>
      </vt:variant>
      <vt:variant>
        <vt:i4>0</vt:i4>
      </vt:variant>
      <vt:variant>
        <vt:i4>5</vt:i4>
      </vt:variant>
      <vt:variant>
        <vt:lpwstr/>
      </vt:variant>
      <vt:variant>
        <vt:lpwstr>_Toc378261944</vt:lpwstr>
      </vt:variant>
      <vt:variant>
        <vt:i4>1507380</vt:i4>
      </vt:variant>
      <vt:variant>
        <vt:i4>134</vt:i4>
      </vt:variant>
      <vt:variant>
        <vt:i4>0</vt:i4>
      </vt:variant>
      <vt:variant>
        <vt:i4>5</vt:i4>
      </vt:variant>
      <vt:variant>
        <vt:lpwstr/>
      </vt:variant>
      <vt:variant>
        <vt:lpwstr>_Toc378261943</vt:lpwstr>
      </vt:variant>
      <vt:variant>
        <vt:i4>1507380</vt:i4>
      </vt:variant>
      <vt:variant>
        <vt:i4>128</vt:i4>
      </vt:variant>
      <vt:variant>
        <vt:i4>0</vt:i4>
      </vt:variant>
      <vt:variant>
        <vt:i4>5</vt:i4>
      </vt:variant>
      <vt:variant>
        <vt:lpwstr/>
      </vt:variant>
      <vt:variant>
        <vt:lpwstr>_Toc378261942</vt:lpwstr>
      </vt:variant>
      <vt:variant>
        <vt:i4>1507380</vt:i4>
      </vt:variant>
      <vt:variant>
        <vt:i4>122</vt:i4>
      </vt:variant>
      <vt:variant>
        <vt:i4>0</vt:i4>
      </vt:variant>
      <vt:variant>
        <vt:i4>5</vt:i4>
      </vt:variant>
      <vt:variant>
        <vt:lpwstr/>
      </vt:variant>
      <vt:variant>
        <vt:lpwstr>_Toc378261941</vt:lpwstr>
      </vt:variant>
      <vt:variant>
        <vt:i4>1507380</vt:i4>
      </vt:variant>
      <vt:variant>
        <vt:i4>116</vt:i4>
      </vt:variant>
      <vt:variant>
        <vt:i4>0</vt:i4>
      </vt:variant>
      <vt:variant>
        <vt:i4>5</vt:i4>
      </vt:variant>
      <vt:variant>
        <vt:lpwstr/>
      </vt:variant>
      <vt:variant>
        <vt:lpwstr>_Toc378261940</vt:lpwstr>
      </vt:variant>
      <vt:variant>
        <vt:i4>1048628</vt:i4>
      </vt:variant>
      <vt:variant>
        <vt:i4>110</vt:i4>
      </vt:variant>
      <vt:variant>
        <vt:i4>0</vt:i4>
      </vt:variant>
      <vt:variant>
        <vt:i4>5</vt:i4>
      </vt:variant>
      <vt:variant>
        <vt:lpwstr/>
      </vt:variant>
      <vt:variant>
        <vt:lpwstr>_Toc378261939</vt:lpwstr>
      </vt:variant>
      <vt:variant>
        <vt:i4>1048628</vt:i4>
      </vt:variant>
      <vt:variant>
        <vt:i4>104</vt:i4>
      </vt:variant>
      <vt:variant>
        <vt:i4>0</vt:i4>
      </vt:variant>
      <vt:variant>
        <vt:i4>5</vt:i4>
      </vt:variant>
      <vt:variant>
        <vt:lpwstr/>
      </vt:variant>
      <vt:variant>
        <vt:lpwstr>_Toc378261938</vt:lpwstr>
      </vt:variant>
      <vt:variant>
        <vt:i4>1048628</vt:i4>
      </vt:variant>
      <vt:variant>
        <vt:i4>98</vt:i4>
      </vt:variant>
      <vt:variant>
        <vt:i4>0</vt:i4>
      </vt:variant>
      <vt:variant>
        <vt:i4>5</vt:i4>
      </vt:variant>
      <vt:variant>
        <vt:lpwstr/>
      </vt:variant>
      <vt:variant>
        <vt:lpwstr>_Toc378261937</vt:lpwstr>
      </vt:variant>
      <vt:variant>
        <vt:i4>1048628</vt:i4>
      </vt:variant>
      <vt:variant>
        <vt:i4>92</vt:i4>
      </vt:variant>
      <vt:variant>
        <vt:i4>0</vt:i4>
      </vt:variant>
      <vt:variant>
        <vt:i4>5</vt:i4>
      </vt:variant>
      <vt:variant>
        <vt:lpwstr/>
      </vt:variant>
      <vt:variant>
        <vt:lpwstr>_Toc378261936</vt:lpwstr>
      </vt:variant>
      <vt:variant>
        <vt:i4>1048628</vt:i4>
      </vt:variant>
      <vt:variant>
        <vt:i4>86</vt:i4>
      </vt:variant>
      <vt:variant>
        <vt:i4>0</vt:i4>
      </vt:variant>
      <vt:variant>
        <vt:i4>5</vt:i4>
      </vt:variant>
      <vt:variant>
        <vt:lpwstr/>
      </vt:variant>
      <vt:variant>
        <vt:lpwstr>_Toc378261935</vt:lpwstr>
      </vt:variant>
      <vt:variant>
        <vt:i4>1048628</vt:i4>
      </vt:variant>
      <vt:variant>
        <vt:i4>80</vt:i4>
      </vt:variant>
      <vt:variant>
        <vt:i4>0</vt:i4>
      </vt:variant>
      <vt:variant>
        <vt:i4>5</vt:i4>
      </vt:variant>
      <vt:variant>
        <vt:lpwstr/>
      </vt:variant>
      <vt:variant>
        <vt:lpwstr>_Toc378261934</vt:lpwstr>
      </vt:variant>
      <vt:variant>
        <vt:i4>1048628</vt:i4>
      </vt:variant>
      <vt:variant>
        <vt:i4>74</vt:i4>
      </vt:variant>
      <vt:variant>
        <vt:i4>0</vt:i4>
      </vt:variant>
      <vt:variant>
        <vt:i4>5</vt:i4>
      </vt:variant>
      <vt:variant>
        <vt:lpwstr/>
      </vt:variant>
      <vt:variant>
        <vt:lpwstr>_Toc378261933</vt:lpwstr>
      </vt:variant>
      <vt:variant>
        <vt:i4>1048628</vt:i4>
      </vt:variant>
      <vt:variant>
        <vt:i4>68</vt:i4>
      </vt:variant>
      <vt:variant>
        <vt:i4>0</vt:i4>
      </vt:variant>
      <vt:variant>
        <vt:i4>5</vt:i4>
      </vt:variant>
      <vt:variant>
        <vt:lpwstr/>
      </vt:variant>
      <vt:variant>
        <vt:lpwstr>_Toc378261932</vt:lpwstr>
      </vt:variant>
      <vt:variant>
        <vt:i4>1048628</vt:i4>
      </vt:variant>
      <vt:variant>
        <vt:i4>62</vt:i4>
      </vt:variant>
      <vt:variant>
        <vt:i4>0</vt:i4>
      </vt:variant>
      <vt:variant>
        <vt:i4>5</vt:i4>
      </vt:variant>
      <vt:variant>
        <vt:lpwstr/>
      </vt:variant>
      <vt:variant>
        <vt:lpwstr>_Toc378261931</vt:lpwstr>
      </vt:variant>
      <vt:variant>
        <vt:i4>1048628</vt:i4>
      </vt:variant>
      <vt:variant>
        <vt:i4>56</vt:i4>
      </vt:variant>
      <vt:variant>
        <vt:i4>0</vt:i4>
      </vt:variant>
      <vt:variant>
        <vt:i4>5</vt:i4>
      </vt:variant>
      <vt:variant>
        <vt:lpwstr/>
      </vt:variant>
      <vt:variant>
        <vt:lpwstr>_Toc378261930</vt:lpwstr>
      </vt:variant>
      <vt:variant>
        <vt:i4>1114164</vt:i4>
      </vt:variant>
      <vt:variant>
        <vt:i4>50</vt:i4>
      </vt:variant>
      <vt:variant>
        <vt:i4>0</vt:i4>
      </vt:variant>
      <vt:variant>
        <vt:i4>5</vt:i4>
      </vt:variant>
      <vt:variant>
        <vt:lpwstr/>
      </vt:variant>
      <vt:variant>
        <vt:lpwstr>_Toc378261929</vt:lpwstr>
      </vt:variant>
      <vt:variant>
        <vt:i4>1114164</vt:i4>
      </vt:variant>
      <vt:variant>
        <vt:i4>44</vt:i4>
      </vt:variant>
      <vt:variant>
        <vt:i4>0</vt:i4>
      </vt:variant>
      <vt:variant>
        <vt:i4>5</vt:i4>
      </vt:variant>
      <vt:variant>
        <vt:lpwstr/>
      </vt:variant>
      <vt:variant>
        <vt:lpwstr>_Toc378261928</vt:lpwstr>
      </vt:variant>
      <vt:variant>
        <vt:i4>1114164</vt:i4>
      </vt:variant>
      <vt:variant>
        <vt:i4>38</vt:i4>
      </vt:variant>
      <vt:variant>
        <vt:i4>0</vt:i4>
      </vt:variant>
      <vt:variant>
        <vt:i4>5</vt:i4>
      </vt:variant>
      <vt:variant>
        <vt:lpwstr/>
      </vt:variant>
      <vt:variant>
        <vt:lpwstr>_Toc378261927</vt:lpwstr>
      </vt:variant>
      <vt:variant>
        <vt:i4>1114164</vt:i4>
      </vt:variant>
      <vt:variant>
        <vt:i4>32</vt:i4>
      </vt:variant>
      <vt:variant>
        <vt:i4>0</vt:i4>
      </vt:variant>
      <vt:variant>
        <vt:i4>5</vt:i4>
      </vt:variant>
      <vt:variant>
        <vt:lpwstr/>
      </vt:variant>
      <vt:variant>
        <vt:lpwstr>_Toc378261926</vt:lpwstr>
      </vt:variant>
      <vt:variant>
        <vt:i4>1114164</vt:i4>
      </vt:variant>
      <vt:variant>
        <vt:i4>26</vt:i4>
      </vt:variant>
      <vt:variant>
        <vt:i4>0</vt:i4>
      </vt:variant>
      <vt:variant>
        <vt:i4>5</vt:i4>
      </vt:variant>
      <vt:variant>
        <vt:lpwstr/>
      </vt:variant>
      <vt:variant>
        <vt:lpwstr>_Toc378261925</vt:lpwstr>
      </vt:variant>
      <vt:variant>
        <vt:i4>1114164</vt:i4>
      </vt:variant>
      <vt:variant>
        <vt:i4>20</vt:i4>
      </vt:variant>
      <vt:variant>
        <vt:i4>0</vt:i4>
      </vt:variant>
      <vt:variant>
        <vt:i4>5</vt:i4>
      </vt:variant>
      <vt:variant>
        <vt:lpwstr/>
      </vt:variant>
      <vt:variant>
        <vt:lpwstr>_Toc378261924</vt:lpwstr>
      </vt:variant>
      <vt:variant>
        <vt:i4>1114164</vt:i4>
      </vt:variant>
      <vt:variant>
        <vt:i4>14</vt:i4>
      </vt:variant>
      <vt:variant>
        <vt:i4>0</vt:i4>
      </vt:variant>
      <vt:variant>
        <vt:i4>5</vt:i4>
      </vt:variant>
      <vt:variant>
        <vt:lpwstr/>
      </vt:variant>
      <vt:variant>
        <vt:lpwstr>_Toc378261923</vt:lpwstr>
      </vt:variant>
      <vt:variant>
        <vt:i4>1114164</vt:i4>
      </vt:variant>
      <vt:variant>
        <vt:i4>8</vt:i4>
      </vt:variant>
      <vt:variant>
        <vt:i4>0</vt:i4>
      </vt:variant>
      <vt:variant>
        <vt:i4>5</vt:i4>
      </vt:variant>
      <vt:variant>
        <vt:lpwstr/>
      </vt:variant>
      <vt:variant>
        <vt:lpwstr>_Toc378261922</vt:lpwstr>
      </vt:variant>
      <vt:variant>
        <vt:i4>6291548</vt:i4>
      </vt:variant>
      <vt:variant>
        <vt:i4>3</vt:i4>
      </vt:variant>
      <vt:variant>
        <vt:i4>0</vt:i4>
      </vt:variant>
      <vt:variant>
        <vt:i4>5</vt:i4>
      </vt:variant>
      <vt:variant>
        <vt:lpwstr>mailto:tga.copyright@tga.gov.au</vt:lpwstr>
      </vt:variant>
      <vt:variant>
        <vt:lpwstr/>
      </vt:variant>
      <vt:variant>
        <vt:i4>6357037</vt:i4>
      </vt:variant>
      <vt:variant>
        <vt:i4>0</vt:i4>
      </vt:variant>
      <vt:variant>
        <vt:i4>0</vt:i4>
      </vt:variant>
      <vt:variant>
        <vt:i4>5</vt:i4>
      </vt:variant>
      <vt:variant>
        <vt:lpwstr>http://www.tga.gov.au/</vt:lpwstr>
      </vt:variant>
      <vt:variant>
        <vt:lpwstr/>
      </vt:variant>
      <vt:variant>
        <vt:i4>6357037</vt:i4>
      </vt:variant>
      <vt:variant>
        <vt:i4>18</vt:i4>
      </vt:variant>
      <vt:variant>
        <vt:i4>0</vt:i4>
      </vt:variant>
      <vt:variant>
        <vt:i4>5</vt:i4>
      </vt:variant>
      <vt:variant>
        <vt:lpwstr>http://www.tga.gov.au/</vt:lpwstr>
      </vt:variant>
      <vt:variant>
        <vt:lpwstr/>
      </vt:variant>
      <vt:variant>
        <vt:i4>5242926</vt:i4>
      </vt:variant>
      <vt:variant>
        <vt:i4>15</vt:i4>
      </vt:variant>
      <vt:variant>
        <vt:i4>0</vt:i4>
      </vt:variant>
      <vt:variant>
        <vt:i4>5</vt:i4>
      </vt:variant>
      <vt:variant>
        <vt:lpwstr>mailto:info@tga.gov.au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denosumab</dc:title>
  <dc:subject>prescription medicine regulation</dc:subject>
  <dc:creator>Therapeutic Goods Administration</dc:creator>
  <cp:keywords>auspar, prescription, medicine, assessment, regulation, australia, denosumab, prolia</cp:keywords>
  <cp:lastModifiedBy>Sheppard, Fran</cp:lastModifiedBy>
  <cp:revision>14</cp:revision>
  <cp:lastPrinted>2013-12-24T02:06:00Z</cp:lastPrinted>
  <dcterms:created xsi:type="dcterms:W3CDTF">2014-03-18T02:45:00Z</dcterms:created>
  <dcterms:modified xsi:type="dcterms:W3CDTF">2014-03-18T03:25:00Z</dcterms:modified>
</cp:coreProperties>
</file>