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452" w:rsidRPr="00465452" w:rsidRDefault="00465452" w:rsidP="00465452">
      <w:pPr>
        <w:rPr>
          <w:b/>
          <w:bCs/>
        </w:rPr>
      </w:pPr>
      <w:r w:rsidRPr="00465452">
        <w:rPr>
          <w:b/>
          <w:bCs/>
        </w:rPr>
        <w:t>NAME OF THE MEDICINE</w:t>
      </w:r>
    </w:p>
    <w:p w:rsidR="00465452" w:rsidRPr="00465452" w:rsidRDefault="00465452" w:rsidP="00465452"/>
    <w:p w:rsidR="00465452" w:rsidRPr="00465452" w:rsidRDefault="00465452" w:rsidP="00465452">
      <w:r w:rsidRPr="00465452">
        <w:t>XGEVA</w:t>
      </w:r>
      <w:r w:rsidRPr="00465452">
        <w:rPr>
          <w:vertAlign w:val="superscript"/>
        </w:rPr>
        <w:t>®</w:t>
      </w:r>
      <w:r w:rsidRPr="00465452">
        <w:t xml:space="preserve"> is the Amgen Inc. trademark for </w:t>
      </w:r>
      <w:proofErr w:type="spellStart"/>
      <w:r w:rsidRPr="00465452">
        <w:t>denosumab</w:t>
      </w:r>
      <w:proofErr w:type="spellEnd"/>
      <w:r w:rsidRPr="00465452">
        <w:t xml:space="preserve"> (</w:t>
      </w:r>
      <w:proofErr w:type="spellStart"/>
      <w:r w:rsidRPr="00465452">
        <w:t>rch</w:t>
      </w:r>
      <w:proofErr w:type="spellEnd"/>
      <w:r w:rsidRPr="00465452">
        <w:t>).</w:t>
      </w:r>
    </w:p>
    <w:p w:rsidR="00465452" w:rsidRPr="00465452" w:rsidRDefault="00465452" w:rsidP="00465452"/>
    <w:p w:rsidR="00465452" w:rsidRPr="00465452" w:rsidRDefault="00465452" w:rsidP="00465452">
      <w:r w:rsidRPr="00465452">
        <w:rPr>
          <w:noProof/>
          <w:lang w:val="en-AU" w:eastAsia="en-AU"/>
        </w:rPr>
        <w:drawing>
          <wp:inline distT="0" distB="0" distL="0" distR="0" wp14:anchorId="012D883E" wp14:editId="4AD058E3">
            <wp:extent cx="2857500" cy="2762250"/>
            <wp:effectExtent l="0" t="0" r="0" b="0"/>
            <wp:docPr id="4" name="Picture 4" descr="image of the chemical structure of Xge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of the chemical structure of Xge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0" cy="2762250"/>
                    </a:xfrm>
                    <a:prstGeom prst="rect">
                      <a:avLst/>
                    </a:prstGeom>
                    <a:noFill/>
                    <a:ln>
                      <a:noFill/>
                    </a:ln>
                  </pic:spPr>
                </pic:pic>
              </a:graphicData>
            </a:graphic>
          </wp:inline>
        </w:drawing>
      </w:r>
    </w:p>
    <w:p w:rsidR="00465452" w:rsidRPr="00465452" w:rsidRDefault="00465452" w:rsidP="00465452"/>
    <w:p w:rsidR="00465452" w:rsidRPr="00465452" w:rsidRDefault="00465452" w:rsidP="00465452">
      <w:pPr>
        <w:rPr>
          <w:b/>
          <w:bCs/>
        </w:rPr>
      </w:pPr>
      <w:r w:rsidRPr="00465452">
        <w:rPr>
          <w:b/>
          <w:bCs/>
        </w:rPr>
        <w:t>DESCRIPTION</w:t>
      </w:r>
    </w:p>
    <w:p w:rsidR="00465452" w:rsidRPr="00465452" w:rsidRDefault="00465452" w:rsidP="00465452"/>
    <w:p w:rsidR="00465452" w:rsidRPr="00465452" w:rsidRDefault="00465452" w:rsidP="00465452">
      <w:proofErr w:type="spellStart"/>
      <w:r w:rsidRPr="00465452">
        <w:t>Denosumab</w:t>
      </w:r>
      <w:proofErr w:type="spellEnd"/>
      <w:r w:rsidRPr="00465452">
        <w:t xml:space="preserve"> is a fully human IgG2 monoclonal antibody with high affinity and specificity for RANK ligand (RANKL).  </w:t>
      </w:r>
      <w:proofErr w:type="spellStart"/>
      <w:r w:rsidRPr="00465452">
        <w:t>Denosumab</w:t>
      </w:r>
      <w:proofErr w:type="spellEnd"/>
      <w:r w:rsidRPr="00465452">
        <w:t xml:space="preserve"> has an approximate molecular weight of 147 </w:t>
      </w:r>
      <w:proofErr w:type="spellStart"/>
      <w:r w:rsidRPr="00465452">
        <w:t>kDa</w:t>
      </w:r>
      <w:proofErr w:type="spellEnd"/>
      <w:r w:rsidRPr="00465452">
        <w:t xml:space="preserve"> and is produced in genetically engineered mammalian (Chinese Hamster Ovary, CHO) cells.</w:t>
      </w:r>
    </w:p>
    <w:p w:rsidR="00465452" w:rsidRPr="00465452" w:rsidRDefault="00465452" w:rsidP="00465452"/>
    <w:p w:rsidR="00465452" w:rsidRPr="00465452" w:rsidRDefault="00465452" w:rsidP="00465452">
      <w:r w:rsidRPr="00465452">
        <w:t>CAS number: 615258-40-7</w:t>
      </w:r>
    </w:p>
    <w:p w:rsidR="00465452" w:rsidRPr="00465452" w:rsidRDefault="00465452" w:rsidP="00465452"/>
    <w:p w:rsidR="00465452" w:rsidRPr="00465452" w:rsidRDefault="00465452" w:rsidP="00465452">
      <w:proofErr w:type="spellStart"/>
      <w:r w:rsidRPr="00465452">
        <w:t>Xgeva</w:t>
      </w:r>
      <w:proofErr w:type="spellEnd"/>
      <w:r w:rsidRPr="00465452">
        <w:t xml:space="preserve"> is a sterile, preservative-free, clear, </w:t>
      </w:r>
      <w:proofErr w:type="spellStart"/>
      <w:proofErr w:type="gramStart"/>
      <w:r w:rsidRPr="00465452">
        <w:t>colourless</w:t>
      </w:r>
      <w:proofErr w:type="spellEnd"/>
      <w:proofErr w:type="gramEnd"/>
      <w:r w:rsidRPr="00465452">
        <w:t xml:space="preserve"> to slightly yellow solution.  The solution may contain trace amounts of translucent to white </w:t>
      </w:r>
      <w:proofErr w:type="spellStart"/>
      <w:r w:rsidRPr="00465452">
        <w:t>proteinaceous</w:t>
      </w:r>
      <w:proofErr w:type="spellEnd"/>
      <w:r w:rsidRPr="00465452">
        <w:t xml:space="preserve"> particles.  Each single-use vial contains a deliverable dose of 120 mg </w:t>
      </w:r>
      <w:proofErr w:type="spellStart"/>
      <w:r w:rsidRPr="00465452">
        <w:t>denosumab</w:t>
      </w:r>
      <w:proofErr w:type="spellEnd"/>
      <w:r w:rsidRPr="00465452">
        <w:t xml:space="preserve">, 78 mg sorbitol, 1.8 mg acetate, and sodium hydroxide for adjusting to pH 5.2, in Water for Injection (USP, </w:t>
      </w:r>
      <w:proofErr w:type="spellStart"/>
      <w:r w:rsidRPr="00465452">
        <w:t>PhEur</w:t>
      </w:r>
      <w:proofErr w:type="spellEnd"/>
      <w:r w:rsidRPr="00465452">
        <w:t xml:space="preserve">, </w:t>
      </w:r>
      <w:proofErr w:type="gramStart"/>
      <w:r w:rsidRPr="00465452">
        <w:t>JP</w:t>
      </w:r>
      <w:proofErr w:type="gramEnd"/>
      <w:r w:rsidRPr="00465452">
        <w:t>).</w:t>
      </w:r>
    </w:p>
    <w:p w:rsidR="00465452" w:rsidRPr="00465452" w:rsidRDefault="00465452" w:rsidP="00465452"/>
    <w:p w:rsidR="00465452" w:rsidRPr="00465452" w:rsidRDefault="00465452" w:rsidP="00465452">
      <w:pPr>
        <w:rPr>
          <w:b/>
          <w:bCs/>
          <w:lang w:val="en-AU"/>
        </w:rPr>
      </w:pPr>
      <w:r w:rsidRPr="00465452">
        <w:rPr>
          <w:b/>
          <w:bCs/>
          <w:lang w:val="en-AU"/>
        </w:rPr>
        <w:t>PHARMACOLOGY</w:t>
      </w:r>
    </w:p>
    <w:p w:rsidR="00465452" w:rsidRPr="00465452" w:rsidRDefault="00465452" w:rsidP="00465452">
      <w:pPr>
        <w:rPr>
          <w:lang w:val="en-AU"/>
        </w:rPr>
      </w:pPr>
    </w:p>
    <w:p w:rsidR="00465452" w:rsidRPr="00465452" w:rsidRDefault="00465452" w:rsidP="00465452">
      <w:pPr>
        <w:rPr>
          <w:b/>
          <w:u w:val="single"/>
          <w:lang w:val="en-AU"/>
        </w:rPr>
      </w:pPr>
      <w:r w:rsidRPr="00465452">
        <w:rPr>
          <w:b/>
          <w:u w:val="single"/>
          <w:lang w:val="en-AU"/>
        </w:rPr>
        <w:t>Mechanism of Action</w:t>
      </w:r>
    </w:p>
    <w:p w:rsidR="00465452" w:rsidRPr="00465452" w:rsidRDefault="00465452" w:rsidP="00465452"/>
    <w:p w:rsidR="00465452" w:rsidRPr="00465452" w:rsidRDefault="00465452" w:rsidP="00465452">
      <w:pPr>
        <w:rPr>
          <w:b/>
          <w:i/>
        </w:rPr>
      </w:pPr>
      <w:r w:rsidRPr="00465452">
        <w:rPr>
          <w:b/>
          <w:i/>
        </w:rPr>
        <w:t xml:space="preserve">Bone Metastasis from Solid </w:t>
      </w:r>
      <w:proofErr w:type="spellStart"/>
      <w:r w:rsidRPr="00465452">
        <w:rPr>
          <w:b/>
          <w:i/>
        </w:rPr>
        <w:t>Tumours</w:t>
      </w:r>
      <w:proofErr w:type="spellEnd"/>
    </w:p>
    <w:p w:rsidR="00465452" w:rsidRPr="00465452" w:rsidRDefault="00465452" w:rsidP="00465452">
      <w:r w:rsidRPr="00465452">
        <w:t xml:space="preserve">RANKL exists as a transmembrane or soluble protein.  RANKL is essential for the formation, function and survival of osteoclasts, the sole cell type responsible for bone </w:t>
      </w:r>
      <w:proofErr w:type="spellStart"/>
      <w:r w:rsidRPr="00465452">
        <w:t>resorption</w:t>
      </w:r>
      <w:proofErr w:type="spellEnd"/>
      <w:r w:rsidRPr="00465452">
        <w:t xml:space="preserve">.  Increased osteoclast activity, stimulated by RANK ligand, is a key mediator of bone destruction in bone disease in metastatic </w:t>
      </w:r>
      <w:proofErr w:type="spellStart"/>
      <w:r w:rsidRPr="00465452">
        <w:t>tumours</w:t>
      </w:r>
      <w:proofErr w:type="spellEnd"/>
      <w:r w:rsidRPr="00465452">
        <w:t xml:space="preserve"> and multiple myeloma.  </w:t>
      </w:r>
      <w:proofErr w:type="spellStart"/>
      <w:r w:rsidRPr="00465452">
        <w:t>Denosumab</w:t>
      </w:r>
      <w:proofErr w:type="spellEnd"/>
      <w:r w:rsidRPr="00465452">
        <w:t xml:space="preserve"> binds with high affinity and specificity to RANKL, preventing RANKL from activating its only receptor, RANK, on the surface of osteoclasts and their precursors.  Prevention of RANK ligand-RANK interaction results in reduced osteoclast numbers and function, and thereby decreases bone </w:t>
      </w:r>
      <w:proofErr w:type="spellStart"/>
      <w:r w:rsidRPr="00465452">
        <w:t>resorption</w:t>
      </w:r>
      <w:proofErr w:type="spellEnd"/>
      <w:r w:rsidRPr="00465452">
        <w:t xml:space="preserve"> and cancer-induced bone destruction.</w:t>
      </w:r>
    </w:p>
    <w:p w:rsidR="00465452" w:rsidRPr="00465452" w:rsidRDefault="00465452" w:rsidP="00465452">
      <w:pPr>
        <w:rPr>
          <w:lang w:val="en-AU"/>
        </w:rPr>
      </w:pPr>
      <w:r w:rsidRPr="00465452">
        <w:rPr>
          <w:lang w:val="en-AU"/>
        </w:rPr>
        <w:lastRenderedPageBreak/>
        <w:t xml:space="preserve">RANKL inhibition resulted in reduced bone lesions and delayed formation of </w:t>
      </w:r>
      <w:r w:rsidRPr="00465452">
        <w:rPr>
          <w:i/>
          <w:iCs/>
          <w:lang w:val="en-AU"/>
        </w:rPr>
        <w:t xml:space="preserve">de novo </w:t>
      </w:r>
      <w:r w:rsidRPr="00465452">
        <w:rPr>
          <w:lang w:val="en-AU"/>
        </w:rPr>
        <w:t>bone metastases in some nonclinical models. RANKL inhibition reduced skeletal tumour growth and this effect was additive when combined with other anticancer therapies.</w:t>
      </w:r>
    </w:p>
    <w:p w:rsidR="00465452" w:rsidRPr="00465452" w:rsidRDefault="00465452" w:rsidP="00465452">
      <w:pPr>
        <w:rPr>
          <w:lang w:val="en-AU"/>
        </w:rPr>
      </w:pPr>
      <w:r w:rsidRPr="00465452">
        <w:rPr>
          <w:b/>
          <w:i/>
        </w:rPr>
        <w:t xml:space="preserve">Giant cell </w:t>
      </w:r>
      <w:proofErr w:type="spellStart"/>
      <w:r w:rsidRPr="00465452">
        <w:rPr>
          <w:b/>
          <w:i/>
        </w:rPr>
        <w:t>tumour</w:t>
      </w:r>
      <w:proofErr w:type="spellEnd"/>
      <w:r w:rsidRPr="00465452">
        <w:rPr>
          <w:b/>
          <w:i/>
        </w:rPr>
        <w:t xml:space="preserve"> of bone</w:t>
      </w:r>
    </w:p>
    <w:p w:rsidR="00465452" w:rsidRPr="00465452" w:rsidRDefault="00465452" w:rsidP="00465452">
      <w:r w:rsidRPr="00465452">
        <w:t xml:space="preserve">Giant cell </w:t>
      </w:r>
      <w:proofErr w:type="spellStart"/>
      <w:r w:rsidRPr="00465452">
        <w:t>tumours</w:t>
      </w:r>
      <w:proofErr w:type="spellEnd"/>
      <w:r w:rsidRPr="00465452">
        <w:t xml:space="preserve"> of bone are </w:t>
      </w:r>
      <w:proofErr w:type="spellStart"/>
      <w:r w:rsidRPr="00465452">
        <w:t>characterised</w:t>
      </w:r>
      <w:proofErr w:type="spellEnd"/>
      <w:r w:rsidRPr="00465452">
        <w:t xml:space="preserve"> by stromal cells expressing RANK ligand and osteoclast-like giant cells expressing RANK.  In patients with giant cell </w:t>
      </w:r>
      <w:proofErr w:type="spellStart"/>
      <w:r w:rsidRPr="00465452">
        <w:t>tumour</w:t>
      </w:r>
      <w:proofErr w:type="spellEnd"/>
      <w:r w:rsidRPr="00465452">
        <w:t xml:space="preserve"> of bone, </w:t>
      </w:r>
      <w:proofErr w:type="spellStart"/>
      <w:r w:rsidRPr="00465452">
        <w:t>denosumab</w:t>
      </w:r>
      <w:proofErr w:type="spellEnd"/>
      <w:r w:rsidRPr="00465452">
        <w:t xml:space="preserve"> binds to RANK ligand, significantly reducing or eliminating osteoclast-like giant cells.  Consequently, </w:t>
      </w:r>
      <w:proofErr w:type="spellStart"/>
      <w:r w:rsidRPr="00465452">
        <w:t>osteolysis</w:t>
      </w:r>
      <w:proofErr w:type="spellEnd"/>
      <w:r w:rsidRPr="00465452">
        <w:t xml:space="preserve"> is reduced and proliferative </w:t>
      </w:r>
      <w:proofErr w:type="spellStart"/>
      <w:r w:rsidRPr="00465452">
        <w:t>tumour</w:t>
      </w:r>
      <w:proofErr w:type="spellEnd"/>
      <w:r w:rsidRPr="00465452">
        <w:t xml:space="preserve"> </w:t>
      </w:r>
      <w:proofErr w:type="spellStart"/>
      <w:r w:rsidRPr="00465452">
        <w:t>stroma</w:t>
      </w:r>
      <w:proofErr w:type="spellEnd"/>
      <w:r w:rsidRPr="00465452">
        <w:t xml:space="preserve"> can be replaced with non-proliferative, differentiated, woven new bone which may show an increase in density.</w:t>
      </w:r>
    </w:p>
    <w:p w:rsidR="00465452" w:rsidRPr="00465452" w:rsidRDefault="00465452" w:rsidP="00465452">
      <w:pPr>
        <w:rPr>
          <w:b/>
          <w:bCs/>
          <w:iCs/>
          <w:u w:val="single"/>
          <w:lang w:val="en-AU"/>
        </w:rPr>
      </w:pPr>
    </w:p>
    <w:p w:rsidR="00465452" w:rsidRPr="00465452" w:rsidRDefault="00465452" w:rsidP="00465452">
      <w:pPr>
        <w:rPr>
          <w:b/>
          <w:bCs/>
          <w:iCs/>
          <w:u w:val="single"/>
          <w:lang w:val="en-AU"/>
        </w:rPr>
      </w:pPr>
      <w:r w:rsidRPr="00465452">
        <w:rPr>
          <w:b/>
          <w:bCs/>
          <w:iCs/>
          <w:u w:val="single"/>
          <w:lang w:val="en-AU"/>
        </w:rPr>
        <w:t>Pharmacodynamics</w:t>
      </w:r>
    </w:p>
    <w:p w:rsidR="00465452" w:rsidRPr="00465452" w:rsidRDefault="00465452" w:rsidP="00465452">
      <w:pPr>
        <w:rPr>
          <w:lang w:val="en-AU"/>
        </w:rPr>
      </w:pPr>
      <w:r w:rsidRPr="00465452">
        <w:rPr>
          <w:lang w:val="en-AU"/>
        </w:rPr>
        <w:t xml:space="preserve">In a phase 2 study of IV-bisphosphonate naïve patients with breast cancer and bone metastases, subcutaneous (SC) doses of </w:t>
      </w:r>
      <w:proofErr w:type="spellStart"/>
      <w:r w:rsidRPr="00465452">
        <w:t>Xgeva</w:t>
      </w:r>
      <w:proofErr w:type="spellEnd"/>
      <w:r w:rsidRPr="00465452">
        <w:rPr>
          <w:vertAlign w:val="superscript"/>
        </w:rPr>
        <w:t xml:space="preserve"> </w:t>
      </w:r>
      <w:r w:rsidRPr="00465452">
        <w:rPr>
          <w:lang w:val="en-AU"/>
        </w:rPr>
        <w:t xml:space="preserve">120 mg every 4 weeks (Q4W), caused a rapid reduction in the markers of bone </w:t>
      </w:r>
      <w:proofErr w:type="spellStart"/>
      <w:r w:rsidRPr="00465452">
        <w:rPr>
          <w:lang w:val="en-AU"/>
        </w:rPr>
        <w:t>resorption</w:t>
      </w:r>
      <w:proofErr w:type="spellEnd"/>
      <w:r w:rsidRPr="00465452">
        <w:rPr>
          <w:lang w:val="en-AU"/>
        </w:rPr>
        <w:t>: urinary N-</w:t>
      </w:r>
      <w:proofErr w:type="spellStart"/>
      <w:r w:rsidRPr="00465452">
        <w:rPr>
          <w:lang w:val="en-AU"/>
        </w:rPr>
        <w:t>telopeptide</w:t>
      </w:r>
      <w:proofErr w:type="spellEnd"/>
      <w:r w:rsidRPr="00465452">
        <w:rPr>
          <w:lang w:val="en-AU"/>
        </w:rPr>
        <w:t xml:space="preserve"> corrected for creatinine (</w:t>
      </w:r>
      <w:proofErr w:type="spellStart"/>
      <w:r w:rsidRPr="00465452">
        <w:rPr>
          <w:lang w:val="en-AU"/>
        </w:rPr>
        <w:t>uNTx</w:t>
      </w:r>
      <w:proofErr w:type="spellEnd"/>
      <w:r w:rsidRPr="00465452">
        <w:rPr>
          <w:lang w:val="en-AU"/>
        </w:rPr>
        <w:t>/Cr) and serum C-</w:t>
      </w:r>
      <w:proofErr w:type="spellStart"/>
      <w:r w:rsidRPr="00465452">
        <w:rPr>
          <w:lang w:val="en-AU"/>
        </w:rPr>
        <w:t>telopeptide</w:t>
      </w:r>
      <w:proofErr w:type="spellEnd"/>
      <w:r w:rsidRPr="00465452">
        <w:rPr>
          <w:lang w:val="en-AU"/>
        </w:rPr>
        <w:t xml:space="preserve"> (</w:t>
      </w:r>
      <w:proofErr w:type="spellStart"/>
      <w:r w:rsidRPr="00465452">
        <w:rPr>
          <w:lang w:val="en-AU"/>
        </w:rPr>
        <w:t>sCTx</w:t>
      </w:r>
      <w:proofErr w:type="spellEnd"/>
      <w:r w:rsidRPr="00465452">
        <w:rPr>
          <w:lang w:val="en-AU"/>
        </w:rPr>
        <w:t xml:space="preserve">) with median reduction of 82% for </w:t>
      </w:r>
      <w:proofErr w:type="spellStart"/>
      <w:r w:rsidRPr="00465452">
        <w:rPr>
          <w:lang w:val="en-AU"/>
        </w:rPr>
        <w:t>uNTx</w:t>
      </w:r>
      <w:proofErr w:type="spellEnd"/>
      <w:r w:rsidRPr="00465452">
        <w:rPr>
          <w:lang w:val="en-AU"/>
        </w:rPr>
        <w:t xml:space="preserve">/Cr within 1 week. Reductions in bone </w:t>
      </w:r>
      <w:proofErr w:type="spellStart"/>
      <w:r w:rsidRPr="00465452">
        <w:rPr>
          <w:lang w:val="en-AU"/>
        </w:rPr>
        <w:t>resorption</w:t>
      </w:r>
      <w:proofErr w:type="spellEnd"/>
      <w:r w:rsidRPr="00465452">
        <w:rPr>
          <w:lang w:val="en-AU"/>
        </w:rPr>
        <w:t xml:space="preserve"> markers were maintained, with median </w:t>
      </w:r>
      <w:proofErr w:type="spellStart"/>
      <w:r w:rsidRPr="00465452">
        <w:rPr>
          <w:lang w:val="en-AU"/>
        </w:rPr>
        <w:t>uNTx</w:t>
      </w:r>
      <w:proofErr w:type="spellEnd"/>
      <w:r w:rsidRPr="00465452">
        <w:rPr>
          <w:lang w:val="en-AU"/>
        </w:rPr>
        <w:t xml:space="preserve">/Cr reductions of 74% to 82% from weeks 2 to 25 of continued 120 mg Q4W dosing. Median reduction of approximately 80% in </w:t>
      </w:r>
      <w:proofErr w:type="spellStart"/>
      <w:r w:rsidRPr="00465452">
        <w:rPr>
          <w:lang w:val="en-AU"/>
        </w:rPr>
        <w:t>uNTx</w:t>
      </w:r>
      <w:proofErr w:type="spellEnd"/>
      <w:r w:rsidRPr="00465452">
        <w:rPr>
          <w:lang w:val="en-AU"/>
        </w:rPr>
        <w:t xml:space="preserve">/Cr from baseline after 3 months of treatment were also observed across 2075 </w:t>
      </w:r>
      <w:proofErr w:type="spellStart"/>
      <w:r w:rsidRPr="00465452">
        <w:t>Xgeva</w:t>
      </w:r>
      <w:proofErr w:type="spellEnd"/>
      <w:r w:rsidRPr="00465452">
        <w:t>-</w:t>
      </w:r>
      <w:r w:rsidRPr="00465452">
        <w:rPr>
          <w:lang w:val="en-AU"/>
        </w:rPr>
        <w:t>treated advanced cancer patients (breast, prostate, multiple myeloma or other solid tumours) naïve to IV-bisphosphonate in the phase 3 clinical trials.</w:t>
      </w:r>
    </w:p>
    <w:p w:rsidR="00465452" w:rsidRPr="00465452" w:rsidRDefault="00465452" w:rsidP="00465452">
      <w:pPr>
        <w:rPr>
          <w:lang w:val="en-AU"/>
        </w:rPr>
      </w:pPr>
    </w:p>
    <w:p w:rsidR="00465452" w:rsidRPr="00465452" w:rsidRDefault="00465452" w:rsidP="00465452">
      <w:pPr>
        <w:rPr>
          <w:lang w:val="en-AU"/>
        </w:rPr>
      </w:pPr>
      <w:r w:rsidRPr="00465452">
        <w:rPr>
          <w:lang w:val="en-AU"/>
        </w:rPr>
        <w:t xml:space="preserve">Similarly, in a phase 2 study of patients with advanced malignancies and bone metastases (including subjects with multiple myeloma and bone disease) who were receiving intravenous bisphosphonate therapy, yet had </w:t>
      </w:r>
      <w:proofErr w:type="spellStart"/>
      <w:r w:rsidRPr="00465452">
        <w:rPr>
          <w:lang w:val="en-AU"/>
        </w:rPr>
        <w:t>uNTx</w:t>
      </w:r>
      <w:proofErr w:type="spellEnd"/>
      <w:r w:rsidRPr="00465452">
        <w:rPr>
          <w:lang w:val="en-AU"/>
        </w:rPr>
        <w:t xml:space="preserve">/Cr levels &gt; 50 </w:t>
      </w:r>
      <w:proofErr w:type="spellStart"/>
      <w:r w:rsidRPr="00465452">
        <w:rPr>
          <w:lang w:val="en-AU"/>
        </w:rPr>
        <w:t>nM</w:t>
      </w:r>
      <w:proofErr w:type="spellEnd"/>
      <w:r w:rsidRPr="00465452">
        <w:rPr>
          <w:lang w:val="en-AU"/>
        </w:rPr>
        <w:t>/</w:t>
      </w:r>
      <w:proofErr w:type="spellStart"/>
      <w:r w:rsidRPr="00465452">
        <w:rPr>
          <w:lang w:val="en-AU"/>
        </w:rPr>
        <w:t>mM</w:t>
      </w:r>
      <w:proofErr w:type="spellEnd"/>
      <w:r w:rsidRPr="00465452">
        <w:rPr>
          <w:lang w:val="en-AU"/>
        </w:rPr>
        <w:t xml:space="preserve">, SC dosing of </w:t>
      </w:r>
      <w:proofErr w:type="spellStart"/>
      <w:r w:rsidRPr="00465452">
        <w:t>Xgeva</w:t>
      </w:r>
      <w:proofErr w:type="spellEnd"/>
      <w:r w:rsidRPr="00465452">
        <w:rPr>
          <w:vertAlign w:val="superscript"/>
        </w:rPr>
        <w:t xml:space="preserve"> </w:t>
      </w:r>
      <w:r w:rsidRPr="00465452">
        <w:rPr>
          <w:lang w:val="en-AU"/>
        </w:rPr>
        <w:t xml:space="preserve">administered either every 4 weeks or every 12 weeks caused an approximate 80% reduction in </w:t>
      </w:r>
      <w:proofErr w:type="spellStart"/>
      <w:r w:rsidRPr="00465452">
        <w:rPr>
          <w:lang w:val="en-AU"/>
        </w:rPr>
        <w:t>uNTx</w:t>
      </w:r>
      <w:proofErr w:type="spellEnd"/>
      <w:r w:rsidRPr="00465452">
        <w:rPr>
          <w:lang w:val="en-AU"/>
        </w:rPr>
        <w:t xml:space="preserve">/Cr from baseline after 3 and 6 months of treatment. Overall, 97% of patients in the </w:t>
      </w:r>
      <w:proofErr w:type="spellStart"/>
      <w:r w:rsidRPr="00465452">
        <w:t>Xgeva</w:t>
      </w:r>
      <w:proofErr w:type="spellEnd"/>
      <w:r w:rsidRPr="00465452">
        <w:rPr>
          <w:vertAlign w:val="superscript"/>
        </w:rPr>
        <w:t xml:space="preserve"> </w:t>
      </w:r>
      <w:r w:rsidRPr="00465452">
        <w:rPr>
          <w:lang w:val="en-AU"/>
        </w:rPr>
        <w:t xml:space="preserve">groups had at least one </w:t>
      </w:r>
      <w:proofErr w:type="spellStart"/>
      <w:r w:rsidRPr="00465452">
        <w:rPr>
          <w:lang w:val="en-AU"/>
        </w:rPr>
        <w:t>uNTx</w:t>
      </w:r>
      <w:proofErr w:type="spellEnd"/>
      <w:r w:rsidRPr="00465452">
        <w:rPr>
          <w:lang w:val="en-AU"/>
        </w:rPr>
        <w:t xml:space="preserve">/Cr value &lt; 50 </w:t>
      </w:r>
      <w:proofErr w:type="spellStart"/>
      <w:r w:rsidRPr="00465452">
        <w:rPr>
          <w:lang w:val="en-AU"/>
        </w:rPr>
        <w:t>nM</w:t>
      </w:r>
      <w:proofErr w:type="spellEnd"/>
      <w:r w:rsidRPr="00465452">
        <w:rPr>
          <w:lang w:val="en-AU"/>
        </w:rPr>
        <w:t>/</w:t>
      </w:r>
      <w:proofErr w:type="spellStart"/>
      <w:r w:rsidRPr="00465452">
        <w:rPr>
          <w:lang w:val="en-AU"/>
        </w:rPr>
        <w:t>mM</w:t>
      </w:r>
      <w:proofErr w:type="spellEnd"/>
      <w:r w:rsidRPr="00465452">
        <w:rPr>
          <w:lang w:val="en-AU"/>
        </w:rPr>
        <w:t xml:space="preserve"> up to week 25 of the study.</w:t>
      </w:r>
    </w:p>
    <w:p w:rsidR="00465452" w:rsidRPr="00465452" w:rsidRDefault="00465452" w:rsidP="00465452">
      <w:pPr>
        <w:rPr>
          <w:lang w:val="en-AU"/>
        </w:rPr>
      </w:pPr>
    </w:p>
    <w:p w:rsidR="00465452" w:rsidRPr="00465452" w:rsidRDefault="00465452" w:rsidP="00465452">
      <w:pPr>
        <w:rPr>
          <w:lang w:val="en-AU"/>
        </w:rPr>
      </w:pPr>
      <w:r w:rsidRPr="00465452">
        <w:t xml:space="preserve">In a phase 2 </w:t>
      </w:r>
      <w:proofErr w:type="gramStart"/>
      <w:r w:rsidRPr="00465452">
        <w:t>study</w:t>
      </w:r>
      <w:proofErr w:type="gramEnd"/>
      <w:r w:rsidRPr="00465452">
        <w:t xml:space="preserve"> of patients with giant cell </w:t>
      </w:r>
      <w:proofErr w:type="spellStart"/>
      <w:r w:rsidRPr="00465452">
        <w:t>tumour</w:t>
      </w:r>
      <w:proofErr w:type="spellEnd"/>
      <w:r w:rsidRPr="00465452">
        <w:t xml:space="preserve"> of bone who received subcutaneous doses of </w:t>
      </w:r>
      <w:proofErr w:type="spellStart"/>
      <w:r w:rsidRPr="00465452">
        <w:t>Xgeva</w:t>
      </w:r>
      <w:proofErr w:type="spellEnd"/>
      <w:r w:rsidRPr="00465452">
        <w:t xml:space="preserve"> 120 mg every 4 weeks (Q4W) with loading doses on days 8 and 15 of the initial 4-week treatment period, median reductions in </w:t>
      </w:r>
      <w:proofErr w:type="spellStart"/>
      <w:r w:rsidRPr="00465452">
        <w:t>uNTx</w:t>
      </w:r>
      <w:proofErr w:type="spellEnd"/>
      <w:r w:rsidRPr="00465452">
        <w:t xml:space="preserve">/Cr and </w:t>
      </w:r>
      <w:proofErr w:type="spellStart"/>
      <w:r w:rsidRPr="00465452">
        <w:t>sCTx</w:t>
      </w:r>
      <w:proofErr w:type="spellEnd"/>
      <w:r w:rsidRPr="00465452">
        <w:t xml:space="preserve"> of approximately 80% were observed by week 9.  Reductions in bone turnover markers were maintained, with median reductions of 56% to 77% for </w:t>
      </w:r>
      <w:proofErr w:type="spellStart"/>
      <w:r w:rsidRPr="00465452">
        <w:t>uNTx</w:t>
      </w:r>
      <w:proofErr w:type="spellEnd"/>
      <w:r w:rsidRPr="00465452">
        <w:t xml:space="preserve">/Cr and 79% to 83% for </w:t>
      </w:r>
      <w:proofErr w:type="spellStart"/>
      <w:r w:rsidRPr="00465452">
        <w:t>sCTx</w:t>
      </w:r>
      <w:proofErr w:type="spellEnd"/>
      <w:r w:rsidRPr="00465452">
        <w:t xml:space="preserve"> from weeks 5 to 25 of continued 120 mg Q4W dosing.</w:t>
      </w:r>
    </w:p>
    <w:p w:rsidR="00465452" w:rsidRPr="00465452" w:rsidRDefault="00465452" w:rsidP="00465452">
      <w:pPr>
        <w:rPr>
          <w:lang w:val="en-AU"/>
        </w:rPr>
      </w:pPr>
    </w:p>
    <w:p w:rsidR="00465452" w:rsidRPr="00465452" w:rsidRDefault="00465452" w:rsidP="00465452">
      <w:pPr>
        <w:rPr>
          <w:bCs/>
          <w:iCs/>
          <w:u w:val="single"/>
        </w:rPr>
      </w:pPr>
      <w:r w:rsidRPr="00465452">
        <w:rPr>
          <w:bCs/>
          <w:iCs/>
          <w:u w:val="single"/>
        </w:rPr>
        <w:t>Pharmacokinetics</w:t>
      </w:r>
    </w:p>
    <w:p w:rsidR="00465452" w:rsidRPr="00465452" w:rsidRDefault="00465452" w:rsidP="00465452">
      <w:pPr>
        <w:rPr>
          <w:lang w:val="en-AU"/>
        </w:rPr>
      </w:pPr>
      <w:r w:rsidRPr="00465452">
        <w:rPr>
          <w:lang w:val="en-AU"/>
        </w:rPr>
        <w:t xml:space="preserve">Following subcutaneous administration, bioavailability was 62% and </w:t>
      </w:r>
      <w:proofErr w:type="spellStart"/>
      <w:r w:rsidRPr="00465452">
        <w:rPr>
          <w:lang w:val="en-AU"/>
        </w:rPr>
        <w:t>denosumab</w:t>
      </w:r>
      <w:proofErr w:type="spellEnd"/>
      <w:r w:rsidRPr="00465452">
        <w:rPr>
          <w:lang w:val="en-AU"/>
        </w:rPr>
        <w:t xml:space="preserve"> displayed non-linear pharmacokinetics with dose over a wide dose range, but approximately dose-proportional increases in exposure for doses of 60 mg (or 1 mg/kg) and higher.</w:t>
      </w:r>
    </w:p>
    <w:p w:rsidR="00465452" w:rsidRPr="00465452" w:rsidRDefault="00465452" w:rsidP="00465452">
      <w:pPr>
        <w:rPr>
          <w:lang w:val="en-AU"/>
        </w:rPr>
      </w:pPr>
    </w:p>
    <w:p w:rsidR="00465452" w:rsidRPr="00465452" w:rsidRDefault="00465452" w:rsidP="00465452">
      <w:pPr>
        <w:rPr>
          <w:lang w:val="en-AU"/>
        </w:rPr>
      </w:pPr>
      <w:r w:rsidRPr="00465452">
        <w:rPr>
          <w:lang w:val="en-AU"/>
        </w:rPr>
        <w:t xml:space="preserve">In subjects with advanced cancer who received multiple doses of 120 mg every 4 weeks (Q4W) an approximate 2-fold accumulation in serum </w:t>
      </w:r>
      <w:proofErr w:type="spellStart"/>
      <w:r w:rsidRPr="00465452">
        <w:rPr>
          <w:lang w:val="en-AU"/>
        </w:rPr>
        <w:t>denosumab</w:t>
      </w:r>
      <w:proofErr w:type="spellEnd"/>
      <w:r w:rsidRPr="00465452">
        <w:rPr>
          <w:lang w:val="en-AU"/>
        </w:rPr>
        <w:t xml:space="preserve"> concentrations was observed and steady-state was achieved by 6 months, consistent with time-independent pharmacokinetics. At steady-state, the mean serum trough concentration was </w:t>
      </w:r>
      <w:proofErr w:type="gramStart"/>
      <w:r w:rsidRPr="00465452">
        <w:rPr>
          <w:lang w:val="en-AU"/>
        </w:rPr>
        <w:t xml:space="preserve">20.6 </w:t>
      </w:r>
      <w:proofErr w:type="spellStart"/>
      <w:r w:rsidRPr="00465452">
        <w:rPr>
          <w:lang w:val="en-AU"/>
        </w:rPr>
        <w:t>μg</w:t>
      </w:r>
      <w:proofErr w:type="spellEnd"/>
      <w:r w:rsidRPr="00465452">
        <w:rPr>
          <w:lang w:val="en-AU"/>
        </w:rPr>
        <w:t>/mL</w:t>
      </w:r>
      <w:proofErr w:type="gramEnd"/>
      <w:r w:rsidRPr="00465452">
        <w:rPr>
          <w:lang w:val="en-AU"/>
        </w:rPr>
        <w:t xml:space="preserve"> (range: 0.456 to 56.9 </w:t>
      </w:r>
      <w:proofErr w:type="spellStart"/>
      <w:r w:rsidRPr="00465452">
        <w:rPr>
          <w:lang w:val="en-AU"/>
        </w:rPr>
        <w:t>μg</w:t>
      </w:r>
      <w:proofErr w:type="spellEnd"/>
      <w:r w:rsidRPr="00465452">
        <w:rPr>
          <w:lang w:val="en-AU"/>
        </w:rPr>
        <w:t xml:space="preserve">/mL). In subjects who discontinued 120 mg every 4 weeks, the mean half-life was 28 days (range: 14 to 55 days). In subjects with giant cell tumour of bone who received 120 mg every 4 weeks with a loading dose on days 8 and 15, steady-state levels were achieved within the first month of treatment. </w:t>
      </w:r>
      <w:proofErr w:type="gramStart"/>
      <w:r w:rsidRPr="00465452">
        <w:rPr>
          <w:lang w:val="en-AU"/>
        </w:rPr>
        <w:t>Between weeks 9 and 49, median trough levels varied by less than 9%.</w:t>
      </w:r>
      <w:proofErr w:type="gramEnd"/>
    </w:p>
    <w:p w:rsidR="00465452" w:rsidRPr="00465452" w:rsidRDefault="00465452" w:rsidP="00465452">
      <w:pPr>
        <w:rPr>
          <w:lang w:val="en-AU"/>
        </w:rPr>
      </w:pPr>
      <w:r w:rsidRPr="00465452">
        <w:rPr>
          <w:lang w:val="en-AU"/>
        </w:rPr>
        <w:lastRenderedPageBreak/>
        <w:t xml:space="preserve">A population pharmacokinetic analysis showed no notable difference in pharmacokinetics with age (18 to 87 years), race, body weight (36 to 174 kg), or across patients with solid tumours and giant cell tumour of bone. </w:t>
      </w:r>
      <w:proofErr w:type="spellStart"/>
      <w:r w:rsidRPr="00465452">
        <w:rPr>
          <w:lang w:val="en-AU"/>
        </w:rPr>
        <w:t>Denosumab</w:t>
      </w:r>
      <w:proofErr w:type="spellEnd"/>
      <w:r w:rsidRPr="00465452">
        <w:rPr>
          <w:lang w:val="en-AU"/>
        </w:rPr>
        <w:t xml:space="preserve"> pharmacokinetics and pharmacodynamics were not affected by the formation of binding antibodies to </w:t>
      </w:r>
      <w:proofErr w:type="spellStart"/>
      <w:r w:rsidRPr="00465452">
        <w:rPr>
          <w:lang w:val="en-AU"/>
        </w:rPr>
        <w:t>denosumab</w:t>
      </w:r>
      <w:proofErr w:type="spellEnd"/>
      <w:r w:rsidRPr="00465452">
        <w:rPr>
          <w:lang w:val="en-AU"/>
        </w:rPr>
        <w:t xml:space="preserve"> and were similar in men and women.</w:t>
      </w:r>
    </w:p>
    <w:p w:rsidR="00465452" w:rsidRPr="00465452" w:rsidRDefault="00465452" w:rsidP="00465452">
      <w:pPr>
        <w:rPr>
          <w:lang w:val="en-AU"/>
        </w:rPr>
      </w:pPr>
    </w:p>
    <w:p w:rsidR="00465452" w:rsidRPr="00465452" w:rsidRDefault="00465452" w:rsidP="00465452">
      <w:pPr>
        <w:rPr>
          <w:lang w:val="en-AU"/>
        </w:rPr>
      </w:pPr>
      <w:r w:rsidRPr="00465452">
        <w:rPr>
          <w:lang w:val="en-AU"/>
        </w:rPr>
        <w:t xml:space="preserve">The pharmacokinetics and pharmacodynamics of </w:t>
      </w:r>
      <w:proofErr w:type="spellStart"/>
      <w:r w:rsidRPr="00465452">
        <w:rPr>
          <w:lang w:val="en-AU"/>
        </w:rPr>
        <w:t>denosumab</w:t>
      </w:r>
      <w:proofErr w:type="spellEnd"/>
      <w:r w:rsidRPr="00465452">
        <w:rPr>
          <w:lang w:val="en-AU"/>
        </w:rPr>
        <w:t xml:space="preserve"> were similar in patients transitioning from IV bisphosphonate therapy.</w:t>
      </w:r>
    </w:p>
    <w:p w:rsidR="00465452" w:rsidRPr="00465452" w:rsidRDefault="00465452" w:rsidP="00465452">
      <w:pPr>
        <w:rPr>
          <w:lang w:val="en-AU"/>
        </w:rPr>
      </w:pPr>
      <w:proofErr w:type="spellStart"/>
      <w:r w:rsidRPr="00465452">
        <w:rPr>
          <w:lang w:val="en-AU"/>
        </w:rPr>
        <w:t>Denosumab</w:t>
      </w:r>
      <w:proofErr w:type="spellEnd"/>
      <w:r w:rsidRPr="00465452">
        <w:rPr>
          <w:lang w:val="en-AU"/>
        </w:rPr>
        <w:t xml:space="preserve"> is composed solely of amino acids and carbohydrates as native immunoglobulin and is unlikely to be eliminated via hepatic metabolic mechanisms. Its metabolism and elimination are expected to follow the immunoglobulin clearance pathways, resulting in degradation to small peptides and individual amino acids.</w:t>
      </w:r>
    </w:p>
    <w:p w:rsidR="00465452" w:rsidRPr="00465452" w:rsidRDefault="00465452" w:rsidP="00465452">
      <w:pPr>
        <w:rPr>
          <w:b/>
          <w:bCs/>
          <w:iCs/>
          <w:u w:val="single"/>
          <w:lang w:val="en-AU"/>
        </w:rPr>
      </w:pPr>
    </w:p>
    <w:p w:rsidR="00465452" w:rsidRPr="00465452" w:rsidRDefault="00465452" w:rsidP="00465452">
      <w:pPr>
        <w:rPr>
          <w:b/>
          <w:bCs/>
          <w:iCs/>
          <w:u w:val="single"/>
          <w:lang w:val="en-AU"/>
        </w:rPr>
      </w:pPr>
      <w:r w:rsidRPr="00465452">
        <w:rPr>
          <w:b/>
          <w:bCs/>
          <w:iCs/>
          <w:u w:val="single"/>
          <w:lang w:val="en-AU"/>
        </w:rPr>
        <w:t>Special populations</w:t>
      </w:r>
    </w:p>
    <w:p w:rsidR="00465452" w:rsidRPr="00465452" w:rsidRDefault="00465452" w:rsidP="00465452">
      <w:pPr>
        <w:rPr>
          <w:b/>
          <w:bCs/>
          <w:lang w:val="en-AU"/>
        </w:rPr>
      </w:pPr>
    </w:p>
    <w:p w:rsidR="00465452" w:rsidRPr="00465452" w:rsidRDefault="00465452" w:rsidP="00465452">
      <w:pPr>
        <w:rPr>
          <w:b/>
          <w:bCs/>
          <w:lang w:val="en-AU"/>
        </w:rPr>
      </w:pPr>
      <w:r w:rsidRPr="00465452">
        <w:rPr>
          <w:b/>
          <w:bCs/>
          <w:lang w:val="en-AU"/>
        </w:rPr>
        <w:t>Elderly</w:t>
      </w:r>
    </w:p>
    <w:p w:rsidR="00465452" w:rsidRPr="00465452" w:rsidRDefault="00465452" w:rsidP="00465452">
      <w:r w:rsidRPr="00465452">
        <w:t xml:space="preserve">The pharmacokinetics of </w:t>
      </w:r>
      <w:proofErr w:type="spellStart"/>
      <w:r w:rsidRPr="00465452">
        <w:t>denosumab</w:t>
      </w:r>
      <w:proofErr w:type="spellEnd"/>
      <w:r w:rsidRPr="00465452">
        <w:t xml:space="preserve"> </w:t>
      </w:r>
      <w:proofErr w:type="gramStart"/>
      <w:r w:rsidRPr="00465452">
        <w:t>were</w:t>
      </w:r>
      <w:proofErr w:type="gramEnd"/>
      <w:r w:rsidRPr="00465452">
        <w:t xml:space="preserve"> not affected by age (18 to 87 years).</w:t>
      </w:r>
    </w:p>
    <w:p w:rsidR="00465452" w:rsidRPr="00465452" w:rsidRDefault="00465452" w:rsidP="00465452">
      <w:pPr>
        <w:rPr>
          <w:b/>
          <w:bCs/>
          <w:lang w:val="en-AU"/>
        </w:rPr>
      </w:pPr>
    </w:p>
    <w:p w:rsidR="00465452" w:rsidRPr="00465452" w:rsidRDefault="00465452" w:rsidP="00465452">
      <w:pPr>
        <w:rPr>
          <w:b/>
          <w:bCs/>
          <w:lang w:val="en-AU"/>
        </w:rPr>
      </w:pPr>
      <w:r w:rsidRPr="00465452">
        <w:rPr>
          <w:b/>
          <w:bCs/>
          <w:lang w:val="en-AU"/>
        </w:rPr>
        <w:t>Paediatric</w:t>
      </w:r>
    </w:p>
    <w:p w:rsidR="00465452" w:rsidRPr="00465452" w:rsidRDefault="00465452" w:rsidP="00465452">
      <w:r w:rsidRPr="00465452">
        <w:t>The pharmacokinetic profile has not been assessed in those &lt; 18 years.</w:t>
      </w:r>
    </w:p>
    <w:p w:rsidR="00465452" w:rsidRPr="00465452" w:rsidRDefault="00465452" w:rsidP="00465452"/>
    <w:p w:rsidR="00465452" w:rsidRPr="00465452" w:rsidRDefault="00465452" w:rsidP="00465452">
      <w:pPr>
        <w:rPr>
          <w:b/>
          <w:bCs/>
          <w:lang w:val="en-AU"/>
        </w:rPr>
      </w:pPr>
      <w:r w:rsidRPr="00465452">
        <w:rPr>
          <w:b/>
          <w:bCs/>
          <w:lang w:val="en-AU"/>
        </w:rPr>
        <w:t>Impaired hepatic function</w:t>
      </w:r>
    </w:p>
    <w:p w:rsidR="00465452" w:rsidRPr="00465452" w:rsidRDefault="00465452" w:rsidP="00465452">
      <w:r w:rsidRPr="00465452">
        <w:t>The pharmacokinetic profile has not been assessed in patients with impaired hepatic function.</w:t>
      </w:r>
    </w:p>
    <w:p w:rsidR="00465452" w:rsidRPr="00465452" w:rsidRDefault="00465452" w:rsidP="00465452"/>
    <w:p w:rsidR="00465452" w:rsidRPr="00465452" w:rsidRDefault="00465452" w:rsidP="00465452">
      <w:pPr>
        <w:rPr>
          <w:b/>
          <w:bCs/>
          <w:lang w:val="en-AU"/>
        </w:rPr>
      </w:pPr>
      <w:r w:rsidRPr="00465452">
        <w:rPr>
          <w:b/>
          <w:bCs/>
          <w:lang w:val="en-AU"/>
        </w:rPr>
        <w:t>Impaired renal function</w:t>
      </w:r>
    </w:p>
    <w:p w:rsidR="00465452" w:rsidRPr="00465452" w:rsidRDefault="00465452" w:rsidP="00465452">
      <w:pPr>
        <w:numPr>
          <w:ilvl w:val="0"/>
          <w:numId w:val="44"/>
        </w:numPr>
      </w:pPr>
      <w:r w:rsidRPr="00465452">
        <w:t xml:space="preserve">In a study of 55 patients without advanced malignancies but with varying degrees of renal function, including patients on dialysis, the degree of renal impairment had no effect on the pharmacokinetics and pharmacodynamics of </w:t>
      </w:r>
      <w:proofErr w:type="spellStart"/>
      <w:r w:rsidRPr="00465452">
        <w:t>denosumab</w:t>
      </w:r>
      <w:proofErr w:type="spellEnd"/>
      <w:r w:rsidRPr="00465452">
        <w:t>.  Dose adjustment for renal impairment is not necessary.</w:t>
      </w:r>
    </w:p>
    <w:p w:rsidR="00465452" w:rsidRPr="00465452" w:rsidRDefault="00465452" w:rsidP="00465452">
      <w:pPr>
        <w:rPr>
          <w:b/>
          <w:bCs/>
          <w:iCs/>
          <w:u w:val="single"/>
          <w:lang w:val="en-AU"/>
        </w:rPr>
      </w:pPr>
      <w:r w:rsidRPr="00465452">
        <w:rPr>
          <w:b/>
          <w:bCs/>
          <w:iCs/>
          <w:u w:val="single"/>
          <w:lang w:val="en-AU"/>
        </w:rPr>
        <w:t>Immunogenicity</w:t>
      </w:r>
    </w:p>
    <w:p w:rsidR="00465452" w:rsidRPr="00465452" w:rsidRDefault="00465452" w:rsidP="00465452">
      <w:pPr>
        <w:numPr>
          <w:ilvl w:val="0"/>
          <w:numId w:val="44"/>
        </w:numPr>
      </w:pPr>
      <w:r w:rsidRPr="00465452">
        <w:rPr>
          <w:bCs/>
        </w:rPr>
        <w:t xml:space="preserve">In clinical studies, no </w:t>
      </w:r>
      <w:proofErr w:type="spellStart"/>
      <w:r w:rsidRPr="00465452">
        <w:t>neutralising</w:t>
      </w:r>
      <w:proofErr w:type="spellEnd"/>
      <w:r w:rsidRPr="00465452">
        <w:t xml:space="preserve"> antibodies for </w:t>
      </w:r>
      <w:proofErr w:type="spellStart"/>
      <w:r w:rsidRPr="00465452">
        <w:t>denosumab</w:t>
      </w:r>
      <w:proofErr w:type="spellEnd"/>
      <w:r w:rsidRPr="00465452">
        <w:t xml:space="preserve"> have been observed.  Using a sensitive immunoassay, &lt; 1% of patients treated with </w:t>
      </w:r>
      <w:proofErr w:type="spellStart"/>
      <w:r w:rsidRPr="00465452">
        <w:t>denosumab</w:t>
      </w:r>
      <w:proofErr w:type="spellEnd"/>
      <w:r w:rsidRPr="00465452">
        <w:t xml:space="preserve"> for up to 3 years tested positive for non </w:t>
      </w:r>
      <w:proofErr w:type="spellStart"/>
      <w:r w:rsidRPr="00465452">
        <w:t>neutralising</w:t>
      </w:r>
      <w:proofErr w:type="spellEnd"/>
      <w:r w:rsidRPr="00465452">
        <w:t xml:space="preserve"> binding antibodies with no evidence of altered pharmacokinetics, toxicity, or clinical response.</w:t>
      </w:r>
    </w:p>
    <w:p w:rsidR="00465452" w:rsidRPr="00465452" w:rsidRDefault="00465452" w:rsidP="00465452">
      <w:pPr>
        <w:numPr>
          <w:ilvl w:val="0"/>
          <w:numId w:val="44"/>
        </w:numPr>
      </w:pPr>
    </w:p>
    <w:p w:rsidR="00465452" w:rsidRPr="00465452" w:rsidRDefault="00465452" w:rsidP="00465452">
      <w:pPr>
        <w:rPr>
          <w:b/>
          <w:bCs/>
        </w:rPr>
      </w:pPr>
      <w:r w:rsidRPr="00465452">
        <w:rPr>
          <w:b/>
          <w:bCs/>
        </w:rPr>
        <w:t>CLINICAL TRIALS</w:t>
      </w:r>
    </w:p>
    <w:p w:rsidR="00465452" w:rsidRPr="00465452" w:rsidRDefault="00465452" w:rsidP="00465452">
      <w:pPr>
        <w:rPr>
          <w:b/>
          <w:u w:val="single"/>
          <w:lang w:val="en-AU"/>
        </w:rPr>
      </w:pPr>
    </w:p>
    <w:p w:rsidR="00465452" w:rsidRPr="00465452" w:rsidRDefault="00465452" w:rsidP="00465452">
      <w:pPr>
        <w:rPr>
          <w:b/>
          <w:u w:val="single"/>
          <w:lang w:val="en-AU"/>
        </w:rPr>
      </w:pPr>
      <w:r w:rsidRPr="00465452">
        <w:rPr>
          <w:b/>
          <w:u w:val="single"/>
          <w:lang w:val="en-AU"/>
        </w:rPr>
        <w:t>Clinical efficacy in patients with advanced malignancies involving bone</w:t>
      </w:r>
    </w:p>
    <w:p w:rsidR="00465452" w:rsidRPr="00465452" w:rsidRDefault="00465452" w:rsidP="00465452">
      <w:pPr>
        <w:rPr>
          <w:lang w:val="en-AU"/>
        </w:rPr>
      </w:pPr>
      <w:r w:rsidRPr="00465452">
        <w:rPr>
          <w:lang w:val="en-AU"/>
        </w:rPr>
        <w:t xml:space="preserve">Efficacy and safety of 120 mg </w:t>
      </w:r>
      <w:proofErr w:type="spellStart"/>
      <w:r w:rsidRPr="00465452">
        <w:t>Xgeva</w:t>
      </w:r>
      <w:proofErr w:type="spellEnd"/>
      <w:r w:rsidRPr="00465452">
        <w:rPr>
          <w:lang w:val="en-AU"/>
        </w:rPr>
        <w:t xml:space="preserve"> subcutaneously every 4 weeks or 4 mg </w:t>
      </w:r>
      <w:proofErr w:type="spellStart"/>
      <w:r w:rsidRPr="00465452">
        <w:rPr>
          <w:lang w:val="en-AU"/>
        </w:rPr>
        <w:t>zoledronic</w:t>
      </w:r>
      <w:proofErr w:type="spellEnd"/>
      <w:r w:rsidRPr="00465452">
        <w:rPr>
          <w:lang w:val="en-AU"/>
        </w:rPr>
        <w:t xml:space="preserve"> acid (dose-adjusted for reduced renal function) IV every 4 weeks were compared in three randomised, double blind, active controlled studies, in IV-bisphosphonates naïve patients with advanced malignancies involving bone. A total of 2,046 adults with breast cancer with at least one bone metastasis (Study 20050136), 1,776 adults with other solid tumours (including non-small cell lung cancer, renal cell cancer, colorectal cancer, small cell lung cancer, bladder cancer, head and neck cancer, gastrointestinal/genitourinary cancer and others, excluding breast and prostate cancer) with at least one bone metastasis or multiple myeloma (Study 20050244), and 1,901 men with castrate-resistant prostate cancer with at least one bone metastasis (Study 20050103) were included. The primary and secondary endpoints evaluated the occurrence of one or more skeletal related events (SREs) defined </w:t>
      </w:r>
      <w:r w:rsidRPr="00465452">
        <w:rPr>
          <w:lang w:val="en-AU"/>
        </w:rPr>
        <w:lastRenderedPageBreak/>
        <w:t>as any of the following: pathologic fracture, radiation therapy to bone, surgery to bone or spinal cord compression.</w:t>
      </w:r>
    </w:p>
    <w:p w:rsidR="00465452" w:rsidRPr="00465452" w:rsidRDefault="00465452" w:rsidP="00465452">
      <w:pPr>
        <w:rPr>
          <w:lang w:val="en-AU"/>
        </w:rPr>
      </w:pPr>
    </w:p>
    <w:p w:rsidR="00465452" w:rsidRPr="00465452" w:rsidRDefault="00465452" w:rsidP="00465452">
      <w:pPr>
        <w:rPr>
          <w:lang w:val="en-AU"/>
        </w:rPr>
      </w:pPr>
      <w:proofErr w:type="spellStart"/>
      <w:r w:rsidRPr="00465452">
        <w:t>Xgeva</w:t>
      </w:r>
      <w:proofErr w:type="spellEnd"/>
      <w:r w:rsidRPr="00465452">
        <w:t xml:space="preserve"> </w:t>
      </w:r>
      <w:r w:rsidRPr="00465452">
        <w:rPr>
          <w:lang w:val="en-AU"/>
        </w:rPr>
        <w:t>reduced the risk of developing a SRE, or developing multiple SREs (first and subsequent) in patients with advanced malignancies involving bone (see Figure 1 and Table 1).</w:t>
      </w:r>
    </w:p>
    <w:p w:rsidR="00465452" w:rsidRPr="00465452" w:rsidRDefault="00465452" w:rsidP="00465452">
      <w:pPr>
        <w:numPr>
          <w:ilvl w:val="0"/>
          <w:numId w:val="26"/>
        </w:numPr>
        <w:tabs>
          <w:tab w:val="num" w:pos="360"/>
        </w:tabs>
        <w:rPr>
          <w:b/>
          <w:lang w:val="en-AU"/>
        </w:rPr>
      </w:pPr>
      <w:bookmarkStart w:id="0" w:name="_Ref242877356"/>
      <w:bookmarkStart w:id="1" w:name="_Ref256098227"/>
      <w:bookmarkStart w:id="2" w:name="_Toc258858231"/>
      <w:r w:rsidRPr="00465452">
        <w:rPr>
          <w:b/>
          <w:lang w:val="en-AU"/>
        </w:rPr>
        <w:t xml:space="preserve">Figure </w:t>
      </w:r>
      <w:bookmarkEnd w:id="0"/>
      <w:r w:rsidRPr="00465452">
        <w:rPr>
          <w:b/>
          <w:lang w:val="en-AU"/>
        </w:rPr>
        <w:t>1.  Kaplan-Meier plot of time to first on-study SRE</w:t>
      </w:r>
      <w:bookmarkEnd w:id="1"/>
      <w:bookmarkEnd w:id="2"/>
    </w:p>
    <w:p w:rsidR="00465452" w:rsidRPr="00465452" w:rsidRDefault="00465452" w:rsidP="00465452">
      <w:pPr>
        <w:rPr>
          <w:lang w:val="en-AU"/>
        </w:rPr>
      </w:pPr>
    </w:p>
    <w:p w:rsidR="00465452" w:rsidRPr="00465452" w:rsidRDefault="00465452" w:rsidP="00465452">
      <w:r w:rsidRPr="00465452">
        <w:rPr>
          <w:noProof/>
          <w:lang w:val="en-AU" w:eastAsia="en-AU"/>
        </w:rPr>
        <w:drawing>
          <wp:inline distT="0" distB="0" distL="0" distR="0" wp14:anchorId="05997464" wp14:editId="6B12E483">
            <wp:extent cx="5486400" cy="2695575"/>
            <wp:effectExtent l="0" t="0" r="0" b="0"/>
            <wp:docPr id="2" name="Picture 1" descr="Figure 1.  image 1: Kaplan-Meier plot of time to first on-study S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image 1: Kaplan-Meier plot of time to first on-study SRE"/>
                    <pic:cNvPicPr>
                      <a:picLocks noChangeAspect="1" noChangeArrowheads="1"/>
                    </pic:cNvPicPr>
                  </pic:nvPicPr>
                  <pic:blipFill>
                    <a:blip r:embed="rId10">
                      <a:extLst>
                        <a:ext uri="{28A0092B-C50C-407E-A947-70E740481C1C}">
                          <a14:useLocalDpi xmlns:a14="http://schemas.microsoft.com/office/drawing/2010/main" val="0"/>
                        </a:ext>
                      </a:extLst>
                    </a:blip>
                    <a:srcRect t="19727" b="42261"/>
                    <a:stretch>
                      <a:fillRect/>
                    </a:stretch>
                  </pic:blipFill>
                  <pic:spPr bwMode="auto">
                    <a:xfrm>
                      <a:off x="0" y="0"/>
                      <a:ext cx="5486400" cy="2695575"/>
                    </a:xfrm>
                    <a:prstGeom prst="rect">
                      <a:avLst/>
                    </a:prstGeom>
                    <a:noFill/>
                    <a:ln>
                      <a:noFill/>
                    </a:ln>
                  </pic:spPr>
                </pic:pic>
              </a:graphicData>
            </a:graphic>
          </wp:inline>
        </w:drawing>
      </w:r>
    </w:p>
    <w:p w:rsidR="00465452" w:rsidRPr="00465452" w:rsidRDefault="00465452" w:rsidP="00465452">
      <w:r w:rsidRPr="00465452">
        <w:rPr>
          <w:noProof/>
          <w:lang w:val="en-AU" w:eastAsia="en-AU"/>
        </w:rPr>
        <w:drawing>
          <wp:inline distT="0" distB="0" distL="0" distR="0" wp14:anchorId="6A042D4E" wp14:editId="3D4B0BB6">
            <wp:extent cx="2514600" cy="2638425"/>
            <wp:effectExtent l="0" t="0" r="0" b="9525"/>
            <wp:docPr id="3" name="Picture 3" descr="Figure 1.  image 2: Kaplan-Meier plot of time to first on-study S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image 2: Kaplan-Meier plot of time to first on-study SRE"/>
                    <pic:cNvPicPr>
                      <a:picLocks noChangeAspect="1" noChangeArrowheads="1"/>
                    </pic:cNvPicPr>
                  </pic:nvPicPr>
                  <pic:blipFill>
                    <a:blip r:embed="rId11">
                      <a:extLst>
                        <a:ext uri="{28A0092B-C50C-407E-A947-70E740481C1C}">
                          <a14:useLocalDpi xmlns:a14="http://schemas.microsoft.com/office/drawing/2010/main" val="0"/>
                        </a:ext>
                      </a:extLst>
                    </a:blip>
                    <a:srcRect t="19800" r="54163" b="42926"/>
                    <a:stretch>
                      <a:fillRect/>
                    </a:stretch>
                  </pic:blipFill>
                  <pic:spPr bwMode="auto">
                    <a:xfrm>
                      <a:off x="0" y="0"/>
                      <a:ext cx="2514600" cy="2638425"/>
                    </a:xfrm>
                    <a:prstGeom prst="rect">
                      <a:avLst/>
                    </a:prstGeom>
                    <a:noFill/>
                    <a:ln>
                      <a:noFill/>
                    </a:ln>
                  </pic:spPr>
                </pic:pic>
              </a:graphicData>
            </a:graphic>
          </wp:inline>
        </w:drawing>
      </w:r>
    </w:p>
    <w:p w:rsidR="00465452" w:rsidRPr="00465452" w:rsidRDefault="00465452" w:rsidP="00465452">
      <w:r w:rsidRPr="00465452">
        <w:t xml:space="preserve">N = number of subjects </w:t>
      </w:r>
      <w:proofErr w:type="spellStart"/>
      <w:r w:rsidRPr="00465452">
        <w:t>randomised</w:t>
      </w:r>
      <w:proofErr w:type="spellEnd"/>
    </w:p>
    <w:p w:rsidR="00465452" w:rsidRPr="00465452" w:rsidRDefault="00465452" w:rsidP="00465452">
      <w:pPr>
        <w:rPr>
          <w:b/>
          <w:bCs/>
        </w:rPr>
      </w:pPr>
      <w:r w:rsidRPr="00465452">
        <w:rPr>
          <w:b/>
          <w:bCs/>
        </w:rPr>
        <w:br w:type="page"/>
      </w:r>
      <w:r w:rsidRPr="00465452">
        <w:rPr>
          <w:b/>
          <w:bCs/>
        </w:rPr>
        <w:lastRenderedPageBreak/>
        <w:t>Table 1: Efficacy results in patients with advanced malignancies involving bone</w:t>
      </w:r>
    </w:p>
    <w:p w:rsidR="00465452" w:rsidRPr="00465452" w:rsidRDefault="00465452" w:rsidP="00465452"/>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886"/>
        <w:gridCol w:w="1219"/>
        <w:gridCol w:w="888"/>
        <w:gridCol w:w="1219"/>
        <w:gridCol w:w="888"/>
        <w:gridCol w:w="1219"/>
        <w:gridCol w:w="840"/>
        <w:gridCol w:w="1219"/>
      </w:tblGrid>
      <w:tr w:rsidR="00465452" w:rsidRPr="00465452" w:rsidTr="00804A0E">
        <w:trPr>
          <w:cantSplit/>
          <w:trHeight w:val="642"/>
          <w:tblHeader/>
          <w:jc w:val="center"/>
        </w:trPr>
        <w:tc>
          <w:tcPr>
            <w:tcW w:w="856" w:type="pct"/>
          </w:tcPr>
          <w:p w:rsidR="00465452" w:rsidRPr="00465452" w:rsidRDefault="00465452" w:rsidP="00465452">
            <w:pPr>
              <w:rPr>
                <w:b/>
              </w:rPr>
            </w:pPr>
          </w:p>
        </w:tc>
        <w:tc>
          <w:tcPr>
            <w:tcW w:w="1069" w:type="pct"/>
            <w:gridSpan w:val="2"/>
          </w:tcPr>
          <w:p w:rsidR="00465452" w:rsidRPr="00465452" w:rsidRDefault="00465452" w:rsidP="00465452">
            <w:pPr>
              <w:rPr>
                <w:b/>
              </w:rPr>
            </w:pPr>
            <w:r w:rsidRPr="00465452">
              <w:rPr>
                <w:b/>
              </w:rPr>
              <w:t>Study 20050136</w:t>
            </w:r>
          </w:p>
          <w:p w:rsidR="00465452" w:rsidRPr="00465452" w:rsidRDefault="00465452" w:rsidP="00465452">
            <w:pPr>
              <w:rPr>
                <w:b/>
              </w:rPr>
            </w:pPr>
            <w:r w:rsidRPr="00465452">
              <w:rPr>
                <w:b/>
              </w:rPr>
              <w:t xml:space="preserve">breast cancer </w:t>
            </w:r>
          </w:p>
          <w:p w:rsidR="00465452" w:rsidRPr="00465452" w:rsidRDefault="00465452" w:rsidP="00465452">
            <w:pPr>
              <w:rPr>
                <w:b/>
              </w:rPr>
            </w:pPr>
          </w:p>
        </w:tc>
        <w:tc>
          <w:tcPr>
            <w:tcW w:w="1069" w:type="pct"/>
            <w:gridSpan w:val="2"/>
          </w:tcPr>
          <w:p w:rsidR="00465452" w:rsidRPr="00465452" w:rsidRDefault="00465452" w:rsidP="00465452">
            <w:pPr>
              <w:rPr>
                <w:b/>
              </w:rPr>
            </w:pPr>
            <w:r w:rsidRPr="00465452">
              <w:rPr>
                <w:b/>
              </w:rPr>
              <w:t>Study 20050244</w:t>
            </w:r>
          </w:p>
          <w:p w:rsidR="00465452" w:rsidRPr="00465452" w:rsidRDefault="00465452" w:rsidP="00465452">
            <w:pPr>
              <w:rPr>
                <w:b/>
              </w:rPr>
            </w:pPr>
            <w:r w:rsidRPr="00465452" w:rsidDel="00770DFE">
              <w:rPr>
                <w:b/>
              </w:rPr>
              <w:t xml:space="preserve"> </w:t>
            </w:r>
            <w:r w:rsidRPr="00465452">
              <w:rPr>
                <w:b/>
              </w:rPr>
              <w:t xml:space="preserve">other solid </w:t>
            </w:r>
            <w:proofErr w:type="spellStart"/>
            <w:r w:rsidRPr="00465452">
              <w:rPr>
                <w:b/>
              </w:rPr>
              <w:t>tumours</w:t>
            </w:r>
            <w:proofErr w:type="spellEnd"/>
            <w:r w:rsidRPr="00465452">
              <w:rPr>
                <w:b/>
              </w:rPr>
              <w:t xml:space="preserve"> </w:t>
            </w:r>
          </w:p>
          <w:p w:rsidR="00465452" w:rsidRPr="00465452" w:rsidRDefault="00465452" w:rsidP="00465452">
            <w:pPr>
              <w:rPr>
                <w:b/>
              </w:rPr>
            </w:pPr>
            <w:r w:rsidRPr="00465452">
              <w:rPr>
                <w:b/>
              </w:rPr>
              <w:t>or multiple myeloma</w:t>
            </w:r>
          </w:p>
        </w:tc>
        <w:tc>
          <w:tcPr>
            <w:tcW w:w="1069" w:type="pct"/>
            <w:gridSpan w:val="2"/>
          </w:tcPr>
          <w:p w:rsidR="00465452" w:rsidRPr="00465452" w:rsidRDefault="00465452" w:rsidP="00465452">
            <w:pPr>
              <w:rPr>
                <w:b/>
              </w:rPr>
            </w:pPr>
            <w:r w:rsidRPr="00465452">
              <w:rPr>
                <w:b/>
              </w:rPr>
              <w:t>Study 20050103</w:t>
            </w:r>
          </w:p>
          <w:p w:rsidR="00465452" w:rsidRPr="00465452" w:rsidRDefault="00465452" w:rsidP="00465452">
            <w:pPr>
              <w:rPr>
                <w:b/>
              </w:rPr>
            </w:pPr>
            <w:r w:rsidRPr="00465452">
              <w:rPr>
                <w:b/>
              </w:rPr>
              <w:t>prostate cancer</w:t>
            </w:r>
          </w:p>
          <w:p w:rsidR="00465452" w:rsidRPr="00465452" w:rsidRDefault="00465452" w:rsidP="00465452">
            <w:pPr>
              <w:rPr>
                <w:b/>
              </w:rPr>
            </w:pPr>
          </w:p>
        </w:tc>
        <w:tc>
          <w:tcPr>
            <w:tcW w:w="936" w:type="pct"/>
            <w:gridSpan w:val="2"/>
          </w:tcPr>
          <w:p w:rsidR="00465452" w:rsidRPr="00465452" w:rsidRDefault="00465452" w:rsidP="00465452">
            <w:pPr>
              <w:rPr>
                <w:b/>
              </w:rPr>
            </w:pPr>
            <w:r w:rsidRPr="00465452">
              <w:rPr>
                <w:b/>
              </w:rPr>
              <w:t>Combined</w:t>
            </w:r>
          </w:p>
          <w:p w:rsidR="00465452" w:rsidRPr="00465452" w:rsidRDefault="00465452" w:rsidP="00465452">
            <w:pPr>
              <w:rPr>
                <w:b/>
              </w:rPr>
            </w:pPr>
            <w:r w:rsidRPr="00465452">
              <w:rPr>
                <w:b/>
              </w:rPr>
              <w:t>advanced cancer</w:t>
            </w:r>
          </w:p>
        </w:tc>
      </w:tr>
      <w:tr w:rsidR="00465452" w:rsidRPr="00465452" w:rsidTr="00804A0E">
        <w:trPr>
          <w:cantSplit/>
          <w:trHeight w:val="406"/>
          <w:tblHeader/>
          <w:jc w:val="center"/>
        </w:trPr>
        <w:tc>
          <w:tcPr>
            <w:tcW w:w="856" w:type="pct"/>
          </w:tcPr>
          <w:p w:rsidR="00465452" w:rsidRPr="00465452" w:rsidRDefault="00465452" w:rsidP="00465452"/>
        </w:tc>
        <w:tc>
          <w:tcPr>
            <w:tcW w:w="586" w:type="pct"/>
          </w:tcPr>
          <w:p w:rsidR="00465452" w:rsidRPr="00465452" w:rsidRDefault="00465452" w:rsidP="00465452">
            <w:proofErr w:type="spellStart"/>
            <w:r w:rsidRPr="00465452">
              <w:t>Xgeva</w:t>
            </w:r>
            <w:proofErr w:type="spellEnd"/>
          </w:p>
        </w:tc>
        <w:tc>
          <w:tcPr>
            <w:tcW w:w="483" w:type="pct"/>
          </w:tcPr>
          <w:p w:rsidR="00465452" w:rsidRPr="00465452" w:rsidRDefault="00465452" w:rsidP="00465452">
            <w:proofErr w:type="spellStart"/>
            <w:r w:rsidRPr="00465452">
              <w:t>zoledronic</w:t>
            </w:r>
            <w:proofErr w:type="spellEnd"/>
            <w:r w:rsidRPr="00465452">
              <w:t xml:space="preserve"> acid</w:t>
            </w:r>
          </w:p>
        </w:tc>
        <w:tc>
          <w:tcPr>
            <w:tcW w:w="586" w:type="pct"/>
          </w:tcPr>
          <w:p w:rsidR="00465452" w:rsidRPr="00465452" w:rsidRDefault="00465452" w:rsidP="00465452">
            <w:proofErr w:type="spellStart"/>
            <w:r w:rsidRPr="00465452">
              <w:t>Xgeva</w:t>
            </w:r>
            <w:proofErr w:type="spellEnd"/>
          </w:p>
        </w:tc>
        <w:tc>
          <w:tcPr>
            <w:tcW w:w="483" w:type="pct"/>
          </w:tcPr>
          <w:p w:rsidR="00465452" w:rsidRPr="00465452" w:rsidRDefault="00465452" w:rsidP="00465452">
            <w:proofErr w:type="spellStart"/>
            <w:r w:rsidRPr="00465452">
              <w:t>zoledronic</w:t>
            </w:r>
            <w:proofErr w:type="spellEnd"/>
            <w:r w:rsidRPr="00465452">
              <w:t xml:space="preserve"> acid</w:t>
            </w:r>
          </w:p>
        </w:tc>
        <w:tc>
          <w:tcPr>
            <w:tcW w:w="586" w:type="pct"/>
          </w:tcPr>
          <w:p w:rsidR="00465452" w:rsidRPr="00465452" w:rsidRDefault="00465452" w:rsidP="00465452">
            <w:proofErr w:type="spellStart"/>
            <w:r w:rsidRPr="00465452">
              <w:t>Xgeva</w:t>
            </w:r>
            <w:proofErr w:type="spellEnd"/>
          </w:p>
        </w:tc>
        <w:tc>
          <w:tcPr>
            <w:tcW w:w="483" w:type="pct"/>
          </w:tcPr>
          <w:p w:rsidR="00465452" w:rsidRPr="00465452" w:rsidRDefault="00465452" w:rsidP="00465452">
            <w:proofErr w:type="spellStart"/>
            <w:r w:rsidRPr="00465452">
              <w:t>zoledronic</w:t>
            </w:r>
            <w:proofErr w:type="spellEnd"/>
            <w:r w:rsidRPr="00465452">
              <w:t xml:space="preserve"> acid</w:t>
            </w:r>
          </w:p>
        </w:tc>
        <w:tc>
          <w:tcPr>
            <w:tcW w:w="451" w:type="pct"/>
          </w:tcPr>
          <w:p w:rsidR="00465452" w:rsidRPr="00465452" w:rsidRDefault="00465452" w:rsidP="00465452">
            <w:proofErr w:type="spellStart"/>
            <w:r w:rsidRPr="00465452">
              <w:t>Xgeva</w:t>
            </w:r>
            <w:proofErr w:type="spellEnd"/>
          </w:p>
        </w:tc>
        <w:tc>
          <w:tcPr>
            <w:tcW w:w="485" w:type="pct"/>
          </w:tcPr>
          <w:p w:rsidR="00465452" w:rsidRPr="00465452" w:rsidRDefault="00465452" w:rsidP="00465452">
            <w:proofErr w:type="spellStart"/>
            <w:r w:rsidRPr="00465452">
              <w:t>zoledronic</w:t>
            </w:r>
            <w:proofErr w:type="spellEnd"/>
            <w:r w:rsidRPr="00465452">
              <w:t xml:space="preserve"> acid</w:t>
            </w:r>
          </w:p>
        </w:tc>
      </w:tr>
      <w:tr w:rsidR="00465452" w:rsidRPr="00465452" w:rsidTr="00804A0E">
        <w:trPr>
          <w:cantSplit/>
          <w:trHeight w:val="210"/>
          <w:jc w:val="center"/>
        </w:trPr>
        <w:tc>
          <w:tcPr>
            <w:tcW w:w="856" w:type="pct"/>
          </w:tcPr>
          <w:p w:rsidR="00465452" w:rsidRPr="00465452" w:rsidRDefault="00465452" w:rsidP="00465452">
            <w:r w:rsidRPr="00465452">
              <w:t>N</w:t>
            </w:r>
          </w:p>
        </w:tc>
        <w:tc>
          <w:tcPr>
            <w:tcW w:w="586" w:type="pct"/>
          </w:tcPr>
          <w:p w:rsidR="00465452" w:rsidRPr="00465452" w:rsidRDefault="00465452" w:rsidP="00465452">
            <w:r w:rsidRPr="00465452">
              <w:t>1026</w:t>
            </w:r>
          </w:p>
        </w:tc>
        <w:tc>
          <w:tcPr>
            <w:tcW w:w="483" w:type="pct"/>
          </w:tcPr>
          <w:p w:rsidR="00465452" w:rsidRPr="00465452" w:rsidRDefault="00465452" w:rsidP="00465452">
            <w:r w:rsidRPr="00465452">
              <w:t>1020</w:t>
            </w:r>
          </w:p>
        </w:tc>
        <w:tc>
          <w:tcPr>
            <w:tcW w:w="586" w:type="pct"/>
          </w:tcPr>
          <w:p w:rsidR="00465452" w:rsidRPr="00465452" w:rsidRDefault="00465452" w:rsidP="00465452">
            <w:r w:rsidRPr="00465452">
              <w:t>886</w:t>
            </w:r>
          </w:p>
        </w:tc>
        <w:tc>
          <w:tcPr>
            <w:tcW w:w="483" w:type="pct"/>
          </w:tcPr>
          <w:p w:rsidR="00465452" w:rsidRPr="00465452" w:rsidRDefault="00465452" w:rsidP="00465452">
            <w:r w:rsidRPr="00465452">
              <w:t>890</w:t>
            </w:r>
          </w:p>
        </w:tc>
        <w:tc>
          <w:tcPr>
            <w:tcW w:w="586" w:type="pct"/>
          </w:tcPr>
          <w:p w:rsidR="00465452" w:rsidRPr="00465452" w:rsidRDefault="00465452" w:rsidP="00465452">
            <w:r w:rsidRPr="00465452">
              <w:t>950</w:t>
            </w:r>
          </w:p>
        </w:tc>
        <w:tc>
          <w:tcPr>
            <w:tcW w:w="483" w:type="pct"/>
          </w:tcPr>
          <w:p w:rsidR="00465452" w:rsidRPr="00465452" w:rsidRDefault="00465452" w:rsidP="00465452">
            <w:r w:rsidRPr="00465452">
              <w:t>951</w:t>
            </w:r>
          </w:p>
        </w:tc>
        <w:tc>
          <w:tcPr>
            <w:tcW w:w="451" w:type="pct"/>
          </w:tcPr>
          <w:p w:rsidR="00465452" w:rsidRPr="00465452" w:rsidRDefault="00465452" w:rsidP="00465452">
            <w:r w:rsidRPr="00465452">
              <w:t>2862</w:t>
            </w:r>
          </w:p>
        </w:tc>
        <w:tc>
          <w:tcPr>
            <w:tcW w:w="485" w:type="pct"/>
          </w:tcPr>
          <w:p w:rsidR="00465452" w:rsidRPr="00465452" w:rsidRDefault="00465452" w:rsidP="00465452">
            <w:r w:rsidRPr="00465452">
              <w:t>2861</w:t>
            </w:r>
          </w:p>
        </w:tc>
      </w:tr>
      <w:tr w:rsidR="00465452" w:rsidRPr="00465452" w:rsidTr="00804A0E">
        <w:trPr>
          <w:cantSplit/>
          <w:trHeight w:val="210"/>
          <w:jc w:val="center"/>
        </w:trPr>
        <w:tc>
          <w:tcPr>
            <w:tcW w:w="5000" w:type="pct"/>
            <w:gridSpan w:val="9"/>
          </w:tcPr>
          <w:p w:rsidR="00465452" w:rsidRPr="00465452" w:rsidRDefault="00465452" w:rsidP="00465452">
            <w:pPr>
              <w:rPr>
                <w:b/>
              </w:rPr>
            </w:pPr>
            <w:r w:rsidRPr="00465452">
              <w:rPr>
                <w:b/>
              </w:rPr>
              <w:t>First SRE</w:t>
            </w:r>
          </w:p>
        </w:tc>
      </w:tr>
      <w:tr w:rsidR="00465452" w:rsidRPr="00465452" w:rsidTr="00804A0E">
        <w:trPr>
          <w:cantSplit/>
          <w:trHeight w:val="332"/>
          <w:jc w:val="center"/>
        </w:trPr>
        <w:tc>
          <w:tcPr>
            <w:tcW w:w="856" w:type="pct"/>
          </w:tcPr>
          <w:p w:rsidR="00465452" w:rsidRPr="00465452" w:rsidRDefault="00465452" w:rsidP="00465452">
            <w:r w:rsidRPr="00465452">
              <w:t>Median time (months)</w:t>
            </w:r>
          </w:p>
        </w:tc>
        <w:tc>
          <w:tcPr>
            <w:tcW w:w="586" w:type="pct"/>
          </w:tcPr>
          <w:p w:rsidR="00465452" w:rsidRPr="00465452" w:rsidRDefault="00465452" w:rsidP="00465452">
            <w:r w:rsidRPr="00465452">
              <w:t>NR</w:t>
            </w:r>
          </w:p>
        </w:tc>
        <w:tc>
          <w:tcPr>
            <w:tcW w:w="483" w:type="pct"/>
          </w:tcPr>
          <w:p w:rsidR="00465452" w:rsidRPr="00465452" w:rsidRDefault="00465452" w:rsidP="00465452">
            <w:r w:rsidRPr="00465452">
              <w:t>26.4</w:t>
            </w:r>
          </w:p>
        </w:tc>
        <w:tc>
          <w:tcPr>
            <w:tcW w:w="586" w:type="pct"/>
          </w:tcPr>
          <w:p w:rsidR="00465452" w:rsidRPr="00465452" w:rsidRDefault="00465452" w:rsidP="00465452">
            <w:r w:rsidRPr="00465452">
              <w:t>20.6</w:t>
            </w:r>
          </w:p>
        </w:tc>
        <w:tc>
          <w:tcPr>
            <w:tcW w:w="483" w:type="pct"/>
          </w:tcPr>
          <w:p w:rsidR="00465452" w:rsidRPr="00465452" w:rsidRDefault="00465452" w:rsidP="00465452">
            <w:r w:rsidRPr="00465452">
              <w:t>16.3</w:t>
            </w:r>
          </w:p>
        </w:tc>
        <w:tc>
          <w:tcPr>
            <w:tcW w:w="586" w:type="pct"/>
          </w:tcPr>
          <w:p w:rsidR="00465452" w:rsidRPr="00465452" w:rsidRDefault="00465452" w:rsidP="00465452">
            <w:r w:rsidRPr="00465452">
              <w:t>20.7</w:t>
            </w:r>
          </w:p>
        </w:tc>
        <w:tc>
          <w:tcPr>
            <w:tcW w:w="483" w:type="pct"/>
          </w:tcPr>
          <w:p w:rsidR="00465452" w:rsidRPr="00465452" w:rsidRDefault="00465452" w:rsidP="00465452">
            <w:r w:rsidRPr="00465452">
              <w:t>17.1</w:t>
            </w:r>
          </w:p>
        </w:tc>
        <w:tc>
          <w:tcPr>
            <w:tcW w:w="451" w:type="pct"/>
          </w:tcPr>
          <w:p w:rsidR="00465452" w:rsidRPr="00465452" w:rsidRDefault="00465452" w:rsidP="00465452">
            <w:r w:rsidRPr="00465452">
              <w:t>27.6</w:t>
            </w:r>
          </w:p>
        </w:tc>
        <w:tc>
          <w:tcPr>
            <w:tcW w:w="485" w:type="pct"/>
          </w:tcPr>
          <w:p w:rsidR="00465452" w:rsidRPr="00465452" w:rsidRDefault="00465452" w:rsidP="00465452">
            <w:r w:rsidRPr="00465452">
              <w:t>19.4</w:t>
            </w:r>
          </w:p>
        </w:tc>
      </w:tr>
      <w:tr w:rsidR="00465452" w:rsidRPr="00465452" w:rsidTr="00804A0E">
        <w:trPr>
          <w:cantSplit/>
          <w:trHeight w:val="323"/>
          <w:jc w:val="center"/>
        </w:trPr>
        <w:tc>
          <w:tcPr>
            <w:tcW w:w="856" w:type="pct"/>
          </w:tcPr>
          <w:p w:rsidR="00465452" w:rsidRPr="00465452" w:rsidRDefault="00465452" w:rsidP="00465452">
            <w:r w:rsidRPr="00465452">
              <w:t>Diff in median time (months)</w:t>
            </w:r>
          </w:p>
        </w:tc>
        <w:tc>
          <w:tcPr>
            <w:tcW w:w="1069" w:type="pct"/>
            <w:gridSpan w:val="2"/>
          </w:tcPr>
          <w:p w:rsidR="00465452" w:rsidRPr="00465452" w:rsidRDefault="00465452" w:rsidP="00465452">
            <w:r w:rsidRPr="00465452">
              <w:t>NA</w:t>
            </w:r>
          </w:p>
          <w:p w:rsidR="00465452" w:rsidRPr="00465452" w:rsidRDefault="00465452" w:rsidP="00465452">
            <w:r w:rsidRPr="00465452">
              <w:tab/>
            </w:r>
          </w:p>
        </w:tc>
        <w:tc>
          <w:tcPr>
            <w:tcW w:w="1069" w:type="pct"/>
            <w:gridSpan w:val="2"/>
          </w:tcPr>
          <w:p w:rsidR="00465452" w:rsidRPr="00465452" w:rsidRDefault="00465452" w:rsidP="00465452">
            <w:r w:rsidRPr="00465452">
              <w:t>4.2</w:t>
            </w:r>
          </w:p>
        </w:tc>
        <w:tc>
          <w:tcPr>
            <w:tcW w:w="1069" w:type="pct"/>
            <w:gridSpan w:val="2"/>
          </w:tcPr>
          <w:p w:rsidR="00465452" w:rsidRPr="00465452" w:rsidRDefault="00465452" w:rsidP="00465452">
            <w:r w:rsidRPr="00465452">
              <w:t>3.5</w:t>
            </w:r>
          </w:p>
        </w:tc>
        <w:tc>
          <w:tcPr>
            <w:tcW w:w="936" w:type="pct"/>
            <w:gridSpan w:val="2"/>
          </w:tcPr>
          <w:p w:rsidR="00465452" w:rsidRPr="00465452" w:rsidRDefault="00465452" w:rsidP="00465452">
            <w:r w:rsidRPr="00465452">
              <w:t>8.2</w:t>
            </w:r>
          </w:p>
        </w:tc>
      </w:tr>
      <w:tr w:rsidR="00465452" w:rsidRPr="00465452" w:rsidTr="00804A0E">
        <w:trPr>
          <w:cantSplit/>
          <w:trHeight w:val="406"/>
          <w:jc w:val="center"/>
        </w:trPr>
        <w:tc>
          <w:tcPr>
            <w:tcW w:w="856" w:type="pct"/>
          </w:tcPr>
          <w:p w:rsidR="00465452" w:rsidRPr="00465452" w:rsidRDefault="00465452" w:rsidP="00465452">
            <w:r w:rsidRPr="00465452">
              <w:t xml:space="preserve">Hazard ratio (95% CI) </w:t>
            </w:r>
          </w:p>
        </w:tc>
        <w:tc>
          <w:tcPr>
            <w:tcW w:w="1069" w:type="pct"/>
            <w:gridSpan w:val="2"/>
          </w:tcPr>
          <w:p w:rsidR="00465452" w:rsidRPr="00465452" w:rsidRDefault="00465452" w:rsidP="00465452">
            <w:r w:rsidRPr="00465452">
              <w:t>0.82 (0.71, 0.95)</w:t>
            </w:r>
          </w:p>
        </w:tc>
        <w:tc>
          <w:tcPr>
            <w:tcW w:w="1069" w:type="pct"/>
            <w:gridSpan w:val="2"/>
          </w:tcPr>
          <w:p w:rsidR="00465452" w:rsidRPr="00465452" w:rsidRDefault="00465452" w:rsidP="00465452">
            <w:r w:rsidRPr="00465452">
              <w:t>0.84 (0.71, 0.98)</w:t>
            </w:r>
          </w:p>
        </w:tc>
        <w:tc>
          <w:tcPr>
            <w:tcW w:w="1069" w:type="pct"/>
            <w:gridSpan w:val="2"/>
          </w:tcPr>
          <w:p w:rsidR="00465452" w:rsidRPr="00465452" w:rsidRDefault="00465452" w:rsidP="00465452">
            <w:r w:rsidRPr="00465452">
              <w:t>0.82 (0.71, 0.95)</w:t>
            </w:r>
          </w:p>
        </w:tc>
        <w:tc>
          <w:tcPr>
            <w:tcW w:w="936" w:type="pct"/>
            <w:gridSpan w:val="2"/>
          </w:tcPr>
          <w:p w:rsidR="00465452" w:rsidRPr="00465452" w:rsidRDefault="00465452" w:rsidP="00465452">
            <w:r w:rsidRPr="00465452">
              <w:t>0.83 (0.76, 0.90)</w:t>
            </w:r>
          </w:p>
        </w:tc>
      </w:tr>
      <w:tr w:rsidR="00465452" w:rsidRPr="00465452" w:rsidTr="00804A0E">
        <w:trPr>
          <w:cantSplit/>
          <w:trHeight w:val="296"/>
          <w:jc w:val="center"/>
        </w:trPr>
        <w:tc>
          <w:tcPr>
            <w:tcW w:w="856" w:type="pct"/>
          </w:tcPr>
          <w:p w:rsidR="00465452" w:rsidRPr="00465452" w:rsidRDefault="00465452" w:rsidP="00465452">
            <w:r w:rsidRPr="00465452">
              <w:t>Risk reduction (%)</w:t>
            </w:r>
          </w:p>
        </w:tc>
        <w:tc>
          <w:tcPr>
            <w:tcW w:w="1069" w:type="pct"/>
            <w:gridSpan w:val="2"/>
          </w:tcPr>
          <w:p w:rsidR="00465452" w:rsidRPr="00465452" w:rsidRDefault="00465452" w:rsidP="00465452">
            <w:r w:rsidRPr="00465452">
              <w:t>18</w:t>
            </w:r>
          </w:p>
        </w:tc>
        <w:tc>
          <w:tcPr>
            <w:tcW w:w="1069" w:type="pct"/>
            <w:gridSpan w:val="2"/>
          </w:tcPr>
          <w:p w:rsidR="00465452" w:rsidRPr="00465452" w:rsidRDefault="00465452" w:rsidP="00465452">
            <w:r w:rsidRPr="00465452">
              <w:t>16</w:t>
            </w:r>
          </w:p>
        </w:tc>
        <w:tc>
          <w:tcPr>
            <w:tcW w:w="1069" w:type="pct"/>
            <w:gridSpan w:val="2"/>
          </w:tcPr>
          <w:p w:rsidR="00465452" w:rsidRPr="00465452" w:rsidRDefault="00465452" w:rsidP="00465452">
            <w:r w:rsidRPr="00465452">
              <w:t>18</w:t>
            </w:r>
          </w:p>
        </w:tc>
        <w:tc>
          <w:tcPr>
            <w:tcW w:w="936" w:type="pct"/>
            <w:gridSpan w:val="2"/>
          </w:tcPr>
          <w:p w:rsidR="00465452" w:rsidRPr="00465452" w:rsidRDefault="00465452" w:rsidP="00465452">
            <w:r w:rsidRPr="00465452">
              <w:t>17</w:t>
            </w:r>
          </w:p>
        </w:tc>
      </w:tr>
      <w:tr w:rsidR="00465452" w:rsidRPr="00465452" w:rsidTr="00804A0E">
        <w:trPr>
          <w:cantSplit/>
          <w:trHeight w:val="406"/>
          <w:jc w:val="center"/>
        </w:trPr>
        <w:tc>
          <w:tcPr>
            <w:tcW w:w="856" w:type="pct"/>
          </w:tcPr>
          <w:p w:rsidR="00465452" w:rsidRPr="00465452" w:rsidRDefault="00465452" w:rsidP="00465452">
            <w:r w:rsidRPr="00465452">
              <w:t>Non-inferiority p-value</w:t>
            </w:r>
          </w:p>
        </w:tc>
        <w:tc>
          <w:tcPr>
            <w:tcW w:w="1069" w:type="pct"/>
            <w:gridSpan w:val="2"/>
          </w:tcPr>
          <w:p w:rsidR="00465452" w:rsidRPr="00465452" w:rsidRDefault="00465452" w:rsidP="00465452">
            <w:r w:rsidRPr="00465452">
              <w:t>&lt; 0.0001</w:t>
            </w:r>
            <w:r w:rsidRPr="00465452">
              <w:rPr>
                <w:b/>
                <w:vertAlign w:val="superscript"/>
              </w:rPr>
              <w:t>†</w:t>
            </w:r>
          </w:p>
        </w:tc>
        <w:tc>
          <w:tcPr>
            <w:tcW w:w="1069" w:type="pct"/>
            <w:gridSpan w:val="2"/>
          </w:tcPr>
          <w:p w:rsidR="00465452" w:rsidRPr="00465452" w:rsidRDefault="00465452" w:rsidP="00465452">
            <w:r w:rsidRPr="00465452">
              <w:t>0.0007</w:t>
            </w:r>
            <w:r w:rsidRPr="00465452">
              <w:rPr>
                <w:b/>
                <w:vertAlign w:val="superscript"/>
              </w:rPr>
              <w:t>†</w:t>
            </w:r>
          </w:p>
        </w:tc>
        <w:tc>
          <w:tcPr>
            <w:tcW w:w="1069" w:type="pct"/>
            <w:gridSpan w:val="2"/>
          </w:tcPr>
          <w:p w:rsidR="00465452" w:rsidRPr="00465452" w:rsidRDefault="00465452" w:rsidP="00465452">
            <w:r w:rsidRPr="00465452">
              <w:t>0.0002</w:t>
            </w:r>
            <w:r w:rsidRPr="00465452">
              <w:rPr>
                <w:b/>
                <w:vertAlign w:val="superscript"/>
              </w:rPr>
              <w:t>†</w:t>
            </w:r>
          </w:p>
        </w:tc>
        <w:tc>
          <w:tcPr>
            <w:tcW w:w="936" w:type="pct"/>
            <w:gridSpan w:val="2"/>
          </w:tcPr>
          <w:p w:rsidR="00465452" w:rsidRPr="00465452" w:rsidRDefault="00465452" w:rsidP="00465452">
            <w:r w:rsidRPr="00465452">
              <w:t>&lt; 0.0001</w:t>
            </w:r>
          </w:p>
        </w:tc>
      </w:tr>
      <w:tr w:rsidR="00465452" w:rsidRPr="00465452" w:rsidTr="00804A0E">
        <w:trPr>
          <w:cantSplit/>
          <w:trHeight w:val="308"/>
          <w:jc w:val="center"/>
        </w:trPr>
        <w:tc>
          <w:tcPr>
            <w:tcW w:w="856" w:type="pct"/>
          </w:tcPr>
          <w:p w:rsidR="00465452" w:rsidRPr="00465452" w:rsidRDefault="00465452" w:rsidP="00465452">
            <w:r w:rsidRPr="00465452">
              <w:t xml:space="preserve">Superiority p-value </w:t>
            </w:r>
          </w:p>
        </w:tc>
        <w:tc>
          <w:tcPr>
            <w:tcW w:w="1069" w:type="pct"/>
            <w:gridSpan w:val="2"/>
          </w:tcPr>
          <w:p w:rsidR="00465452" w:rsidRPr="00465452" w:rsidRDefault="00465452" w:rsidP="00465452">
            <w:r w:rsidRPr="00465452">
              <w:t>0.0101</w:t>
            </w:r>
            <w:r w:rsidRPr="00465452">
              <w:rPr>
                <w:b/>
                <w:vertAlign w:val="superscript"/>
              </w:rPr>
              <w:t>†</w:t>
            </w:r>
          </w:p>
        </w:tc>
        <w:tc>
          <w:tcPr>
            <w:tcW w:w="1069" w:type="pct"/>
            <w:gridSpan w:val="2"/>
          </w:tcPr>
          <w:p w:rsidR="00465452" w:rsidRPr="00465452" w:rsidRDefault="00465452" w:rsidP="00465452">
            <w:r w:rsidRPr="00465452">
              <w:t>0.0619</w:t>
            </w:r>
            <w:r w:rsidRPr="00465452">
              <w:rPr>
                <w:b/>
                <w:vertAlign w:val="superscript"/>
              </w:rPr>
              <w:t>†</w:t>
            </w:r>
          </w:p>
        </w:tc>
        <w:tc>
          <w:tcPr>
            <w:tcW w:w="1069" w:type="pct"/>
            <w:gridSpan w:val="2"/>
          </w:tcPr>
          <w:p w:rsidR="00465452" w:rsidRPr="00465452" w:rsidRDefault="00465452" w:rsidP="00465452">
            <w:r w:rsidRPr="00465452">
              <w:t>0.0085</w:t>
            </w:r>
            <w:r w:rsidRPr="00465452">
              <w:rPr>
                <w:b/>
                <w:vertAlign w:val="superscript"/>
              </w:rPr>
              <w:t>†</w:t>
            </w:r>
          </w:p>
        </w:tc>
        <w:tc>
          <w:tcPr>
            <w:tcW w:w="936" w:type="pct"/>
            <w:gridSpan w:val="2"/>
          </w:tcPr>
          <w:p w:rsidR="00465452" w:rsidRPr="00465452" w:rsidRDefault="00465452" w:rsidP="00465452">
            <w:r w:rsidRPr="00465452">
              <w:t>&lt; 0.0001</w:t>
            </w:r>
          </w:p>
        </w:tc>
      </w:tr>
      <w:tr w:rsidR="00465452" w:rsidRPr="00465452" w:rsidTr="00804A0E">
        <w:trPr>
          <w:cantSplit/>
          <w:trHeight w:val="406"/>
          <w:jc w:val="center"/>
        </w:trPr>
        <w:tc>
          <w:tcPr>
            <w:tcW w:w="856" w:type="pct"/>
          </w:tcPr>
          <w:p w:rsidR="00465452" w:rsidRPr="00465452" w:rsidRDefault="00465452" w:rsidP="00465452">
            <w:r w:rsidRPr="00465452">
              <w:t>Proportion of subjects (%)</w:t>
            </w:r>
          </w:p>
        </w:tc>
        <w:tc>
          <w:tcPr>
            <w:tcW w:w="586" w:type="pct"/>
          </w:tcPr>
          <w:p w:rsidR="00465452" w:rsidRPr="00465452" w:rsidRDefault="00465452" w:rsidP="00465452">
            <w:r w:rsidRPr="00465452">
              <w:t>30.7</w:t>
            </w:r>
          </w:p>
        </w:tc>
        <w:tc>
          <w:tcPr>
            <w:tcW w:w="483" w:type="pct"/>
          </w:tcPr>
          <w:p w:rsidR="00465452" w:rsidRPr="00465452" w:rsidRDefault="00465452" w:rsidP="00465452">
            <w:r w:rsidRPr="00465452">
              <w:t>36.5</w:t>
            </w:r>
          </w:p>
        </w:tc>
        <w:tc>
          <w:tcPr>
            <w:tcW w:w="586" w:type="pct"/>
          </w:tcPr>
          <w:p w:rsidR="00465452" w:rsidRPr="00465452" w:rsidRDefault="00465452" w:rsidP="00465452">
            <w:r w:rsidRPr="00465452">
              <w:t>31.4</w:t>
            </w:r>
          </w:p>
        </w:tc>
        <w:tc>
          <w:tcPr>
            <w:tcW w:w="483" w:type="pct"/>
          </w:tcPr>
          <w:p w:rsidR="00465452" w:rsidRPr="00465452" w:rsidRDefault="00465452" w:rsidP="00465452">
            <w:r w:rsidRPr="00465452">
              <w:t>36.3</w:t>
            </w:r>
          </w:p>
        </w:tc>
        <w:tc>
          <w:tcPr>
            <w:tcW w:w="586" w:type="pct"/>
          </w:tcPr>
          <w:p w:rsidR="00465452" w:rsidRPr="00465452" w:rsidRDefault="00465452" w:rsidP="00465452">
            <w:r w:rsidRPr="00465452">
              <w:t>35.9</w:t>
            </w:r>
          </w:p>
        </w:tc>
        <w:tc>
          <w:tcPr>
            <w:tcW w:w="483" w:type="pct"/>
          </w:tcPr>
          <w:p w:rsidR="00465452" w:rsidRPr="00465452" w:rsidRDefault="00465452" w:rsidP="00465452">
            <w:r w:rsidRPr="00465452">
              <w:t>40.6</w:t>
            </w:r>
          </w:p>
        </w:tc>
        <w:tc>
          <w:tcPr>
            <w:tcW w:w="451" w:type="pct"/>
          </w:tcPr>
          <w:p w:rsidR="00465452" w:rsidRPr="00465452" w:rsidRDefault="00465452" w:rsidP="00465452">
            <w:r w:rsidRPr="00465452">
              <w:t>32.6</w:t>
            </w:r>
          </w:p>
        </w:tc>
        <w:tc>
          <w:tcPr>
            <w:tcW w:w="485" w:type="pct"/>
          </w:tcPr>
          <w:p w:rsidR="00465452" w:rsidRPr="00465452" w:rsidRDefault="00465452" w:rsidP="00465452">
            <w:r w:rsidRPr="00465452">
              <w:t>37.8</w:t>
            </w:r>
          </w:p>
        </w:tc>
      </w:tr>
      <w:tr w:rsidR="00465452" w:rsidRPr="00465452" w:rsidTr="00804A0E">
        <w:trPr>
          <w:cantSplit/>
          <w:trHeight w:val="210"/>
          <w:jc w:val="center"/>
        </w:trPr>
        <w:tc>
          <w:tcPr>
            <w:tcW w:w="5000" w:type="pct"/>
            <w:gridSpan w:val="9"/>
          </w:tcPr>
          <w:p w:rsidR="00465452" w:rsidRPr="00465452" w:rsidRDefault="00465452" w:rsidP="00465452">
            <w:pPr>
              <w:rPr>
                <w:b/>
              </w:rPr>
            </w:pPr>
            <w:r w:rsidRPr="00465452">
              <w:rPr>
                <w:b/>
              </w:rPr>
              <w:t>First and subsequent SRE*</w:t>
            </w:r>
          </w:p>
        </w:tc>
      </w:tr>
      <w:tr w:rsidR="00465452" w:rsidRPr="00465452" w:rsidTr="00804A0E">
        <w:trPr>
          <w:cantSplit/>
          <w:trHeight w:val="406"/>
          <w:jc w:val="center"/>
        </w:trPr>
        <w:tc>
          <w:tcPr>
            <w:tcW w:w="856" w:type="pct"/>
          </w:tcPr>
          <w:p w:rsidR="00465452" w:rsidRPr="00465452" w:rsidRDefault="00465452" w:rsidP="00465452">
            <w:r w:rsidRPr="00465452">
              <w:t>Mean number/</w:t>
            </w:r>
            <w:r w:rsidRPr="00465452">
              <w:br/>
              <w:t>patient</w:t>
            </w:r>
          </w:p>
        </w:tc>
        <w:tc>
          <w:tcPr>
            <w:tcW w:w="586" w:type="pct"/>
          </w:tcPr>
          <w:p w:rsidR="00465452" w:rsidRPr="00465452" w:rsidRDefault="00465452" w:rsidP="00465452">
            <w:r w:rsidRPr="00465452">
              <w:t>0.46</w:t>
            </w:r>
          </w:p>
        </w:tc>
        <w:tc>
          <w:tcPr>
            <w:tcW w:w="483" w:type="pct"/>
          </w:tcPr>
          <w:p w:rsidR="00465452" w:rsidRPr="00465452" w:rsidRDefault="00465452" w:rsidP="00465452">
            <w:r w:rsidRPr="00465452">
              <w:t>0.60</w:t>
            </w:r>
          </w:p>
        </w:tc>
        <w:tc>
          <w:tcPr>
            <w:tcW w:w="586" w:type="pct"/>
          </w:tcPr>
          <w:p w:rsidR="00465452" w:rsidRPr="00465452" w:rsidRDefault="00465452" w:rsidP="00465452">
            <w:r w:rsidRPr="00465452">
              <w:t>0.44</w:t>
            </w:r>
          </w:p>
        </w:tc>
        <w:tc>
          <w:tcPr>
            <w:tcW w:w="483" w:type="pct"/>
          </w:tcPr>
          <w:p w:rsidR="00465452" w:rsidRPr="00465452" w:rsidRDefault="00465452" w:rsidP="00465452">
            <w:r w:rsidRPr="00465452">
              <w:t>0.49</w:t>
            </w:r>
          </w:p>
        </w:tc>
        <w:tc>
          <w:tcPr>
            <w:tcW w:w="586" w:type="pct"/>
          </w:tcPr>
          <w:p w:rsidR="00465452" w:rsidRPr="00465452" w:rsidRDefault="00465452" w:rsidP="00465452">
            <w:r w:rsidRPr="00465452">
              <w:t>0.52</w:t>
            </w:r>
          </w:p>
        </w:tc>
        <w:tc>
          <w:tcPr>
            <w:tcW w:w="483" w:type="pct"/>
          </w:tcPr>
          <w:p w:rsidR="00465452" w:rsidRPr="00465452" w:rsidRDefault="00465452" w:rsidP="00465452">
            <w:r w:rsidRPr="00465452">
              <w:t>0.61</w:t>
            </w:r>
          </w:p>
        </w:tc>
        <w:tc>
          <w:tcPr>
            <w:tcW w:w="451" w:type="pct"/>
          </w:tcPr>
          <w:p w:rsidR="00465452" w:rsidRPr="00465452" w:rsidRDefault="00465452" w:rsidP="00465452">
            <w:r w:rsidRPr="00465452">
              <w:t>0.48</w:t>
            </w:r>
          </w:p>
        </w:tc>
        <w:tc>
          <w:tcPr>
            <w:tcW w:w="485" w:type="pct"/>
          </w:tcPr>
          <w:p w:rsidR="00465452" w:rsidRPr="00465452" w:rsidRDefault="00465452" w:rsidP="00465452">
            <w:r w:rsidRPr="00465452">
              <w:t>0.57</w:t>
            </w:r>
          </w:p>
        </w:tc>
      </w:tr>
      <w:tr w:rsidR="00465452" w:rsidRPr="00465452" w:rsidTr="00804A0E">
        <w:trPr>
          <w:cantSplit/>
          <w:trHeight w:val="344"/>
          <w:jc w:val="center"/>
        </w:trPr>
        <w:tc>
          <w:tcPr>
            <w:tcW w:w="856" w:type="pct"/>
          </w:tcPr>
          <w:p w:rsidR="00465452" w:rsidRPr="00465452" w:rsidRDefault="00465452" w:rsidP="00465452">
            <w:r w:rsidRPr="00465452">
              <w:t xml:space="preserve">Rate ratio (95% CI) </w:t>
            </w:r>
          </w:p>
        </w:tc>
        <w:tc>
          <w:tcPr>
            <w:tcW w:w="1069" w:type="pct"/>
            <w:gridSpan w:val="2"/>
          </w:tcPr>
          <w:p w:rsidR="00465452" w:rsidRPr="00465452" w:rsidRDefault="00465452" w:rsidP="00465452">
            <w:r w:rsidRPr="00465452">
              <w:t>0.77 (0.66, 0.89)</w:t>
            </w:r>
          </w:p>
        </w:tc>
        <w:tc>
          <w:tcPr>
            <w:tcW w:w="1069" w:type="pct"/>
            <w:gridSpan w:val="2"/>
          </w:tcPr>
          <w:p w:rsidR="00465452" w:rsidRPr="00465452" w:rsidRDefault="00465452" w:rsidP="00465452">
            <w:r w:rsidRPr="00465452">
              <w:t>0.90 (0.77, 1.04)</w:t>
            </w:r>
          </w:p>
        </w:tc>
        <w:tc>
          <w:tcPr>
            <w:tcW w:w="1069" w:type="pct"/>
            <w:gridSpan w:val="2"/>
          </w:tcPr>
          <w:p w:rsidR="00465452" w:rsidRPr="00465452" w:rsidRDefault="00465452" w:rsidP="00465452">
            <w:r w:rsidRPr="00465452">
              <w:t>0.82 (0.71, 0.94)</w:t>
            </w:r>
          </w:p>
        </w:tc>
        <w:tc>
          <w:tcPr>
            <w:tcW w:w="936" w:type="pct"/>
            <w:gridSpan w:val="2"/>
          </w:tcPr>
          <w:p w:rsidR="00465452" w:rsidRPr="00465452" w:rsidRDefault="00465452" w:rsidP="00465452">
            <w:r w:rsidRPr="00465452">
              <w:t>0.82 (0.75, 0.89)</w:t>
            </w:r>
          </w:p>
        </w:tc>
      </w:tr>
      <w:tr w:rsidR="00465452" w:rsidRPr="00465452" w:rsidTr="00804A0E">
        <w:trPr>
          <w:cantSplit/>
          <w:trHeight w:val="356"/>
          <w:jc w:val="center"/>
        </w:trPr>
        <w:tc>
          <w:tcPr>
            <w:tcW w:w="856" w:type="pct"/>
          </w:tcPr>
          <w:p w:rsidR="00465452" w:rsidRPr="00465452" w:rsidRDefault="00465452" w:rsidP="00465452">
            <w:r w:rsidRPr="00465452">
              <w:t>Risk reduction (%)</w:t>
            </w:r>
          </w:p>
        </w:tc>
        <w:tc>
          <w:tcPr>
            <w:tcW w:w="1069" w:type="pct"/>
            <w:gridSpan w:val="2"/>
          </w:tcPr>
          <w:p w:rsidR="00465452" w:rsidRPr="00465452" w:rsidRDefault="00465452" w:rsidP="00465452">
            <w:r w:rsidRPr="00465452">
              <w:t>23</w:t>
            </w:r>
          </w:p>
        </w:tc>
        <w:tc>
          <w:tcPr>
            <w:tcW w:w="1069" w:type="pct"/>
            <w:gridSpan w:val="2"/>
          </w:tcPr>
          <w:p w:rsidR="00465452" w:rsidRPr="00465452" w:rsidRDefault="00465452" w:rsidP="00465452">
            <w:r w:rsidRPr="00465452">
              <w:t>10</w:t>
            </w:r>
          </w:p>
        </w:tc>
        <w:tc>
          <w:tcPr>
            <w:tcW w:w="1069" w:type="pct"/>
            <w:gridSpan w:val="2"/>
          </w:tcPr>
          <w:p w:rsidR="00465452" w:rsidRPr="00465452" w:rsidRDefault="00465452" w:rsidP="00465452">
            <w:r w:rsidRPr="00465452">
              <w:t>18</w:t>
            </w:r>
          </w:p>
        </w:tc>
        <w:tc>
          <w:tcPr>
            <w:tcW w:w="936" w:type="pct"/>
            <w:gridSpan w:val="2"/>
          </w:tcPr>
          <w:p w:rsidR="00465452" w:rsidRPr="00465452" w:rsidRDefault="00465452" w:rsidP="00465452">
            <w:r w:rsidRPr="00465452">
              <w:t>18</w:t>
            </w:r>
          </w:p>
        </w:tc>
      </w:tr>
      <w:tr w:rsidR="00465452" w:rsidRPr="00465452" w:rsidTr="00804A0E">
        <w:trPr>
          <w:cantSplit/>
          <w:trHeight w:val="344"/>
          <w:jc w:val="center"/>
        </w:trPr>
        <w:tc>
          <w:tcPr>
            <w:tcW w:w="856" w:type="pct"/>
          </w:tcPr>
          <w:p w:rsidR="00465452" w:rsidRPr="00465452" w:rsidRDefault="00465452" w:rsidP="00465452">
            <w:r w:rsidRPr="00465452">
              <w:t>Superiority p-value</w:t>
            </w:r>
          </w:p>
        </w:tc>
        <w:tc>
          <w:tcPr>
            <w:tcW w:w="1069" w:type="pct"/>
            <w:gridSpan w:val="2"/>
          </w:tcPr>
          <w:p w:rsidR="00465452" w:rsidRPr="00465452" w:rsidRDefault="00465452" w:rsidP="00465452">
            <w:r w:rsidRPr="00465452">
              <w:t>0.0012</w:t>
            </w:r>
            <w:r w:rsidRPr="00465452">
              <w:rPr>
                <w:b/>
                <w:vertAlign w:val="superscript"/>
              </w:rPr>
              <w:t>†</w:t>
            </w:r>
          </w:p>
        </w:tc>
        <w:tc>
          <w:tcPr>
            <w:tcW w:w="1069" w:type="pct"/>
            <w:gridSpan w:val="2"/>
          </w:tcPr>
          <w:p w:rsidR="00465452" w:rsidRPr="00465452" w:rsidRDefault="00465452" w:rsidP="00465452">
            <w:r w:rsidRPr="00465452">
              <w:t>0.1447</w:t>
            </w:r>
            <w:r w:rsidRPr="00465452">
              <w:rPr>
                <w:b/>
                <w:vertAlign w:val="superscript"/>
              </w:rPr>
              <w:t>†</w:t>
            </w:r>
          </w:p>
        </w:tc>
        <w:tc>
          <w:tcPr>
            <w:tcW w:w="1069" w:type="pct"/>
            <w:gridSpan w:val="2"/>
          </w:tcPr>
          <w:p w:rsidR="00465452" w:rsidRPr="00465452" w:rsidRDefault="00465452" w:rsidP="00465452">
            <w:r w:rsidRPr="00465452">
              <w:t>0.0085</w:t>
            </w:r>
            <w:r w:rsidRPr="00465452">
              <w:rPr>
                <w:b/>
                <w:vertAlign w:val="superscript"/>
              </w:rPr>
              <w:t>†</w:t>
            </w:r>
          </w:p>
        </w:tc>
        <w:tc>
          <w:tcPr>
            <w:tcW w:w="936" w:type="pct"/>
            <w:gridSpan w:val="2"/>
          </w:tcPr>
          <w:p w:rsidR="00465452" w:rsidRPr="00465452" w:rsidRDefault="00465452" w:rsidP="00465452">
            <w:r w:rsidRPr="00465452">
              <w:t>&lt; 0.0001</w:t>
            </w:r>
          </w:p>
        </w:tc>
      </w:tr>
      <w:tr w:rsidR="00465452" w:rsidRPr="00465452" w:rsidTr="00804A0E">
        <w:trPr>
          <w:cantSplit/>
          <w:trHeight w:val="356"/>
          <w:jc w:val="center"/>
        </w:trPr>
        <w:tc>
          <w:tcPr>
            <w:tcW w:w="856" w:type="pct"/>
          </w:tcPr>
          <w:p w:rsidR="00465452" w:rsidRPr="00465452" w:rsidRDefault="00465452" w:rsidP="00465452">
            <w:r w:rsidRPr="00465452">
              <w:t>SMR per year</w:t>
            </w:r>
          </w:p>
        </w:tc>
        <w:tc>
          <w:tcPr>
            <w:tcW w:w="586" w:type="pct"/>
          </w:tcPr>
          <w:p w:rsidR="00465452" w:rsidRPr="00465452" w:rsidRDefault="00465452" w:rsidP="00465452">
            <w:r w:rsidRPr="00465452">
              <w:t>0.45</w:t>
            </w:r>
          </w:p>
        </w:tc>
        <w:tc>
          <w:tcPr>
            <w:tcW w:w="483" w:type="pct"/>
          </w:tcPr>
          <w:p w:rsidR="00465452" w:rsidRPr="00465452" w:rsidRDefault="00465452" w:rsidP="00465452">
            <w:r w:rsidRPr="00465452">
              <w:t>0.58</w:t>
            </w:r>
          </w:p>
        </w:tc>
        <w:tc>
          <w:tcPr>
            <w:tcW w:w="586" w:type="pct"/>
          </w:tcPr>
          <w:p w:rsidR="00465452" w:rsidRPr="00465452" w:rsidRDefault="00465452" w:rsidP="00465452">
            <w:r w:rsidRPr="00465452">
              <w:t>0.86</w:t>
            </w:r>
          </w:p>
        </w:tc>
        <w:tc>
          <w:tcPr>
            <w:tcW w:w="483" w:type="pct"/>
          </w:tcPr>
          <w:p w:rsidR="00465452" w:rsidRPr="00465452" w:rsidRDefault="00465452" w:rsidP="00465452">
            <w:r w:rsidRPr="00465452">
              <w:t>1.04</w:t>
            </w:r>
          </w:p>
        </w:tc>
        <w:tc>
          <w:tcPr>
            <w:tcW w:w="586" w:type="pct"/>
          </w:tcPr>
          <w:p w:rsidR="00465452" w:rsidRPr="00465452" w:rsidRDefault="00465452" w:rsidP="00465452">
            <w:r w:rsidRPr="00465452">
              <w:t>0.79</w:t>
            </w:r>
          </w:p>
        </w:tc>
        <w:tc>
          <w:tcPr>
            <w:tcW w:w="483" w:type="pct"/>
          </w:tcPr>
          <w:p w:rsidR="00465452" w:rsidRPr="00465452" w:rsidRDefault="00465452" w:rsidP="00465452">
            <w:r w:rsidRPr="00465452">
              <w:t>0.83</w:t>
            </w:r>
          </w:p>
        </w:tc>
        <w:tc>
          <w:tcPr>
            <w:tcW w:w="451" w:type="pct"/>
          </w:tcPr>
          <w:p w:rsidR="00465452" w:rsidRPr="00465452" w:rsidRDefault="00465452" w:rsidP="00465452">
            <w:r w:rsidRPr="00465452">
              <w:t>0.69</w:t>
            </w:r>
          </w:p>
        </w:tc>
        <w:tc>
          <w:tcPr>
            <w:tcW w:w="485" w:type="pct"/>
          </w:tcPr>
          <w:p w:rsidR="00465452" w:rsidRPr="00465452" w:rsidRDefault="00465452" w:rsidP="00465452">
            <w:r w:rsidRPr="00465452">
              <w:t>0.81</w:t>
            </w:r>
          </w:p>
        </w:tc>
      </w:tr>
      <w:tr w:rsidR="00465452" w:rsidRPr="00465452" w:rsidTr="00804A0E">
        <w:trPr>
          <w:cantSplit/>
          <w:trHeight w:val="210"/>
          <w:jc w:val="center"/>
        </w:trPr>
        <w:tc>
          <w:tcPr>
            <w:tcW w:w="5000" w:type="pct"/>
            <w:gridSpan w:val="9"/>
          </w:tcPr>
          <w:p w:rsidR="00465452" w:rsidRPr="00465452" w:rsidRDefault="00465452" w:rsidP="00465452">
            <w:r w:rsidRPr="00465452">
              <w:rPr>
                <w:b/>
              </w:rPr>
              <w:t>First Radiation to Bone</w:t>
            </w:r>
          </w:p>
        </w:tc>
      </w:tr>
      <w:tr w:rsidR="00465452" w:rsidRPr="00465452" w:rsidTr="00804A0E">
        <w:trPr>
          <w:cantSplit/>
          <w:trHeight w:val="272"/>
          <w:jc w:val="center"/>
        </w:trPr>
        <w:tc>
          <w:tcPr>
            <w:tcW w:w="856" w:type="pct"/>
          </w:tcPr>
          <w:p w:rsidR="00465452" w:rsidRPr="00465452" w:rsidRDefault="00465452" w:rsidP="00465452">
            <w:r w:rsidRPr="00465452">
              <w:lastRenderedPageBreak/>
              <w:t>Median time (months)</w:t>
            </w:r>
          </w:p>
        </w:tc>
        <w:tc>
          <w:tcPr>
            <w:tcW w:w="586" w:type="pct"/>
          </w:tcPr>
          <w:p w:rsidR="00465452" w:rsidRPr="00465452" w:rsidRDefault="00465452" w:rsidP="00465452">
            <w:r w:rsidRPr="00465452">
              <w:t>NR</w:t>
            </w:r>
          </w:p>
        </w:tc>
        <w:tc>
          <w:tcPr>
            <w:tcW w:w="483" w:type="pct"/>
          </w:tcPr>
          <w:p w:rsidR="00465452" w:rsidRPr="00465452" w:rsidRDefault="00465452" w:rsidP="00465452">
            <w:r w:rsidRPr="00465452">
              <w:t>NR</w:t>
            </w:r>
          </w:p>
        </w:tc>
        <w:tc>
          <w:tcPr>
            <w:tcW w:w="586" w:type="pct"/>
          </w:tcPr>
          <w:p w:rsidR="00465452" w:rsidRPr="00465452" w:rsidRDefault="00465452" w:rsidP="00465452">
            <w:r w:rsidRPr="00465452">
              <w:t>NR</w:t>
            </w:r>
          </w:p>
        </w:tc>
        <w:tc>
          <w:tcPr>
            <w:tcW w:w="483" w:type="pct"/>
          </w:tcPr>
          <w:p w:rsidR="00465452" w:rsidRPr="00465452" w:rsidRDefault="00465452" w:rsidP="00465452">
            <w:r w:rsidRPr="00465452">
              <w:t>NR</w:t>
            </w:r>
          </w:p>
        </w:tc>
        <w:tc>
          <w:tcPr>
            <w:tcW w:w="586" w:type="pct"/>
          </w:tcPr>
          <w:p w:rsidR="00465452" w:rsidRPr="00465452" w:rsidRDefault="00465452" w:rsidP="00465452">
            <w:r w:rsidRPr="00465452">
              <w:t>NR</w:t>
            </w:r>
          </w:p>
        </w:tc>
        <w:tc>
          <w:tcPr>
            <w:tcW w:w="483" w:type="pct"/>
          </w:tcPr>
          <w:p w:rsidR="00465452" w:rsidRPr="00465452" w:rsidRDefault="00465452" w:rsidP="00465452">
            <w:r w:rsidRPr="00465452">
              <w:t>28.6</w:t>
            </w:r>
          </w:p>
        </w:tc>
        <w:tc>
          <w:tcPr>
            <w:tcW w:w="451" w:type="pct"/>
          </w:tcPr>
          <w:p w:rsidR="00465452" w:rsidRPr="00465452" w:rsidRDefault="00465452" w:rsidP="00465452">
            <w:r w:rsidRPr="00465452">
              <w:t>NR</w:t>
            </w:r>
          </w:p>
        </w:tc>
        <w:tc>
          <w:tcPr>
            <w:tcW w:w="485" w:type="pct"/>
          </w:tcPr>
          <w:p w:rsidR="00465452" w:rsidRPr="00465452" w:rsidRDefault="00465452" w:rsidP="00465452">
            <w:r w:rsidRPr="00465452">
              <w:t>33.2</w:t>
            </w:r>
          </w:p>
        </w:tc>
      </w:tr>
      <w:tr w:rsidR="00465452" w:rsidRPr="00465452" w:rsidTr="00804A0E">
        <w:trPr>
          <w:cantSplit/>
          <w:trHeight w:val="344"/>
          <w:jc w:val="center"/>
        </w:trPr>
        <w:tc>
          <w:tcPr>
            <w:tcW w:w="856" w:type="pct"/>
          </w:tcPr>
          <w:p w:rsidR="00465452" w:rsidRPr="00465452" w:rsidRDefault="00465452" w:rsidP="00465452">
            <w:r w:rsidRPr="00465452">
              <w:t xml:space="preserve">Hazard ratio (95% CI) </w:t>
            </w:r>
          </w:p>
        </w:tc>
        <w:tc>
          <w:tcPr>
            <w:tcW w:w="1069" w:type="pct"/>
            <w:gridSpan w:val="2"/>
          </w:tcPr>
          <w:p w:rsidR="00465452" w:rsidRPr="00465452" w:rsidRDefault="00465452" w:rsidP="00465452">
            <w:r w:rsidRPr="00465452">
              <w:t>0.74 (0.59, 0.94)</w:t>
            </w:r>
          </w:p>
        </w:tc>
        <w:tc>
          <w:tcPr>
            <w:tcW w:w="1069" w:type="pct"/>
            <w:gridSpan w:val="2"/>
          </w:tcPr>
          <w:p w:rsidR="00465452" w:rsidRPr="00465452" w:rsidRDefault="00465452" w:rsidP="00465452">
            <w:r w:rsidRPr="00465452">
              <w:t>0.78 (0.63, 0.97)</w:t>
            </w:r>
          </w:p>
        </w:tc>
        <w:tc>
          <w:tcPr>
            <w:tcW w:w="1069" w:type="pct"/>
            <w:gridSpan w:val="2"/>
          </w:tcPr>
          <w:p w:rsidR="00465452" w:rsidRPr="00465452" w:rsidRDefault="00465452" w:rsidP="00465452">
            <w:r w:rsidRPr="00465452">
              <w:t>0.78 (0.66, 0.94)</w:t>
            </w:r>
          </w:p>
        </w:tc>
        <w:tc>
          <w:tcPr>
            <w:tcW w:w="936" w:type="pct"/>
            <w:gridSpan w:val="2"/>
          </w:tcPr>
          <w:p w:rsidR="00465452" w:rsidRPr="00465452" w:rsidRDefault="00465452" w:rsidP="00465452">
            <w:r w:rsidRPr="00465452">
              <w:t>0.77 [0.69, 0.87]</w:t>
            </w:r>
          </w:p>
        </w:tc>
      </w:tr>
      <w:tr w:rsidR="00465452" w:rsidRPr="00465452" w:rsidTr="00804A0E">
        <w:trPr>
          <w:cantSplit/>
          <w:trHeight w:val="296"/>
          <w:jc w:val="center"/>
        </w:trPr>
        <w:tc>
          <w:tcPr>
            <w:tcW w:w="856" w:type="pct"/>
          </w:tcPr>
          <w:p w:rsidR="00465452" w:rsidRPr="00465452" w:rsidRDefault="00465452" w:rsidP="00465452">
            <w:r w:rsidRPr="00465452">
              <w:t>Risk reduction (%)</w:t>
            </w:r>
          </w:p>
        </w:tc>
        <w:tc>
          <w:tcPr>
            <w:tcW w:w="1069" w:type="pct"/>
            <w:gridSpan w:val="2"/>
          </w:tcPr>
          <w:p w:rsidR="00465452" w:rsidRPr="00465452" w:rsidRDefault="00465452" w:rsidP="00465452">
            <w:r w:rsidRPr="00465452">
              <w:t>26</w:t>
            </w:r>
          </w:p>
        </w:tc>
        <w:tc>
          <w:tcPr>
            <w:tcW w:w="1069" w:type="pct"/>
            <w:gridSpan w:val="2"/>
          </w:tcPr>
          <w:p w:rsidR="00465452" w:rsidRPr="00465452" w:rsidRDefault="00465452" w:rsidP="00465452">
            <w:r w:rsidRPr="00465452">
              <w:t xml:space="preserve">22 </w:t>
            </w:r>
          </w:p>
        </w:tc>
        <w:tc>
          <w:tcPr>
            <w:tcW w:w="1069" w:type="pct"/>
            <w:gridSpan w:val="2"/>
          </w:tcPr>
          <w:p w:rsidR="00465452" w:rsidRPr="00465452" w:rsidRDefault="00465452" w:rsidP="00465452">
            <w:r w:rsidRPr="00465452">
              <w:t>22</w:t>
            </w:r>
          </w:p>
        </w:tc>
        <w:tc>
          <w:tcPr>
            <w:tcW w:w="936" w:type="pct"/>
            <w:gridSpan w:val="2"/>
          </w:tcPr>
          <w:p w:rsidR="00465452" w:rsidRPr="00465452" w:rsidRDefault="00465452" w:rsidP="00465452">
            <w:r w:rsidRPr="00465452">
              <w:t>23</w:t>
            </w:r>
          </w:p>
        </w:tc>
      </w:tr>
      <w:tr w:rsidR="00465452" w:rsidRPr="00465452" w:rsidTr="00804A0E">
        <w:trPr>
          <w:cantSplit/>
          <w:trHeight w:val="296"/>
          <w:jc w:val="center"/>
        </w:trPr>
        <w:tc>
          <w:tcPr>
            <w:tcW w:w="856" w:type="pct"/>
          </w:tcPr>
          <w:p w:rsidR="00465452" w:rsidRPr="00465452" w:rsidRDefault="00465452" w:rsidP="00465452">
            <w:r w:rsidRPr="00465452">
              <w:t>Superiority p-value</w:t>
            </w:r>
          </w:p>
        </w:tc>
        <w:tc>
          <w:tcPr>
            <w:tcW w:w="1069" w:type="pct"/>
            <w:gridSpan w:val="2"/>
          </w:tcPr>
          <w:p w:rsidR="00465452" w:rsidRPr="00465452" w:rsidRDefault="00465452" w:rsidP="00465452">
            <w:r w:rsidRPr="00465452">
              <w:t>0.0121</w:t>
            </w:r>
          </w:p>
        </w:tc>
        <w:tc>
          <w:tcPr>
            <w:tcW w:w="1069" w:type="pct"/>
            <w:gridSpan w:val="2"/>
          </w:tcPr>
          <w:p w:rsidR="00465452" w:rsidRPr="00465452" w:rsidRDefault="00465452" w:rsidP="00465452">
            <w:r w:rsidRPr="00465452">
              <w:t>0.0256</w:t>
            </w:r>
          </w:p>
        </w:tc>
        <w:tc>
          <w:tcPr>
            <w:tcW w:w="1069" w:type="pct"/>
            <w:gridSpan w:val="2"/>
          </w:tcPr>
          <w:p w:rsidR="00465452" w:rsidRPr="00465452" w:rsidRDefault="00465452" w:rsidP="00465452">
            <w:r w:rsidRPr="00465452">
              <w:t>0.0071</w:t>
            </w:r>
          </w:p>
        </w:tc>
        <w:tc>
          <w:tcPr>
            <w:tcW w:w="936" w:type="pct"/>
            <w:gridSpan w:val="2"/>
          </w:tcPr>
          <w:p w:rsidR="00465452" w:rsidRPr="00465452" w:rsidRDefault="00465452" w:rsidP="00465452">
            <w:r w:rsidRPr="00465452">
              <w:t>&lt; 0.0001</w:t>
            </w:r>
          </w:p>
        </w:tc>
      </w:tr>
    </w:tbl>
    <w:p w:rsidR="00465452" w:rsidRPr="00465452" w:rsidRDefault="00465452" w:rsidP="00465452">
      <w:r w:rsidRPr="00465452">
        <w:t>NR = not reached; NA = not available; SRE = skeletal related event; SMR = skeletal morbidity rate: defined as the ratio of the number of occurrence of any SRE for a subject, allowing 1 event per assessing period (</w:t>
      </w:r>
      <w:proofErr w:type="spellStart"/>
      <w:r w:rsidRPr="00465452">
        <w:t>eg</w:t>
      </w:r>
      <w:proofErr w:type="spellEnd"/>
      <w:r w:rsidRPr="00465452">
        <w:t>, 3 weeks), divided by the subject’s time at risk; †Adjusted p</w:t>
      </w:r>
      <w:r w:rsidRPr="00465452">
        <w:noBreakHyphen/>
        <w:t>values are presented for studies 1, 2 and 3 (first SRE and first and subsequent SRE endpoints); *Accounts for all skeletal events over time</w:t>
      </w:r>
      <w:bookmarkStart w:id="3" w:name="_Ref243722887"/>
      <w:r w:rsidRPr="00465452">
        <w:t xml:space="preserve">; only events occurring ≥ 21 days after the previous event are counted. </w:t>
      </w:r>
      <w:bookmarkEnd w:id="3"/>
    </w:p>
    <w:p w:rsidR="00465452" w:rsidRPr="00465452" w:rsidRDefault="00465452" w:rsidP="00465452"/>
    <w:p w:rsidR="00465452" w:rsidRPr="00465452" w:rsidRDefault="00465452" w:rsidP="00465452">
      <w:r w:rsidRPr="00465452">
        <w:t xml:space="preserve">In a post-hoc analysis of Study </w:t>
      </w:r>
      <w:r w:rsidRPr="00465452">
        <w:rPr>
          <w:lang w:val="en-AU"/>
        </w:rPr>
        <w:t xml:space="preserve">20050244 (including </w:t>
      </w:r>
      <w:r w:rsidRPr="00465452">
        <w:t xml:space="preserve">solid </w:t>
      </w:r>
      <w:proofErr w:type="spellStart"/>
      <w:r w:rsidRPr="00465452">
        <w:t>tumours</w:t>
      </w:r>
      <w:proofErr w:type="spellEnd"/>
      <w:r w:rsidRPr="00465452">
        <w:t xml:space="preserve">, excluding multiple myeloma), </w:t>
      </w:r>
      <w:proofErr w:type="spellStart"/>
      <w:r w:rsidRPr="00465452">
        <w:t>Xgeva</w:t>
      </w:r>
      <w:proofErr w:type="spellEnd"/>
      <w:r w:rsidRPr="00465452">
        <w:t xml:space="preserve"> reduced the risk of developing a SRE by 19% (p = 0.0168) and developing multiple SREs by 15% (p = 0.0479) compared with </w:t>
      </w:r>
      <w:proofErr w:type="spellStart"/>
      <w:r w:rsidRPr="00465452">
        <w:t>zoledronic</w:t>
      </w:r>
      <w:proofErr w:type="spellEnd"/>
      <w:r w:rsidRPr="00465452">
        <w:t xml:space="preserve"> acid with the median time to first SRE delayed by 6 months. </w:t>
      </w:r>
    </w:p>
    <w:p w:rsidR="00465452" w:rsidRPr="00465452" w:rsidRDefault="00465452" w:rsidP="00465452">
      <w:pPr>
        <w:rPr>
          <w:b/>
          <w:bCs/>
        </w:rPr>
      </w:pPr>
      <w:r w:rsidRPr="00465452">
        <w:rPr>
          <w:b/>
          <w:bCs/>
        </w:rPr>
        <w:br w:type="page"/>
      </w:r>
      <w:r w:rsidRPr="00465452">
        <w:rPr>
          <w:b/>
          <w:bCs/>
          <w:lang w:val="en-AU"/>
        </w:rPr>
        <w:lastRenderedPageBreak/>
        <w:t>Disease progression and overall survival</w:t>
      </w:r>
    </w:p>
    <w:p w:rsidR="00465452" w:rsidRPr="00465452" w:rsidRDefault="00465452" w:rsidP="00465452">
      <w:pPr>
        <w:rPr>
          <w:lang w:val="en-AU"/>
        </w:rPr>
      </w:pPr>
      <w:r w:rsidRPr="00465452">
        <w:rPr>
          <w:lang w:val="en-AU"/>
        </w:rPr>
        <w:t xml:space="preserve">Disease progression was similar between </w:t>
      </w:r>
      <w:proofErr w:type="spellStart"/>
      <w:r w:rsidRPr="00465452">
        <w:t>Xgeva</w:t>
      </w:r>
      <w:proofErr w:type="spellEnd"/>
      <w:r w:rsidRPr="00465452">
        <w:t xml:space="preserve"> </w:t>
      </w:r>
      <w:r w:rsidRPr="00465452">
        <w:rPr>
          <w:lang w:val="en-AU"/>
        </w:rPr>
        <w:t xml:space="preserve">and </w:t>
      </w:r>
      <w:proofErr w:type="spellStart"/>
      <w:r w:rsidRPr="00465452">
        <w:rPr>
          <w:lang w:val="en-AU"/>
        </w:rPr>
        <w:t>zoledronic</w:t>
      </w:r>
      <w:proofErr w:type="spellEnd"/>
      <w:r w:rsidRPr="00465452">
        <w:rPr>
          <w:lang w:val="en-AU"/>
        </w:rPr>
        <w:t xml:space="preserve"> acid in all three studies and in the pre-specified analysis of all three-studies combined.</w:t>
      </w:r>
    </w:p>
    <w:p w:rsidR="00465452" w:rsidRPr="00465452" w:rsidRDefault="00465452" w:rsidP="00465452">
      <w:pPr>
        <w:rPr>
          <w:lang w:val="en-AU"/>
        </w:rPr>
      </w:pPr>
    </w:p>
    <w:p w:rsidR="00465452" w:rsidRPr="00465452" w:rsidRDefault="00465452" w:rsidP="00465452">
      <w:pPr>
        <w:rPr>
          <w:lang w:val="en-AU"/>
        </w:rPr>
      </w:pPr>
      <w:r w:rsidRPr="00465452">
        <w:rPr>
          <w:lang w:val="en-AU"/>
        </w:rPr>
        <w:t xml:space="preserve">In all three studies overall survival was balanced between </w:t>
      </w:r>
      <w:proofErr w:type="spellStart"/>
      <w:r w:rsidRPr="00465452">
        <w:t>Xgeva</w:t>
      </w:r>
      <w:proofErr w:type="spellEnd"/>
      <w:r w:rsidRPr="00465452">
        <w:t xml:space="preserve"> </w:t>
      </w:r>
      <w:r w:rsidRPr="00465452">
        <w:rPr>
          <w:lang w:val="en-AU"/>
        </w:rPr>
        <w:t xml:space="preserve">and </w:t>
      </w:r>
      <w:proofErr w:type="spellStart"/>
      <w:r w:rsidRPr="00465452">
        <w:rPr>
          <w:lang w:val="en-AU"/>
        </w:rPr>
        <w:t>zoledronic</w:t>
      </w:r>
      <w:proofErr w:type="spellEnd"/>
      <w:r w:rsidRPr="00465452">
        <w:rPr>
          <w:lang w:val="en-AU"/>
        </w:rPr>
        <w:t xml:space="preserve"> acid in patients with advanced malignancies involving bone: patients with breast cancer (hazard ratio [95% CI] was 0.95 [0.81, 1.11]), patients with prostate cancer (hazard ratio [95% CI] was 1.03 [0.91, 1.17]), and patients with other solid tumours or multiple myeloma (hazard ratio [95% CI] was 0.95 [0.83, 1.08]. A post-hoc analysis in Study 20050244 (patients with other solid tumours or multiple </w:t>
      </w:r>
      <w:proofErr w:type="gramStart"/>
      <w:r w:rsidRPr="00465452">
        <w:rPr>
          <w:lang w:val="en-AU"/>
        </w:rPr>
        <w:t>myeloma</w:t>
      </w:r>
      <w:proofErr w:type="gramEnd"/>
      <w:r w:rsidRPr="00465452">
        <w:rPr>
          <w:lang w:val="en-AU"/>
        </w:rPr>
        <w:t xml:space="preserve">) examined overall survival for the three tumour types used for stratification (non-small cell lung cancer, multiple myeloma, and other). Overall survival was longer for </w:t>
      </w:r>
      <w:proofErr w:type="spellStart"/>
      <w:r w:rsidRPr="00465452">
        <w:t>Xgeva</w:t>
      </w:r>
      <w:proofErr w:type="spellEnd"/>
      <w:r w:rsidRPr="00465452">
        <w:rPr>
          <w:lang w:val="en-AU"/>
        </w:rPr>
        <w:t xml:space="preserve"> in non-small cell lung cancer (hazard ratio [95% CI] of 0.79 [0.65, 0.95]; n = 702) and longer for </w:t>
      </w:r>
      <w:proofErr w:type="spellStart"/>
      <w:r w:rsidRPr="00465452">
        <w:rPr>
          <w:lang w:val="en-AU"/>
        </w:rPr>
        <w:t>zoledronic</w:t>
      </w:r>
      <w:proofErr w:type="spellEnd"/>
      <w:r w:rsidRPr="00465452">
        <w:rPr>
          <w:lang w:val="en-AU"/>
        </w:rPr>
        <w:t xml:space="preserve"> acid in multiple myeloma (hazard ratio [95% CI] of 2.26 [1.13, 4.50]; n = 180) and similar between the </w:t>
      </w:r>
      <w:proofErr w:type="spellStart"/>
      <w:r w:rsidRPr="00465452">
        <w:t>Xgeva</w:t>
      </w:r>
      <w:proofErr w:type="spellEnd"/>
      <w:r w:rsidRPr="00465452">
        <w:t xml:space="preserve"> </w:t>
      </w:r>
      <w:r w:rsidRPr="00465452">
        <w:rPr>
          <w:lang w:val="en-AU"/>
        </w:rPr>
        <w:t xml:space="preserve">and </w:t>
      </w:r>
      <w:proofErr w:type="spellStart"/>
      <w:r w:rsidRPr="00465452">
        <w:rPr>
          <w:lang w:val="en-AU"/>
        </w:rPr>
        <w:t>zoledronic</w:t>
      </w:r>
      <w:proofErr w:type="spellEnd"/>
      <w:r w:rsidRPr="00465452">
        <w:rPr>
          <w:lang w:val="en-AU"/>
        </w:rPr>
        <w:t xml:space="preserve"> acid groups in other tumour types (hazard ratio [95% CI] of 1.08 [0.90, 1.30]; n=894). This study did not control for prognostic factors and anti-neoplastic treatments.  In a combined pre-specified analysis from all three studies, overall survival was similar between </w:t>
      </w:r>
      <w:proofErr w:type="spellStart"/>
      <w:r w:rsidRPr="00465452">
        <w:t>Xgeva</w:t>
      </w:r>
      <w:proofErr w:type="spellEnd"/>
      <w:r w:rsidRPr="00465452">
        <w:t xml:space="preserve"> </w:t>
      </w:r>
      <w:r w:rsidRPr="00465452">
        <w:rPr>
          <w:lang w:val="en-AU"/>
        </w:rPr>
        <w:t xml:space="preserve">and </w:t>
      </w:r>
      <w:proofErr w:type="spellStart"/>
      <w:r w:rsidRPr="00465452">
        <w:rPr>
          <w:lang w:val="en-AU"/>
        </w:rPr>
        <w:t>zoledronic</w:t>
      </w:r>
      <w:proofErr w:type="spellEnd"/>
      <w:r w:rsidRPr="00465452">
        <w:rPr>
          <w:lang w:val="en-AU"/>
        </w:rPr>
        <w:t xml:space="preserve"> acid (hazard ratio [95% CI] of 0.99 [0.91, 1.07]).</w:t>
      </w:r>
    </w:p>
    <w:p w:rsidR="00465452" w:rsidRPr="00465452" w:rsidRDefault="00465452" w:rsidP="00465452">
      <w:pPr>
        <w:rPr>
          <w:lang w:val="en-AU"/>
        </w:rPr>
      </w:pPr>
    </w:p>
    <w:p w:rsidR="00465452" w:rsidRPr="00465452" w:rsidRDefault="00465452" w:rsidP="00465452">
      <w:pPr>
        <w:rPr>
          <w:b/>
          <w:u w:val="single"/>
          <w:lang w:val="en-AU"/>
        </w:rPr>
      </w:pPr>
      <w:r w:rsidRPr="00465452">
        <w:rPr>
          <w:b/>
          <w:u w:val="single"/>
          <w:lang w:val="en-AU"/>
        </w:rPr>
        <w:t>Clinical efficacy in adults and skeletally mature adolescents with giant cell tumour of bone</w:t>
      </w:r>
    </w:p>
    <w:p w:rsidR="00465452" w:rsidRPr="00465452" w:rsidRDefault="00465452" w:rsidP="00465452">
      <w:pPr>
        <w:rPr>
          <w:lang w:val="en-AU"/>
        </w:rPr>
      </w:pPr>
      <w:r w:rsidRPr="00465452">
        <w:rPr>
          <w:lang w:val="en-AU"/>
        </w:rPr>
        <w:t xml:space="preserve">The safety and efficacy of </w:t>
      </w:r>
      <w:proofErr w:type="spellStart"/>
      <w:r w:rsidRPr="00465452">
        <w:rPr>
          <w:lang w:val="en-AU"/>
        </w:rPr>
        <w:t>Xgeva</w:t>
      </w:r>
      <w:proofErr w:type="spellEnd"/>
      <w:r w:rsidRPr="00465452">
        <w:rPr>
          <w:lang w:val="en-AU"/>
        </w:rPr>
        <w:t xml:space="preserve"> was studied in two Phase II open-label, single arm trials (Studies</w:t>
      </w:r>
    </w:p>
    <w:p w:rsidR="00465452" w:rsidRPr="00465452" w:rsidRDefault="00465452" w:rsidP="00465452">
      <w:pPr>
        <w:rPr>
          <w:lang w:val="en-AU"/>
        </w:rPr>
      </w:pPr>
      <w:r w:rsidRPr="00465452">
        <w:t>20040215</w:t>
      </w:r>
      <w:r w:rsidRPr="00465452">
        <w:rPr>
          <w:lang w:val="en-AU"/>
        </w:rPr>
        <w:t xml:space="preserve"> and </w:t>
      </w:r>
      <w:r w:rsidRPr="00465452">
        <w:t>20062004</w:t>
      </w:r>
      <w:r w:rsidRPr="00465452">
        <w:rPr>
          <w:lang w:val="en-AU"/>
        </w:rPr>
        <w:t xml:space="preserve">) that enrolled 305 patients with giant cell tumour of bone that was either </w:t>
      </w:r>
      <w:proofErr w:type="spellStart"/>
      <w:r w:rsidRPr="00465452">
        <w:rPr>
          <w:lang w:val="en-AU"/>
        </w:rPr>
        <w:t>unresectable</w:t>
      </w:r>
      <w:proofErr w:type="spellEnd"/>
      <w:r w:rsidRPr="00465452">
        <w:rPr>
          <w:lang w:val="en-AU"/>
        </w:rPr>
        <w:t xml:space="preserve"> or for which surgery would be associated with severe morbidity. Patients received </w:t>
      </w:r>
      <w:r w:rsidRPr="00465452">
        <w:rPr>
          <w:lang w:val="en-AU"/>
        </w:rPr>
        <w:br/>
        <w:t xml:space="preserve">120 mg </w:t>
      </w:r>
      <w:proofErr w:type="spellStart"/>
      <w:r w:rsidRPr="00465452">
        <w:rPr>
          <w:lang w:val="en-AU"/>
        </w:rPr>
        <w:t>Xgeva</w:t>
      </w:r>
      <w:proofErr w:type="spellEnd"/>
      <w:r w:rsidRPr="00465452">
        <w:rPr>
          <w:lang w:val="en-AU"/>
        </w:rPr>
        <w:t xml:space="preserve"> subcutaneously every 4 weeks with a loading dose of 120 mg on days 8 and 15 of the initial 4-week treatment period.</w:t>
      </w:r>
    </w:p>
    <w:p w:rsidR="00465452" w:rsidRPr="00465452" w:rsidRDefault="00465452" w:rsidP="00465452">
      <w:pPr>
        <w:rPr>
          <w:lang w:val="en-AU"/>
        </w:rPr>
      </w:pPr>
    </w:p>
    <w:p w:rsidR="00465452" w:rsidRPr="00465452" w:rsidRDefault="00465452" w:rsidP="00465452">
      <w:pPr>
        <w:rPr>
          <w:lang w:val="en-AU"/>
        </w:rPr>
      </w:pPr>
      <w:r w:rsidRPr="00465452">
        <w:rPr>
          <w:lang w:val="en-AU"/>
        </w:rPr>
        <w:t xml:space="preserve">Study 20040215 enrolled 37 adult patients with histologically confirmed </w:t>
      </w:r>
      <w:proofErr w:type="spellStart"/>
      <w:r w:rsidRPr="00465452">
        <w:rPr>
          <w:lang w:val="en-AU"/>
        </w:rPr>
        <w:t>unresectable</w:t>
      </w:r>
      <w:proofErr w:type="spellEnd"/>
      <w:r w:rsidRPr="00465452">
        <w:rPr>
          <w:lang w:val="en-AU"/>
        </w:rPr>
        <w:t xml:space="preserve"> or recurrent giant cell tumour of bone. The main outcome measure of the trial was response rate, defined as either at least 90% elimination of giant cells relative to baseline (or complete elimination of giant cells in cases where giant cells represent &lt; 5% of tumour cells), or a lack of progression of the target lesion by radiographic measurements in cases where histopathology was not available.</w:t>
      </w:r>
    </w:p>
    <w:p w:rsidR="00465452" w:rsidRPr="00465452" w:rsidRDefault="00465452" w:rsidP="00465452">
      <w:pPr>
        <w:rPr>
          <w:lang w:val="en-AU"/>
        </w:rPr>
      </w:pPr>
    </w:p>
    <w:p w:rsidR="00465452" w:rsidRPr="00465452" w:rsidRDefault="00465452" w:rsidP="00465452">
      <w:pPr>
        <w:rPr>
          <w:lang w:val="en-AU"/>
        </w:rPr>
      </w:pPr>
      <w:r w:rsidRPr="00465452">
        <w:rPr>
          <w:lang w:val="en-AU"/>
        </w:rPr>
        <w:t>Of the 35 patients included in the efficacy analysis, 85.7% (95% CI: 69.7, 95.2) had a treatment</w:t>
      </w:r>
    </w:p>
    <w:p w:rsidR="00465452" w:rsidRPr="00465452" w:rsidRDefault="00465452" w:rsidP="00465452">
      <w:pPr>
        <w:rPr>
          <w:lang w:val="en-AU"/>
        </w:rPr>
      </w:pPr>
      <w:proofErr w:type="gramStart"/>
      <w:r w:rsidRPr="00465452">
        <w:rPr>
          <w:lang w:val="en-AU"/>
        </w:rPr>
        <w:t>response</w:t>
      </w:r>
      <w:proofErr w:type="gramEnd"/>
      <w:r w:rsidRPr="00465452">
        <w:rPr>
          <w:lang w:val="en-AU"/>
        </w:rPr>
        <w:t xml:space="preserve"> to </w:t>
      </w:r>
      <w:proofErr w:type="spellStart"/>
      <w:r w:rsidRPr="00465452">
        <w:rPr>
          <w:lang w:val="en-AU"/>
        </w:rPr>
        <w:t>Xgeva</w:t>
      </w:r>
      <w:proofErr w:type="spellEnd"/>
      <w:r w:rsidRPr="00465452">
        <w:rPr>
          <w:lang w:val="en-AU"/>
        </w:rPr>
        <w:t>. All 20 patients (100%) with histology assessments met response criteria. Of the</w:t>
      </w:r>
    </w:p>
    <w:p w:rsidR="00465452" w:rsidRPr="00465452" w:rsidRDefault="00465452" w:rsidP="00465452">
      <w:pPr>
        <w:rPr>
          <w:lang w:val="en-AU"/>
        </w:rPr>
      </w:pPr>
      <w:proofErr w:type="gramStart"/>
      <w:r w:rsidRPr="00465452">
        <w:rPr>
          <w:lang w:val="en-AU"/>
        </w:rPr>
        <w:t>remaining</w:t>
      </w:r>
      <w:proofErr w:type="gramEnd"/>
      <w:r w:rsidRPr="00465452">
        <w:rPr>
          <w:lang w:val="en-AU"/>
        </w:rPr>
        <w:t xml:space="preserve"> 15 patients, 10 (67%) met response criteria based on radiology data.</w:t>
      </w:r>
    </w:p>
    <w:p w:rsidR="00465452" w:rsidRPr="00465452" w:rsidRDefault="00465452" w:rsidP="00465452">
      <w:pPr>
        <w:rPr>
          <w:lang w:val="en-AU"/>
        </w:rPr>
      </w:pPr>
    </w:p>
    <w:p w:rsidR="00465452" w:rsidRPr="00465452" w:rsidRDefault="00465452" w:rsidP="00465452">
      <w:pPr>
        <w:rPr>
          <w:lang w:val="en-AU"/>
        </w:rPr>
      </w:pPr>
      <w:r w:rsidRPr="00465452">
        <w:rPr>
          <w:lang w:val="en-AU"/>
        </w:rPr>
        <w:t xml:space="preserve">Study 20062004 enrolled 282 adult or skeletally mature adolescents with giant cell tumour of bone. Patients were assigned to one of three cohorts: Cohort 1 included patients with surgically unsalvageable disease (e.g., sacral, spinal, or multiple lesions, including pulmonary metastases); Cohort 2 included patients with surgically salvageable disease whose planned surgery was associated with severe morbidity (e.g., joint resection, limb amputation, or </w:t>
      </w:r>
      <w:proofErr w:type="spellStart"/>
      <w:r w:rsidRPr="00465452">
        <w:rPr>
          <w:lang w:val="en-AU"/>
        </w:rPr>
        <w:t>hemipelvectomy</w:t>
      </w:r>
      <w:proofErr w:type="spellEnd"/>
      <w:r w:rsidRPr="00465452">
        <w:rPr>
          <w:lang w:val="en-AU"/>
        </w:rPr>
        <w:t>); Cohort 3 included patients previously participating in 20040215 and rolled over into this study. The secondary outcome measures of the study were time to disease progression (based on investigator assessment) for Cohort 1 and proportion of patients without any surgery at month 6 for Cohort 2. Pain outcomes and investigator determined clinical benefit were also assessed.</w:t>
      </w:r>
    </w:p>
    <w:p w:rsidR="00465452" w:rsidRPr="00465452" w:rsidRDefault="00465452" w:rsidP="00465452">
      <w:pPr>
        <w:rPr>
          <w:lang w:val="en-AU"/>
        </w:rPr>
      </w:pPr>
    </w:p>
    <w:p w:rsidR="00465452" w:rsidRPr="00465452" w:rsidRDefault="00465452" w:rsidP="00465452">
      <w:pPr>
        <w:rPr>
          <w:lang w:val="en-AU"/>
        </w:rPr>
      </w:pPr>
      <w:r w:rsidRPr="00465452">
        <w:rPr>
          <w:lang w:val="en-AU"/>
        </w:rPr>
        <w:t xml:space="preserve">In Cohort 1, median time to disease progression was not reached, as only 6 of the 169 treated patients (3.6%) had disease progression. In Cohort 2, </w:t>
      </w:r>
      <w:proofErr w:type="spellStart"/>
      <w:r w:rsidRPr="00465452">
        <w:rPr>
          <w:lang w:val="en-AU"/>
        </w:rPr>
        <w:t>Xgeva</w:t>
      </w:r>
      <w:proofErr w:type="spellEnd"/>
      <w:r w:rsidRPr="00465452">
        <w:rPr>
          <w:lang w:val="en-AU"/>
        </w:rPr>
        <w:t xml:space="preserve"> prolonged the time to surgery, reduced the morbidity of planned surgery, and reduced the proportion of patients undergoing surgery (Table </w:t>
      </w:r>
      <w:r w:rsidRPr="00465452">
        <w:rPr>
          <w:lang w:val="en-AU"/>
        </w:rPr>
        <w:lastRenderedPageBreak/>
        <w:t>2). Sixty-four of the 71 (90.1%; 95% CI</w:t>
      </w:r>
      <w:proofErr w:type="gramStart"/>
      <w:r w:rsidRPr="00465452">
        <w:rPr>
          <w:lang w:val="en-AU"/>
        </w:rPr>
        <w:t>:80.7</w:t>
      </w:r>
      <w:proofErr w:type="gramEnd"/>
      <w:r w:rsidRPr="00465452">
        <w:rPr>
          <w:lang w:val="en-AU"/>
        </w:rPr>
        <w:t xml:space="preserve">%, 95.9%) evaluable patients treated with </w:t>
      </w:r>
      <w:proofErr w:type="spellStart"/>
      <w:r w:rsidRPr="00465452">
        <w:rPr>
          <w:lang w:val="en-AU"/>
        </w:rPr>
        <w:t>Xgeva</w:t>
      </w:r>
      <w:proofErr w:type="spellEnd"/>
      <w:r w:rsidRPr="00465452">
        <w:rPr>
          <w:lang w:val="en-AU"/>
        </w:rPr>
        <w:t xml:space="preserve"> had not undergone surgery by month 6. Overall, of 100 patients for whom surgery was planned, 74 patients (74%) had no surgery performed, and 16 patients (16%) underwent a less morbid surgical procedure from that planned at baseline (Table 2).</w:t>
      </w:r>
    </w:p>
    <w:p w:rsidR="00465452" w:rsidRPr="00465452" w:rsidRDefault="00465452" w:rsidP="00465452">
      <w:pPr>
        <w:rPr>
          <w:lang w:val="en-AU"/>
        </w:rPr>
      </w:pPr>
    </w:p>
    <w:p w:rsidR="00465452" w:rsidRPr="00465452" w:rsidRDefault="00465452" w:rsidP="00465452">
      <w:pPr>
        <w:rPr>
          <w:lang w:val="en-AU"/>
        </w:rPr>
      </w:pPr>
      <w:r w:rsidRPr="00465452">
        <w:rPr>
          <w:lang w:val="en-AU"/>
        </w:rPr>
        <w:t>A retrospective independent review of radiographic imaging data was performed for patients enrolled</w:t>
      </w:r>
    </w:p>
    <w:p w:rsidR="00465452" w:rsidRPr="00465452" w:rsidRDefault="00465452" w:rsidP="00465452">
      <w:pPr>
        <w:rPr>
          <w:lang w:val="en-AU"/>
        </w:rPr>
      </w:pPr>
      <w:proofErr w:type="gramStart"/>
      <w:r w:rsidRPr="00465452">
        <w:rPr>
          <w:lang w:val="en-AU"/>
        </w:rPr>
        <w:t>in</w:t>
      </w:r>
      <w:proofErr w:type="gramEnd"/>
      <w:r w:rsidRPr="00465452">
        <w:rPr>
          <w:lang w:val="en-AU"/>
        </w:rPr>
        <w:t xml:space="preserve"> </w:t>
      </w:r>
      <w:r w:rsidRPr="00465452">
        <w:t>20040215</w:t>
      </w:r>
      <w:r w:rsidRPr="00465452">
        <w:rPr>
          <w:lang w:val="en-AU"/>
        </w:rPr>
        <w:t xml:space="preserve"> and </w:t>
      </w:r>
      <w:r w:rsidRPr="00465452">
        <w:t>20062004</w:t>
      </w:r>
      <w:r w:rsidRPr="00465452">
        <w:rPr>
          <w:lang w:val="en-AU"/>
        </w:rPr>
        <w:t xml:space="preserve">. Of the 305 patients enrolled in these studies, 190 had at least 1 evaluable </w:t>
      </w:r>
      <w:proofErr w:type="spellStart"/>
      <w:r w:rsidRPr="00465452">
        <w:rPr>
          <w:lang w:val="en-AU"/>
        </w:rPr>
        <w:t>timepoint</w:t>
      </w:r>
      <w:proofErr w:type="spellEnd"/>
      <w:r w:rsidRPr="00465452">
        <w:rPr>
          <w:lang w:val="en-AU"/>
        </w:rPr>
        <w:t xml:space="preserve"> response and were included in the analysis (Table 3).</w:t>
      </w:r>
    </w:p>
    <w:p w:rsidR="00465452" w:rsidRPr="00465452" w:rsidRDefault="00465452" w:rsidP="00465452">
      <w:pPr>
        <w:rPr>
          <w:lang w:val="en-AU"/>
        </w:rPr>
      </w:pPr>
    </w:p>
    <w:p w:rsidR="00465452" w:rsidRPr="00465452" w:rsidRDefault="00465452" w:rsidP="00465452">
      <w:pPr>
        <w:rPr>
          <w:lang w:val="en-AU"/>
        </w:rPr>
      </w:pPr>
      <w:r w:rsidRPr="00465452">
        <w:rPr>
          <w:lang w:val="en-AU"/>
        </w:rPr>
        <w:t>Patients were evaluated by the following response criteria to determine objective tumour response:</w:t>
      </w:r>
    </w:p>
    <w:p w:rsidR="00465452" w:rsidRPr="00465452" w:rsidRDefault="00465452" w:rsidP="00465452">
      <w:pPr>
        <w:rPr>
          <w:lang w:val="en-AU"/>
        </w:rPr>
      </w:pPr>
    </w:p>
    <w:p w:rsidR="00465452" w:rsidRPr="00465452" w:rsidRDefault="00465452" w:rsidP="00465452">
      <w:pPr>
        <w:numPr>
          <w:ilvl w:val="3"/>
          <w:numId w:val="49"/>
        </w:numPr>
        <w:rPr>
          <w:lang w:val="en-AU"/>
        </w:rPr>
      </w:pPr>
      <w:r w:rsidRPr="00465452">
        <w:rPr>
          <w:lang w:val="en-AU"/>
        </w:rPr>
        <w:t>Modified Response Evaluation Criteria in Solid Tumours (RECIST 1.1) to evaluate tumour burden based on computed tomography (CT)/magnetic resonance imaging (MRI)</w:t>
      </w:r>
    </w:p>
    <w:p w:rsidR="00465452" w:rsidRPr="00465452" w:rsidRDefault="00465452" w:rsidP="00465452">
      <w:pPr>
        <w:numPr>
          <w:ilvl w:val="0"/>
          <w:numId w:val="49"/>
        </w:numPr>
        <w:rPr>
          <w:lang w:val="en-AU"/>
        </w:rPr>
      </w:pPr>
      <w:r w:rsidRPr="00465452">
        <w:rPr>
          <w:lang w:val="en-AU"/>
        </w:rPr>
        <w:t xml:space="preserve">Modified European Organisation for Research and Treatment of Cancer (EORTC) criteria to evaluate metabolic response using </w:t>
      </w:r>
      <w:proofErr w:type="spellStart"/>
      <w:r w:rsidRPr="00465452">
        <w:rPr>
          <w:lang w:val="en-AU"/>
        </w:rPr>
        <w:t>fluorodeoxyglucose</w:t>
      </w:r>
      <w:proofErr w:type="spellEnd"/>
      <w:r w:rsidRPr="00465452">
        <w:rPr>
          <w:lang w:val="en-AU"/>
        </w:rPr>
        <w:t xml:space="preserve"> positron emission tomography (FDG-PET),</w:t>
      </w:r>
    </w:p>
    <w:p w:rsidR="00465452" w:rsidRPr="00465452" w:rsidRDefault="00465452" w:rsidP="00465452">
      <w:pPr>
        <w:numPr>
          <w:ilvl w:val="0"/>
          <w:numId w:val="49"/>
        </w:numPr>
        <w:rPr>
          <w:lang w:val="en-AU"/>
        </w:rPr>
      </w:pPr>
      <w:r w:rsidRPr="00465452">
        <w:rPr>
          <w:lang w:val="en-AU"/>
        </w:rPr>
        <w:t>Modified Inverse Choi criteria to evaluate tumour size and density using Hounsfield units based on CT/MRI (Density/Size)</w:t>
      </w:r>
    </w:p>
    <w:p w:rsidR="00465452" w:rsidRPr="00465452" w:rsidRDefault="00465452" w:rsidP="00465452">
      <w:pPr>
        <w:rPr>
          <w:lang w:val="en-AU"/>
        </w:rPr>
      </w:pPr>
    </w:p>
    <w:p w:rsidR="00465452" w:rsidRPr="00465452" w:rsidRDefault="00465452" w:rsidP="00465452">
      <w:pPr>
        <w:rPr>
          <w:lang w:val="en-AU"/>
        </w:rPr>
      </w:pPr>
      <w:proofErr w:type="spellStart"/>
      <w:r w:rsidRPr="00465452">
        <w:rPr>
          <w:lang w:val="en-AU"/>
        </w:rPr>
        <w:t>Xgeva</w:t>
      </w:r>
      <w:proofErr w:type="spellEnd"/>
      <w:r w:rsidRPr="00465452">
        <w:rPr>
          <w:lang w:val="en-AU"/>
        </w:rPr>
        <w:t xml:space="preserve"> achieved objective tumour responses in 136 of these 190 patients (71.6%; 95% CI 64.6, 77.9) (Table 3). The median time to response was 3.1 months (95% CI 2.89, 3.65). The median duration of response was not estimable, as few patients experienced disease progression, with a median follow-up of 13.4 months. Efficacy results in skeletally mature adolescents appeared to be similar to those observed in adults.</w:t>
      </w:r>
    </w:p>
    <w:p w:rsidR="00465452" w:rsidRPr="00465452" w:rsidRDefault="00465452" w:rsidP="00465452">
      <w:pPr>
        <w:rPr>
          <w:lang w:val="en-AU"/>
        </w:rPr>
      </w:pPr>
    </w:p>
    <w:p w:rsidR="00465452" w:rsidRPr="00465452" w:rsidRDefault="00465452" w:rsidP="00465452">
      <w:pPr>
        <w:rPr>
          <w:lang w:val="en-AU"/>
        </w:rPr>
      </w:pPr>
    </w:p>
    <w:p w:rsidR="00465452" w:rsidRPr="00465452" w:rsidRDefault="00465452" w:rsidP="00465452">
      <w:pPr>
        <w:rPr>
          <w:b/>
          <w:bCs/>
        </w:rPr>
      </w:pPr>
      <w:r w:rsidRPr="00465452">
        <w:rPr>
          <w:b/>
          <w:bCs/>
        </w:rPr>
        <w:t xml:space="preserve">Table 2: Distribution of Planned Versus Actual Surgery in Patients with Giant Cell </w:t>
      </w:r>
      <w:proofErr w:type="spellStart"/>
      <w:r w:rsidRPr="00465452">
        <w:rPr>
          <w:b/>
          <w:bCs/>
        </w:rPr>
        <w:t>Tumour</w:t>
      </w:r>
      <w:proofErr w:type="spellEnd"/>
      <w:r w:rsidRPr="00465452">
        <w:rPr>
          <w:b/>
          <w:bCs/>
        </w:rPr>
        <w:t xml:space="preserve"> of Bone (Cohort 2)</w:t>
      </w:r>
    </w:p>
    <w:p w:rsidR="00465452" w:rsidRPr="00465452" w:rsidRDefault="00465452" w:rsidP="00465452">
      <w:pPr>
        <w:rPr>
          <w:b/>
          <w:bCs/>
        </w:rPr>
      </w:pP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2250"/>
        <w:gridCol w:w="2340"/>
      </w:tblGrid>
      <w:tr w:rsidR="00465452" w:rsidRPr="00465452" w:rsidTr="00804A0E">
        <w:trPr>
          <w:trHeight w:val="663"/>
          <w:tblHeader/>
          <w:jc w:val="center"/>
        </w:trPr>
        <w:tc>
          <w:tcPr>
            <w:tcW w:w="3618"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pPr>
              <w:rPr>
                <w:b/>
                <w:bCs/>
              </w:rPr>
            </w:pPr>
            <w:r w:rsidRPr="00465452">
              <w:rPr>
                <w:b/>
                <w:bCs/>
              </w:rPr>
              <w:t xml:space="preserve">Surgical Procedure, n </w:t>
            </w:r>
          </w:p>
        </w:tc>
        <w:tc>
          <w:tcPr>
            <w:tcW w:w="2250"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pPr>
              <w:rPr>
                <w:b/>
                <w:bCs/>
              </w:rPr>
            </w:pPr>
            <w:r w:rsidRPr="00465452">
              <w:rPr>
                <w:b/>
                <w:bCs/>
              </w:rPr>
              <w:t xml:space="preserve">Baseline Planned </w:t>
            </w:r>
            <w:r w:rsidRPr="00465452">
              <w:rPr>
                <w:b/>
                <w:bCs/>
              </w:rPr>
              <w:br/>
              <w:t>(N = 100)</w:t>
            </w:r>
          </w:p>
        </w:tc>
        <w:tc>
          <w:tcPr>
            <w:tcW w:w="2340"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pPr>
              <w:rPr>
                <w:b/>
                <w:bCs/>
              </w:rPr>
            </w:pPr>
            <w:r w:rsidRPr="00465452">
              <w:rPr>
                <w:b/>
                <w:bCs/>
              </w:rPr>
              <w:t xml:space="preserve">Actual </w:t>
            </w:r>
            <w:r w:rsidRPr="00465452">
              <w:rPr>
                <w:b/>
                <w:bCs/>
              </w:rPr>
              <w:br/>
              <w:t>Total</w:t>
            </w:r>
            <w:r w:rsidRPr="00465452">
              <w:rPr>
                <w:b/>
                <w:bCs/>
              </w:rPr>
              <w:br/>
              <w:t>(N = 26)</w:t>
            </w:r>
          </w:p>
        </w:tc>
      </w:tr>
      <w:tr w:rsidR="00465452" w:rsidRPr="00465452" w:rsidTr="00804A0E">
        <w:trPr>
          <w:trHeight w:val="144"/>
          <w:jc w:val="center"/>
        </w:trPr>
        <w:tc>
          <w:tcPr>
            <w:tcW w:w="3618"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Total number of surgeries </w:t>
            </w:r>
          </w:p>
        </w:tc>
        <w:tc>
          <w:tcPr>
            <w:tcW w:w="2250"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100 </w:t>
            </w:r>
          </w:p>
        </w:tc>
        <w:tc>
          <w:tcPr>
            <w:tcW w:w="2340"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26 </w:t>
            </w:r>
          </w:p>
        </w:tc>
      </w:tr>
      <w:tr w:rsidR="00465452" w:rsidRPr="00465452" w:rsidTr="00804A0E">
        <w:trPr>
          <w:trHeight w:val="144"/>
          <w:jc w:val="center"/>
        </w:trPr>
        <w:tc>
          <w:tcPr>
            <w:tcW w:w="3618"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Major surgeries </w:t>
            </w:r>
          </w:p>
        </w:tc>
        <w:tc>
          <w:tcPr>
            <w:tcW w:w="2250"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44 </w:t>
            </w:r>
          </w:p>
        </w:tc>
        <w:tc>
          <w:tcPr>
            <w:tcW w:w="2340"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3 </w:t>
            </w:r>
          </w:p>
        </w:tc>
      </w:tr>
      <w:tr w:rsidR="00465452" w:rsidRPr="00465452" w:rsidTr="00804A0E">
        <w:trPr>
          <w:trHeight w:val="144"/>
          <w:jc w:val="center"/>
        </w:trPr>
        <w:tc>
          <w:tcPr>
            <w:tcW w:w="3618"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proofErr w:type="spellStart"/>
            <w:r w:rsidRPr="00465452">
              <w:rPr>
                <w:bCs/>
              </w:rPr>
              <w:t>Hemipelvectomy</w:t>
            </w:r>
            <w:proofErr w:type="spellEnd"/>
            <w:r w:rsidRPr="00465452">
              <w:rPr>
                <w:bCs/>
              </w:rPr>
              <w:t xml:space="preserve"> </w:t>
            </w:r>
          </w:p>
        </w:tc>
        <w:tc>
          <w:tcPr>
            <w:tcW w:w="2250"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4 </w:t>
            </w:r>
          </w:p>
        </w:tc>
        <w:tc>
          <w:tcPr>
            <w:tcW w:w="2340"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0 </w:t>
            </w:r>
          </w:p>
        </w:tc>
      </w:tr>
      <w:tr w:rsidR="00465452" w:rsidRPr="00465452" w:rsidTr="00804A0E">
        <w:trPr>
          <w:trHeight w:val="144"/>
          <w:jc w:val="center"/>
        </w:trPr>
        <w:tc>
          <w:tcPr>
            <w:tcW w:w="3618"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Amputation </w:t>
            </w:r>
          </w:p>
        </w:tc>
        <w:tc>
          <w:tcPr>
            <w:tcW w:w="2250"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17 </w:t>
            </w:r>
          </w:p>
        </w:tc>
        <w:tc>
          <w:tcPr>
            <w:tcW w:w="2340"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0 </w:t>
            </w:r>
          </w:p>
        </w:tc>
      </w:tr>
      <w:tr w:rsidR="00465452" w:rsidRPr="00465452" w:rsidTr="00804A0E">
        <w:trPr>
          <w:trHeight w:val="144"/>
          <w:jc w:val="center"/>
        </w:trPr>
        <w:tc>
          <w:tcPr>
            <w:tcW w:w="3618"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Joint/prosthesis replacement </w:t>
            </w:r>
          </w:p>
        </w:tc>
        <w:tc>
          <w:tcPr>
            <w:tcW w:w="2250"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9 </w:t>
            </w:r>
          </w:p>
        </w:tc>
        <w:tc>
          <w:tcPr>
            <w:tcW w:w="2340"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1 </w:t>
            </w:r>
          </w:p>
        </w:tc>
      </w:tr>
      <w:tr w:rsidR="00465452" w:rsidRPr="00465452" w:rsidTr="00804A0E">
        <w:trPr>
          <w:trHeight w:val="144"/>
          <w:jc w:val="center"/>
        </w:trPr>
        <w:tc>
          <w:tcPr>
            <w:tcW w:w="3618"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Joint resection </w:t>
            </w:r>
          </w:p>
        </w:tc>
        <w:tc>
          <w:tcPr>
            <w:tcW w:w="2250"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14 </w:t>
            </w:r>
          </w:p>
        </w:tc>
        <w:tc>
          <w:tcPr>
            <w:tcW w:w="2340"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2 </w:t>
            </w:r>
          </w:p>
        </w:tc>
      </w:tr>
      <w:tr w:rsidR="00465452" w:rsidRPr="00465452" w:rsidTr="00804A0E">
        <w:trPr>
          <w:trHeight w:val="144"/>
          <w:jc w:val="center"/>
        </w:trPr>
        <w:tc>
          <w:tcPr>
            <w:tcW w:w="3618"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lang w:val="fr-FR"/>
              </w:rPr>
            </w:pPr>
            <w:r w:rsidRPr="00465452">
              <w:rPr>
                <w:bCs/>
                <w:lang w:val="fr-FR"/>
              </w:rPr>
              <w:t xml:space="preserve">Marginal excision, en bloc excision, or en bloc </w:t>
            </w:r>
            <w:proofErr w:type="spellStart"/>
            <w:r w:rsidRPr="00465452">
              <w:rPr>
                <w:bCs/>
                <w:lang w:val="fr-FR"/>
              </w:rPr>
              <w:t>resection</w:t>
            </w:r>
            <w:proofErr w:type="spellEnd"/>
            <w:r w:rsidRPr="00465452">
              <w:rPr>
                <w:bCs/>
                <w:lang w:val="fr-FR"/>
              </w:rPr>
              <w:t xml:space="preserve"> </w:t>
            </w:r>
          </w:p>
        </w:tc>
        <w:tc>
          <w:tcPr>
            <w:tcW w:w="2250"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42 </w:t>
            </w:r>
          </w:p>
        </w:tc>
        <w:tc>
          <w:tcPr>
            <w:tcW w:w="2340"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6 </w:t>
            </w:r>
          </w:p>
        </w:tc>
      </w:tr>
      <w:tr w:rsidR="00465452" w:rsidRPr="00465452" w:rsidTr="00804A0E">
        <w:trPr>
          <w:trHeight w:val="144"/>
          <w:jc w:val="center"/>
        </w:trPr>
        <w:tc>
          <w:tcPr>
            <w:tcW w:w="3618"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Curettage </w:t>
            </w:r>
          </w:p>
        </w:tc>
        <w:tc>
          <w:tcPr>
            <w:tcW w:w="2250"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13 </w:t>
            </w:r>
          </w:p>
        </w:tc>
        <w:tc>
          <w:tcPr>
            <w:tcW w:w="2340"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 16 </w:t>
            </w:r>
          </w:p>
        </w:tc>
      </w:tr>
      <w:tr w:rsidR="00465452" w:rsidRPr="00465452" w:rsidTr="00804A0E">
        <w:trPr>
          <w:trHeight w:val="144"/>
          <w:jc w:val="center"/>
        </w:trPr>
        <w:tc>
          <w:tcPr>
            <w:tcW w:w="3618"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Other </w:t>
            </w:r>
          </w:p>
        </w:tc>
        <w:tc>
          <w:tcPr>
            <w:tcW w:w="2250"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1 </w:t>
            </w:r>
          </w:p>
        </w:tc>
        <w:tc>
          <w:tcPr>
            <w:tcW w:w="2340"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1 </w:t>
            </w:r>
          </w:p>
        </w:tc>
      </w:tr>
      <w:tr w:rsidR="00465452" w:rsidRPr="00465452" w:rsidTr="00804A0E">
        <w:trPr>
          <w:trHeight w:val="144"/>
          <w:jc w:val="center"/>
        </w:trPr>
        <w:tc>
          <w:tcPr>
            <w:tcW w:w="3618"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No surgery </w:t>
            </w:r>
          </w:p>
        </w:tc>
        <w:tc>
          <w:tcPr>
            <w:tcW w:w="2250"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0 </w:t>
            </w:r>
          </w:p>
        </w:tc>
        <w:tc>
          <w:tcPr>
            <w:tcW w:w="2340" w:type="dxa"/>
            <w:tcBorders>
              <w:top w:val="single" w:sz="4" w:space="0" w:color="auto"/>
              <w:left w:val="single" w:sz="4" w:space="0" w:color="auto"/>
              <w:bottom w:val="single" w:sz="4" w:space="0" w:color="auto"/>
              <w:right w:val="single" w:sz="4" w:space="0" w:color="auto"/>
            </w:tcBorders>
            <w:hideMark/>
          </w:tcPr>
          <w:p w:rsidR="00465452" w:rsidRPr="00465452" w:rsidRDefault="00465452" w:rsidP="00465452">
            <w:pPr>
              <w:rPr>
                <w:bCs/>
              </w:rPr>
            </w:pPr>
            <w:r w:rsidRPr="00465452">
              <w:rPr>
                <w:bCs/>
              </w:rPr>
              <w:t xml:space="preserve">74 </w:t>
            </w:r>
          </w:p>
        </w:tc>
      </w:tr>
    </w:tbl>
    <w:p w:rsidR="00465452" w:rsidRPr="00465452" w:rsidRDefault="00465452" w:rsidP="00465452">
      <w:pPr>
        <w:rPr>
          <w:b/>
          <w:bCs/>
        </w:rPr>
      </w:pPr>
      <w:r w:rsidRPr="00465452">
        <w:rPr>
          <w:b/>
          <w:bCs/>
        </w:rPr>
        <w:br w:type="column"/>
      </w:r>
      <w:r w:rsidRPr="00465452">
        <w:rPr>
          <w:b/>
          <w:bCs/>
        </w:rPr>
        <w:lastRenderedPageBreak/>
        <w:t xml:space="preserve">Table 3: Objective Treatment Response in 305 Patients with Giant Cell </w:t>
      </w:r>
      <w:proofErr w:type="spellStart"/>
      <w:r w:rsidRPr="00465452">
        <w:rPr>
          <w:b/>
          <w:bCs/>
        </w:rPr>
        <w:t>Tumour</w:t>
      </w:r>
      <w:proofErr w:type="spellEnd"/>
      <w:r w:rsidRPr="00465452">
        <w:rPr>
          <w:b/>
          <w:bCs/>
        </w:rPr>
        <w:t xml:space="preserve"> of Bone</w:t>
      </w:r>
    </w:p>
    <w:p w:rsidR="00465452" w:rsidRPr="00465452" w:rsidRDefault="00465452" w:rsidP="00465452">
      <w:pPr>
        <w:rPr>
          <w:b/>
          <w:bCs/>
          <w:vertAlign w:val="superscript"/>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1227"/>
        <w:gridCol w:w="1418"/>
        <w:gridCol w:w="1842"/>
        <w:gridCol w:w="2410"/>
      </w:tblGrid>
      <w:tr w:rsidR="00465452" w:rsidRPr="00465452" w:rsidTr="00804A0E">
        <w:trPr>
          <w:tblHeader/>
          <w:jc w:val="center"/>
        </w:trPr>
        <w:tc>
          <w:tcPr>
            <w:tcW w:w="2425" w:type="dxa"/>
            <w:tcBorders>
              <w:top w:val="single" w:sz="4" w:space="0" w:color="auto"/>
              <w:left w:val="single" w:sz="4" w:space="0" w:color="auto"/>
              <w:bottom w:val="single" w:sz="4" w:space="0" w:color="auto"/>
              <w:right w:val="single" w:sz="4" w:space="0" w:color="auto"/>
            </w:tcBorders>
            <w:vAlign w:val="center"/>
          </w:tcPr>
          <w:p w:rsidR="00465452" w:rsidRPr="00465452" w:rsidRDefault="00465452" w:rsidP="00465452"/>
        </w:tc>
        <w:tc>
          <w:tcPr>
            <w:tcW w:w="1227"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pPr>
              <w:rPr>
                <w:b/>
              </w:rPr>
            </w:pPr>
            <w:r w:rsidRPr="00465452">
              <w:rPr>
                <w:b/>
              </w:rPr>
              <w:t>Number of patients evaluable for the endpoint</w:t>
            </w:r>
            <w:r w:rsidRPr="00465452" w:rsidDel="00F75F2B">
              <w:rPr>
                <w:b/>
              </w:rPr>
              <w:t xml:space="preserve"> </w:t>
            </w:r>
            <w:r w:rsidRPr="00465452">
              <w:rPr>
                <w:b/>
                <w:vertAlign w:val="superscript"/>
              </w:rPr>
              <w:t>a</w:t>
            </w:r>
          </w:p>
        </w:tc>
        <w:tc>
          <w:tcPr>
            <w:tcW w:w="1418" w:type="dxa"/>
            <w:tcBorders>
              <w:top w:val="single" w:sz="4" w:space="0" w:color="auto"/>
              <w:left w:val="single" w:sz="4" w:space="0" w:color="auto"/>
              <w:bottom w:val="single" w:sz="4" w:space="0" w:color="auto"/>
              <w:right w:val="single" w:sz="4" w:space="0" w:color="auto"/>
            </w:tcBorders>
          </w:tcPr>
          <w:p w:rsidR="00465452" w:rsidRPr="00465452" w:rsidRDefault="00465452" w:rsidP="00465452">
            <w:pPr>
              <w:rPr>
                <w:b/>
              </w:rPr>
            </w:pPr>
            <w:r w:rsidRPr="00465452">
              <w:rPr>
                <w:b/>
              </w:rPr>
              <w:t>Number of patients with the endpoint</w:t>
            </w:r>
          </w:p>
        </w:tc>
        <w:tc>
          <w:tcPr>
            <w:tcW w:w="1842"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pPr>
              <w:rPr>
                <w:b/>
              </w:rPr>
            </w:pPr>
            <w:r w:rsidRPr="00465452">
              <w:rPr>
                <w:b/>
              </w:rPr>
              <w:t>Proportion (%)</w:t>
            </w:r>
            <w:r w:rsidRPr="00465452">
              <w:rPr>
                <w:b/>
              </w:rPr>
              <w:br/>
              <w:t>(95% CI)</w:t>
            </w:r>
            <w:r w:rsidRPr="00465452">
              <w:rPr>
                <w:b/>
                <w:vertAlign w:val="superscript"/>
              </w:rPr>
              <w:t xml:space="preserve"> a</w:t>
            </w:r>
          </w:p>
        </w:tc>
        <w:tc>
          <w:tcPr>
            <w:tcW w:w="2410"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pPr>
              <w:rPr>
                <w:b/>
              </w:rPr>
            </w:pPr>
            <w:r w:rsidRPr="00465452">
              <w:rPr>
                <w:b/>
              </w:rPr>
              <w:t>KM estimate of median (95% CI)  (Months)</w:t>
            </w:r>
          </w:p>
        </w:tc>
      </w:tr>
      <w:tr w:rsidR="00465452" w:rsidRPr="00465452" w:rsidTr="00804A0E">
        <w:trPr>
          <w:jc w:val="center"/>
        </w:trPr>
        <w:tc>
          <w:tcPr>
            <w:tcW w:w="9322" w:type="dxa"/>
            <w:gridSpan w:val="5"/>
            <w:tcBorders>
              <w:top w:val="single" w:sz="4" w:space="0" w:color="auto"/>
              <w:left w:val="single" w:sz="4" w:space="0" w:color="auto"/>
              <w:bottom w:val="single" w:sz="4" w:space="0" w:color="auto"/>
              <w:right w:val="single" w:sz="4" w:space="0" w:color="auto"/>
            </w:tcBorders>
          </w:tcPr>
          <w:p w:rsidR="00465452" w:rsidRPr="00465452" w:rsidRDefault="00465452" w:rsidP="00465452">
            <w:pPr>
              <w:rPr>
                <w:b/>
              </w:rPr>
            </w:pPr>
            <w:r w:rsidRPr="00465452">
              <w:rPr>
                <w:b/>
              </w:rPr>
              <w:tab/>
              <w:t xml:space="preserve">Proportion of patients with an objective </w:t>
            </w:r>
            <w:proofErr w:type="spellStart"/>
            <w:r w:rsidRPr="00465452">
              <w:rPr>
                <w:b/>
              </w:rPr>
              <w:t>tumour</w:t>
            </w:r>
            <w:proofErr w:type="spellEnd"/>
            <w:r w:rsidRPr="00465452">
              <w:rPr>
                <w:b/>
              </w:rPr>
              <w:t xml:space="preserve"> response (CR, PR)</w:t>
            </w:r>
          </w:p>
        </w:tc>
      </w:tr>
      <w:tr w:rsidR="00465452" w:rsidRPr="00465452" w:rsidTr="00804A0E">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Based on best response</w:t>
            </w:r>
          </w:p>
        </w:tc>
        <w:tc>
          <w:tcPr>
            <w:tcW w:w="1227"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190</w:t>
            </w:r>
          </w:p>
        </w:tc>
        <w:tc>
          <w:tcPr>
            <w:tcW w:w="1418" w:type="dxa"/>
            <w:tcBorders>
              <w:top w:val="single" w:sz="4" w:space="0" w:color="auto"/>
              <w:left w:val="single" w:sz="4" w:space="0" w:color="auto"/>
              <w:bottom w:val="single" w:sz="4" w:space="0" w:color="auto"/>
              <w:right w:val="single" w:sz="4" w:space="0" w:color="auto"/>
            </w:tcBorders>
            <w:vAlign w:val="center"/>
          </w:tcPr>
          <w:p w:rsidR="00465452" w:rsidRPr="00465452" w:rsidRDefault="00465452" w:rsidP="00465452">
            <w:r w:rsidRPr="00465452">
              <w:t>136</w:t>
            </w:r>
          </w:p>
        </w:tc>
        <w:tc>
          <w:tcPr>
            <w:tcW w:w="1842"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71.6(64.6, 77.9)</w:t>
            </w:r>
          </w:p>
        </w:tc>
        <w:tc>
          <w:tcPr>
            <w:tcW w:w="2410"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w:t>
            </w:r>
          </w:p>
        </w:tc>
      </w:tr>
      <w:tr w:rsidR="00465452" w:rsidRPr="00465452" w:rsidTr="00804A0E">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RECIST 1.1</w:t>
            </w:r>
            <w:r w:rsidRPr="00465452">
              <w:rPr>
                <w:vertAlign w:val="superscript"/>
              </w:rPr>
              <w:t>1</w:t>
            </w:r>
          </w:p>
        </w:tc>
        <w:tc>
          <w:tcPr>
            <w:tcW w:w="1227"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187</w:t>
            </w:r>
          </w:p>
        </w:tc>
        <w:tc>
          <w:tcPr>
            <w:tcW w:w="1418" w:type="dxa"/>
            <w:tcBorders>
              <w:top w:val="single" w:sz="4" w:space="0" w:color="auto"/>
              <w:left w:val="single" w:sz="4" w:space="0" w:color="auto"/>
              <w:bottom w:val="single" w:sz="4" w:space="0" w:color="auto"/>
              <w:right w:val="single" w:sz="4" w:space="0" w:color="auto"/>
            </w:tcBorders>
            <w:vAlign w:val="center"/>
          </w:tcPr>
          <w:p w:rsidR="00465452" w:rsidRPr="00465452" w:rsidRDefault="00465452" w:rsidP="00465452">
            <w:r w:rsidRPr="00465452">
              <w:t>47</w:t>
            </w:r>
          </w:p>
        </w:tc>
        <w:tc>
          <w:tcPr>
            <w:tcW w:w="1842"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25.1(19.1, 32.0)</w:t>
            </w:r>
          </w:p>
        </w:tc>
        <w:tc>
          <w:tcPr>
            <w:tcW w:w="2410"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w:t>
            </w:r>
          </w:p>
        </w:tc>
      </w:tr>
      <w:tr w:rsidR="00465452" w:rsidRPr="00465452" w:rsidTr="00804A0E">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EORTC</w:t>
            </w:r>
            <w:r w:rsidRPr="00465452">
              <w:rPr>
                <w:vertAlign w:val="superscript"/>
              </w:rPr>
              <w:t>2</w:t>
            </w:r>
          </w:p>
        </w:tc>
        <w:tc>
          <w:tcPr>
            <w:tcW w:w="1227"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26</w:t>
            </w:r>
          </w:p>
        </w:tc>
        <w:tc>
          <w:tcPr>
            <w:tcW w:w="1418" w:type="dxa"/>
            <w:tcBorders>
              <w:top w:val="single" w:sz="4" w:space="0" w:color="auto"/>
              <w:left w:val="single" w:sz="4" w:space="0" w:color="auto"/>
              <w:bottom w:val="single" w:sz="4" w:space="0" w:color="auto"/>
              <w:right w:val="single" w:sz="4" w:space="0" w:color="auto"/>
            </w:tcBorders>
            <w:vAlign w:val="center"/>
          </w:tcPr>
          <w:p w:rsidR="00465452" w:rsidRPr="00465452" w:rsidRDefault="00465452" w:rsidP="00465452">
            <w:r w:rsidRPr="00465452">
              <w:t>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96.2(80.4, 99.9)</w:t>
            </w:r>
          </w:p>
        </w:tc>
        <w:tc>
          <w:tcPr>
            <w:tcW w:w="2410"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w:t>
            </w:r>
          </w:p>
        </w:tc>
      </w:tr>
      <w:tr w:rsidR="00465452" w:rsidRPr="00465452" w:rsidTr="00804A0E">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Density/Size</w:t>
            </w:r>
            <w:r w:rsidRPr="00465452">
              <w:rPr>
                <w:vertAlign w:val="superscript"/>
              </w:rPr>
              <w:t>3</w:t>
            </w:r>
          </w:p>
        </w:tc>
        <w:tc>
          <w:tcPr>
            <w:tcW w:w="1227"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176</w:t>
            </w:r>
          </w:p>
        </w:tc>
        <w:tc>
          <w:tcPr>
            <w:tcW w:w="1418" w:type="dxa"/>
            <w:tcBorders>
              <w:top w:val="single" w:sz="4" w:space="0" w:color="auto"/>
              <w:left w:val="single" w:sz="4" w:space="0" w:color="auto"/>
              <w:bottom w:val="single" w:sz="4" w:space="0" w:color="auto"/>
              <w:right w:val="single" w:sz="4" w:space="0" w:color="auto"/>
            </w:tcBorders>
            <w:vAlign w:val="center"/>
          </w:tcPr>
          <w:p w:rsidR="00465452" w:rsidRPr="00465452" w:rsidRDefault="00465452" w:rsidP="00465452">
            <w:r w:rsidRPr="00465452">
              <w:t>134</w:t>
            </w:r>
          </w:p>
        </w:tc>
        <w:tc>
          <w:tcPr>
            <w:tcW w:w="1842"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76.1(69.1, 82.2)</w:t>
            </w:r>
          </w:p>
        </w:tc>
        <w:tc>
          <w:tcPr>
            <w:tcW w:w="2410"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w:t>
            </w:r>
          </w:p>
        </w:tc>
      </w:tr>
      <w:tr w:rsidR="00465452" w:rsidRPr="00465452" w:rsidTr="00804A0E">
        <w:trPr>
          <w:jc w:val="center"/>
        </w:trPr>
        <w:tc>
          <w:tcPr>
            <w:tcW w:w="9322" w:type="dxa"/>
            <w:gridSpan w:val="5"/>
            <w:tcBorders>
              <w:top w:val="single" w:sz="4" w:space="0" w:color="auto"/>
              <w:left w:val="single" w:sz="4" w:space="0" w:color="auto"/>
              <w:bottom w:val="single" w:sz="4" w:space="0" w:color="auto"/>
              <w:right w:val="single" w:sz="4" w:space="0" w:color="auto"/>
            </w:tcBorders>
          </w:tcPr>
          <w:p w:rsidR="00465452" w:rsidRPr="00465452" w:rsidRDefault="00465452" w:rsidP="00465452">
            <w:pPr>
              <w:rPr>
                <w:b/>
              </w:rPr>
            </w:pPr>
            <w:r w:rsidRPr="00465452">
              <w:rPr>
                <w:b/>
              </w:rPr>
              <w:t xml:space="preserve">Duration of objective </w:t>
            </w:r>
            <w:proofErr w:type="spellStart"/>
            <w:r w:rsidRPr="00465452">
              <w:rPr>
                <w:b/>
              </w:rPr>
              <w:t>tumour</w:t>
            </w:r>
            <w:proofErr w:type="spellEnd"/>
            <w:r w:rsidRPr="00465452">
              <w:rPr>
                <w:b/>
              </w:rPr>
              <w:t xml:space="preserve"> response (time to PD from the first objective tumor response)</w:t>
            </w:r>
          </w:p>
        </w:tc>
      </w:tr>
      <w:tr w:rsidR="00465452" w:rsidRPr="00465452" w:rsidTr="00804A0E">
        <w:trPr>
          <w:trHeight w:val="440"/>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Based on best response</w:t>
            </w:r>
          </w:p>
        </w:tc>
        <w:tc>
          <w:tcPr>
            <w:tcW w:w="1227" w:type="dxa"/>
            <w:tcBorders>
              <w:top w:val="single" w:sz="4" w:space="0" w:color="auto"/>
              <w:left w:val="single" w:sz="4" w:space="0" w:color="auto"/>
              <w:bottom w:val="single" w:sz="4" w:space="0" w:color="auto"/>
              <w:right w:val="single" w:sz="4" w:space="0" w:color="auto"/>
            </w:tcBorders>
            <w:vAlign w:val="center"/>
          </w:tcPr>
          <w:p w:rsidR="00465452" w:rsidRPr="00465452" w:rsidRDefault="00465452" w:rsidP="00465452">
            <w:r w:rsidRPr="00465452">
              <w:t>136</w:t>
            </w:r>
          </w:p>
        </w:tc>
        <w:tc>
          <w:tcPr>
            <w:tcW w:w="1418" w:type="dxa"/>
            <w:tcBorders>
              <w:top w:val="single" w:sz="4" w:space="0" w:color="auto"/>
              <w:left w:val="single" w:sz="4" w:space="0" w:color="auto"/>
              <w:bottom w:val="single" w:sz="4" w:space="0" w:color="auto"/>
              <w:right w:val="single" w:sz="4" w:space="0" w:color="auto"/>
            </w:tcBorders>
            <w:vAlign w:val="center"/>
          </w:tcPr>
          <w:p w:rsidR="00465452" w:rsidRPr="00465452" w:rsidRDefault="00465452" w:rsidP="00465452">
            <w:r w:rsidRPr="00465452">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0.7</w:t>
            </w:r>
          </w:p>
        </w:tc>
        <w:tc>
          <w:tcPr>
            <w:tcW w:w="2410"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pPr>
              <w:rPr>
                <w:vertAlign w:val="superscript"/>
              </w:rPr>
            </w:pPr>
            <w:r w:rsidRPr="00465452">
              <w:t>NE (NE, NE)</w:t>
            </w:r>
            <w:r w:rsidRPr="00465452">
              <w:rPr>
                <w:vertAlign w:val="superscript"/>
              </w:rPr>
              <w:t>b</w:t>
            </w:r>
          </w:p>
        </w:tc>
      </w:tr>
      <w:tr w:rsidR="00465452" w:rsidRPr="00465452" w:rsidTr="00804A0E">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RECIST 1.1</w:t>
            </w:r>
          </w:p>
        </w:tc>
        <w:tc>
          <w:tcPr>
            <w:tcW w:w="1227"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47</w:t>
            </w:r>
          </w:p>
        </w:tc>
        <w:tc>
          <w:tcPr>
            <w:tcW w:w="1418" w:type="dxa"/>
            <w:tcBorders>
              <w:top w:val="single" w:sz="4" w:space="0" w:color="auto"/>
              <w:left w:val="single" w:sz="4" w:space="0" w:color="auto"/>
              <w:bottom w:val="single" w:sz="4" w:space="0" w:color="auto"/>
              <w:right w:val="single" w:sz="4" w:space="0" w:color="auto"/>
            </w:tcBorders>
            <w:vAlign w:val="center"/>
          </w:tcPr>
          <w:p w:rsidR="00465452" w:rsidRPr="00465452" w:rsidRDefault="00465452" w:rsidP="00465452">
            <w:r w:rsidRPr="00465452">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6.4</w:t>
            </w:r>
          </w:p>
        </w:tc>
        <w:tc>
          <w:tcPr>
            <w:tcW w:w="2410"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NE (19.94, NE)</w:t>
            </w:r>
          </w:p>
        </w:tc>
      </w:tr>
      <w:tr w:rsidR="00465452" w:rsidRPr="00465452" w:rsidTr="00804A0E">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EORTC</w:t>
            </w:r>
          </w:p>
        </w:tc>
        <w:tc>
          <w:tcPr>
            <w:tcW w:w="1227"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25</w:t>
            </w:r>
          </w:p>
        </w:tc>
        <w:tc>
          <w:tcPr>
            <w:tcW w:w="1418" w:type="dxa"/>
            <w:tcBorders>
              <w:top w:val="single" w:sz="4" w:space="0" w:color="auto"/>
              <w:left w:val="single" w:sz="4" w:space="0" w:color="auto"/>
              <w:bottom w:val="single" w:sz="4" w:space="0" w:color="auto"/>
              <w:right w:val="single" w:sz="4" w:space="0" w:color="auto"/>
            </w:tcBorders>
            <w:vAlign w:val="center"/>
          </w:tcPr>
          <w:p w:rsidR="00465452" w:rsidRPr="00465452" w:rsidRDefault="00465452" w:rsidP="00465452">
            <w:r w:rsidRPr="00465452">
              <w:t>0</w:t>
            </w:r>
          </w:p>
        </w:tc>
        <w:tc>
          <w:tcPr>
            <w:tcW w:w="1842"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NE (NE, NE)</w:t>
            </w:r>
          </w:p>
        </w:tc>
      </w:tr>
      <w:tr w:rsidR="00465452" w:rsidRPr="00465452" w:rsidTr="00804A0E">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Density/Size</w:t>
            </w:r>
          </w:p>
        </w:tc>
        <w:tc>
          <w:tcPr>
            <w:tcW w:w="1227"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134</w:t>
            </w:r>
          </w:p>
        </w:tc>
        <w:tc>
          <w:tcPr>
            <w:tcW w:w="1418" w:type="dxa"/>
            <w:tcBorders>
              <w:top w:val="single" w:sz="4" w:space="0" w:color="auto"/>
              <w:left w:val="single" w:sz="4" w:space="0" w:color="auto"/>
              <w:bottom w:val="single" w:sz="4" w:space="0" w:color="auto"/>
              <w:right w:val="single" w:sz="4" w:space="0" w:color="auto"/>
            </w:tcBorders>
            <w:vAlign w:val="center"/>
          </w:tcPr>
          <w:p w:rsidR="00465452" w:rsidRPr="00465452" w:rsidRDefault="00465452" w:rsidP="00465452">
            <w:r w:rsidRPr="00465452">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0.7</w:t>
            </w:r>
          </w:p>
        </w:tc>
        <w:tc>
          <w:tcPr>
            <w:tcW w:w="2410"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NE (NE, NE)</w:t>
            </w:r>
          </w:p>
        </w:tc>
      </w:tr>
      <w:tr w:rsidR="00465452" w:rsidRPr="00465452" w:rsidTr="00804A0E">
        <w:trPr>
          <w:jc w:val="center"/>
        </w:trPr>
        <w:tc>
          <w:tcPr>
            <w:tcW w:w="9322" w:type="dxa"/>
            <w:gridSpan w:val="5"/>
            <w:tcBorders>
              <w:top w:val="single" w:sz="4" w:space="0" w:color="auto"/>
              <w:left w:val="single" w:sz="4" w:space="0" w:color="auto"/>
              <w:bottom w:val="single" w:sz="4" w:space="0" w:color="auto"/>
              <w:right w:val="single" w:sz="4" w:space="0" w:color="auto"/>
            </w:tcBorders>
          </w:tcPr>
          <w:p w:rsidR="00465452" w:rsidRPr="00465452" w:rsidRDefault="00465452" w:rsidP="00465452">
            <w:pPr>
              <w:rPr>
                <w:b/>
              </w:rPr>
            </w:pPr>
            <w:r w:rsidRPr="00465452">
              <w:rPr>
                <w:b/>
              </w:rPr>
              <w:tab/>
              <w:t xml:space="preserve">Time to first objective </w:t>
            </w:r>
            <w:proofErr w:type="spellStart"/>
            <w:r w:rsidRPr="00465452">
              <w:rPr>
                <w:b/>
              </w:rPr>
              <w:t>tumour</w:t>
            </w:r>
            <w:proofErr w:type="spellEnd"/>
            <w:r w:rsidRPr="00465452">
              <w:rPr>
                <w:b/>
              </w:rPr>
              <w:t xml:space="preserve"> response</w:t>
            </w:r>
          </w:p>
        </w:tc>
      </w:tr>
      <w:tr w:rsidR="00465452" w:rsidRPr="00465452" w:rsidTr="00804A0E">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Based on best response</w:t>
            </w:r>
          </w:p>
        </w:tc>
        <w:tc>
          <w:tcPr>
            <w:tcW w:w="1227"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190</w:t>
            </w:r>
          </w:p>
        </w:tc>
        <w:tc>
          <w:tcPr>
            <w:tcW w:w="1418" w:type="dxa"/>
            <w:tcBorders>
              <w:top w:val="single" w:sz="4" w:space="0" w:color="auto"/>
              <w:left w:val="single" w:sz="4" w:space="0" w:color="auto"/>
              <w:bottom w:val="single" w:sz="4" w:space="0" w:color="auto"/>
              <w:right w:val="single" w:sz="4" w:space="0" w:color="auto"/>
            </w:tcBorders>
            <w:vAlign w:val="center"/>
          </w:tcPr>
          <w:p w:rsidR="00465452" w:rsidRPr="00465452" w:rsidRDefault="00465452" w:rsidP="00465452">
            <w:r w:rsidRPr="00465452">
              <w:t>136</w:t>
            </w:r>
          </w:p>
        </w:tc>
        <w:tc>
          <w:tcPr>
            <w:tcW w:w="1842"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71.6</w:t>
            </w:r>
          </w:p>
        </w:tc>
        <w:tc>
          <w:tcPr>
            <w:tcW w:w="2410"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3.1 (2.89, 3.65)</w:t>
            </w:r>
          </w:p>
        </w:tc>
      </w:tr>
      <w:tr w:rsidR="00465452" w:rsidRPr="00465452" w:rsidTr="00804A0E">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RECIST 1.1</w:t>
            </w:r>
          </w:p>
        </w:tc>
        <w:tc>
          <w:tcPr>
            <w:tcW w:w="1227"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187</w:t>
            </w:r>
          </w:p>
        </w:tc>
        <w:tc>
          <w:tcPr>
            <w:tcW w:w="1418" w:type="dxa"/>
            <w:tcBorders>
              <w:top w:val="single" w:sz="4" w:space="0" w:color="auto"/>
              <w:left w:val="single" w:sz="4" w:space="0" w:color="auto"/>
              <w:bottom w:val="single" w:sz="4" w:space="0" w:color="auto"/>
              <w:right w:val="single" w:sz="4" w:space="0" w:color="auto"/>
            </w:tcBorders>
            <w:vAlign w:val="center"/>
          </w:tcPr>
          <w:p w:rsidR="00465452" w:rsidRPr="00465452" w:rsidRDefault="00465452" w:rsidP="00465452">
            <w:r w:rsidRPr="00465452">
              <w:t>47</w:t>
            </w:r>
          </w:p>
        </w:tc>
        <w:tc>
          <w:tcPr>
            <w:tcW w:w="1842"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25.1</w:t>
            </w:r>
          </w:p>
        </w:tc>
        <w:tc>
          <w:tcPr>
            <w:tcW w:w="2410"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 xml:space="preserve">NE (20.93, NE) </w:t>
            </w:r>
          </w:p>
        </w:tc>
      </w:tr>
      <w:tr w:rsidR="00465452" w:rsidRPr="00465452" w:rsidTr="00804A0E">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EORTC</w:t>
            </w:r>
          </w:p>
        </w:tc>
        <w:tc>
          <w:tcPr>
            <w:tcW w:w="1227"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26</w:t>
            </w:r>
          </w:p>
        </w:tc>
        <w:tc>
          <w:tcPr>
            <w:tcW w:w="1418" w:type="dxa"/>
            <w:tcBorders>
              <w:top w:val="single" w:sz="4" w:space="0" w:color="auto"/>
              <w:left w:val="single" w:sz="4" w:space="0" w:color="auto"/>
              <w:bottom w:val="single" w:sz="4" w:space="0" w:color="auto"/>
              <w:right w:val="single" w:sz="4" w:space="0" w:color="auto"/>
            </w:tcBorders>
            <w:vAlign w:val="center"/>
          </w:tcPr>
          <w:p w:rsidR="00465452" w:rsidRPr="00465452" w:rsidRDefault="00465452" w:rsidP="00465452">
            <w:r w:rsidRPr="00465452">
              <w:t>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96.2</w:t>
            </w:r>
          </w:p>
        </w:tc>
        <w:tc>
          <w:tcPr>
            <w:tcW w:w="2410"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2.7 (1.64, 2.79)</w:t>
            </w:r>
          </w:p>
        </w:tc>
      </w:tr>
      <w:tr w:rsidR="00465452" w:rsidRPr="00465452" w:rsidTr="00804A0E">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Density/Size</w:t>
            </w:r>
          </w:p>
        </w:tc>
        <w:tc>
          <w:tcPr>
            <w:tcW w:w="1227"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176</w:t>
            </w:r>
          </w:p>
        </w:tc>
        <w:tc>
          <w:tcPr>
            <w:tcW w:w="1418" w:type="dxa"/>
            <w:tcBorders>
              <w:top w:val="single" w:sz="4" w:space="0" w:color="auto"/>
              <w:left w:val="single" w:sz="4" w:space="0" w:color="auto"/>
              <w:bottom w:val="single" w:sz="4" w:space="0" w:color="auto"/>
              <w:right w:val="single" w:sz="4" w:space="0" w:color="auto"/>
            </w:tcBorders>
            <w:vAlign w:val="center"/>
          </w:tcPr>
          <w:p w:rsidR="00465452" w:rsidRPr="00465452" w:rsidRDefault="00465452" w:rsidP="00465452">
            <w:r w:rsidRPr="00465452">
              <w:t>134</w:t>
            </w:r>
          </w:p>
        </w:tc>
        <w:tc>
          <w:tcPr>
            <w:tcW w:w="1842"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76.1</w:t>
            </w:r>
          </w:p>
        </w:tc>
        <w:tc>
          <w:tcPr>
            <w:tcW w:w="2410" w:type="dxa"/>
            <w:tcBorders>
              <w:top w:val="single" w:sz="4" w:space="0" w:color="auto"/>
              <w:left w:val="single" w:sz="4" w:space="0" w:color="auto"/>
              <w:bottom w:val="single" w:sz="4" w:space="0" w:color="auto"/>
              <w:right w:val="single" w:sz="4" w:space="0" w:color="auto"/>
            </w:tcBorders>
            <w:vAlign w:val="center"/>
            <w:hideMark/>
          </w:tcPr>
          <w:p w:rsidR="00465452" w:rsidRPr="00465452" w:rsidRDefault="00465452" w:rsidP="00465452">
            <w:r w:rsidRPr="00465452">
              <w:t>3.0 (2.79, 3.48)</w:t>
            </w:r>
          </w:p>
        </w:tc>
      </w:tr>
    </w:tbl>
    <w:p w:rsidR="00465452" w:rsidRPr="00465452" w:rsidRDefault="00465452" w:rsidP="00465452">
      <w:proofErr w:type="spellStart"/>
      <w:proofErr w:type="gramStart"/>
      <w:r w:rsidRPr="00465452">
        <w:rPr>
          <w:vertAlign w:val="superscript"/>
        </w:rPr>
        <w:t>a</w:t>
      </w:r>
      <w:proofErr w:type="spellEnd"/>
      <w:proofErr w:type="gramEnd"/>
      <w:r w:rsidRPr="00465452">
        <w:rPr>
          <w:vertAlign w:val="superscript"/>
        </w:rPr>
        <w:t xml:space="preserve"> </w:t>
      </w:r>
      <w:r w:rsidRPr="00465452">
        <w:t>Exact Confidence Interval</w:t>
      </w:r>
    </w:p>
    <w:p w:rsidR="00465452" w:rsidRPr="00465452" w:rsidRDefault="00465452" w:rsidP="00465452">
      <w:pPr>
        <w:rPr>
          <w:lang w:val="en-AU"/>
        </w:rPr>
      </w:pPr>
      <w:proofErr w:type="gramStart"/>
      <w:r w:rsidRPr="00465452">
        <w:rPr>
          <w:vertAlign w:val="superscript"/>
        </w:rPr>
        <w:t>b</w:t>
      </w:r>
      <w:proofErr w:type="gramEnd"/>
      <w:r w:rsidRPr="00465452">
        <w:rPr>
          <w:vertAlign w:val="superscript"/>
        </w:rPr>
        <w:t xml:space="preserve"> </w:t>
      </w:r>
      <w:r w:rsidRPr="00465452">
        <w:t>NE = Not Estimable</w:t>
      </w:r>
    </w:p>
    <w:p w:rsidR="00465452" w:rsidRPr="00465452" w:rsidRDefault="00465452" w:rsidP="00465452">
      <w:pPr>
        <w:rPr>
          <w:lang w:val="en-AU"/>
        </w:rPr>
      </w:pPr>
    </w:p>
    <w:p w:rsidR="00465452" w:rsidRPr="00465452" w:rsidRDefault="00465452" w:rsidP="00465452">
      <w:pPr>
        <w:rPr>
          <w:i/>
          <w:lang w:val="en-AU"/>
        </w:rPr>
      </w:pPr>
      <w:r w:rsidRPr="00465452">
        <w:rPr>
          <w:i/>
          <w:lang w:val="en-AU"/>
        </w:rPr>
        <w:t>Effect on pain</w:t>
      </w:r>
    </w:p>
    <w:p w:rsidR="00465452" w:rsidRPr="00465452" w:rsidRDefault="00465452" w:rsidP="00465452">
      <w:pPr>
        <w:rPr>
          <w:lang w:val="en-AU"/>
        </w:rPr>
      </w:pPr>
      <w:r w:rsidRPr="00465452">
        <w:rPr>
          <w:lang w:val="en-AU"/>
        </w:rPr>
        <w:t xml:space="preserve">In Study </w:t>
      </w:r>
      <w:r w:rsidRPr="00465452">
        <w:t>20062004,</w:t>
      </w:r>
      <w:r w:rsidRPr="00465452">
        <w:rPr>
          <w:lang w:val="en-AU"/>
        </w:rPr>
        <w:t xml:space="preserve"> cohorts 1 and 2 combined, a clinically meaningful reduction in worst pain (</w:t>
      </w:r>
      <w:proofErr w:type="spellStart"/>
      <w:r w:rsidRPr="00465452">
        <w:rPr>
          <w:lang w:val="en-AU"/>
        </w:rPr>
        <w:t>ie</w:t>
      </w:r>
      <w:proofErr w:type="spellEnd"/>
      <w:r w:rsidRPr="00465452">
        <w:rPr>
          <w:lang w:val="en-AU"/>
        </w:rPr>
        <w:t xml:space="preserve">, ≥ 2 point decrease from baseline) was reported for 31.4% of patients at risk (i.e. those who had a worst pain score of ≥ 2 at baseline) within 1 week of treatment, and ≥ 50% at week 5. These pain improvements were maintained at all subsequent evaluations. In a post-hoc analysis, at least half of evaluable patients had a ≥ 30% reduction in worst pain score from baseline at all post-baseline time points beginning at week 9. Overall, pain improvement and clinical benefit did not correlate with objective tumour response. </w:t>
      </w:r>
    </w:p>
    <w:p w:rsidR="00465452" w:rsidRPr="00465452" w:rsidRDefault="00465452" w:rsidP="00465452">
      <w:pPr>
        <w:rPr>
          <w:b/>
          <w:lang w:val="en-AU"/>
        </w:rPr>
      </w:pPr>
    </w:p>
    <w:p w:rsidR="00465452" w:rsidRPr="00465452" w:rsidRDefault="00465452" w:rsidP="00465452">
      <w:pPr>
        <w:rPr>
          <w:b/>
          <w:bCs/>
          <w:lang w:val="en-AU"/>
        </w:rPr>
      </w:pPr>
      <w:r w:rsidRPr="00465452">
        <w:rPr>
          <w:b/>
          <w:bCs/>
          <w:lang w:val="en-AU"/>
        </w:rPr>
        <w:t>INDICATIONS</w:t>
      </w:r>
    </w:p>
    <w:p w:rsidR="00465452" w:rsidRPr="00465452" w:rsidRDefault="00465452" w:rsidP="00465452">
      <w:pPr>
        <w:rPr>
          <w:lang w:val="en-AU"/>
        </w:rPr>
      </w:pPr>
    </w:p>
    <w:p w:rsidR="00465452" w:rsidRPr="00465452" w:rsidRDefault="00465452" w:rsidP="00465452">
      <w:pPr>
        <w:rPr>
          <w:lang w:val="en-AU"/>
        </w:rPr>
      </w:pPr>
      <w:proofErr w:type="gramStart"/>
      <w:r w:rsidRPr="00465452">
        <w:rPr>
          <w:lang w:val="en-AU"/>
        </w:rPr>
        <w:t>Prevention of skeletal related events in patients with bone metastases from solid tumours.</w:t>
      </w:r>
      <w:proofErr w:type="gramEnd"/>
    </w:p>
    <w:p w:rsidR="00465452" w:rsidRPr="00465452" w:rsidRDefault="00465452" w:rsidP="00465452">
      <w:pPr>
        <w:rPr>
          <w:lang w:val="en-AU"/>
        </w:rPr>
      </w:pPr>
    </w:p>
    <w:p w:rsidR="00465452" w:rsidRPr="00465452" w:rsidRDefault="00465452" w:rsidP="00465452">
      <w:pPr>
        <w:rPr>
          <w:lang w:val="en-AU"/>
        </w:rPr>
      </w:pPr>
      <w:r w:rsidRPr="00465452">
        <w:rPr>
          <w:lang w:val="en-AU"/>
        </w:rPr>
        <w:t xml:space="preserve">Treatment of giant cell tumour of bone in adults or skeletally mature adolescents that is recurrent, or </w:t>
      </w:r>
      <w:proofErr w:type="spellStart"/>
      <w:r w:rsidRPr="00465452">
        <w:rPr>
          <w:lang w:val="en-AU"/>
        </w:rPr>
        <w:t>unresectable</w:t>
      </w:r>
      <w:proofErr w:type="spellEnd"/>
      <w:r w:rsidRPr="00465452">
        <w:rPr>
          <w:lang w:val="en-AU"/>
        </w:rPr>
        <w:t xml:space="preserve">, or </w:t>
      </w:r>
      <w:proofErr w:type="spellStart"/>
      <w:r w:rsidRPr="00465452">
        <w:rPr>
          <w:lang w:val="en-AU"/>
        </w:rPr>
        <w:t>resectable</w:t>
      </w:r>
      <w:proofErr w:type="spellEnd"/>
      <w:r w:rsidRPr="00465452">
        <w:rPr>
          <w:lang w:val="en-AU"/>
        </w:rPr>
        <w:t xml:space="preserve"> but associated with severe morbidity.</w:t>
      </w:r>
    </w:p>
    <w:p w:rsidR="00465452" w:rsidRPr="00465452" w:rsidRDefault="00465452" w:rsidP="00465452">
      <w:pPr>
        <w:rPr>
          <w:b/>
          <w:lang w:val="en-AU"/>
        </w:rPr>
      </w:pPr>
      <w:r w:rsidRPr="00465452">
        <w:rPr>
          <w:lang w:val="en-AU"/>
        </w:rPr>
        <w:br w:type="page"/>
      </w:r>
      <w:r w:rsidRPr="00465452">
        <w:rPr>
          <w:b/>
        </w:rPr>
        <w:lastRenderedPageBreak/>
        <w:t>CONTRA</w:t>
      </w:r>
      <w:r w:rsidRPr="00465452">
        <w:rPr>
          <w:b/>
          <w:lang w:val="en-AU"/>
        </w:rPr>
        <w:t>INDICATIONS</w:t>
      </w:r>
    </w:p>
    <w:p w:rsidR="00465452" w:rsidRPr="00465452" w:rsidRDefault="00465452" w:rsidP="00465452"/>
    <w:p w:rsidR="00465452" w:rsidRPr="00465452" w:rsidRDefault="00465452" w:rsidP="00465452">
      <w:proofErr w:type="gramStart"/>
      <w:r w:rsidRPr="00465452">
        <w:t>Hypersensitivity to the active substance, to CHO-derived proteins or to any of the excipients (see DESCRIPTION).</w:t>
      </w:r>
      <w:proofErr w:type="gramEnd"/>
    </w:p>
    <w:p w:rsidR="00465452" w:rsidRPr="00465452" w:rsidRDefault="00465452" w:rsidP="00465452">
      <w:pPr>
        <w:rPr>
          <w:b/>
          <w:bCs/>
          <w:lang w:val="en-AU"/>
        </w:rPr>
      </w:pPr>
    </w:p>
    <w:p w:rsidR="00465452" w:rsidRPr="00465452" w:rsidRDefault="00465452" w:rsidP="00465452">
      <w:pPr>
        <w:rPr>
          <w:lang w:val="en-AU"/>
        </w:rPr>
      </w:pPr>
      <w:proofErr w:type="gramStart"/>
      <w:r w:rsidRPr="00465452">
        <w:rPr>
          <w:lang w:val="en-AU"/>
        </w:rPr>
        <w:t>Severe untreated hypocalcaemia.</w:t>
      </w:r>
      <w:proofErr w:type="gramEnd"/>
    </w:p>
    <w:p w:rsidR="00465452" w:rsidRPr="00465452" w:rsidRDefault="00465452" w:rsidP="00465452">
      <w:pPr>
        <w:rPr>
          <w:b/>
          <w:bCs/>
          <w:lang w:val="en-AU"/>
        </w:rPr>
      </w:pPr>
    </w:p>
    <w:p w:rsidR="00465452" w:rsidRPr="00465452" w:rsidRDefault="00465452" w:rsidP="00465452">
      <w:pPr>
        <w:rPr>
          <w:b/>
          <w:bCs/>
          <w:lang w:val="en-AU"/>
        </w:rPr>
      </w:pPr>
      <w:r w:rsidRPr="00465452">
        <w:rPr>
          <w:b/>
          <w:bCs/>
          <w:lang w:val="en-AU"/>
        </w:rPr>
        <w:t>PRECAUTIONS</w:t>
      </w:r>
    </w:p>
    <w:p w:rsidR="00465452" w:rsidRPr="00465452" w:rsidRDefault="00465452" w:rsidP="00465452"/>
    <w:p w:rsidR="00465452" w:rsidRPr="00465452" w:rsidRDefault="00465452" w:rsidP="00465452">
      <w:pPr>
        <w:rPr>
          <w:b/>
          <w:u w:val="single"/>
        </w:rPr>
      </w:pPr>
      <w:r w:rsidRPr="00465452">
        <w:rPr>
          <w:b/>
          <w:u w:val="single"/>
        </w:rPr>
        <w:t>Vitamin Supplementation and Hypocalcaemia</w:t>
      </w:r>
    </w:p>
    <w:p w:rsidR="00465452" w:rsidRPr="00465452" w:rsidRDefault="00465452" w:rsidP="00465452">
      <w:pPr>
        <w:rPr>
          <w:bCs/>
          <w:lang w:val="en-GB"/>
        </w:rPr>
      </w:pPr>
      <w:r w:rsidRPr="00465452">
        <w:rPr>
          <w:bCs/>
          <w:lang w:val="en-GB"/>
        </w:rPr>
        <w:t xml:space="preserve">Pre-existing hypocalcaemia must be corrected prior to initiating therapy with </w:t>
      </w:r>
      <w:proofErr w:type="spellStart"/>
      <w:r w:rsidRPr="00465452">
        <w:rPr>
          <w:bCs/>
          <w:lang w:val="en-GB"/>
        </w:rPr>
        <w:t>Xgeva</w:t>
      </w:r>
      <w:proofErr w:type="spellEnd"/>
      <w:r w:rsidRPr="00465452">
        <w:rPr>
          <w:bCs/>
          <w:lang w:val="en-GB"/>
        </w:rPr>
        <w:t>.</w:t>
      </w:r>
    </w:p>
    <w:p w:rsidR="00465452" w:rsidRPr="00465452" w:rsidRDefault="00465452" w:rsidP="00465452">
      <w:pPr>
        <w:rPr>
          <w:bCs/>
          <w:lang w:val="en-GB"/>
        </w:rPr>
      </w:pPr>
    </w:p>
    <w:p w:rsidR="00465452" w:rsidRPr="00465452" w:rsidRDefault="00465452" w:rsidP="00465452">
      <w:pPr>
        <w:rPr>
          <w:bCs/>
          <w:lang w:val="en-GB"/>
        </w:rPr>
      </w:pPr>
      <w:r w:rsidRPr="00465452">
        <w:rPr>
          <w:bCs/>
          <w:lang w:val="en-GB"/>
        </w:rPr>
        <w:t xml:space="preserve">Supplementation with calcium and vitamin D is required in all patients unless </w:t>
      </w:r>
      <w:proofErr w:type="spellStart"/>
      <w:r w:rsidRPr="00465452">
        <w:rPr>
          <w:bCs/>
          <w:lang w:val="en-GB"/>
        </w:rPr>
        <w:t>hypercalcaemia</w:t>
      </w:r>
      <w:proofErr w:type="spellEnd"/>
      <w:r w:rsidRPr="00465452">
        <w:rPr>
          <w:bCs/>
          <w:lang w:val="en-GB"/>
        </w:rPr>
        <w:t xml:space="preserve"> is present.</w:t>
      </w:r>
    </w:p>
    <w:p w:rsidR="00465452" w:rsidRPr="00465452" w:rsidRDefault="00465452" w:rsidP="00465452">
      <w:pPr>
        <w:rPr>
          <w:bCs/>
          <w:lang w:val="en-GB"/>
        </w:rPr>
      </w:pPr>
    </w:p>
    <w:p w:rsidR="00465452" w:rsidRPr="00465452" w:rsidRDefault="00465452" w:rsidP="00465452">
      <w:pPr>
        <w:rPr>
          <w:lang w:val="en-AU"/>
        </w:rPr>
      </w:pPr>
      <w:r w:rsidRPr="00465452">
        <w:rPr>
          <w:lang w:val="en-GB"/>
        </w:rPr>
        <w:t xml:space="preserve">If hypocalcaemia occurs while receiving </w:t>
      </w:r>
      <w:proofErr w:type="spellStart"/>
      <w:r w:rsidRPr="00465452">
        <w:t>Xgeva</w:t>
      </w:r>
      <w:proofErr w:type="spellEnd"/>
      <w:r w:rsidRPr="00465452">
        <w:rPr>
          <w:lang w:val="en-AU"/>
        </w:rPr>
        <w:t>, additional short term calcium supplementation may be necessary.</w:t>
      </w:r>
    </w:p>
    <w:p w:rsidR="00465452" w:rsidRPr="00465452" w:rsidRDefault="00465452" w:rsidP="00465452">
      <w:pPr>
        <w:rPr>
          <w:lang w:val="en-AU"/>
        </w:rPr>
      </w:pPr>
    </w:p>
    <w:p w:rsidR="00465452" w:rsidRPr="00465452" w:rsidRDefault="00465452" w:rsidP="00465452">
      <w:pPr>
        <w:rPr>
          <w:b/>
          <w:u w:val="single"/>
          <w:lang w:val="en-AU"/>
        </w:rPr>
      </w:pPr>
      <w:r w:rsidRPr="00465452">
        <w:rPr>
          <w:b/>
          <w:u w:val="single"/>
          <w:lang w:val="en-AU"/>
        </w:rPr>
        <w:t>Use in Multiple Myeloma</w:t>
      </w:r>
    </w:p>
    <w:p w:rsidR="00465452" w:rsidRPr="00465452" w:rsidRDefault="00465452" w:rsidP="00465452">
      <w:r w:rsidRPr="00465452">
        <w:t xml:space="preserve">The currently available clinical trial data do not support the use of </w:t>
      </w:r>
      <w:proofErr w:type="spellStart"/>
      <w:r w:rsidRPr="00465452">
        <w:t>Xgeva</w:t>
      </w:r>
      <w:proofErr w:type="spellEnd"/>
      <w:r w:rsidRPr="00465452">
        <w:t xml:space="preserve"> in patients with multiple myeloma (see CLINICAL TRIALS).</w:t>
      </w:r>
    </w:p>
    <w:p w:rsidR="00465452" w:rsidRPr="00465452" w:rsidRDefault="00465452" w:rsidP="00465452">
      <w:pPr>
        <w:rPr>
          <w:b/>
          <w:bCs/>
          <w:iCs/>
          <w:u w:val="single"/>
        </w:rPr>
      </w:pPr>
      <w:r w:rsidRPr="00465452">
        <w:rPr>
          <w:b/>
          <w:bCs/>
          <w:iCs/>
          <w:u w:val="single"/>
        </w:rPr>
        <w:t>Use in Renal Impairment</w:t>
      </w:r>
    </w:p>
    <w:p w:rsidR="00465452" w:rsidRPr="00465452" w:rsidRDefault="00465452" w:rsidP="00465452">
      <w:r w:rsidRPr="00465452">
        <w:t>No dose adjustment is necessary in patients with renal impairment.</w:t>
      </w:r>
    </w:p>
    <w:p w:rsidR="00465452" w:rsidRPr="00465452" w:rsidRDefault="00465452" w:rsidP="00465452"/>
    <w:p w:rsidR="00465452" w:rsidRPr="00465452" w:rsidRDefault="00465452" w:rsidP="00465452">
      <w:r w:rsidRPr="00465452">
        <w:t>In a study of 55 patients without advanced cancer, but with varying degrees of renal function, patients with severe renal impairment (creatinine clearance &lt; 30 mL/min) or receiving dialysis were at greater risk of developing hypocalcaemia.  Adequate intake of calcium and vitamin D is important in patients with severe renal impairment or receiving dialysis (see PRECAUTIONS, Vitamin Supplementation and Hypocalcaemia).</w:t>
      </w:r>
    </w:p>
    <w:p w:rsidR="00465452" w:rsidRPr="00465452" w:rsidRDefault="00465452" w:rsidP="00465452">
      <w:pPr>
        <w:rPr>
          <w:b/>
          <w:u w:val="single"/>
        </w:rPr>
      </w:pPr>
    </w:p>
    <w:p w:rsidR="00465452" w:rsidRPr="00465452" w:rsidRDefault="00465452" w:rsidP="00465452">
      <w:pPr>
        <w:rPr>
          <w:b/>
          <w:u w:val="single"/>
        </w:rPr>
      </w:pPr>
      <w:r w:rsidRPr="00465452">
        <w:rPr>
          <w:b/>
          <w:u w:val="single"/>
        </w:rPr>
        <w:t>Osteonecrosis of the Jaw</w:t>
      </w:r>
    </w:p>
    <w:p w:rsidR="00465452" w:rsidRPr="00465452" w:rsidRDefault="00465452" w:rsidP="00465452">
      <w:pPr>
        <w:rPr>
          <w:lang w:val="en-AU"/>
        </w:rPr>
      </w:pPr>
      <w:r w:rsidRPr="00465452">
        <w:rPr>
          <w:lang w:val="en-AU"/>
        </w:rPr>
        <w:t xml:space="preserve">Osteonecrosis of the jaw (ONJ) has occurred in patients treated with </w:t>
      </w:r>
      <w:proofErr w:type="spellStart"/>
      <w:r w:rsidRPr="00465452">
        <w:rPr>
          <w:lang w:val="en-AU"/>
        </w:rPr>
        <w:t>denosumab</w:t>
      </w:r>
      <w:proofErr w:type="spellEnd"/>
      <w:r w:rsidRPr="00465452">
        <w:rPr>
          <w:lang w:val="en-AU"/>
        </w:rPr>
        <w:t>. In clinical trials, the incidence of ONJ was higher with longer duration of exposure (see ADVERSE EFFECTS</w:t>
      </w:r>
      <w:proofErr w:type="gramStart"/>
      <w:r w:rsidRPr="00465452">
        <w:rPr>
          <w:lang w:val="en-AU"/>
        </w:rPr>
        <w:t>)</w:t>
      </w:r>
      <w:r w:rsidRPr="00465452">
        <w:rPr>
          <w:vertAlign w:val="superscript"/>
          <w:lang w:val="en-AU"/>
        </w:rPr>
        <w:t>#</w:t>
      </w:r>
      <w:proofErr w:type="gramEnd"/>
      <w:r w:rsidRPr="00465452">
        <w:rPr>
          <w:lang w:val="en-AU"/>
        </w:rPr>
        <w:t xml:space="preserve">. </w:t>
      </w:r>
    </w:p>
    <w:p w:rsidR="00465452" w:rsidRPr="00465452" w:rsidRDefault="00465452" w:rsidP="00465452">
      <w:pPr>
        <w:rPr>
          <w:lang w:val="en-AU"/>
        </w:rPr>
      </w:pPr>
    </w:p>
    <w:p w:rsidR="00465452" w:rsidRPr="00465452" w:rsidRDefault="00465452" w:rsidP="00465452">
      <w:pPr>
        <w:rPr>
          <w:lang w:val="en-AU"/>
        </w:rPr>
      </w:pPr>
      <w:r w:rsidRPr="00465452">
        <w:rPr>
          <w:lang w:val="en-AU"/>
        </w:rPr>
        <w:t xml:space="preserve">Patients who developed ONJ in clinical studies generally had known risk factors for ONJ, including invasive dental procedures (e.g., tooth extraction, dental implants, oral surgery), poor oral hygiene or other pre-existing dental disease, advanced malignancies, or concomitant therapies (e.g., chemotherapy, corticosteroids, angiogenesis inhibitors).  An oral examination should be performed by the prescriber prior to initiation of </w:t>
      </w:r>
      <w:proofErr w:type="spellStart"/>
      <w:r w:rsidRPr="00465452">
        <w:t>Xgeva</w:t>
      </w:r>
      <w:proofErr w:type="spellEnd"/>
      <w:r w:rsidRPr="00465452">
        <w:rPr>
          <w:lang w:val="en-AU"/>
        </w:rPr>
        <w:t xml:space="preserve"> treatment and a dental examination with appropriate preventive dentistry should be considered prior to treatment with </w:t>
      </w:r>
      <w:proofErr w:type="spellStart"/>
      <w:r w:rsidRPr="00465452">
        <w:t>Xgeva</w:t>
      </w:r>
      <w:proofErr w:type="spellEnd"/>
      <w:r w:rsidRPr="00465452">
        <w:rPr>
          <w:lang w:val="en-AU"/>
        </w:rPr>
        <w:t>. While on treatment, these patients should avoid invasive dental procedures if possible.</w:t>
      </w:r>
    </w:p>
    <w:p w:rsidR="00465452" w:rsidRPr="00465452" w:rsidRDefault="00465452" w:rsidP="00465452"/>
    <w:p w:rsidR="00465452" w:rsidRPr="00465452" w:rsidRDefault="00465452" w:rsidP="00465452">
      <w:pPr>
        <w:rPr>
          <w:lang w:val="en-AU"/>
        </w:rPr>
      </w:pPr>
      <w:r w:rsidRPr="00465452">
        <w:rPr>
          <w:lang w:val="en-AU"/>
        </w:rPr>
        <w:t xml:space="preserve">Good oral hygiene practices should be maintained during treatment with </w:t>
      </w:r>
      <w:proofErr w:type="spellStart"/>
      <w:r w:rsidRPr="00465452">
        <w:rPr>
          <w:lang w:val="en-AU"/>
        </w:rPr>
        <w:t>Xgeva</w:t>
      </w:r>
      <w:proofErr w:type="spellEnd"/>
      <w:r w:rsidRPr="00465452">
        <w:rPr>
          <w:lang w:val="en-AU"/>
        </w:rPr>
        <w:t xml:space="preserve">.  Patients who are suspected of having or who develop ONJ while on </w:t>
      </w:r>
      <w:proofErr w:type="spellStart"/>
      <w:r w:rsidRPr="00465452">
        <w:rPr>
          <w:lang w:val="en-AU"/>
        </w:rPr>
        <w:t>Xgeva</w:t>
      </w:r>
      <w:proofErr w:type="spellEnd"/>
      <w:r w:rsidRPr="00465452">
        <w:rPr>
          <w:lang w:val="en-AU"/>
        </w:rPr>
        <w:t xml:space="preserve"> should receive care by a dentist or an oral surgeon. If ONJ occurs during treatment with </w:t>
      </w:r>
      <w:proofErr w:type="spellStart"/>
      <w:r w:rsidRPr="00465452">
        <w:rPr>
          <w:lang w:val="en-AU"/>
        </w:rPr>
        <w:t>Xgeva</w:t>
      </w:r>
      <w:proofErr w:type="spellEnd"/>
      <w:r w:rsidRPr="00465452">
        <w:rPr>
          <w:lang w:val="en-AU"/>
        </w:rPr>
        <w:t>, use clinical judgment and guide the management plan of each patient based on individual benefit-risk evaluation.</w:t>
      </w:r>
    </w:p>
    <w:p w:rsidR="00465452" w:rsidRPr="00465452" w:rsidRDefault="00465452" w:rsidP="00465452">
      <w:pPr>
        <w:rPr>
          <w:lang w:val="en-AU"/>
        </w:rPr>
      </w:pPr>
      <w:r w:rsidRPr="00465452">
        <w:rPr>
          <w:b/>
          <w:bCs/>
          <w:u w:val="single"/>
          <w:lang w:val="en-AU"/>
        </w:rPr>
        <w:t>Atypical Femoral Fractures</w:t>
      </w:r>
      <w:r w:rsidRPr="00465452">
        <w:rPr>
          <w:vertAlign w:val="superscript"/>
          <w:lang w:val="en-AU"/>
        </w:rPr>
        <w:t>#</w:t>
      </w:r>
    </w:p>
    <w:p w:rsidR="00465452" w:rsidRPr="00465452" w:rsidRDefault="00465452" w:rsidP="00465452">
      <w:pPr>
        <w:rPr>
          <w:lang w:val="en-AU"/>
        </w:rPr>
      </w:pPr>
      <w:r w:rsidRPr="00465452">
        <w:rPr>
          <w:lang w:val="en-AU"/>
        </w:rPr>
        <w:t xml:space="preserve">Atypical femoral fracture has been reported with </w:t>
      </w:r>
      <w:proofErr w:type="spellStart"/>
      <w:r w:rsidRPr="00465452">
        <w:rPr>
          <w:lang w:val="en-AU"/>
        </w:rPr>
        <w:t>Xgeva</w:t>
      </w:r>
      <w:proofErr w:type="spellEnd"/>
      <w:r w:rsidRPr="00465452">
        <w:rPr>
          <w:lang w:val="en-AU"/>
        </w:rPr>
        <w:t xml:space="preserve"> (see ADVERSE EFFECTS). Atypical femoral</w:t>
      </w:r>
    </w:p>
    <w:p w:rsidR="00465452" w:rsidRPr="00465452" w:rsidRDefault="00465452" w:rsidP="00465452">
      <w:pPr>
        <w:rPr>
          <w:lang w:val="en-AU"/>
        </w:rPr>
      </w:pPr>
      <w:proofErr w:type="gramStart"/>
      <w:r w:rsidRPr="00465452">
        <w:rPr>
          <w:lang w:val="en-AU"/>
        </w:rPr>
        <w:lastRenderedPageBreak/>
        <w:t>fractures</w:t>
      </w:r>
      <w:proofErr w:type="gramEnd"/>
      <w:r w:rsidRPr="00465452">
        <w:rPr>
          <w:lang w:val="en-AU"/>
        </w:rPr>
        <w:t xml:space="preserve"> may occur with little or no trauma in the </w:t>
      </w:r>
      <w:proofErr w:type="spellStart"/>
      <w:r w:rsidRPr="00465452">
        <w:rPr>
          <w:lang w:val="en-AU"/>
        </w:rPr>
        <w:t>subtrochanteric</w:t>
      </w:r>
      <w:proofErr w:type="spellEnd"/>
      <w:r w:rsidRPr="00465452">
        <w:rPr>
          <w:lang w:val="en-AU"/>
        </w:rPr>
        <w:t xml:space="preserve"> and </w:t>
      </w:r>
      <w:proofErr w:type="spellStart"/>
      <w:r w:rsidRPr="00465452">
        <w:rPr>
          <w:lang w:val="en-AU"/>
        </w:rPr>
        <w:t>diaphyseal</w:t>
      </w:r>
      <w:proofErr w:type="spellEnd"/>
      <w:r w:rsidRPr="00465452">
        <w:rPr>
          <w:lang w:val="en-AU"/>
        </w:rPr>
        <w:t xml:space="preserve"> regions of the femur</w:t>
      </w:r>
    </w:p>
    <w:p w:rsidR="00465452" w:rsidRPr="00465452" w:rsidRDefault="00465452" w:rsidP="00465452">
      <w:pPr>
        <w:rPr>
          <w:lang w:val="en-AU"/>
        </w:rPr>
      </w:pPr>
      <w:proofErr w:type="gramStart"/>
      <w:r w:rsidRPr="00465452">
        <w:rPr>
          <w:lang w:val="en-AU"/>
        </w:rPr>
        <w:t>and</w:t>
      </w:r>
      <w:proofErr w:type="gramEnd"/>
      <w:r w:rsidRPr="00465452">
        <w:rPr>
          <w:lang w:val="en-AU"/>
        </w:rPr>
        <w:t xml:space="preserve"> may be bilateral. Specific radiographic findings characterise these events. Atypical femoral</w:t>
      </w:r>
    </w:p>
    <w:p w:rsidR="00465452" w:rsidRPr="00465452" w:rsidRDefault="00465452" w:rsidP="00465452">
      <w:pPr>
        <w:rPr>
          <w:lang w:val="en-AU"/>
        </w:rPr>
      </w:pPr>
      <w:proofErr w:type="gramStart"/>
      <w:r w:rsidRPr="00465452">
        <w:rPr>
          <w:lang w:val="en-AU"/>
        </w:rPr>
        <w:t>fractures</w:t>
      </w:r>
      <w:proofErr w:type="gramEnd"/>
      <w:r w:rsidRPr="00465452">
        <w:rPr>
          <w:lang w:val="en-AU"/>
        </w:rPr>
        <w:t xml:space="preserve"> have also been reported in patients with certain co-morbid conditions (e.g. vitamin D</w:t>
      </w:r>
    </w:p>
    <w:p w:rsidR="00465452" w:rsidRPr="00465452" w:rsidRDefault="00465452" w:rsidP="00465452">
      <w:pPr>
        <w:rPr>
          <w:lang w:val="en-AU"/>
        </w:rPr>
      </w:pPr>
      <w:proofErr w:type="gramStart"/>
      <w:r w:rsidRPr="00465452">
        <w:rPr>
          <w:lang w:val="en-AU"/>
        </w:rPr>
        <w:t>deficiency</w:t>
      </w:r>
      <w:proofErr w:type="gramEnd"/>
      <w:r w:rsidRPr="00465452">
        <w:rPr>
          <w:lang w:val="en-AU"/>
        </w:rPr>
        <w:t xml:space="preserve">, rheumatoid arthritis, </w:t>
      </w:r>
      <w:proofErr w:type="spellStart"/>
      <w:r w:rsidRPr="00465452">
        <w:rPr>
          <w:lang w:val="en-AU"/>
        </w:rPr>
        <w:t>hypophosphatasia</w:t>
      </w:r>
      <w:proofErr w:type="spellEnd"/>
      <w:r w:rsidRPr="00465452">
        <w:rPr>
          <w:lang w:val="en-AU"/>
        </w:rPr>
        <w:t>) and with use of certain pharmaceutical agents</w:t>
      </w:r>
    </w:p>
    <w:p w:rsidR="00465452" w:rsidRPr="00465452" w:rsidRDefault="00465452" w:rsidP="00465452">
      <w:pPr>
        <w:rPr>
          <w:lang w:val="en-AU"/>
        </w:rPr>
      </w:pPr>
      <w:r w:rsidRPr="00465452">
        <w:rPr>
          <w:lang w:val="en-AU"/>
        </w:rPr>
        <w:t>(</w:t>
      </w:r>
      <w:proofErr w:type="gramStart"/>
      <w:r w:rsidRPr="00465452">
        <w:rPr>
          <w:lang w:val="en-AU"/>
        </w:rPr>
        <w:t>e.g</w:t>
      </w:r>
      <w:proofErr w:type="gramEnd"/>
      <w:r w:rsidRPr="00465452">
        <w:rPr>
          <w:lang w:val="en-AU"/>
        </w:rPr>
        <w:t>. bisphosphonates, glucocorticoids, proton pump inhibitors). These events have also occurred</w:t>
      </w:r>
    </w:p>
    <w:p w:rsidR="00465452" w:rsidRPr="00465452" w:rsidRDefault="00465452" w:rsidP="00465452">
      <w:pPr>
        <w:rPr>
          <w:lang w:val="en-AU"/>
        </w:rPr>
      </w:pPr>
      <w:proofErr w:type="gramStart"/>
      <w:r w:rsidRPr="00465452">
        <w:rPr>
          <w:lang w:val="en-AU"/>
        </w:rPr>
        <w:t>without</w:t>
      </w:r>
      <w:proofErr w:type="gramEnd"/>
      <w:r w:rsidRPr="00465452">
        <w:rPr>
          <w:lang w:val="en-AU"/>
        </w:rPr>
        <w:t xml:space="preserve"> </w:t>
      </w:r>
      <w:proofErr w:type="spellStart"/>
      <w:r w:rsidRPr="00465452">
        <w:rPr>
          <w:lang w:val="en-AU"/>
        </w:rPr>
        <w:t>antiresorptive</w:t>
      </w:r>
      <w:proofErr w:type="spellEnd"/>
      <w:r w:rsidRPr="00465452">
        <w:rPr>
          <w:lang w:val="en-AU"/>
        </w:rPr>
        <w:t xml:space="preserve"> therapy. During </w:t>
      </w:r>
      <w:proofErr w:type="spellStart"/>
      <w:r w:rsidRPr="00465452">
        <w:rPr>
          <w:lang w:val="en-AU"/>
        </w:rPr>
        <w:t>Xgeva</w:t>
      </w:r>
      <w:proofErr w:type="spellEnd"/>
      <w:r w:rsidRPr="00465452">
        <w:rPr>
          <w:lang w:val="en-AU"/>
        </w:rPr>
        <w:t xml:space="preserve"> treatment, patients should be advised to report new or</w:t>
      </w:r>
    </w:p>
    <w:p w:rsidR="00465452" w:rsidRPr="00465452" w:rsidRDefault="00465452" w:rsidP="00465452">
      <w:pPr>
        <w:rPr>
          <w:lang w:val="en-AU"/>
        </w:rPr>
      </w:pPr>
      <w:proofErr w:type="gramStart"/>
      <w:r w:rsidRPr="00465452">
        <w:rPr>
          <w:lang w:val="en-AU"/>
        </w:rPr>
        <w:t>unusual</w:t>
      </w:r>
      <w:proofErr w:type="gramEnd"/>
      <w:r w:rsidRPr="00465452">
        <w:rPr>
          <w:lang w:val="en-AU"/>
        </w:rPr>
        <w:t xml:space="preserve"> thigh, hip, or groin pain. Patients presenting with such symptoms should be evaluated for an</w:t>
      </w:r>
    </w:p>
    <w:p w:rsidR="00465452" w:rsidRPr="00465452" w:rsidRDefault="00465452" w:rsidP="00465452">
      <w:pPr>
        <w:rPr>
          <w:lang w:val="en-AU"/>
        </w:rPr>
      </w:pPr>
      <w:proofErr w:type="gramStart"/>
      <w:r w:rsidRPr="00465452">
        <w:rPr>
          <w:lang w:val="en-AU"/>
        </w:rPr>
        <w:t>incomplete</w:t>
      </w:r>
      <w:proofErr w:type="gramEnd"/>
      <w:r w:rsidRPr="00465452">
        <w:rPr>
          <w:lang w:val="en-AU"/>
        </w:rPr>
        <w:t xml:space="preserve"> femoral fracture, and the contralateral femur should also be examined.</w:t>
      </w:r>
    </w:p>
    <w:p w:rsidR="00465452" w:rsidRPr="00465452" w:rsidRDefault="00465452" w:rsidP="00465452"/>
    <w:p w:rsidR="00465452" w:rsidRPr="00465452" w:rsidRDefault="00465452" w:rsidP="00465452">
      <w:pPr>
        <w:rPr>
          <w:b/>
          <w:u w:val="single"/>
          <w:lang w:val="en-AU"/>
        </w:rPr>
      </w:pPr>
      <w:r w:rsidRPr="00465452">
        <w:rPr>
          <w:b/>
          <w:u w:val="single"/>
          <w:lang w:val="en-AU"/>
        </w:rPr>
        <w:t>Drugs with Same Active Ingredient</w:t>
      </w:r>
    </w:p>
    <w:p w:rsidR="00465452" w:rsidRPr="00465452" w:rsidRDefault="00465452" w:rsidP="00465452">
      <w:proofErr w:type="spellStart"/>
      <w:r w:rsidRPr="00465452">
        <w:t>Xgeva</w:t>
      </w:r>
      <w:proofErr w:type="spellEnd"/>
      <w:r w:rsidRPr="00465452">
        <w:rPr>
          <w:vertAlign w:val="superscript"/>
        </w:rPr>
        <w:t xml:space="preserve"> </w:t>
      </w:r>
      <w:r w:rsidRPr="00465452">
        <w:t xml:space="preserve">contains the same active ingredient found in </w:t>
      </w:r>
      <w:proofErr w:type="spellStart"/>
      <w:r w:rsidRPr="00465452">
        <w:t>Prolia</w:t>
      </w:r>
      <w:proofErr w:type="spellEnd"/>
      <w:r w:rsidRPr="00465452">
        <w:rPr>
          <w:vertAlign w:val="superscript"/>
        </w:rPr>
        <w:t>®</w:t>
      </w:r>
      <w:r w:rsidRPr="00465452" w:rsidDel="00E4199D">
        <w:t xml:space="preserve"> </w:t>
      </w:r>
      <w:r w:rsidRPr="00465452">
        <w:t>(</w:t>
      </w:r>
      <w:proofErr w:type="spellStart"/>
      <w:r w:rsidRPr="00465452">
        <w:t>denosumab</w:t>
      </w:r>
      <w:proofErr w:type="spellEnd"/>
      <w:r w:rsidRPr="00465452">
        <w:t xml:space="preserve">), used for the treatment of postmenopausal osteoporosis.  Patients being treated with </w:t>
      </w:r>
      <w:proofErr w:type="spellStart"/>
      <w:r w:rsidRPr="00465452">
        <w:t>Xgeva</w:t>
      </w:r>
      <w:proofErr w:type="spellEnd"/>
      <w:r w:rsidRPr="00465452">
        <w:rPr>
          <w:vertAlign w:val="superscript"/>
        </w:rPr>
        <w:t xml:space="preserve"> </w:t>
      </w:r>
      <w:r w:rsidRPr="00465452">
        <w:t xml:space="preserve">should not be treated with </w:t>
      </w:r>
      <w:proofErr w:type="spellStart"/>
      <w:r w:rsidRPr="00465452">
        <w:t>Prolia</w:t>
      </w:r>
      <w:proofErr w:type="spellEnd"/>
      <w:r w:rsidRPr="00465452">
        <w:rPr>
          <w:vertAlign w:val="superscript"/>
        </w:rPr>
        <w:t>®</w:t>
      </w:r>
      <w:r w:rsidRPr="00465452">
        <w:t xml:space="preserve"> concomitantly. </w:t>
      </w:r>
    </w:p>
    <w:p w:rsidR="00465452" w:rsidRPr="00465452" w:rsidRDefault="00465452" w:rsidP="00465452"/>
    <w:p w:rsidR="00465452" w:rsidRPr="00465452" w:rsidRDefault="00465452" w:rsidP="00465452">
      <w:pPr>
        <w:rPr>
          <w:b/>
          <w:u w:val="single"/>
        </w:rPr>
      </w:pPr>
      <w:r w:rsidRPr="00465452">
        <w:rPr>
          <w:b/>
          <w:u w:val="single"/>
        </w:rPr>
        <w:t>Warnings for Excipients</w:t>
      </w:r>
    </w:p>
    <w:p w:rsidR="00465452" w:rsidRPr="00465452" w:rsidRDefault="00465452" w:rsidP="00465452">
      <w:r w:rsidRPr="00465452">
        <w:t>Patients with rare hereditary problems of fructose intolerance should not use XGEVA.</w:t>
      </w:r>
    </w:p>
    <w:p w:rsidR="00465452" w:rsidRPr="00465452" w:rsidRDefault="00465452" w:rsidP="00465452">
      <w:pPr>
        <w:rPr>
          <w:b/>
          <w:bCs/>
          <w:iCs/>
          <w:u w:val="single"/>
        </w:rPr>
      </w:pPr>
      <w:r w:rsidRPr="00465452">
        <w:rPr>
          <w:b/>
          <w:bCs/>
          <w:iCs/>
          <w:u w:val="single"/>
        </w:rPr>
        <w:t>Use in the Elderly</w:t>
      </w:r>
    </w:p>
    <w:p w:rsidR="00465452" w:rsidRPr="00465452" w:rsidRDefault="00465452" w:rsidP="00465452">
      <w:r w:rsidRPr="00465452">
        <w:t xml:space="preserve">Of the total number of patients in clinical studies in patients with advanced cancer, 1260 patients (44.4%) treated with </w:t>
      </w:r>
      <w:proofErr w:type="spellStart"/>
      <w:r w:rsidRPr="00465452">
        <w:t>Xgeva</w:t>
      </w:r>
      <w:proofErr w:type="spellEnd"/>
      <w:r w:rsidRPr="00465452">
        <w:t xml:space="preserve"> were ≥ 65 years old.  No overall differences in safety or efficacy were observed between these patients and younger patients.</w:t>
      </w:r>
    </w:p>
    <w:p w:rsidR="00465452" w:rsidRPr="00465452" w:rsidRDefault="00465452" w:rsidP="00465452">
      <w:pPr>
        <w:rPr>
          <w:b/>
          <w:bCs/>
          <w:iCs/>
          <w:u w:val="single"/>
        </w:rPr>
      </w:pPr>
      <w:proofErr w:type="spellStart"/>
      <w:r w:rsidRPr="00465452">
        <w:rPr>
          <w:b/>
          <w:bCs/>
          <w:iCs/>
          <w:u w:val="single"/>
        </w:rPr>
        <w:t>Paediatric</w:t>
      </w:r>
      <w:proofErr w:type="spellEnd"/>
      <w:r w:rsidRPr="00465452">
        <w:rPr>
          <w:b/>
          <w:bCs/>
          <w:iCs/>
          <w:u w:val="single"/>
        </w:rPr>
        <w:t xml:space="preserve"> Use</w:t>
      </w:r>
    </w:p>
    <w:p w:rsidR="00465452" w:rsidRPr="00465452" w:rsidRDefault="00465452" w:rsidP="00465452">
      <w:r w:rsidRPr="00465452">
        <w:t xml:space="preserve">The safety and efficacy of </w:t>
      </w:r>
      <w:proofErr w:type="spellStart"/>
      <w:r w:rsidRPr="00465452">
        <w:t>Xgeva</w:t>
      </w:r>
      <w:proofErr w:type="spellEnd"/>
      <w:r w:rsidRPr="00465452">
        <w:t xml:space="preserve"> in </w:t>
      </w:r>
      <w:proofErr w:type="spellStart"/>
      <w:r w:rsidRPr="00465452">
        <w:t>paediatric</w:t>
      </w:r>
      <w:proofErr w:type="spellEnd"/>
      <w:r w:rsidRPr="00465452">
        <w:t xml:space="preserve"> patients have not been established other than skeletally mature adolescents with giant cell </w:t>
      </w:r>
      <w:proofErr w:type="spellStart"/>
      <w:r w:rsidRPr="00465452">
        <w:t>tumour</w:t>
      </w:r>
      <w:proofErr w:type="spellEnd"/>
      <w:r w:rsidRPr="00465452">
        <w:t xml:space="preserve"> of bone.  </w:t>
      </w:r>
      <w:proofErr w:type="spellStart"/>
      <w:r w:rsidRPr="00465452">
        <w:t>Xgeva</w:t>
      </w:r>
      <w:proofErr w:type="spellEnd"/>
      <w:r w:rsidRPr="00465452">
        <w:t xml:space="preserve"> is not recommended for use in </w:t>
      </w:r>
      <w:proofErr w:type="spellStart"/>
      <w:r w:rsidRPr="00465452">
        <w:t>paediatric</w:t>
      </w:r>
      <w:proofErr w:type="spellEnd"/>
      <w:r w:rsidRPr="00465452">
        <w:t xml:space="preserve"> patients other than skeletally mature adolescents with giant cell </w:t>
      </w:r>
      <w:proofErr w:type="spellStart"/>
      <w:r w:rsidRPr="00465452">
        <w:t>tumour</w:t>
      </w:r>
      <w:proofErr w:type="spellEnd"/>
      <w:r w:rsidRPr="00465452">
        <w:t xml:space="preserve"> of bone.</w:t>
      </w:r>
    </w:p>
    <w:p w:rsidR="00465452" w:rsidRPr="00465452" w:rsidRDefault="00465452" w:rsidP="00465452"/>
    <w:p w:rsidR="00465452" w:rsidRPr="00465452" w:rsidRDefault="00465452" w:rsidP="00465452">
      <w:pPr>
        <w:rPr>
          <w:lang w:val="en-AU"/>
        </w:rPr>
      </w:pPr>
      <w:r w:rsidRPr="00465452">
        <w:rPr>
          <w:lang w:val="en-AU"/>
        </w:rPr>
        <w:t xml:space="preserve">In Study </w:t>
      </w:r>
      <w:r w:rsidRPr="00465452">
        <w:t>20062004</w:t>
      </w:r>
      <w:r w:rsidRPr="00465452">
        <w:rPr>
          <w:lang w:val="en-AU"/>
        </w:rPr>
        <w:t xml:space="preserve">, </w:t>
      </w:r>
      <w:proofErr w:type="spellStart"/>
      <w:r w:rsidRPr="00465452">
        <w:rPr>
          <w:lang w:val="en-AU"/>
        </w:rPr>
        <w:t>Xgeva</w:t>
      </w:r>
      <w:proofErr w:type="spellEnd"/>
      <w:r w:rsidRPr="00465452">
        <w:rPr>
          <w:lang w:val="en-AU"/>
        </w:rPr>
        <w:t xml:space="preserve"> has been evaluated in a subset of 10 adolescent patients (aged 13-17 years) with giant cell tumour of bone who had reached skeletal maturity defined by at least 1 mature long bone (</w:t>
      </w:r>
      <w:proofErr w:type="spellStart"/>
      <w:r w:rsidRPr="00465452">
        <w:rPr>
          <w:lang w:val="en-AU"/>
        </w:rPr>
        <w:t>eg</w:t>
      </w:r>
      <w:proofErr w:type="spellEnd"/>
      <w:r w:rsidRPr="00465452">
        <w:rPr>
          <w:lang w:val="en-AU"/>
        </w:rPr>
        <w:t xml:space="preserve">, closed epiphyseal growth plate of the </w:t>
      </w:r>
      <w:proofErr w:type="spellStart"/>
      <w:r w:rsidRPr="00465452">
        <w:rPr>
          <w:lang w:val="en-AU"/>
        </w:rPr>
        <w:t>humerus</w:t>
      </w:r>
      <w:proofErr w:type="spellEnd"/>
      <w:r w:rsidRPr="00465452">
        <w:rPr>
          <w:lang w:val="en-AU"/>
        </w:rPr>
        <w:t>) and body weight ≥ 45 kg. Efficacy results in skeletally mature adolescents appeared to be similar to those observed in adults (see CLINICAL TRIALS).</w:t>
      </w:r>
    </w:p>
    <w:p w:rsidR="00465452" w:rsidRPr="00465452" w:rsidRDefault="00465452" w:rsidP="00465452">
      <w:pPr>
        <w:rPr>
          <w:lang w:val="en-AU"/>
        </w:rPr>
      </w:pPr>
    </w:p>
    <w:p w:rsidR="00465452" w:rsidRPr="00465452" w:rsidRDefault="00465452" w:rsidP="00465452">
      <w:r w:rsidRPr="00465452">
        <w:t xml:space="preserve">Adolescent primates had abnormal growth plates when administered </w:t>
      </w:r>
      <w:proofErr w:type="spellStart"/>
      <w:r w:rsidRPr="00465452">
        <w:t>denosumab</w:t>
      </w:r>
      <w:proofErr w:type="spellEnd"/>
      <w:r w:rsidRPr="00465452">
        <w:t xml:space="preserve"> at doses of 10 mg/kg and higher, which resulted in exposures up to 2.8 times those observed in adult humans dosed at 120 mg subcutaneously every 4 weeks based on AUC.  In neonatal rats, inhibition of RANKL (target of </w:t>
      </w:r>
      <w:proofErr w:type="spellStart"/>
      <w:r w:rsidRPr="00465452">
        <w:t>denosumab</w:t>
      </w:r>
      <w:proofErr w:type="spellEnd"/>
      <w:r w:rsidRPr="00465452">
        <w:t xml:space="preserve"> therapy) </w:t>
      </w:r>
      <w:r w:rsidRPr="00465452">
        <w:rPr>
          <w:iCs/>
        </w:rPr>
        <w:t xml:space="preserve">with a construct of </w:t>
      </w:r>
      <w:proofErr w:type="spellStart"/>
      <w:r w:rsidRPr="00465452">
        <w:rPr>
          <w:iCs/>
        </w:rPr>
        <w:t>osteoprotegerin</w:t>
      </w:r>
      <w:proofErr w:type="spellEnd"/>
      <w:r w:rsidRPr="00465452">
        <w:rPr>
          <w:iCs/>
        </w:rPr>
        <w:t xml:space="preserve"> bound to Fc (OPG-Fc)</w:t>
      </w:r>
      <w:r w:rsidRPr="00465452">
        <w:t xml:space="preserve"> was associated with inhibition of bone growth and tooth eruption and lower body weight gain.  These changes were partially reversible when dosing of RANKL inhibitor was discontinued.  Therefore, treatment with </w:t>
      </w:r>
      <w:proofErr w:type="spellStart"/>
      <w:r w:rsidRPr="00465452">
        <w:t>denosumab</w:t>
      </w:r>
      <w:proofErr w:type="spellEnd"/>
      <w:r w:rsidRPr="00465452">
        <w:t xml:space="preserve"> may impair bone growth in children with open growth plates and may inhibit eruption of dentition.</w:t>
      </w:r>
    </w:p>
    <w:p w:rsidR="00465452" w:rsidRPr="00465452" w:rsidRDefault="00465452" w:rsidP="00465452">
      <w:pPr>
        <w:rPr>
          <w:b/>
          <w:bCs/>
          <w:iCs/>
          <w:u w:val="single"/>
        </w:rPr>
      </w:pPr>
      <w:r w:rsidRPr="00465452">
        <w:rPr>
          <w:b/>
          <w:bCs/>
          <w:iCs/>
          <w:u w:val="single"/>
        </w:rPr>
        <w:t>Effects on Fertility</w:t>
      </w:r>
    </w:p>
    <w:p w:rsidR="00465452" w:rsidRPr="00465452" w:rsidRDefault="00465452" w:rsidP="00465452">
      <w:r w:rsidRPr="00465452">
        <w:rPr>
          <w:lang w:val="en-GB"/>
        </w:rPr>
        <w:t xml:space="preserve">No data are available on the effect of </w:t>
      </w:r>
      <w:proofErr w:type="spellStart"/>
      <w:r w:rsidRPr="00465452">
        <w:rPr>
          <w:lang w:val="en-GB"/>
        </w:rPr>
        <w:t>denosumab</w:t>
      </w:r>
      <w:proofErr w:type="spellEnd"/>
      <w:r w:rsidRPr="00465452">
        <w:rPr>
          <w:lang w:val="en-GB"/>
        </w:rPr>
        <w:t xml:space="preserve"> on human fertility.  </w:t>
      </w:r>
      <w:proofErr w:type="spellStart"/>
      <w:r w:rsidRPr="00465452">
        <w:t>Denosumab</w:t>
      </w:r>
      <w:proofErr w:type="spellEnd"/>
      <w:r w:rsidRPr="00465452">
        <w:t xml:space="preserve"> had no effect on female fertility or male reproductive organs or sperm motility in </w:t>
      </w:r>
      <w:proofErr w:type="spellStart"/>
      <w:r w:rsidRPr="00465452">
        <w:t>cynomolgus</w:t>
      </w:r>
      <w:proofErr w:type="spellEnd"/>
      <w:r w:rsidRPr="00465452">
        <w:t xml:space="preserve"> monkeys at subcutaneous doses up to 12.5 mg/kg/week (females) or 50 mg/kg/month (males), yielding exposures that were approximately 15-fold higher than the human exposure at 120mg subcutaneous administered once every month.</w:t>
      </w:r>
    </w:p>
    <w:p w:rsidR="00465452" w:rsidRPr="00465452" w:rsidRDefault="00465452" w:rsidP="00465452">
      <w:pPr>
        <w:rPr>
          <w:b/>
          <w:bCs/>
          <w:iCs/>
          <w:u w:val="single"/>
        </w:rPr>
      </w:pPr>
      <w:r w:rsidRPr="00465452">
        <w:rPr>
          <w:b/>
          <w:bCs/>
          <w:iCs/>
          <w:u w:val="single"/>
        </w:rPr>
        <w:t>Use in Pregnancy</w:t>
      </w:r>
    </w:p>
    <w:p w:rsidR="00465452" w:rsidRPr="00465452" w:rsidRDefault="00465452" w:rsidP="00465452">
      <w:pPr>
        <w:rPr>
          <w:b/>
          <w:bCs/>
        </w:rPr>
      </w:pPr>
      <w:r w:rsidRPr="00465452">
        <w:rPr>
          <w:b/>
          <w:bCs/>
        </w:rPr>
        <w:t>Pregnancy Category: D</w:t>
      </w:r>
    </w:p>
    <w:p w:rsidR="00465452" w:rsidRPr="00465452" w:rsidRDefault="00465452" w:rsidP="00465452">
      <w:pPr>
        <w:rPr>
          <w:lang w:val="en-GB"/>
        </w:rPr>
      </w:pPr>
      <w:r w:rsidRPr="00465452">
        <w:lastRenderedPageBreak/>
        <w:t xml:space="preserve">There are no adequate and well-controlled studies of </w:t>
      </w:r>
      <w:proofErr w:type="spellStart"/>
      <w:r w:rsidRPr="00465452">
        <w:t>Xgeva</w:t>
      </w:r>
      <w:proofErr w:type="spellEnd"/>
      <w:r w:rsidRPr="00465452">
        <w:t xml:space="preserve"> in pregnant women.  </w:t>
      </w:r>
      <w:proofErr w:type="spellStart"/>
      <w:r w:rsidRPr="00465452">
        <w:t>Xgeva</w:t>
      </w:r>
      <w:proofErr w:type="spellEnd"/>
      <w:r w:rsidRPr="00465452">
        <w:t xml:space="preserve"> </w:t>
      </w:r>
      <w:r w:rsidRPr="00465452">
        <w:rPr>
          <w:lang w:val="en-GB"/>
        </w:rPr>
        <w:t>is not recommended for use during pregnancy.</w:t>
      </w:r>
      <w:r w:rsidRPr="00465452">
        <w:t xml:space="preserve"> Advise females of reproductive potential to use highly effective contraception during therapy, and for at least 5 months after the last dose of </w:t>
      </w:r>
      <w:proofErr w:type="spellStart"/>
      <w:r w:rsidRPr="00465452">
        <w:t>Xgeva</w:t>
      </w:r>
      <w:proofErr w:type="spellEnd"/>
      <w:r w:rsidRPr="00465452">
        <w:t xml:space="preserve">. Encourage women who become pregnant during </w:t>
      </w:r>
      <w:proofErr w:type="spellStart"/>
      <w:r w:rsidRPr="00465452">
        <w:t>Xgeva</w:t>
      </w:r>
      <w:proofErr w:type="spellEnd"/>
      <w:r w:rsidRPr="00465452">
        <w:t xml:space="preserve"> treatment to </w:t>
      </w:r>
      <w:proofErr w:type="spellStart"/>
      <w:r w:rsidRPr="00465452">
        <w:t>enrol</w:t>
      </w:r>
      <w:proofErr w:type="spellEnd"/>
      <w:r w:rsidRPr="00465452">
        <w:t xml:space="preserve"> in Amgen’s Pregnancy Surveillance Program.  Enrolment may be arranged by telephoning Amgen’s Medical Information line on 1800 803 638 (</w:t>
      </w:r>
      <w:proofErr w:type="spellStart"/>
      <w:r w:rsidRPr="00465452">
        <w:t>freecall</w:t>
      </w:r>
      <w:proofErr w:type="spellEnd"/>
      <w:r w:rsidRPr="00465452">
        <w:t xml:space="preserve"> within Australia).</w:t>
      </w:r>
    </w:p>
    <w:p w:rsidR="00465452" w:rsidRPr="00465452" w:rsidRDefault="00465452" w:rsidP="00465452">
      <w:pPr>
        <w:rPr>
          <w:lang w:val="en-GB"/>
        </w:rPr>
      </w:pPr>
    </w:p>
    <w:p w:rsidR="00465452" w:rsidRPr="00465452" w:rsidRDefault="00465452" w:rsidP="00465452">
      <w:r w:rsidRPr="00465452">
        <w:t xml:space="preserve">Developmental toxicity studies have been performed with </w:t>
      </w:r>
      <w:proofErr w:type="spellStart"/>
      <w:r w:rsidRPr="00465452">
        <w:t>denosumab</w:t>
      </w:r>
      <w:proofErr w:type="spellEnd"/>
      <w:r w:rsidRPr="00465452">
        <w:t xml:space="preserve"> in </w:t>
      </w:r>
      <w:proofErr w:type="spellStart"/>
      <w:r w:rsidRPr="00465452">
        <w:t>cynomolgus</w:t>
      </w:r>
      <w:proofErr w:type="spellEnd"/>
      <w:r w:rsidRPr="00465452">
        <w:t xml:space="preserve"> monkeys at subcutaneous doses up to 12.5 mg/kg/week, yielding exposures up to 9.5 fold higher than the human exposure.  No evidence of harm to the </w:t>
      </w:r>
      <w:proofErr w:type="spellStart"/>
      <w:r w:rsidRPr="00465452">
        <w:t>foetus</w:t>
      </w:r>
      <w:proofErr w:type="spellEnd"/>
      <w:r w:rsidRPr="00465452">
        <w:t xml:space="preserve"> was observed.  </w:t>
      </w:r>
      <w:r w:rsidRPr="00465452">
        <w:rPr>
          <w:lang w:val="en-GB"/>
        </w:rPr>
        <w:t xml:space="preserve">Preclinical studies in RANK/RANKL-knockout mice suggest absence of RANKL could interfere with the development of lymph nodes in the foetus; the potential for adverse effects on lymph node development was not examined in studies with </w:t>
      </w:r>
      <w:proofErr w:type="spellStart"/>
      <w:r w:rsidRPr="00465452">
        <w:rPr>
          <w:lang w:val="en-GB"/>
        </w:rPr>
        <w:t>denosumab</w:t>
      </w:r>
      <w:proofErr w:type="spellEnd"/>
      <w:r w:rsidRPr="00465452">
        <w:rPr>
          <w:lang w:val="en-GB"/>
        </w:rPr>
        <w:t xml:space="preserve"> in monkeys.  Knockout mice lacking RANK or RANKL also exhibited decreased body weight, reduced bone growth and a lack of tooth eruption.  Similar phenotypic changes (inhibition of bone growth and tooth eruption) were observed in a study in neonatal rats using a surrogate for </w:t>
      </w:r>
      <w:proofErr w:type="spellStart"/>
      <w:r w:rsidRPr="00465452">
        <w:rPr>
          <w:lang w:val="en-GB"/>
        </w:rPr>
        <w:t>denosumab</w:t>
      </w:r>
      <w:proofErr w:type="spellEnd"/>
      <w:r w:rsidRPr="00465452">
        <w:rPr>
          <w:lang w:val="en-GB"/>
        </w:rPr>
        <w:t xml:space="preserve">, the RANKL inhibitor </w:t>
      </w:r>
      <w:proofErr w:type="spellStart"/>
      <w:r w:rsidRPr="00465452">
        <w:rPr>
          <w:lang w:val="en-GB"/>
        </w:rPr>
        <w:t>osteoprotegerin</w:t>
      </w:r>
      <w:proofErr w:type="spellEnd"/>
      <w:r w:rsidRPr="00465452">
        <w:rPr>
          <w:lang w:val="en-GB"/>
        </w:rPr>
        <w:t xml:space="preserve"> bound to Fc (OPG-Fc).  These changes were partially reversible when dosing of RANKL inhibitor was discontinued. Therefore, treatment with </w:t>
      </w:r>
      <w:proofErr w:type="spellStart"/>
      <w:r w:rsidRPr="00465452">
        <w:rPr>
          <w:lang w:val="en-GB"/>
        </w:rPr>
        <w:t>denosumab</w:t>
      </w:r>
      <w:proofErr w:type="spellEnd"/>
      <w:r w:rsidRPr="00465452">
        <w:rPr>
          <w:lang w:val="en-GB"/>
        </w:rPr>
        <w:t xml:space="preserve"> may impair bone growth in children with open growth plates and may inhibit eruption of dentition.  </w:t>
      </w:r>
    </w:p>
    <w:p w:rsidR="00465452" w:rsidRPr="00465452" w:rsidRDefault="00465452" w:rsidP="00465452">
      <w:pPr>
        <w:rPr>
          <w:lang w:val="en-GB"/>
        </w:rPr>
      </w:pPr>
    </w:p>
    <w:p w:rsidR="00465452" w:rsidRPr="00465452" w:rsidRDefault="00465452" w:rsidP="00465452">
      <w:r w:rsidRPr="00465452">
        <w:t>Preclinical studies in RANK/RANKL-knockout mice suggest absence of RANKL during pregnancy may interfere with maturation of the mammary gland leading to impaired lactation post-partum.</w:t>
      </w:r>
    </w:p>
    <w:p w:rsidR="00465452" w:rsidRPr="00465452" w:rsidRDefault="00465452" w:rsidP="00465452">
      <w:pPr>
        <w:rPr>
          <w:b/>
          <w:bCs/>
          <w:iCs/>
          <w:u w:val="single"/>
        </w:rPr>
      </w:pPr>
      <w:r w:rsidRPr="00465452">
        <w:rPr>
          <w:b/>
          <w:bCs/>
          <w:iCs/>
          <w:u w:val="single"/>
        </w:rPr>
        <w:t>Use in Lactation</w:t>
      </w:r>
    </w:p>
    <w:p w:rsidR="00465452" w:rsidRPr="00465452" w:rsidRDefault="00465452" w:rsidP="00465452">
      <w:pPr>
        <w:rPr>
          <w:lang w:val="en-GB"/>
        </w:rPr>
      </w:pPr>
      <w:r w:rsidRPr="00465452">
        <w:rPr>
          <w:lang w:val="en-GB"/>
        </w:rPr>
        <w:t xml:space="preserve">It is unknown whether </w:t>
      </w:r>
      <w:proofErr w:type="spellStart"/>
      <w:r w:rsidRPr="00465452">
        <w:rPr>
          <w:lang w:val="en-GB"/>
        </w:rPr>
        <w:t>denosumab</w:t>
      </w:r>
      <w:proofErr w:type="spellEnd"/>
      <w:r w:rsidRPr="00465452">
        <w:rPr>
          <w:lang w:val="en-GB"/>
        </w:rPr>
        <w:t xml:space="preserve"> is excreted in human milk.  Knockout mouse studies suggest absence of RANKL during pregnancy may interfere with maturation of the mammary gland leading to impaired lactation post-partum. A decision on whether to abstain from breast-feeding or to abstain from therapy with </w:t>
      </w:r>
      <w:proofErr w:type="spellStart"/>
      <w:r w:rsidRPr="00465452">
        <w:rPr>
          <w:lang w:val="en-GB"/>
        </w:rPr>
        <w:t>Xgeva</w:t>
      </w:r>
      <w:proofErr w:type="spellEnd"/>
      <w:r w:rsidRPr="00465452">
        <w:rPr>
          <w:lang w:val="en-GB"/>
        </w:rPr>
        <w:t xml:space="preserve"> should be made, taking into account the benefit of breast-feeding to the </w:t>
      </w:r>
      <w:proofErr w:type="spellStart"/>
      <w:r w:rsidRPr="00465452">
        <w:rPr>
          <w:lang w:val="en-GB"/>
        </w:rPr>
        <w:t>newborn</w:t>
      </w:r>
      <w:proofErr w:type="spellEnd"/>
      <w:r w:rsidRPr="00465452">
        <w:rPr>
          <w:lang w:val="en-GB"/>
        </w:rPr>
        <w:t xml:space="preserve">/infant and the benefit of </w:t>
      </w:r>
      <w:proofErr w:type="spellStart"/>
      <w:r w:rsidRPr="00465452">
        <w:rPr>
          <w:lang w:val="en-GB"/>
        </w:rPr>
        <w:t>Xgeva</w:t>
      </w:r>
      <w:proofErr w:type="spellEnd"/>
      <w:r w:rsidRPr="00465452">
        <w:rPr>
          <w:lang w:val="en-GB"/>
        </w:rPr>
        <w:t xml:space="preserve"> therapy to the woman.  Encourage women who are breast-feeding during </w:t>
      </w:r>
      <w:proofErr w:type="spellStart"/>
      <w:r w:rsidRPr="00465452">
        <w:rPr>
          <w:lang w:val="en-GB"/>
        </w:rPr>
        <w:t>Xgeva</w:t>
      </w:r>
      <w:proofErr w:type="spellEnd"/>
      <w:r w:rsidRPr="00465452">
        <w:rPr>
          <w:lang w:val="en-GB"/>
        </w:rPr>
        <w:t xml:space="preserve"> treatment to enrol in Amgen’s Lactation Surveillance Program.  Enrolment may be arranged by telephoning Amgen’s Medical Information line on 1800 803 638 (</w:t>
      </w:r>
      <w:proofErr w:type="spellStart"/>
      <w:r w:rsidRPr="00465452">
        <w:rPr>
          <w:lang w:val="en-GB"/>
        </w:rPr>
        <w:t>freecall</w:t>
      </w:r>
      <w:proofErr w:type="spellEnd"/>
      <w:r w:rsidRPr="00465452">
        <w:rPr>
          <w:lang w:val="en-GB"/>
        </w:rPr>
        <w:t xml:space="preserve"> within Australia).</w:t>
      </w:r>
    </w:p>
    <w:p w:rsidR="00465452" w:rsidRPr="00465452" w:rsidRDefault="00465452" w:rsidP="00465452">
      <w:pPr>
        <w:rPr>
          <w:b/>
          <w:bCs/>
          <w:iCs/>
          <w:u w:val="single"/>
        </w:rPr>
      </w:pPr>
      <w:r w:rsidRPr="00465452">
        <w:rPr>
          <w:b/>
          <w:bCs/>
          <w:iCs/>
          <w:u w:val="single"/>
        </w:rPr>
        <w:t>Use in Hepatic Impairment</w:t>
      </w:r>
    </w:p>
    <w:p w:rsidR="00465452" w:rsidRPr="00465452" w:rsidRDefault="00465452" w:rsidP="00465452">
      <w:r w:rsidRPr="00465452">
        <w:t xml:space="preserve">The safety and efficacy of </w:t>
      </w:r>
      <w:proofErr w:type="spellStart"/>
      <w:r w:rsidRPr="00465452">
        <w:t>Xgeva</w:t>
      </w:r>
      <w:proofErr w:type="spellEnd"/>
      <w:r w:rsidRPr="00465452">
        <w:t xml:space="preserve"> has not been studied in patients with hepatic impairment.</w:t>
      </w:r>
    </w:p>
    <w:p w:rsidR="00465452" w:rsidRPr="00465452" w:rsidRDefault="00465452" w:rsidP="00465452">
      <w:pPr>
        <w:rPr>
          <w:b/>
          <w:bCs/>
          <w:iCs/>
          <w:u w:val="single"/>
        </w:rPr>
      </w:pPr>
      <w:r w:rsidRPr="00465452">
        <w:rPr>
          <w:b/>
          <w:bCs/>
          <w:iCs/>
          <w:u w:val="single"/>
        </w:rPr>
        <w:t>Carcinogenicity</w:t>
      </w:r>
    </w:p>
    <w:p w:rsidR="00465452" w:rsidRPr="00465452" w:rsidRDefault="00465452" w:rsidP="00465452">
      <w:r w:rsidRPr="00465452">
        <w:t xml:space="preserve">The carcinogenic potential of </w:t>
      </w:r>
      <w:proofErr w:type="spellStart"/>
      <w:r w:rsidRPr="00465452">
        <w:t>denosumab</w:t>
      </w:r>
      <w:proofErr w:type="spellEnd"/>
      <w:r w:rsidRPr="00465452">
        <w:t xml:space="preserve"> has not been evaluated in long-term animal studies.  In view of the mechanism of action of </w:t>
      </w:r>
      <w:proofErr w:type="spellStart"/>
      <w:r w:rsidRPr="00465452">
        <w:t>denosumab</w:t>
      </w:r>
      <w:proofErr w:type="spellEnd"/>
      <w:r w:rsidRPr="00465452">
        <w:t xml:space="preserve">, it is unlikely that the molecule would be capable of inducing </w:t>
      </w:r>
      <w:proofErr w:type="spellStart"/>
      <w:r w:rsidRPr="00465452">
        <w:t>tumour</w:t>
      </w:r>
      <w:proofErr w:type="spellEnd"/>
      <w:r w:rsidRPr="00465452">
        <w:t xml:space="preserve"> development or proliferation.</w:t>
      </w:r>
    </w:p>
    <w:p w:rsidR="00465452" w:rsidRPr="00465452" w:rsidRDefault="00465452" w:rsidP="00465452">
      <w:pPr>
        <w:rPr>
          <w:b/>
          <w:bCs/>
          <w:iCs/>
          <w:u w:val="single"/>
        </w:rPr>
      </w:pPr>
      <w:proofErr w:type="spellStart"/>
      <w:r w:rsidRPr="00465452">
        <w:rPr>
          <w:b/>
          <w:bCs/>
          <w:iCs/>
          <w:u w:val="single"/>
        </w:rPr>
        <w:t>Genotoxicity</w:t>
      </w:r>
      <w:proofErr w:type="spellEnd"/>
    </w:p>
    <w:p w:rsidR="00465452" w:rsidRPr="00465452" w:rsidRDefault="00465452" w:rsidP="00465452">
      <w:r w:rsidRPr="00465452">
        <w:t xml:space="preserve">The </w:t>
      </w:r>
      <w:proofErr w:type="spellStart"/>
      <w:r w:rsidRPr="00465452">
        <w:t>genotoxic</w:t>
      </w:r>
      <w:proofErr w:type="spellEnd"/>
      <w:r w:rsidRPr="00465452">
        <w:t xml:space="preserve"> potential of </w:t>
      </w:r>
      <w:proofErr w:type="spellStart"/>
      <w:r w:rsidRPr="00465452">
        <w:t>denosumab</w:t>
      </w:r>
      <w:proofErr w:type="spellEnd"/>
      <w:r w:rsidRPr="00465452">
        <w:t xml:space="preserve"> has not been evaluated.  </w:t>
      </w:r>
      <w:proofErr w:type="spellStart"/>
      <w:r w:rsidRPr="00465452">
        <w:t>Denosumab</w:t>
      </w:r>
      <w:proofErr w:type="spellEnd"/>
      <w:r w:rsidRPr="00465452">
        <w:t xml:space="preserve"> is a recombinant protein comprised entirely of naturally occurring amino acids and contains no inorganic or synthetic organic linkers or other non-protein portions.  Therefore, it is unlikely that </w:t>
      </w:r>
      <w:proofErr w:type="spellStart"/>
      <w:r w:rsidRPr="00465452">
        <w:t>denosumab</w:t>
      </w:r>
      <w:proofErr w:type="spellEnd"/>
      <w:r w:rsidRPr="00465452">
        <w:t xml:space="preserve"> or any of its derived fragments would react with DNA or other chromosomal material.</w:t>
      </w:r>
    </w:p>
    <w:p w:rsidR="00465452" w:rsidRPr="00465452" w:rsidRDefault="00465452" w:rsidP="00465452">
      <w:pPr>
        <w:rPr>
          <w:b/>
          <w:bCs/>
          <w:iCs/>
          <w:u w:val="single"/>
        </w:rPr>
      </w:pPr>
      <w:r w:rsidRPr="00465452">
        <w:rPr>
          <w:b/>
          <w:bCs/>
          <w:iCs/>
          <w:u w:val="single"/>
        </w:rPr>
        <w:t xml:space="preserve">Interactions with Other Medicines </w:t>
      </w:r>
    </w:p>
    <w:p w:rsidR="00465452" w:rsidRPr="00465452" w:rsidRDefault="00465452" w:rsidP="00465452">
      <w:pPr>
        <w:rPr>
          <w:bCs/>
          <w:iCs/>
        </w:rPr>
      </w:pPr>
      <w:r w:rsidRPr="00465452">
        <w:rPr>
          <w:bCs/>
          <w:iCs/>
        </w:rPr>
        <w:t>No drug-drug interaction studies have been conducted.</w:t>
      </w:r>
    </w:p>
    <w:p w:rsidR="00465452" w:rsidRPr="00465452" w:rsidRDefault="00465452" w:rsidP="00465452"/>
    <w:p w:rsidR="00465452" w:rsidRPr="00465452" w:rsidRDefault="00465452" w:rsidP="00465452">
      <w:pPr>
        <w:rPr>
          <w:b/>
        </w:rPr>
      </w:pPr>
      <w:r w:rsidRPr="00465452">
        <w:t xml:space="preserve">In clinical studies, </w:t>
      </w:r>
      <w:proofErr w:type="spellStart"/>
      <w:r w:rsidRPr="00465452">
        <w:t>Xgeva</w:t>
      </w:r>
      <w:proofErr w:type="spellEnd"/>
      <w:r w:rsidRPr="00465452">
        <w:t xml:space="preserve"> has been administered in combination with standard anticancer treatment and in patients previously receiving bisphosphonates.  The pharmacokinetics and pharmacodynamics </w:t>
      </w:r>
      <w:r w:rsidRPr="00465452">
        <w:lastRenderedPageBreak/>
        <w:t xml:space="preserve">of </w:t>
      </w:r>
      <w:proofErr w:type="spellStart"/>
      <w:r w:rsidRPr="00465452">
        <w:t>denosumab</w:t>
      </w:r>
      <w:proofErr w:type="spellEnd"/>
      <w:r w:rsidRPr="00465452">
        <w:t xml:space="preserve"> were not altered by concomitant chemotherapy and/or hormone therapy </w:t>
      </w:r>
      <w:proofErr w:type="gramStart"/>
      <w:r w:rsidRPr="00465452">
        <w:t>nor</w:t>
      </w:r>
      <w:proofErr w:type="gramEnd"/>
      <w:r w:rsidRPr="00465452">
        <w:t xml:space="preserve"> by previous IV bisphosphonate exposure</w:t>
      </w:r>
      <w:r w:rsidRPr="00465452">
        <w:rPr>
          <w:b/>
        </w:rPr>
        <w:t>.</w:t>
      </w:r>
    </w:p>
    <w:p w:rsidR="00465452" w:rsidRPr="00465452" w:rsidRDefault="00465452" w:rsidP="00465452">
      <w:pPr>
        <w:rPr>
          <w:b/>
        </w:rPr>
      </w:pPr>
    </w:p>
    <w:p w:rsidR="00465452" w:rsidRPr="00465452" w:rsidRDefault="00465452" w:rsidP="00465452">
      <w:proofErr w:type="spellStart"/>
      <w:r w:rsidRPr="00465452">
        <w:t>Denosumab</w:t>
      </w:r>
      <w:proofErr w:type="spellEnd"/>
      <w:r w:rsidRPr="00465452">
        <w:t xml:space="preserve"> should not be administered concomitantly with bisphosphonates.</w:t>
      </w:r>
    </w:p>
    <w:p w:rsidR="00465452" w:rsidRPr="00465452" w:rsidRDefault="00465452" w:rsidP="00465452">
      <w:pPr>
        <w:rPr>
          <w:b/>
          <w:bCs/>
          <w:iCs/>
          <w:u w:val="single"/>
        </w:rPr>
      </w:pPr>
      <w:r w:rsidRPr="00465452">
        <w:rPr>
          <w:b/>
          <w:bCs/>
          <w:iCs/>
          <w:u w:val="single"/>
        </w:rPr>
        <w:t xml:space="preserve">Effects on Laboratory Tests </w:t>
      </w:r>
    </w:p>
    <w:p w:rsidR="00465452" w:rsidRPr="00465452" w:rsidRDefault="00465452" w:rsidP="00465452">
      <w:r w:rsidRPr="00465452">
        <w:t>No interactions with laboratory and diagnostic tests have been identified.</w:t>
      </w:r>
    </w:p>
    <w:p w:rsidR="00465452" w:rsidRPr="00465452" w:rsidRDefault="00465452" w:rsidP="00465452"/>
    <w:p w:rsidR="00465452" w:rsidRPr="00465452" w:rsidRDefault="00465452" w:rsidP="00465452">
      <w:pPr>
        <w:rPr>
          <w:b/>
          <w:u w:val="single"/>
        </w:rPr>
      </w:pPr>
      <w:r w:rsidRPr="00465452">
        <w:rPr>
          <w:b/>
          <w:u w:val="single"/>
        </w:rPr>
        <w:t>Effects on Ability to Drive and Use Machines</w:t>
      </w:r>
    </w:p>
    <w:p w:rsidR="00465452" w:rsidRPr="00465452" w:rsidRDefault="00465452" w:rsidP="00465452">
      <w:r w:rsidRPr="00465452">
        <w:t>No studies on the effects on the ability to drive or use machinery have been performed.</w:t>
      </w:r>
    </w:p>
    <w:p w:rsidR="00465452" w:rsidRPr="00465452" w:rsidRDefault="00465452" w:rsidP="00465452">
      <w:pPr>
        <w:rPr>
          <w:b/>
          <w:bCs/>
        </w:rPr>
      </w:pPr>
    </w:p>
    <w:p w:rsidR="00465452" w:rsidRPr="00465452" w:rsidRDefault="00465452" w:rsidP="00465452">
      <w:pPr>
        <w:rPr>
          <w:b/>
          <w:bCs/>
        </w:rPr>
      </w:pPr>
      <w:r w:rsidRPr="00465452">
        <w:rPr>
          <w:b/>
          <w:bCs/>
        </w:rPr>
        <w:t>ADVERSE EFFECTS</w:t>
      </w:r>
    </w:p>
    <w:p w:rsidR="00465452" w:rsidRPr="00465452" w:rsidRDefault="00465452" w:rsidP="00465452"/>
    <w:p w:rsidR="00465452" w:rsidRPr="00465452" w:rsidRDefault="00465452" w:rsidP="00465452">
      <w:pPr>
        <w:rPr>
          <w:b/>
          <w:i/>
        </w:rPr>
      </w:pPr>
      <w:r w:rsidRPr="00465452">
        <w:rPr>
          <w:b/>
          <w:i/>
        </w:rPr>
        <w:t xml:space="preserve">Bone metastasis from solid </w:t>
      </w:r>
      <w:proofErr w:type="spellStart"/>
      <w:r w:rsidRPr="00465452">
        <w:rPr>
          <w:b/>
          <w:i/>
        </w:rPr>
        <w:t>tumours</w:t>
      </w:r>
      <w:proofErr w:type="spellEnd"/>
    </w:p>
    <w:p w:rsidR="00465452" w:rsidRPr="00465452" w:rsidRDefault="00465452" w:rsidP="00465452">
      <w:r w:rsidRPr="00465452">
        <w:t xml:space="preserve">Data from three active-controlled </w:t>
      </w:r>
      <w:proofErr w:type="spellStart"/>
      <w:r w:rsidRPr="00465452">
        <w:t>multicentre</w:t>
      </w:r>
      <w:proofErr w:type="spellEnd"/>
      <w:r w:rsidRPr="00465452">
        <w:t xml:space="preserve"> trials were used for the safety analysis in 5677 patients with bone metastases from either prostate cancer, breast cancer, other solid </w:t>
      </w:r>
      <w:proofErr w:type="spellStart"/>
      <w:r w:rsidRPr="00465452">
        <w:t>tumours</w:t>
      </w:r>
      <w:proofErr w:type="spellEnd"/>
      <w:r w:rsidRPr="00465452">
        <w:t xml:space="preserve"> or patients with multiple myeloma (all patients with advanced cancer).  A total of 2841 patients were exposed to 120 mg of </w:t>
      </w:r>
      <w:proofErr w:type="spellStart"/>
      <w:r w:rsidRPr="00465452">
        <w:t>Xgeva</w:t>
      </w:r>
      <w:proofErr w:type="spellEnd"/>
      <w:r w:rsidRPr="00465452" w:rsidDel="003B2DD3">
        <w:t xml:space="preserve"> </w:t>
      </w:r>
      <w:r w:rsidRPr="00465452">
        <w:t xml:space="preserve">administered once every 4 weeks as a single subcutaneous injection, and 2836 patients were exposed to 4 mg (dose-adjusted for reduced renal function) of </w:t>
      </w:r>
      <w:proofErr w:type="spellStart"/>
      <w:r w:rsidRPr="00465452">
        <w:t>zoledronic</w:t>
      </w:r>
      <w:proofErr w:type="spellEnd"/>
      <w:r w:rsidRPr="00465452">
        <w:t xml:space="preserve"> acid administered once every 4 weeks as an IV infusion.  The median (Q1, Q3) duration of exposure to </w:t>
      </w:r>
      <w:proofErr w:type="spellStart"/>
      <w:r w:rsidRPr="00465452">
        <w:t>Xgeva</w:t>
      </w:r>
      <w:proofErr w:type="spellEnd"/>
      <w:r w:rsidRPr="00465452" w:rsidDel="003B2DD3">
        <w:t xml:space="preserve"> </w:t>
      </w:r>
      <w:r w:rsidRPr="00465452">
        <w:t xml:space="preserve">for the safety analysis was 12 months (6, 18)  for prostate cancer, 17 months (10, 21) for breast cancer, and 7 months (4, 14) for other solid </w:t>
      </w:r>
      <w:proofErr w:type="spellStart"/>
      <w:r w:rsidRPr="00465452">
        <w:t>tumours</w:t>
      </w:r>
      <w:proofErr w:type="spellEnd"/>
      <w:r w:rsidRPr="00465452">
        <w:t xml:space="preserve"> and multiple myeloma. </w:t>
      </w:r>
    </w:p>
    <w:p w:rsidR="00465452" w:rsidRPr="00465452" w:rsidRDefault="00465452" w:rsidP="00465452"/>
    <w:p w:rsidR="00465452" w:rsidRPr="00465452" w:rsidRDefault="00465452" w:rsidP="00465452">
      <w:r w:rsidRPr="00465452">
        <w:t>Table 4 describes adverse events that were reported by ≥ 10% of patients in these studies regardless of presumed causality to study drug.</w:t>
      </w:r>
    </w:p>
    <w:p w:rsidR="00465452" w:rsidRPr="00465452" w:rsidRDefault="00465452" w:rsidP="00465452">
      <w:pPr>
        <w:rPr>
          <w:b/>
          <w:bCs/>
        </w:rPr>
      </w:pPr>
    </w:p>
    <w:p w:rsidR="00465452" w:rsidRPr="00465452" w:rsidRDefault="00465452" w:rsidP="00465452">
      <w:pPr>
        <w:rPr>
          <w:b/>
          <w:bCs/>
        </w:rPr>
      </w:pPr>
      <w:r w:rsidRPr="00465452">
        <w:rPr>
          <w:b/>
          <w:bCs/>
        </w:rPr>
        <w:t>Table 4: Percentage of Patients with Adverse Events in Patients with Advanced Malignancies Involving Bone by Body System (</w:t>
      </w:r>
      <w:r w:rsidRPr="00465452">
        <w:t xml:space="preserve">≥ </w:t>
      </w:r>
      <w:r w:rsidRPr="00465452">
        <w:rPr>
          <w:b/>
          <w:bCs/>
        </w:rPr>
        <w:t>10% Incidence in Either Treatment Group)</w:t>
      </w:r>
    </w:p>
    <w:p w:rsidR="00465452" w:rsidRPr="00465452" w:rsidRDefault="00465452" w:rsidP="00465452">
      <w:pPr>
        <w:rPr>
          <w:b/>
          <w:bCs/>
        </w:rPr>
      </w:pPr>
    </w:p>
    <w:tbl>
      <w:tblPr>
        <w:tblW w:w="0" w:type="auto"/>
        <w:jc w:val="center"/>
        <w:tblBorders>
          <w:top w:val="single" w:sz="4" w:space="0" w:color="auto"/>
          <w:left w:val="single" w:sz="4" w:space="0" w:color="auto"/>
          <w:bottom w:val="single" w:sz="4" w:space="0" w:color="auto"/>
          <w:right w:val="single" w:sz="4" w:space="0" w:color="auto"/>
        </w:tblBorders>
        <w:tblCellMar>
          <w:left w:w="20" w:type="dxa"/>
          <w:right w:w="20" w:type="dxa"/>
        </w:tblCellMar>
        <w:tblLook w:val="0000" w:firstRow="0" w:lastRow="0" w:firstColumn="0" w:lastColumn="0" w:noHBand="0" w:noVBand="0"/>
      </w:tblPr>
      <w:tblGrid>
        <w:gridCol w:w="5395"/>
        <w:gridCol w:w="1548"/>
        <w:gridCol w:w="2382"/>
        <w:gridCol w:w="26"/>
      </w:tblGrid>
      <w:tr w:rsidR="00465452" w:rsidRPr="00465452" w:rsidTr="00804A0E">
        <w:trPr>
          <w:gridAfter w:val="1"/>
          <w:tblHeader/>
          <w:jc w:val="center"/>
        </w:trPr>
        <w:tc>
          <w:tcPr>
            <w:tcW w:w="5395" w:type="dxa"/>
            <w:tcBorders>
              <w:top w:val="single" w:sz="4" w:space="0" w:color="auto"/>
              <w:bottom w:val="single" w:sz="4" w:space="0" w:color="auto"/>
            </w:tcBorders>
            <w:shd w:val="clear" w:color="auto" w:fill="FFFFFF"/>
            <w:tcMar>
              <w:left w:w="144" w:type="dxa"/>
              <w:right w:w="144" w:type="dxa"/>
            </w:tcMar>
            <w:vAlign w:val="center"/>
          </w:tcPr>
          <w:p w:rsidR="00465452" w:rsidRPr="00465452" w:rsidRDefault="00465452" w:rsidP="00465452">
            <w:pPr>
              <w:rPr>
                <w:b/>
              </w:rPr>
            </w:pPr>
            <w:r w:rsidRPr="00465452">
              <w:rPr>
                <w:b/>
              </w:rPr>
              <w:t>SYSTEM ORGAN CLASS</w:t>
            </w:r>
            <w:r w:rsidRPr="00465452">
              <w:rPr>
                <w:b/>
              </w:rPr>
              <w:br/>
            </w:r>
            <w:r w:rsidRPr="00465452">
              <w:rPr>
                <w:b/>
              </w:rPr>
              <w:tab/>
              <w:t>Preferred Term</w:t>
            </w:r>
          </w:p>
        </w:tc>
        <w:tc>
          <w:tcPr>
            <w:tcW w:w="1548" w:type="dxa"/>
            <w:tcBorders>
              <w:top w:val="single" w:sz="4" w:space="0" w:color="auto"/>
              <w:bottom w:val="single" w:sz="4" w:space="0" w:color="auto"/>
            </w:tcBorders>
            <w:shd w:val="clear" w:color="auto" w:fill="FFFFFF"/>
            <w:tcMar>
              <w:left w:w="144" w:type="dxa"/>
              <w:right w:w="144" w:type="dxa"/>
            </w:tcMar>
            <w:vAlign w:val="center"/>
          </w:tcPr>
          <w:p w:rsidR="00465452" w:rsidRPr="00465452" w:rsidRDefault="00465452" w:rsidP="00465452">
            <w:pPr>
              <w:rPr>
                <w:b/>
              </w:rPr>
            </w:pPr>
            <w:proofErr w:type="spellStart"/>
            <w:proofErr w:type="gramStart"/>
            <w:r w:rsidRPr="00465452">
              <w:rPr>
                <w:b/>
              </w:rPr>
              <w:t>Xgeva</w:t>
            </w:r>
            <w:proofErr w:type="spellEnd"/>
            <w:proofErr w:type="gramEnd"/>
            <w:r w:rsidRPr="00465452">
              <w:rPr>
                <w:b/>
              </w:rPr>
              <w:br/>
              <w:t xml:space="preserve">(N = 2841) </w:t>
            </w:r>
            <w:r w:rsidRPr="00465452">
              <w:rPr>
                <w:b/>
              </w:rPr>
              <w:br/>
              <w:t>n (%)</w:t>
            </w:r>
          </w:p>
        </w:tc>
        <w:tc>
          <w:tcPr>
            <w:tcW w:w="2382" w:type="dxa"/>
            <w:tcBorders>
              <w:top w:val="single" w:sz="4" w:space="0" w:color="auto"/>
              <w:bottom w:val="single" w:sz="4" w:space="0" w:color="auto"/>
            </w:tcBorders>
            <w:shd w:val="clear" w:color="auto" w:fill="FFFFFF"/>
            <w:tcMar>
              <w:left w:w="144" w:type="dxa"/>
              <w:right w:w="144" w:type="dxa"/>
            </w:tcMar>
            <w:vAlign w:val="center"/>
          </w:tcPr>
          <w:p w:rsidR="00465452" w:rsidRPr="00465452" w:rsidRDefault="00465452" w:rsidP="00465452">
            <w:pPr>
              <w:rPr>
                <w:b/>
              </w:rPr>
            </w:pPr>
            <w:proofErr w:type="spellStart"/>
            <w:r w:rsidRPr="00465452">
              <w:rPr>
                <w:b/>
              </w:rPr>
              <w:t>Zoledronic</w:t>
            </w:r>
            <w:proofErr w:type="spellEnd"/>
            <w:r w:rsidRPr="00465452">
              <w:rPr>
                <w:b/>
              </w:rPr>
              <w:t xml:space="preserve"> Acid </w:t>
            </w:r>
            <w:r w:rsidRPr="00465452">
              <w:rPr>
                <w:b/>
              </w:rPr>
              <w:br/>
              <w:t xml:space="preserve">(N = 2836) </w:t>
            </w:r>
            <w:r w:rsidRPr="00465452">
              <w:rPr>
                <w:b/>
              </w:rPr>
              <w:br/>
              <w:t>n (%)</w:t>
            </w:r>
          </w:p>
        </w:tc>
      </w:tr>
      <w:tr w:rsidR="00465452" w:rsidRPr="00465452" w:rsidTr="00804A0E">
        <w:trPr>
          <w:gridAfter w:val="1"/>
          <w:jc w:val="center"/>
        </w:trPr>
        <w:tc>
          <w:tcPr>
            <w:tcW w:w="9325" w:type="dxa"/>
            <w:gridSpan w:val="3"/>
            <w:tcBorders>
              <w:top w:val="single" w:sz="4" w:space="0" w:color="auto"/>
            </w:tcBorders>
            <w:shd w:val="clear" w:color="auto" w:fill="FFFFFF"/>
            <w:tcMar>
              <w:left w:w="144" w:type="dxa"/>
              <w:right w:w="144" w:type="dxa"/>
            </w:tcMar>
          </w:tcPr>
          <w:p w:rsidR="00465452" w:rsidRPr="00465452" w:rsidRDefault="00465452" w:rsidP="00465452"/>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pPr>
              <w:rPr>
                <w:b/>
                <w:bCs/>
              </w:rPr>
            </w:pPr>
            <w:r w:rsidRPr="00465452">
              <w:rPr>
                <w:b/>
                <w:bCs/>
              </w:rPr>
              <w:t>BLOOD AND LYMPHATIC SYSTEM DISORDERS</w:t>
            </w:r>
          </w:p>
        </w:tc>
        <w:tc>
          <w:tcPr>
            <w:tcW w:w="1548" w:type="dxa"/>
            <w:shd w:val="clear" w:color="auto" w:fill="FFFFFF"/>
            <w:tcMar>
              <w:left w:w="144" w:type="dxa"/>
              <w:right w:w="144" w:type="dxa"/>
            </w:tcMar>
          </w:tcPr>
          <w:p w:rsidR="00465452" w:rsidRPr="00465452" w:rsidRDefault="00465452" w:rsidP="00465452"/>
        </w:tc>
        <w:tc>
          <w:tcPr>
            <w:tcW w:w="2382" w:type="dxa"/>
            <w:shd w:val="clear" w:color="auto" w:fill="FFFFFF"/>
            <w:tcMar>
              <w:left w:w="144" w:type="dxa"/>
              <w:right w:w="144" w:type="dxa"/>
            </w:tcMar>
          </w:tcPr>
          <w:p w:rsidR="00465452" w:rsidRPr="00465452" w:rsidRDefault="00465452" w:rsidP="00465452"/>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proofErr w:type="spellStart"/>
            <w:r w:rsidRPr="00465452">
              <w:t>Anaemia</w:t>
            </w:r>
            <w:proofErr w:type="spellEnd"/>
          </w:p>
        </w:tc>
        <w:tc>
          <w:tcPr>
            <w:tcW w:w="1548" w:type="dxa"/>
            <w:shd w:val="clear" w:color="auto" w:fill="FFFFFF"/>
            <w:tcMar>
              <w:left w:w="144" w:type="dxa"/>
              <w:right w:w="144" w:type="dxa"/>
            </w:tcMar>
          </w:tcPr>
          <w:p w:rsidR="00465452" w:rsidRPr="00465452" w:rsidRDefault="00465452" w:rsidP="00465452">
            <w:r w:rsidRPr="00465452">
              <w:t>771 (27.1)</w:t>
            </w:r>
          </w:p>
        </w:tc>
        <w:tc>
          <w:tcPr>
            <w:tcW w:w="2382" w:type="dxa"/>
            <w:shd w:val="clear" w:color="auto" w:fill="FFFFFF"/>
            <w:tcMar>
              <w:left w:w="144" w:type="dxa"/>
              <w:right w:w="144" w:type="dxa"/>
            </w:tcMar>
          </w:tcPr>
          <w:p w:rsidR="00465452" w:rsidRPr="00465452" w:rsidRDefault="00465452" w:rsidP="00465452">
            <w:r w:rsidRPr="00465452">
              <w:t>859 (30.3)</w:t>
            </w:r>
          </w:p>
        </w:tc>
      </w:tr>
      <w:tr w:rsidR="00465452" w:rsidRPr="00465452" w:rsidTr="00804A0E">
        <w:trPr>
          <w:gridAfter w:val="1"/>
          <w:jc w:val="center"/>
        </w:trPr>
        <w:tc>
          <w:tcPr>
            <w:tcW w:w="9325" w:type="dxa"/>
            <w:gridSpan w:val="3"/>
            <w:shd w:val="clear" w:color="auto" w:fill="FFFFFF"/>
            <w:tcMar>
              <w:left w:w="144" w:type="dxa"/>
              <w:right w:w="144" w:type="dxa"/>
            </w:tcMar>
          </w:tcPr>
          <w:p w:rsidR="00465452" w:rsidRPr="00465452" w:rsidRDefault="00465452" w:rsidP="00465452"/>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pPr>
              <w:rPr>
                <w:b/>
                <w:bCs/>
              </w:rPr>
            </w:pPr>
            <w:r w:rsidRPr="00465452">
              <w:rPr>
                <w:b/>
                <w:bCs/>
              </w:rPr>
              <w:t>GASTROINTESTINAL DISORDERS</w:t>
            </w:r>
          </w:p>
        </w:tc>
        <w:tc>
          <w:tcPr>
            <w:tcW w:w="1548" w:type="dxa"/>
            <w:shd w:val="clear" w:color="auto" w:fill="FFFFFF"/>
            <w:tcMar>
              <w:left w:w="144" w:type="dxa"/>
              <w:right w:w="144" w:type="dxa"/>
            </w:tcMar>
          </w:tcPr>
          <w:p w:rsidR="00465452" w:rsidRPr="00465452" w:rsidRDefault="00465452" w:rsidP="00465452"/>
        </w:tc>
        <w:tc>
          <w:tcPr>
            <w:tcW w:w="2382" w:type="dxa"/>
            <w:shd w:val="clear" w:color="auto" w:fill="FFFFFF"/>
            <w:tcMar>
              <w:left w:w="144" w:type="dxa"/>
              <w:right w:w="144" w:type="dxa"/>
            </w:tcMar>
          </w:tcPr>
          <w:p w:rsidR="00465452" w:rsidRPr="00465452" w:rsidRDefault="00465452" w:rsidP="00465452"/>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r w:rsidRPr="00465452">
              <w:t>Nausea</w:t>
            </w:r>
          </w:p>
        </w:tc>
        <w:tc>
          <w:tcPr>
            <w:tcW w:w="1548" w:type="dxa"/>
            <w:shd w:val="clear" w:color="auto" w:fill="FFFFFF"/>
            <w:tcMar>
              <w:left w:w="144" w:type="dxa"/>
              <w:right w:w="144" w:type="dxa"/>
            </w:tcMar>
          </w:tcPr>
          <w:p w:rsidR="00465452" w:rsidRPr="00465452" w:rsidRDefault="00465452" w:rsidP="00465452">
            <w:r w:rsidRPr="00465452">
              <w:t>876 (30.8)</w:t>
            </w:r>
          </w:p>
        </w:tc>
        <w:tc>
          <w:tcPr>
            <w:tcW w:w="2382" w:type="dxa"/>
            <w:shd w:val="clear" w:color="auto" w:fill="FFFFFF"/>
            <w:tcMar>
              <w:left w:w="144" w:type="dxa"/>
              <w:right w:w="144" w:type="dxa"/>
            </w:tcMar>
          </w:tcPr>
          <w:p w:rsidR="00465452" w:rsidRPr="00465452" w:rsidRDefault="00465452" w:rsidP="00465452">
            <w:r w:rsidRPr="00465452">
              <w:t>895 (31.6)</w:t>
            </w:r>
          </w:p>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r w:rsidRPr="00465452">
              <w:t>Constipation</w:t>
            </w:r>
          </w:p>
        </w:tc>
        <w:tc>
          <w:tcPr>
            <w:tcW w:w="1548" w:type="dxa"/>
            <w:shd w:val="clear" w:color="auto" w:fill="FFFFFF"/>
            <w:tcMar>
              <w:left w:w="144" w:type="dxa"/>
              <w:right w:w="144" w:type="dxa"/>
            </w:tcMar>
          </w:tcPr>
          <w:p w:rsidR="00465452" w:rsidRPr="00465452" w:rsidRDefault="00465452" w:rsidP="00465452">
            <w:r w:rsidRPr="00465452">
              <w:t>603 (21.2)</w:t>
            </w:r>
          </w:p>
        </w:tc>
        <w:tc>
          <w:tcPr>
            <w:tcW w:w="2382" w:type="dxa"/>
            <w:shd w:val="clear" w:color="auto" w:fill="FFFFFF"/>
            <w:tcMar>
              <w:left w:w="144" w:type="dxa"/>
              <w:right w:w="144" w:type="dxa"/>
            </w:tcMar>
          </w:tcPr>
          <w:p w:rsidR="00465452" w:rsidRPr="00465452" w:rsidRDefault="00465452" w:rsidP="00465452">
            <w:r w:rsidRPr="00465452">
              <w:t>670 (23.6)</w:t>
            </w:r>
          </w:p>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proofErr w:type="spellStart"/>
            <w:r w:rsidRPr="00465452">
              <w:t>Diarrhoea</w:t>
            </w:r>
            <w:proofErr w:type="spellEnd"/>
          </w:p>
        </w:tc>
        <w:tc>
          <w:tcPr>
            <w:tcW w:w="1548" w:type="dxa"/>
            <w:shd w:val="clear" w:color="auto" w:fill="FFFFFF"/>
            <w:tcMar>
              <w:left w:w="144" w:type="dxa"/>
              <w:right w:w="144" w:type="dxa"/>
            </w:tcMar>
          </w:tcPr>
          <w:p w:rsidR="00465452" w:rsidRPr="00465452" w:rsidRDefault="00465452" w:rsidP="00465452">
            <w:r w:rsidRPr="00465452">
              <w:t>577 (20.3)</w:t>
            </w:r>
          </w:p>
        </w:tc>
        <w:tc>
          <w:tcPr>
            <w:tcW w:w="2382" w:type="dxa"/>
            <w:shd w:val="clear" w:color="auto" w:fill="FFFFFF"/>
            <w:tcMar>
              <w:left w:w="144" w:type="dxa"/>
              <w:right w:w="144" w:type="dxa"/>
            </w:tcMar>
          </w:tcPr>
          <w:p w:rsidR="00465452" w:rsidRPr="00465452" w:rsidRDefault="00465452" w:rsidP="00465452">
            <w:r w:rsidRPr="00465452">
              <w:t>530 (18.7)</w:t>
            </w:r>
          </w:p>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r w:rsidRPr="00465452">
              <w:t>Vomiting</w:t>
            </w:r>
          </w:p>
        </w:tc>
        <w:tc>
          <w:tcPr>
            <w:tcW w:w="1548" w:type="dxa"/>
            <w:shd w:val="clear" w:color="auto" w:fill="FFFFFF"/>
            <w:tcMar>
              <w:left w:w="144" w:type="dxa"/>
              <w:right w:w="144" w:type="dxa"/>
            </w:tcMar>
          </w:tcPr>
          <w:p w:rsidR="00465452" w:rsidRPr="00465452" w:rsidRDefault="00465452" w:rsidP="00465452">
            <w:r w:rsidRPr="00465452">
              <w:t>566 (19.9)</w:t>
            </w:r>
          </w:p>
        </w:tc>
        <w:tc>
          <w:tcPr>
            <w:tcW w:w="2382" w:type="dxa"/>
            <w:shd w:val="clear" w:color="auto" w:fill="FFFFFF"/>
            <w:tcMar>
              <w:left w:w="144" w:type="dxa"/>
              <w:right w:w="144" w:type="dxa"/>
            </w:tcMar>
          </w:tcPr>
          <w:p w:rsidR="00465452" w:rsidRPr="00465452" w:rsidRDefault="00465452" w:rsidP="00465452">
            <w:r w:rsidRPr="00465452">
              <w:t>570 (20.1)</w:t>
            </w:r>
          </w:p>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r w:rsidRPr="00465452">
              <w:t>Abdominal pain</w:t>
            </w:r>
          </w:p>
        </w:tc>
        <w:tc>
          <w:tcPr>
            <w:tcW w:w="1548" w:type="dxa"/>
            <w:shd w:val="clear" w:color="auto" w:fill="FFFFFF"/>
            <w:tcMar>
              <w:left w:w="144" w:type="dxa"/>
              <w:right w:w="144" w:type="dxa"/>
            </w:tcMar>
          </w:tcPr>
          <w:p w:rsidR="00465452" w:rsidRPr="00465452" w:rsidRDefault="00465452" w:rsidP="00465452">
            <w:r w:rsidRPr="00465452">
              <w:t>292 (10.3)</w:t>
            </w:r>
          </w:p>
        </w:tc>
        <w:tc>
          <w:tcPr>
            <w:tcW w:w="2382" w:type="dxa"/>
            <w:shd w:val="clear" w:color="auto" w:fill="FFFFFF"/>
            <w:tcMar>
              <w:left w:w="144" w:type="dxa"/>
              <w:right w:w="144" w:type="dxa"/>
            </w:tcMar>
          </w:tcPr>
          <w:p w:rsidR="00465452" w:rsidRPr="00465452" w:rsidRDefault="00465452" w:rsidP="00465452">
            <w:r w:rsidRPr="00465452">
              <w:t>280 (9.9)</w:t>
            </w:r>
          </w:p>
        </w:tc>
      </w:tr>
      <w:tr w:rsidR="00465452" w:rsidRPr="00465452" w:rsidTr="00804A0E">
        <w:trPr>
          <w:gridAfter w:val="1"/>
          <w:jc w:val="center"/>
        </w:trPr>
        <w:tc>
          <w:tcPr>
            <w:tcW w:w="9325" w:type="dxa"/>
            <w:gridSpan w:val="3"/>
            <w:shd w:val="clear" w:color="auto" w:fill="FFFFFF"/>
            <w:tcMar>
              <w:left w:w="144" w:type="dxa"/>
              <w:right w:w="144" w:type="dxa"/>
            </w:tcMar>
          </w:tcPr>
          <w:p w:rsidR="00465452" w:rsidRPr="00465452" w:rsidRDefault="00465452" w:rsidP="00465452"/>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pPr>
              <w:rPr>
                <w:b/>
                <w:bCs/>
              </w:rPr>
            </w:pPr>
            <w:r w:rsidRPr="00465452">
              <w:rPr>
                <w:b/>
                <w:bCs/>
              </w:rPr>
              <w:t>GENERAL DISORDERS AND ADMINISTRATION SITE CONDITIONS</w:t>
            </w:r>
          </w:p>
        </w:tc>
        <w:tc>
          <w:tcPr>
            <w:tcW w:w="1548" w:type="dxa"/>
            <w:shd w:val="clear" w:color="auto" w:fill="FFFFFF"/>
            <w:tcMar>
              <w:left w:w="144" w:type="dxa"/>
              <w:right w:w="144" w:type="dxa"/>
            </w:tcMar>
          </w:tcPr>
          <w:p w:rsidR="00465452" w:rsidRPr="00465452" w:rsidRDefault="00465452" w:rsidP="00465452"/>
        </w:tc>
        <w:tc>
          <w:tcPr>
            <w:tcW w:w="2382" w:type="dxa"/>
            <w:shd w:val="clear" w:color="auto" w:fill="FFFFFF"/>
            <w:tcMar>
              <w:left w:w="144" w:type="dxa"/>
              <w:right w:w="144" w:type="dxa"/>
            </w:tcMar>
          </w:tcPr>
          <w:p w:rsidR="00465452" w:rsidRPr="00465452" w:rsidRDefault="00465452" w:rsidP="00465452"/>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r w:rsidRPr="00465452">
              <w:t>Fatigue</w:t>
            </w:r>
          </w:p>
        </w:tc>
        <w:tc>
          <w:tcPr>
            <w:tcW w:w="1548" w:type="dxa"/>
            <w:shd w:val="clear" w:color="auto" w:fill="FFFFFF"/>
            <w:tcMar>
              <w:left w:w="144" w:type="dxa"/>
              <w:right w:w="144" w:type="dxa"/>
            </w:tcMar>
          </w:tcPr>
          <w:p w:rsidR="00465452" w:rsidRPr="00465452" w:rsidRDefault="00465452" w:rsidP="00465452">
            <w:r w:rsidRPr="00465452">
              <w:t>769 (27.1)</w:t>
            </w:r>
          </w:p>
        </w:tc>
        <w:tc>
          <w:tcPr>
            <w:tcW w:w="2382" w:type="dxa"/>
            <w:shd w:val="clear" w:color="auto" w:fill="FFFFFF"/>
            <w:tcMar>
              <w:left w:w="144" w:type="dxa"/>
              <w:right w:w="144" w:type="dxa"/>
            </w:tcMar>
          </w:tcPr>
          <w:p w:rsidR="00465452" w:rsidRPr="00465452" w:rsidRDefault="00465452" w:rsidP="00465452">
            <w:r w:rsidRPr="00465452">
              <w:t>766 (27.0)</w:t>
            </w:r>
          </w:p>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r w:rsidRPr="00465452">
              <w:t>Asthenia</w:t>
            </w:r>
          </w:p>
        </w:tc>
        <w:tc>
          <w:tcPr>
            <w:tcW w:w="1548" w:type="dxa"/>
            <w:shd w:val="clear" w:color="auto" w:fill="FFFFFF"/>
            <w:tcMar>
              <w:left w:w="144" w:type="dxa"/>
              <w:right w:w="144" w:type="dxa"/>
            </w:tcMar>
          </w:tcPr>
          <w:p w:rsidR="00465452" w:rsidRPr="00465452" w:rsidRDefault="00465452" w:rsidP="00465452">
            <w:r w:rsidRPr="00465452">
              <w:t>607 (21.4)</w:t>
            </w:r>
          </w:p>
        </w:tc>
        <w:tc>
          <w:tcPr>
            <w:tcW w:w="2382" w:type="dxa"/>
            <w:shd w:val="clear" w:color="auto" w:fill="FFFFFF"/>
            <w:tcMar>
              <w:left w:w="144" w:type="dxa"/>
              <w:right w:w="144" w:type="dxa"/>
            </w:tcMar>
          </w:tcPr>
          <w:p w:rsidR="00465452" w:rsidRPr="00465452" w:rsidRDefault="00465452" w:rsidP="00465452">
            <w:r w:rsidRPr="00465452">
              <w:t>621 (21.9)</w:t>
            </w:r>
          </w:p>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proofErr w:type="spellStart"/>
            <w:r w:rsidRPr="00465452">
              <w:t>Oedema</w:t>
            </w:r>
            <w:proofErr w:type="spellEnd"/>
            <w:r w:rsidRPr="00465452">
              <w:t xml:space="preserve"> peripheral</w:t>
            </w:r>
          </w:p>
        </w:tc>
        <w:tc>
          <w:tcPr>
            <w:tcW w:w="1548" w:type="dxa"/>
            <w:shd w:val="clear" w:color="auto" w:fill="FFFFFF"/>
            <w:tcMar>
              <w:left w:w="144" w:type="dxa"/>
              <w:right w:w="144" w:type="dxa"/>
            </w:tcMar>
          </w:tcPr>
          <w:p w:rsidR="00465452" w:rsidRPr="00465452" w:rsidRDefault="00465452" w:rsidP="00465452">
            <w:r w:rsidRPr="00465452">
              <w:t>472 (16.6)</w:t>
            </w:r>
          </w:p>
        </w:tc>
        <w:tc>
          <w:tcPr>
            <w:tcW w:w="2382" w:type="dxa"/>
            <w:shd w:val="clear" w:color="auto" w:fill="FFFFFF"/>
            <w:tcMar>
              <w:left w:w="144" w:type="dxa"/>
              <w:right w:w="144" w:type="dxa"/>
            </w:tcMar>
          </w:tcPr>
          <w:p w:rsidR="00465452" w:rsidRPr="00465452" w:rsidRDefault="00465452" w:rsidP="00465452">
            <w:r w:rsidRPr="00465452">
              <w:t>462 (16.3)</w:t>
            </w:r>
          </w:p>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r w:rsidRPr="00465452">
              <w:t>Pyrexia</w:t>
            </w:r>
          </w:p>
        </w:tc>
        <w:tc>
          <w:tcPr>
            <w:tcW w:w="1548" w:type="dxa"/>
            <w:shd w:val="clear" w:color="auto" w:fill="FFFFFF"/>
            <w:tcMar>
              <w:left w:w="144" w:type="dxa"/>
              <w:right w:w="144" w:type="dxa"/>
            </w:tcMar>
          </w:tcPr>
          <w:p w:rsidR="00465452" w:rsidRPr="00465452" w:rsidRDefault="00465452" w:rsidP="00465452">
            <w:r w:rsidRPr="00465452">
              <w:t>409 (14.4)</w:t>
            </w:r>
          </w:p>
        </w:tc>
        <w:tc>
          <w:tcPr>
            <w:tcW w:w="2382" w:type="dxa"/>
            <w:shd w:val="clear" w:color="auto" w:fill="FFFFFF"/>
            <w:tcMar>
              <w:left w:w="144" w:type="dxa"/>
              <w:right w:w="144" w:type="dxa"/>
            </w:tcMar>
          </w:tcPr>
          <w:p w:rsidR="00465452" w:rsidRPr="00465452" w:rsidRDefault="00465452" w:rsidP="00465452">
            <w:r w:rsidRPr="00465452">
              <w:t>562 (19.8)</w:t>
            </w:r>
          </w:p>
        </w:tc>
      </w:tr>
      <w:tr w:rsidR="00465452" w:rsidRPr="00465452" w:rsidTr="00804A0E">
        <w:trPr>
          <w:gridAfter w:val="1"/>
          <w:jc w:val="center"/>
        </w:trPr>
        <w:tc>
          <w:tcPr>
            <w:tcW w:w="9325" w:type="dxa"/>
            <w:gridSpan w:val="3"/>
            <w:shd w:val="clear" w:color="auto" w:fill="FFFFFF"/>
            <w:tcMar>
              <w:left w:w="144" w:type="dxa"/>
              <w:right w:w="144" w:type="dxa"/>
            </w:tcMar>
          </w:tcPr>
          <w:p w:rsidR="00465452" w:rsidRPr="00465452" w:rsidRDefault="00465452" w:rsidP="00465452"/>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pPr>
              <w:rPr>
                <w:b/>
                <w:bCs/>
              </w:rPr>
            </w:pPr>
          </w:p>
          <w:p w:rsidR="00465452" w:rsidRPr="00465452" w:rsidRDefault="00465452" w:rsidP="00465452">
            <w:pPr>
              <w:rPr>
                <w:b/>
                <w:bCs/>
              </w:rPr>
            </w:pPr>
            <w:r w:rsidRPr="00465452">
              <w:rPr>
                <w:b/>
                <w:bCs/>
              </w:rPr>
              <w:t>INVESTIGATIONS</w:t>
            </w:r>
          </w:p>
        </w:tc>
        <w:tc>
          <w:tcPr>
            <w:tcW w:w="1548" w:type="dxa"/>
            <w:shd w:val="clear" w:color="auto" w:fill="FFFFFF"/>
            <w:tcMar>
              <w:left w:w="144" w:type="dxa"/>
              <w:right w:w="144" w:type="dxa"/>
            </w:tcMar>
          </w:tcPr>
          <w:p w:rsidR="00465452" w:rsidRPr="00465452" w:rsidRDefault="00465452" w:rsidP="00465452"/>
        </w:tc>
        <w:tc>
          <w:tcPr>
            <w:tcW w:w="2382" w:type="dxa"/>
            <w:shd w:val="clear" w:color="auto" w:fill="FFFFFF"/>
            <w:tcMar>
              <w:left w:w="144" w:type="dxa"/>
              <w:right w:w="144" w:type="dxa"/>
            </w:tcMar>
          </w:tcPr>
          <w:p w:rsidR="00465452" w:rsidRPr="00465452" w:rsidRDefault="00465452" w:rsidP="00465452"/>
        </w:tc>
      </w:tr>
      <w:tr w:rsidR="00465452" w:rsidRPr="00465452" w:rsidTr="00804A0E">
        <w:trPr>
          <w:gridAfter w:val="1"/>
          <w:trHeight w:val="369"/>
          <w:jc w:val="center"/>
        </w:trPr>
        <w:tc>
          <w:tcPr>
            <w:tcW w:w="5395" w:type="dxa"/>
            <w:shd w:val="clear" w:color="auto" w:fill="FFFFFF"/>
            <w:tcMar>
              <w:left w:w="144" w:type="dxa"/>
              <w:right w:w="144" w:type="dxa"/>
            </w:tcMar>
          </w:tcPr>
          <w:p w:rsidR="00465452" w:rsidRPr="00465452" w:rsidRDefault="00465452" w:rsidP="00465452">
            <w:r w:rsidRPr="00465452">
              <w:t>Weight decreased</w:t>
            </w:r>
          </w:p>
        </w:tc>
        <w:tc>
          <w:tcPr>
            <w:tcW w:w="1548" w:type="dxa"/>
            <w:shd w:val="clear" w:color="auto" w:fill="FFFFFF"/>
            <w:tcMar>
              <w:left w:w="144" w:type="dxa"/>
              <w:right w:w="144" w:type="dxa"/>
            </w:tcMar>
          </w:tcPr>
          <w:p w:rsidR="00465452" w:rsidRPr="00465452" w:rsidRDefault="00465452" w:rsidP="00465452">
            <w:r w:rsidRPr="00465452">
              <w:t>330 (11.6)</w:t>
            </w:r>
          </w:p>
        </w:tc>
        <w:tc>
          <w:tcPr>
            <w:tcW w:w="2382" w:type="dxa"/>
            <w:shd w:val="clear" w:color="auto" w:fill="FFFFFF"/>
            <w:tcMar>
              <w:left w:w="144" w:type="dxa"/>
              <w:right w:w="144" w:type="dxa"/>
            </w:tcMar>
          </w:tcPr>
          <w:p w:rsidR="00465452" w:rsidRPr="00465452" w:rsidRDefault="00465452" w:rsidP="00465452">
            <w:r w:rsidRPr="00465452">
              <w:t>332 (11.7)</w:t>
            </w:r>
          </w:p>
        </w:tc>
      </w:tr>
      <w:tr w:rsidR="00465452" w:rsidRPr="00465452" w:rsidTr="00804A0E">
        <w:trPr>
          <w:gridAfter w:val="1"/>
          <w:jc w:val="center"/>
        </w:trPr>
        <w:tc>
          <w:tcPr>
            <w:tcW w:w="9325" w:type="dxa"/>
            <w:gridSpan w:val="3"/>
            <w:shd w:val="clear" w:color="auto" w:fill="FFFFFF"/>
            <w:tcMar>
              <w:left w:w="144" w:type="dxa"/>
              <w:right w:w="144" w:type="dxa"/>
            </w:tcMar>
          </w:tcPr>
          <w:p w:rsidR="00465452" w:rsidRPr="00465452" w:rsidRDefault="00465452" w:rsidP="00465452"/>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pPr>
              <w:rPr>
                <w:b/>
                <w:bCs/>
              </w:rPr>
            </w:pPr>
            <w:r w:rsidRPr="00465452">
              <w:rPr>
                <w:b/>
                <w:bCs/>
              </w:rPr>
              <w:t>METABOLISM AND NUTRITION DISORDERS</w:t>
            </w:r>
          </w:p>
        </w:tc>
        <w:tc>
          <w:tcPr>
            <w:tcW w:w="1548" w:type="dxa"/>
            <w:shd w:val="clear" w:color="auto" w:fill="FFFFFF"/>
            <w:tcMar>
              <w:left w:w="144" w:type="dxa"/>
              <w:right w:w="144" w:type="dxa"/>
            </w:tcMar>
          </w:tcPr>
          <w:p w:rsidR="00465452" w:rsidRPr="00465452" w:rsidRDefault="00465452" w:rsidP="00465452"/>
        </w:tc>
        <w:tc>
          <w:tcPr>
            <w:tcW w:w="2382" w:type="dxa"/>
            <w:shd w:val="clear" w:color="auto" w:fill="FFFFFF"/>
            <w:tcMar>
              <w:left w:w="144" w:type="dxa"/>
              <w:right w:w="144" w:type="dxa"/>
            </w:tcMar>
          </w:tcPr>
          <w:p w:rsidR="00465452" w:rsidRPr="00465452" w:rsidRDefault="00465452" w:rsidP="00465452"/>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r w:rsidRPr="00465452">
              <w:t>Decreased appetite</w:t>
            </w:r>
          </w:p>
        </w:tc>
        <w:tc>
          <w:tcPr>
            <w:tcW w:w="1548" w:type="dxa"/>
            <w:shd w:val="clear" w:color="auto" w:fill="FFFFFF"/>
            <w:tcMar>
              <w:left w:w="144" w:type="dxa"/>
              <w:right w:w="144" w:type="dxa"/>
            </w:tcMar>
          </w:tcPr>
          <w:p w:rsidR="00465452" w:rsidRPr="00465452" w:rsidRDefault="00465452" w:rsidP="00465452">
            <w:r w:rsidRPr="00465452">
              <w:t>656 (23.1)</w:t>
            </w:r>
          </w:p>
        </w:tc>
        <w:tc>
          <w:tcPr>
            <w:tcW w:w="2382" w:type="dxa"/>
            <w:shd w:val="clear" w:color="auto" w:fill="FFFFFF"/>
            <w:tcMar>
              <w:left w:w="144" w:type="dxa"/>
              <w:right w:w="144" w:type="dxa"/>
            </w:tcMar>
          </w:tcPr>
          <w:p w:rsidR="00465452" w:rsidRPr="00465452" w:rsidRDefault="00465452" w:rsidP="00465452">
            <w:r w:rsidRPr="00465452">
              <w:t>694 (24.5)</w:t>
            </w:r>
          </w:p>
        </w:tc>
      </w:tr>
      <w:tr w:rsidR="00465452" w:rsidRPr="00465452" w:rsidTr="00804A0E">
        <w:trPr>
          <w:gridAfter w:val="1"/>
          <w:jc w:val="center"/>
        </w:trPr>
        <w:tc>
          <w:tcPr>
            <w:tcW w:w="9325" w:type="dxa"/>
            <w:gridSpan w:val="3"/>
            <w:shd w:val="clear" w:color="auto" w:fill="FFFFFF"/>
            <w:tcMar>
              <w:left w:w="144" w:type="dxa"/>
              <w:right w:w="144" w:type="dxa"/>
            </w:tcMar>
          </w:tcPr>
          <w:p w:rsidR="00465452" w:rsidRPr="00465452" w:rsidRDefault="00465452" w:rsidP="00465452"/>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pPr>
              <w:rPr>
                <w:b/>
                <w:bCs/>
              </w:rPr>
            </w:pPr>
            <w:r w:rsidRPr="00465452">
              <w:rPr>
                <w:b/>
                <w:bCs/>
              </w:rPr>
              <w:t>MUSCULOSKELETAL AND CONNECTIVE TISSUE DISORDERS</w:t>
            </w:r>
          </w:p>
        </w:tc>
        <w:tc>
          <w:tcPr>
            <w:tcW w:w="1548" w:type="dxa"/>
            <w:shd w:val="clear" w:color="auto" w:fill="FFFFFF"/>
            <w:tcMar>
              <w:left w:w="144" w:type="dxa"/>
              <w:right w:w="144" w:type="dxa"/>
            </w:tcMar>
          </w:tcPr>
          <w:p w:rsidR="00465452" w:rsidRPr="00465452" w:rsidRDefault="00465452" w:rsidP="00465452"/>
        </w:tc>
        <w:tc>
          <w:tcPr>
            <w:tcW w:w="2382" w:type="dxa"/>
            <w:shd w:val="clear" w:color="auto" w:fill="FFFFFF"/>
            <w:tcMar>
              <w:left w:w="144" w:type="dxa"/>
              <w:right w:w="144" w:type="dxa"/>
            </w:tcMar>
          </w:tcPr>
          <w:p w:rsidR="00465452" w:rsidRPr="00465452" w:rsidRDefault="00465452" w:rsidP="00465452"/>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r w:rsidRPr="00465452">
              <w:t>Back pain</w:t>
            </w:r>
          </w:p>
        </w:tc>
        <w:tc>
          <w:tcPr>
            <w:tcW w:w="1548" w:type="dxa"/>
            <w:shd w:val="clear" w:color="auto" w:fill="FFFFFF"/>
            <w:tcMar>
              <w:left w:w="144" w:type="dxa"/>
              <w:right w:w="144" w:type="dxa"/>
            </w:tcMar>
          </w:tcPr>
          <w:p w:rsidR="00465452" w:rsidRPr="00465452" w:rsidRDefault="00465452" w:rsidP="00465452">
            <w:r w:rsidRPr="00465452">
              <w:t>718 (25.3)</w:t>
            </w:r>
          </w:p>
        </w:tc>
        <w:tc>
          <w:tcPr>
            <w:tcW w:w="2382" w:type="dxa"/>
            <w:shd w:val="clear" w:color="auto" w:fill="FFFFFF"/>
            <w:tcMar>
              <w:left w:w="144" w:type="dxa"/>
              <w:right w:w="144" w:type="dxa"/>
            </w:tcMar>
          </w:tcPr>
          <w:p w:rsidR="00465452" w:rsidRPr="00465452" w:rsidRDefault="00465452" w:rsidP="00465452">
            <w:r w:rsidRPr="00465452">
              <w:t>747 (26.3)</w:t>
            </w:r>
          </w:p>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r w:rsidRPr="00465452">
              <w:t>Arthralgia</w:t>
            </w:r>
          </w:p>
        </w:tc>
        <w:tc>
          <w:tcPr>
            <w:tcW w:w="1548" w:type="dxa"/>
            <w:shd w:val="clear" w:color="auto" w:fill="FFFFFF"/>
            <w:tcMar>
              <w:left w:w="144" w:type="dxa"/>
              <w:right w:w="144" w:type="dxa"/>
            </w:tcMar>
          </w:tcPr>
          <w:p w:rsidR="00465452" w:rsidRPr="00465452" w:rsidRDefault="00465452" w:rsidP="00465452">
            <w:r w:rsidRPr="00465452">
              <w:t>570 (20.1)</w:t>
            </w:r>
          </w:p>
        </w:tc>
        <w:tc>
          <w:tcPr>
            <w:tcW w:w="2382" w:type="dxa"/>
            <w:shd w:val="clear" w:color="auto" w:fill="FFFFFF"/>
            <w:tcMar>
              <w:left w:w="144" w:type="dxa"/>
              <w:right w:w="144" w:type="dxa"/>
            </w:tcMar>
          </w:tcPr>
          <w:p w:rsidR="00465452" w:rsidRPr="00465452" w:rsidRDefault="00465452" w:rsidP="00465452">
            <w:r w:rsidRPr="00465452">
              <w:t>632 (22.3)</w:t>
            </w:r>
          </w:p>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r w:rsidRPr="00465452">
              <w:t>Bone pain</w:t>
            </w:r>
          </w:p>
        </w:tc>
        <w:tc>
          <w:tcPr>
            <w:tcW w:w="1548" w:type="dxa"/>
            <w:shd w:val="clear" w:color="auto" w:fill="FFFFFF"/>
            <w:tcMar>
              <w:left w:w="144" w:type="dxa"/>
              <w:right w:w="144" w:type="dxa"/>
            </w:tcMar>
          </w:tcPr>
          <w:p w:rsidR="00465452" w:rsidRPr="00465452" w:rsidRDefault="00465452" w:rsidP="00465452">
            <w:r w:rsidRPr="00465452">
              <w:t>564 (19.9)</w:t>
            </w:r>
          </w:p>
        </w:tc>
        <w:tc>
          <w:tcPr>
            <w:tcW w:w="2382" w:type="dxa"/>
            <w:shd w:val="clear" w:color="auto" w:fill="FFFFFF"/>
            <w:tcMar>
              <w:left w:w="144" w:type="dxa"/>
              <w:right w:w="144" w:type="dxa"/>
            </w:tcMar>
          </w:tcPr>
          <w:p w:rsidR="00465452" w:rsidRPr="00465452" w:rsidRDefault="00465452" w:rsidP="00465452">
            <w:r w:rsidRPr="00465452">
              <w:t>639 (22.5)</w:t>
            </w:r>
          </w:p>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r w:rsidRPr="00465452">
              <w:t>Pain in extremity</w:t>
            </w:r>
          </w:p>
        </w:tc>
        <w:tc>
          <w:tcPr>
            <w:tcW w:w="1548" w:type="dxa"/>
            <w:shd w:val="clear" w:color="auto" w:fill="FFFFFF"/>
            <w:tcMar>
              <w:left w:w="144" w:type="dxa"/>
              <w:right w:w="144" w:type="dxa"/>
            </w:tcMar>
          </w:tcPr>
          <w:p w:rsidR="00465452" w:rsidRPr="00465452" w:rsidRDefault="00465452" w:rsidP="00465452">
            <w:r w:rsidRPr="00465452">
              <w:t>524 (18.4)</w:t>
            </w:r>
          </w:p>
        </w:tc>
        <w:tc>
          <w:tcPr>
            <w:tcW w:w="2382" w:type="dxa"/>
            <w:shd w:val="clear" w:color="auto" w:fill="FFFFFF"/>
            <w:tcMar>
              <w:left w:w="144" w:type="dxa"/>
              <w:right w:w="144" w:type="dxa"/>
            </w:tcMar>
          </w:tcPr>
          <w:p w:rsidR="00465452" w:rsidRPr="00465452" w:rsidRDefault="00465452" w:rsidP="00465452">
            <w:r w:rsidRPr="00465452">
              <w:t>550 (19.4)</w:t>
            </w:r>
          </w:p>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r w:rsidRPr="00465452">
              <w:t>Musculoskeletal pain</w:t>
            </w:r>
          </w:p>
        </w:tc>
        <w:tc>
          <w:tcPr>
            <w:tcW w:w="1548" w:type="dxa"/>
            <w:shd w:val="clear" w:color="auto" w:fill="FFFFFF"/>
            <w:tcMar>
              <w:left w:w="144" w:type="dxa"/>
              <w:right w:w="144" w:type="dxa"/>
            </w:tcMar>
          </w:tcPr>
          <w:p w:rsidR="00465452" w:rsidRPr="00465452" w:rsidRDefault="00465452" w:rsidP="00465452">
            <w:r w:rsidRPr="00465452">
              <w:t>357 (12.6)</w:t>
            </w:r>
          </w:p>
        </w:tc>
        <w:tc>
          <w:tcPr>
            <w:tcW w:w="2382" w:type="dxa"/>
            <w:shd w:val="clear" w:color="auto" w:fill="FFFFFF"/>
            <w:tcMar>
              <w:left w:w="144" w:type="dxa"/>
              <w:right w:w="144" w:type="dxa"/>
            </w:tcMar>
          </w:tcPr>
          <w:p w:rsidR="00465452" w:rsidRPr="00465452" w:rsidRDefault="00465452" w:rsidP="00465452">
            <w:r w:rsidRPr="00465452">
              <w:t>385 (13.6)</w:t>
            </w:r>
          </w:p>
        </w:tc>
      </w:tr>
      <w:tr w:rsidR="00465452" w:rsidRPr="00465452" w:rsidTr="00804A0E">
        <w:trPr>
          <w:gridAfter w:val="1"/>
          <w:jc w:val="center"/>
        </w:trPr>
        <w:tc>
          <w:tcPr>
            <w:tcW w:w="9325" w:type="dxa"/>
            <w:gridSpan w:val="3"/>
            <w:shd w:val="clear" w:color="auto" w:fill="FFFFFF"/>
            <w:tcMar>
              <w:left w:w="144" w:type="dxa"/>
              <w:right w:w="144" w:type="dxa"/>
            </w:tcMar>
          </w:tcPr>
          <w:p w:rsidR="00465452" w:rsidRPr="00465452" w:rsidRDefault="00465452" w:rsidP="00465452"/>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pPr>
              <w:rPr>
                <w:b/>
                <w:bCs/>
              </w:rPr>
            </w:pPr>
            <w:r w:rsidRPr="00465452">
              <w:rPr>
                <w:b/>
                <w:bCs/>
              </w:rPr>
              <w:t>NERVOUS SYSTEM DISORDERS</w:t>
            </w:r>
          </w:p>
        </w:tc>
        <w:tc>
          <w:tcPr>
            <w:tcW w:w="1548" w:type="dxa"/>
            <w:shd w:val="clear" w:color="auto" w:fill="FFFFFF"/>
            <w:tcMar>
              <w:left w:w="144" w:type="dxa"/>
              <w:right w:w="144" w:type="dxa"/>
            </w:tcMar>
          </w:tcPr>
          <w:p w:rsidR="00465452" w:rsidRPr="00465452" w:rsidRDefault="00465452" w:rsidP="00465452"/>
        </w:tc>
        <w:tc>
          <w:tcPr>
            <w:tcW w:w="2382" w:type="dxa"/>
            <w:shd w:val="clear" w:color="auto" w:fill="FFFFFF"/>
            <w:tcMar>
              <w:left w:w="144" w:type="dxa"/>
              <w:right w:w="144" w:type="dxa"/>
            </w:tcMar>
          </w:tcPr>
          <w:p w:rsidR="00465452" w:rsidRPr="00465452" w:rsidRDefault="00465452" w:rsidP="00465452"/>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r w:rsidRPr="00465452">
              <w:t>Headache</w:t>
            </w:r>
          </w:p>
        </w:tc>
        <w:tc>
          <w:tcPr>
            <w:tcW w:w="1548" w:type="dxa"/>
            <w:shd w:val="clear" w:color="auto" w:fill="FFFFFF"/>
            <w:tcMar>
              <w:left w:w="144" w:type="dxa"/>
              <w:right w:w="144" w:type="dxa"/>
            </w:tcMar>
          </w:tcPr>
          <w:p w:rsidR="00465452" w:rsidRPr="00465452" w:rsidRDefault="00465452" w:rsidP="00465452">
            <w:r w:rsidRPr="00465452">
              <w:t>360 (12.7)</w:t>
            </w:r>
          </w:p>
        </w:tc>
        <w:tc>
          <w:tcPr>
            <w:tcW w:w="2382" w:type="dxa"/>
            <w:shd w:val="clear" w:color="auto" w:fill="FFFFFF"/>
            <w:tcMar>
              <w:left w:w="144" w:type="dxa"/>
              <w:right w:w="144" w:type="dxa"/>
            </w:tcMar>
          </w:tcPr>
          <w:p w:rsidR="00465452" w:rsidRPr="00465452" w:rsidRDefault="00465452" w:rsidP="00465452">
            <w:r w:rsidRPr="00465452">
              <w:t>382 (13.5)</w:t>
            </w:r>
          </w:p>
        </w:tc>
      </w:tr>
      <w:tr w:rsidR="00465452" w:rsidRPr="00465452" w:rsidTr="00804A0E">
        <w:trPr>
          <w:gridAfter w:val="1"/>
          <w:jc w:val="center"/>
        </w:trPr>
        <w:tc>
          <w:tcPr>
            <w:tcW w:w="9325" w:type="dxa"/>
            <w:gridSpan w:val="3"/>
            <w:shd w:val="clear" w:color="auto" w:fill="FFFFFF"/>
            <w:tcMar>
              <w:left w:w="144" w:type="dxa"/>
              <w:right w:w="144" w:type="dxa"/>
            </w:tcMar>
          </w:tcPr>
          <w:p w:rsidR="00465452" w:rsidRPr="00465452" w:rsidRDefault="00465452" w:rsidP="00465452"/>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pPr>
              <w:rPr>
                <w:b/>
                <w:bCs/>
              </w:rPr>
            </w:pPr>
            <w:r w:rsidRPr="00465452">
              <w:rPr>
                <w:b/>
                <w:bCs/>
              </w:rPr>
              <w:t>PSYCHIATRIC DISORDERS</w:t>
            </w:r>
          </w:p>
        </w:tc>
        <w:tc>
          <w:tcPr>
            <w:tcW w:w="1548" w:type="dxa"/>
            <w:shd w:val="clear" w:color="auto" w:fill="FFFFFF"/>
            <w:tcMar>
              <w:left w:w="144" w:type="dxa"/>
              <w:right w:w="144" w:type="dxa"/>
            </w:tcMar>
          </w:tcPr>
          <w:p w:rsidR="00465452" w:rsidRPr="00465452" w:rsidRDefault="00465452" w:rsidP="00465452"/>
        </w:tc>
        <w:tc>
          <w:tcPr>
            <w:tcW w:w="2382" w:type="dxa"/>
            <w:shd w:val="clear" w:color="auto" w:fill="FFFFFF"/>
            <w:tcMar>
              <w:left w:w="144" w:type="dxa"/>
              <w:right w:w="144" w:type="dxa"/>
            </w:tcMar>
          </w:tcPr>
          <w:p w:rsidR="00465452" w:rsidRPr="00465452" w:rsidRDefault="00465452" w:rsidP="00465452"/>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r w:rsidRPr="00465452">
              <w:t>Insomnia</w:t>
            </w:r>
          </w:p>
        </w:tc>
        <w:tc>
          <w:tcPr>
            <w:tcW w:w="1548" w:type="dxa"/>
            <w:shd w:val="clear" w:color="auto" w:fill="FFFFFF"/>
            <w:tcMar>
              <w:left w:w="144" w:type="dxa"/>
              <w:right w:w="144" w:type="dxa"/>
            </w:tcMar>
          </w:tcPr>
          <w:p w:rsidR="00465452" w:rsidRPr="00465452" w:rsidRDefault="00465452" w:rsidP="00465452">
            <w:r w:rsidRPr="00465452">
              <w:t>302 (10.6)</w:t>
            </w:r>
          </w:p>
        </w:tc>
        <w:tc>
          <w:tcPr>
            <w:tcW w:w="2382" w:type="dxa"/>
            <w:shd w:val="clear" w:color="auto" w:fill="FFFFFF"/>
            <w:tcMar>
              <w:left w:w="144" w:type="dxa"/>
              <w:right w:w="144" w:type="dxa"/>
            </w:tcMar>
          </w:tcPr>
          <w:p w:rsidR="00465452" w:rsidRPr="00465452" w:rsidRDefault="00465452" w:rsidP="00465452">
            <w:r w:rsidRPr="00465452">
              <w:t>324 (11.4)</w:t>
            </w:r>
          </w:p>
        </w:tc>
      </w:tr>
      <w:tr w:rsidR="00465452" w:rsidRPr="00465452" w:rsidTr="00804A0E">
        <w:trPr>
          <w:gridAfter w:val="1"/>
          <w:trHeight w:val="65"/>
          <w:jc w:val="center"/>
        </w:trPr>
        <w:tc>
          <w:tcPr>
            <w:tcW w:w="9325" w:type="dxa"/>
            <w:gridSpan w:val="3"/>
            <w:shd w:val="clear" w:color="auto" w:fill="FFFFFF"/>
            <w:tcMar>
              <w:left w:w="144" w:type="dxa"/>
              <w:right w:w="144" w:type="dxa"/>
            </w:tcMar>
          </w:tcPr>
          <w:p w:rsidR="00465452" w:rsidRPr="00465452" w:rsidRDefault="00465452" w:rsidP="00465452"/>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pPr>
              <w:rPr>
                <w:b/>
                <w:bCs/>
              </w:rPr>
            </w:pPr>
            <w:r w:rsidRPr="00465452">
              <w:rPr>
                <w:b/>
                <w:bCs/>
              </w:rPr>
              <w:t>RESPIRATORY, THORACIC, AND MEDIASTINAL DISORDERS</w:t>
            </w:r>
          </w:p>
        </w:tc>
        <w:tc>
          <w:tcPr>
            <w:tcW w:w="1548" w:type="dxa"/>
            <w:shd w:val="clear" w:color="auto" w:fill="FFFFFF"/>
            <w:tcMar>
              <w:left w:w="144" w:type="dxa"/>
              <w:right w:w="144" w:type="dxa"/>
            </w:tcMar>
          </w:tcPr>
          <w:p w:rsidR="00465452" w:rsidRPr="00465452" w:rsidRDefault="00465452" w:rsidP="00465452"/>
        </w:tc>
        <w:tc>
          <w:tcPr>
            <w:tcW w:w="2382" w:type="dxa"/>
            <w:shd w:val="clear" w:color="auto" w:fill="FFFFFF"/>
            <w:tcMar>
              <w:left w:w="144" w:type="dxa"/>
              <w:right w:w="144" w:type="dxa"/>
            </w:tcMar>
          </w:tcPr>
          <w:p w:rsidR="00465452" w:rsidRPr="00465452" w:rsidRDefault="00465452" w:rsidP="00465452"/>
        </w:tc>
      </w:tr>
      <w:tr w:rsidR="00465452" w:rsidRPr="00465452" w:rsidTr="00804A0E">
        <w:trPr>
          <w:gridAfter w:val="1"/>
          <w:jc w:val="center"/>
        </w:trPr>
        <w:tc>
          <w:tcPr>
            <w:tcW w:w="5395" w:type="dxa"/>
            <w:shd w:val="clear" w:color="auto" w:fill="FFFFFF"/>
            <w:tcMar>
              <w:left w:w="144" w:type="dxa"/>
              <w:right w:w="144" w:type="dxa"/>
            </w:tcMar>
          </w:tcPr>
          <w:p w:rsidR="00465452" w:rsidRPr="00465452" w:rsidRDefault="00465452" w:rsidP="00465452">
            <w:proofErr w:type="spellStart"/>
            <w:r w:rsidRPr="00465452">
              <w:t>Dyspnoea</w:t>
            </w:r>
            <w:proofErr w:type="spellEnd"/>
          </w:p>
        </w:tc>
        <w:tc>
          <w:tcPr>
            <w:tcW w:w="1548" w:type="dxa"/>
            <w:shd w:val="clear" w:color="auto" w:fill="FFFFFF"/>
            <w:tcMar>
              <w:left w:w="144" w:type="dxa"/>
              <w:right w:w="144" w:type="dxa"/>
            </w:tcMar>
          </w:tcPr>
          <w:p w:rsidR="00465452" w:rsidRPr="00465452" w:rsidRDefault="00465452" w:rsidP="00465452">
            <w:r w:rsidRPr="00465452">
              <w:t>585 (20.6)</w:t>
            </w:r>
          </w:p>
        </w:tc>
        <w:tc>
          <w:tcPr>
            <w:tcW w:w="2382" w:type="dxa"/>
            <w:shd w:val="clear" w:color="auto" w:fill="FFFFFF"/>
            <w:tcMar>
              <w:left w:w="144" w:type="dxa"/>
              <w:right w:w="144" w:type="dxa"/>
            </w:tcMar>
          </w:tcPr>
          <w:p w:rsidR="00465452" w:rsidRPr="00465452" w:rsidRDefault="00465452" w:rsidP="00465452">
            <w:r w:rsidRPr="00465452">
              <w:t>507 (17.9)</w:t>
            </w:r>
          </w:p>
        </w:tc>
      </w:tr>
      <w:tr w:rsidR="00465452" w:rsidRPr="00465452" w:rsidTr="00804A0E">
        <w:trPr>
          <w:gridAfter w:val="1"/>
          <w:jc w:val="center"/>
        </w:trPr>
        <w:tc>
          <w:tcPr>
            <w:tcW w:w="5395" w:type="dxa"/>
            <w:tcBorders>
              <w:bottom w:val="single" w:sz="4" w:space="0" w:color="auto"/>
            </w:tcBorders>
            <w:shd w:val="clear" w:color="auto" w:fill="FFFFFF"/>
            <w:tcMar>
              <w:left w:w="144" w:type="dxa"/>
              <w:right w:w="144" w:type="dxa"/>
            </w:tcMar>
          </w:tcPr>
          <w:p w:rsidR="00465452" w:rsidRPr="00465452" w:rsidRDefault="00465452" w:rsidP="00465452">
            <w:r w:rsidRPr="00465452">
              <w:t>Cough</w:t>
            </w:r>
          </w:p>
        </w:tc>
        <w:tc>
          <w:tcPr>
            <w:tcW w:w="1548" w:type="dxa"/>
            <w:tcBorders>
              <w:bottom w:val="single" w:sz="4" w:space="0" w:color="auto"/>
            </w:tcBorders>
            <w:shd w:val="clear" w:color="auto" w:fill="FFFFFF"/>
            <w:tcMar>
              <w:left w:w="144" w:type="dxa"/>
              <w:right w:w="144" w:type="dxa"/>
            </w:tcMar>
          </w:tcPr>
          <w:p w:rsidR="00465452" w:rsidRPr="00465452" w:rsidRDefault="00465452" w:rsidP="00465452">
            <w:r w:rsidRPr="00465452">
              <w:t>437 (15.4)</w:t>
            </w:r>
          </w:p>
        </w:tc>
        <w:tc>
          <w:tcPr>
            <w:tcW w:w="2382" w:type="dxa"/>
            <w:tcBorders>
              <w:bottom w:val="single" w:sz="4" w:space="0" w:color="auto"/>
            </w:tcBorders>
            <w:shd w:val="clear" w:color="auto" w:fill="FFFFFF"/>
            <w:tcMar>
              <w:left w:w="144" w:type="dxa"/>
              <w:right w:w="144" w:type="dxa"/>
            </w:tcMar>
          </w:tcPr>
          <w:p w:rsidR="00465452" w:rsidRPr="00465452" w:rsidRDefault="00465452" w:rsidP="00465452">
            <w:r w:rsidRPr="00465452">
              <w:t>419 (14.8)</w:t>
            </w:r>
          </w:p>
        </w:tc>
      </w:tr>
      <w:tr w:rsidR="00465452" w:rsidRPr="00465452" w:rsidTr="00804A0E">
        <w:tblPrEx>
          <w:tblCellMar>
            <w:left w:w="10" w:type="dxa"/>
            <w:right w:w="10" w:type="dxa"/>
          </w:tblCellMar>
        </w:tblPrEx>
        <w:trPr>
          <w:jc w:val="center"/>
        </w:trPr>
        <w:tc>
          <w:tcPr>
            <w:tcW w:w="9325" w:type="dxa"/>
            <w:gridSpan w:val="3"/>
            <w:tcBorders>
              <w:top w:val="single" w:sz="4" w:space="0" w:color="auto"/>
              <w:left w:val="nil"/>
              <w:bottom w:val="nil"/>
              <w:right w:val="nil"/>
            </w:tcBorders>
            <w:shd w:val="clear" w:color="auto" w:fill="FFFFFF"/>
            <w:tcMar>
              <w:left w:w="144" w:type="dxa"/>
              <w:right w:w="144" w:type="dxa"/>
            </w:tcMar>
          </w:tcPr>
          <w:p w:rsidR="00465452" w:rsidRPr="00465452" w:rsidRDefault="00465452" w:rsidP="00465452">
            <w:pPr>
              <w:rPr>
                <w:i/>
                <w:iCs/>
              </w:rPr>
            </w:pPr>
            <w:r w:rsidRPr="00465452">
              <w:t>N = number of patients who received ≥ 1 active dose of investigational product</w:t>
            </w:r>
            <w:r w:rsidRPr="00465452">
              <w:br/>
              <w:t xml:space="preserve">n = number of patients reporting ≥ 1 event </w:t>
            </w:r>
          </w:p>
        </w:tc>
        <w:tc>
          <w:tcPr>
            <w:tcW w:w="0" w:type="auto"/>
          </w:tcPr>
          <w:p w:rsidR="00465452" w:rsidRPr="00465452" w:rsidRDefault="00465452" w:rsidP="00465452">
            <w:r w:rsidRPr="00465452">
              <w:t xml:space="preserve"> </w:t>
            </w:r>
          </w:p>
        </w:tc>
      </w:tr>
    </w:tbl>
    <w:p w:rsidR="00465452" w:rsidRPr="00465452" w:rsidRDefault="00465452" w:rsidP="00465452"/>
    <w:p w:rsidR="00465452" w:rsidRPr="00465452" w:rsidRDefault="00465452" w:rsidP="00465452">
      <w:pPr>
        <w:rPr>
          <w:b/>
          <w:i/>
        </w:rPr>
      </w:pPr>
      <w:r w:rsidRPr="00465452">
        <w:rPr>
          <w:b/>
          <w:i/>
        </w:rPr>
        <w:t xml:space="preserve">Giant cell </w:t>
      </w:r>
      <w:proofErr w:type="spellStart"/>
      <w:r w:rsidRPr="00465452">
        <w:rPr>
          <w:b/>
          <w:i/>
        </w:rPr>
        <w:t>tumour</w:t>
      </w:r>
      <w:proofErr w:type="spellEnd"/>
      <w:r w:rsidRPr="00465452">
        <w:rPr>
          <w:b/>
          <w:i/>
        </w:rPr>
        <w:t xml:space="preserve"> of bone</w:t>
      </w:r>
    </w:p>
    <w:p w:rsidR="00465452" w:rsidRPr="00465452" w:rsidRDefault="00465452" w:rsidP="00465452">
      <w:pPr>
        <w:rPr>
          <w:lang w:val="en-AU"/>
        </w:rPr>
      </w:pPr>
      <w:r w:rsidRPr="00465452">
        <w:rPr>
          <w:lang w:val="en-AU"/>
        </w:rPr>
        <w:t xml:space="preserve">The safety of </w:t>
      </w:r>
      <w:proofErr w:type="spellStart"/>
      <w:r w:rsidRPr="00465452">
        <w:rPr>
          <w:lang w:val="en-AU"/>
        </w:rPr>
        <w:t>Xgeva</w:t>
      </w:r>
      <w:proofErr w:type="spellEnd"/>
      <w:r w:rsidRPr="00465452">
        <w:rPr>
          <w:lang w:val="en-AU"/>
        </w:rPr>
        <w:t xml:space="preserve"> was evaluated in two Phase 2 open-label, single arm studies in which a total of 304 patients with giant cell tumour of bone received at least 1 dose of </w:t>
      </w:r>
      <w:proofErr w:type="spellStart"/>
      <w:r w:rsidRPr="00465452">
        <w:rPr>
          <w:lang w:val="en-AU"/>
        </w:rPr>
        <w:t>Xgeva</w:t>
      </w:r>
      <w:proofErr w:type="spellEnd"/>
      <w:r w:rsidRPr="00465452">
        <w:rPr>
          <w:lang w:val="en-AU"/>
        </w:rPr>
        <w:t xml:space="preserve">. Patients received 120 mg </w:t>
      </w:r>
      <w:proofErr w:type="spellStart"/>
      <w:r w:rsidRPr="00465452">
        <w:rPr>
          <w:lang w:val="en-AU"/>
        </w:rPr>
        <w:t>Xgeva</w:t>
      </w:r>
      <w:proofErr w:type="spellEnd"/>
      <w:r w:rsidRPr="00465452">
        <w:rPr>
          <w:lang w:val="en-AU"/>
        </w:rPr>
        <w:t xml:space="preserve"> subcutaneously every 4 weeks with a loading dose of 120 mg on days 8 and 15 of the initial 4-week period. Of the 304 patients who received </w:t>
      </w:r>
      <w:proofErr w:type="spellStart"/>
      <w:r w:rsidRPr="00465452">
        <w:rPr>
          <w:lang w:val="en-AU"/>
        </w:rPr>
        <w:t>Xgeva</w:t>
      </w:r>
      <w:proofErr w:type="spellEnd"/>
      <w:r w:rsidRPr="00465452">
        <w:rPr>
          <w:lang w:val="en-AU"/>
        </w:rPr>
        <w:t xml:space="preserve">, 147 patients were treated with </w:t>
      </w:r>
      <w:proofErr w:type="spellStart"/>
      <w:r w:rsidRPr="00465452">
        <w:rPr>
          <w:lang w:val="en-AU"/>
        </w:rPr>
        <w:t>Xgeva</w:t>
      </w:r>
      <w:proofErr w:type="spellEnd"/>
      <w:r w:rsidRPr="00465452">
        <w:rPr>
          <w:lang w:val="en-AU"/>
        </w:rPr>
        <w:t xml:space="preserve"> for ≥ 1 year, 46 patients for ≥ 2 years, and 15 patients for ≥ 3 years. The median (Q1, Q3) number of doses received was 14 (8.0, 22); the minimum number of doses received was 1 and the maximum was 60. The median (Q1, Q3) number of months on study was 11.2 (5.4, 18.2).The median (range) age was 33 (13 to 83) years; 10 subjects were skeletally mature adolescents (aged 13 to 17 years). </w:t>
      </w:r>
    </w:p>
    <w:p w:rsidR="00465452" w:rsidRPr="00465452" w:rsidRDefault="00465452" w:rsidP="00465452">
      <w:pPr>
        <w:rPr>
          <w:lang w:val="en-AU"/>
        </w:rPr>
      </w:pPr>
    </w:p>
    <w:p w:rsidR="00465452" w:rsidRPr="00465452" w:rsidRDefault="00465452" w:rsidP="00465452">
      <w:pPr>
        <w:rPr>
          <w:lang w:val="en-AU"/>
        </w:rPr>
      </w:pPr>
      <w:r w:rsidRPr="00465452">
        <w:rPr>
          <w:lang w:val="en-AU"/>
        </w:rPr>
        <w:t xml:space="preserve">The overall safety and tolerability profile of </w:t>
      </w:r>
      <w:proofErr w:type="spellStart"/>
      <w:r w:rsidRPr="00465452">
        <w:rPr>
          <w:lang w:val="en-AU"/>
        </w:rPr>
        <w:t>Xgeva</w:t>
      </w:r>
      <w:proofErr w:type="spellEnd"/>
      <w:r w:rsidRPr="00465452">
        <w:rPr>
          <w:lang w:val="en-AU"/>
        </w:rPr>
        <w:t xml:space="preserve"> in patients with giant cell tumour of bone was similar to that reported in trials of patients with bone metastases from solid tumours. For skeletally mature adolescent subjects with GCTB, the safety profile appears to be similar to that in adult subjects with GCTB.</w:t>
      </w:r>
    </w:p>
    <w:p w:rsidR="00465452" w:rsidRPr="00465452" w:rsidRDefault="00465452" w:rsidP="00465452">
      <w:pPr>
        <w:rPr>
          <w:lang w:val="en-AU"/>
        </w:rPr>
      </w:pPr>
      <w:r w:rsidRPr="00465452">
        <w:rPr>
          <w:lang w:val="en-AU"/>
        </w:rPr>
        <w:lastRenderedPageBreak/>
        <w:t xml:space="preserve">The most common adverse reactions in patients with giant cell tumour of bone receiving </w:t>
      </w:r>
      <w:proofErr w:type="spellStart"/>
      <w:r w:rsidRPr="00465452">
        <w:rPr>
          <w:lang w:val="en-AU"/>
        </w:rPr>
        <w:t>Xgeva</w:t>
      </w:r>
      <w:proofErr w:type="spellEnd"/>
      <w:r w:rsidRPr="00465452">
        <w:rPr>
          <w:lang w:val="en-AU"/>
        </w:rPr>
        <w:t xml:space="preserve"> (per-patient incidence greater than or equal to 10%) were arthralgia, headache, nausea, fatigue, back pain, and pain in extremity.</w:t>
      </w:r>
    </w:p>
    <w:p w:rsidR="00465452" w:rsidRPr="00465452" w:rsidRDefault="00465452" w:rsidP="00465452">
      <w:pPr>
        <w:rPr>
          <w:b/>
          <w:iCs/>
          <w:u w:val="single"/>
          <w:lang w:val="en-AU"/>
        </w:rPr>
      </w:pPr>
    </w:p>
    <w:p w:rsidR="00465452" w:rsidRPr="00465452" w:rsidRDefault="00465452" w:rsidP="00465452">
      <w:pPr>
        <w:rPr>
          <w:b/>
          <w:iCs/>
          <w:u w:val="single"/>
          <w:lang w:val="en-AU"/>
        </w:rPr>
      </w:pPr>
      <w:r w:rsidRPr="00465452">
        <w:rPr>
          <w:b/>
          <w:iCs/>
          <w:u w:val="single"/>
          <w:lang w:val="en-AU"/>
        </w:rPr>
        <w:t>Hypocalcaemia</w:t>
      </w:r>
    </w:p>
    <w:p w:rsidR="00465452" w:rsidRPr="00465452" w:rsidRDefault="00465452" w:rsidP="00465452">
      <w:pPr>
        <w:rPr>
          <w:lang w:val="en-AU"/>
        </w:rPr>
      </w:pPr>
      <w:r w:rsidRPr="00465452">
        <w:rPr>
          <w:lang w:val="en-AU"/>
        </w:rPr>
        <w:t xml:space="preserve">In three </w:t>
      </w:r>
      <w:proofErr w:type="gramStart"/>
      <w:r w:rsidRPr="00465452">
        <w:rPr>
          <w:lang w:val="en-AU"/>
        </w:rPr>
        <w:t>phase</w:t>
      </w:r>
      <w:proofErr w:type="gramEnd"/>
      <w:r w:rsidRPr="00465452">
        <w:rPr>
          <w:lang w:val="en-AU"/>
        </w:rPr>
        <w:t xml:space="preserve"> 3 active-controlled clinical trials in patients with advanced malignancies involving bone, hypocalcaemia was reported in 9.6% of patients treated with </w:t>
      </w:r>
      <w:proofErr w:type="spellStart"/>
      <w:r w:rsidRPr="00465452">
        <w:t>Xgeva</w:t>
      </w:r>
      <w:proofErr w:type="spellEnd"/>
      <w:r w:rsidRPr="00465452">
        <w:rPr>
          <w:lang w:val="en-AU"/>
        </w:rPr>
        <w:t xml:space="preserve"> and 5.0% of patients treated with </w:t>
      </w:r>
      <w:proofErr w:type="spellStart"/>
      <w:r w:rsidRPr="00465452">
        <w:rPr>
          <w:lang w:val="en-AU"/>
        </w:rPr>
        <w:t>zoledronic</w:t>
      </w:r>
      <w:proofErr w:type="spellEnd"/>
      <w:r w:rsidRPr="00465452">
        <w:rPr>
          <w:lang w:val="en-AU"/>
        </w:rPr>
        <w:t xml:space="preserve"> acid. A decrease in serum calcium levels to the range between 1.5 to 1.75 </w:t>
      </w:r>
      <w:proofErr w:type="spellStart"/>
      <w:r w:rsidRPr="00465452">
        <w:rPr>
          <w:lang w:val="en-AU"/>
        </w:rPr>
        <w:t>mmol</w:t>
      </w:r>
      <w:proofErr w:type="spellEnd"/>
      <w:r w:rsidRPr="00465452">
        <w:rPr>
          <w:lang w:val="en-AU"/>
        </w:rPr>
        <w:t xml:space="preserve">/L was experienced in 2.5% of patients treated with </w:t>
      </w:r>
      <w:proofErr w:type="spellStart"/>
      <w:r w:rsidRPr="00465452">
        <w:rPr>
          <w:lang w:val="en-AU"/>
        </w:rPr>
        <w:t>Xgeva</w:t>
      </w:r>
      <w:proofErr w:type="spellEnd"/>
      <w:r w:rsidRPr="00465452">
        <w:rPr>
          <w:lang w:val="en-AU"/>
        </w:rPr>
        <w:t xml:space="preserve"> and 1.2% of patients treated with </w:t>
      </w:r>
      <w:proofErr w:type="spellStart"/>
      <w:r w:rsidRPr="00465452">
        <w:rPr>
          <w:lang w:val="en-AU"/>
        </w:rPr>
        <w:t>zoledronic</w:t>
      </w:r>
      <w:proofErr w:type="spellEnd"/>
      <w:r w:rsidRPr="00465452">
        <w:rPr>
          <w:lang w:val="en-AU"/>
        </w:rPr>
        <w:t xml:space="preserve"> acid. A decrease in serum calcium levels to &lt; 1.5 </w:t>
      </w:r>
      <w:proofErr w:type="spellStart"/>
      <w:r w:rsidRPr="00465452">
        <w:rPr>
          <w:lang w:val="en-AU"/>
        </w:rPr>
        <w:t>mmol</w:t>
      </w:r>
      <w:proofErr w:type="spellEnd"/>
      <w:r w:rsidRPr="00465452">
        <w:rPr>
          <w:lang w:val="en-AU"/>
        </w:rPr>
        <w:t xml:space="preserve">/L was experienced in 0.6% of patients treated with </w:t>
      </w:r>
      <w:proofErr w:type="spellStart"/>
      <w:r w:rsidRPr="00465452">
        <w:rPr>
          <w:lang w:val="en-AU"/>
        </w:rPr>
        <w:t>Xgeva</w:t>
      </w:r>
      <w:proofErr w:type="spellEnd"/>
      <w:r w:rsidRPr="00465452">
        <w:rPr>
          <w:lang w:val="en-AU"/>
        </w:rPr>
        <w:t xml:space="preserve"> and 0.2% of patients treated with </w:t>
      </w:r>
      <w:proofErr w:type="spellStart"/>
      <w:r w:rsidRPr="00465452">
        <w:rPr>
          <w:lang w:val="en-AU"/>
        </w:rPr>
        <w:t>zoledronic</w:t>
      </w:r>
      <w:proofErr w:type="spellEnd"/>
      <w:r w:rsidRPr="00465452">
        <w:rPr>
          <w:lang w:val="en-AU"/>
        </w:rPr>
        <w:t xml:space="preserve"> acid.</w:t>
      </w:r>
    </w:p>
    <w:p w:rsidR="00465452" w:rsidRPr="00465452" w:rsidRDefault="00465452" w:rsidP="00465452">
      <w:pPr>
        <w:rPr>
          <w:lang w:val="en-AU"/>
        </w:rPr>
      </w:pPr>
    </w:p>
    <w:p w:rsidR="00465452" w:rsidRPr="00465452" w:rsidRDefault="00465452" w:rsidP="00465452">
      <w:pPr>
        <w:rPr>
          <w:lang w:val="en-AU"/>
        </w:rPr>
      </w:pPr>
      <w:r w:rsidRPr="00465452">
        <w:rPr>
          <w:lang w:val="en-AU"/>
        </w:rPr>
        <w:t>In two phase II open-label studies with in patients with giant cell tumour of bone, hypocalcaemia was reported in 4.9% of patients. None of the adverse events was considered serious.</w:t>
      </w:r>
    </w:p>
    <w:p w:rsidR="00465452" w:rsidRPr="00465452" w:rsidRDefault="00465452" w:rsidP="00465452">
      <w:pPr>
        <w:rPr>
          <w:lang w:val="en-AU"/>
        </w:rPr>
      </w:pPr>
      <w:r w:rsidRPr="00465452">
        <w:rPr>
          <w:lang w:val="en-AU"/>
        </w:rPr>
        <w:tab/>
      </w:r>
    </w:p>
    <w:p w:rsidR="00465452" w:rsidRPr="00465452" w:rsidRDefault="00465452" w:rsidP="00465452">
      <w:pPr>
        <w:rPr>
          <w:b/>
          <w:iCs/>
          <w:u w:val="single"/>
          <w:lang w:val="en-AU"/>
        </w:rPr>
      </w:pPr>
      <w:r w:rsidRPr="00465452">
        <w:rPr>
          <w:b/>
          <w:iCs/>
          <w:u w:val="single"/>
          <w:lang w:val="en-AU"/>
        </w:rPr>
        <w:t>Osteonecrosis of the Jaw (ONJ)</w:t>
      </w:r>
    </w:p>
    <w:p w:rsidR="00465452" w:rsidRPr="00465452" w:rsidRDefault="00465452" w:rsidP="00465452">
      <w:pPr>
        <w:rPr>
          <w:lang w:val="en-AU"/>
        </w:rPr>
      </w:pPr>
      <w:r w:rsidRPr="00465452">
        <w:rPr>
          <w:lang w:val="en-AU"/>
        </w:rPr>
        <w:t xml:space="preserve">In the primary treatment phase of three phase 3 active-controlled clinical trials in patients with advanced malignancies involving bone, ONJ was confirmed in 1.8% of patients treated with </w:t>
      </w:r>
      <w:proofErr w:type="spellStart"/>
      <w:r w:rsidRPr="00465452">
        <w:t>Xgeva</w:t>
      </w:r>
      <w:proofErr w:type="spellEnd"/>
      <w:r w:rsidRPr="00465452">
        <w:t xml:space="preserve"> </w:t>
      </w:r>
      <w:r w:rsidRPr="00465452">
        <w:rPr>
          <w:lang w:val="en-AU"/>
        </w:rPr>
        <w:t xml:space="preserve">(median exposure of 12 months; range 0.1 to 40.5) and 1.3% of patients treated with </w:t>
      </w:r>
      <w:proofErr w:type="spellStart"/>
      <w:r w:rsidRPr="00465452">
        <w:rPr>
          <w:lang w:val="en-AU"/>
        </w:rPr>
        <w:t>zoledronic</w:t>
      </w:r>
      <w:proofErr w:type="spellEnd"/>
      <w:r w:rsidRPr="00465452">
        <w:rPr>
          <w:lang w:val="en-AU"/>
        </w:rPr>
        <w:t xml:space="preserve"> acid. Clinical characteristics of these cases were similar between treatment groups. Among subjects with confirmed ONJ, most had a history of tooth extraction, poor oral hygiene, and/or use of a dental appliance. In addition, most subjects were receiving or had received chemotherapy. The trials in</w:t>
      </w:r>
    </w:p>
    <w:p w:rsidR="00465452" w:rsidRPr="00465452" w:rsidRDefault="00465452" w:rsidP="00465452">
      <w:pPr>
        <w:rPr>
          <w:lang w:val="en-AU"/>
        </w:rPr>
      </w:pPr>
      <w:proofErr w:type="gramStart"/>
      <w:r w:rsidRPr="00465452">
        <w:rPr>
          <w:lang w:val="en-AU"/>
        </w:rPr>
        <w:t>patients</w:t>
      </w:r>
      <w:proofErr w:type="gramEnd"/>
      <w:r w:rsidRPr="00465452">
        <w:rPr>
          <w:lang w:val="en-AU"/>
        </w:rPr>
        <w:t xml:space="preserve"> with breast or prostate cancer included a pre-specified </w:t>
      </w:r>
      <w:proofErr w:type="spellStart"/>
      <w:r w:rsidRPr="00465452">
        <w:rPr>
          <w:lang w:val="en-AU"/>
        </w:rPr>
        <w:t>Xgeva</w:t>
      </w:r>
      <w:proofErr w:type="spellEnd"/>
      <w:r w:rsidRPr="00465452">
        <w:rPr>
          <w:lang w:val="en-AU"/>
        </w:rPr>
        <w:t xml:space="preserve"> extension treatment phase</w:t>
      </w:r>
    </w:p>
    <w:p w:rsidR="00465452" w:rsidRPr="00465452" w:rsidRDefault="00465452" w:rsidP="00465452">
      <w:pPr>
        <w:rPr>
          <w:lang w:val="en-AU"/>
        </w:rPr>
      </w:pPr>
      <w:r w:rsidRPr="00465452">
        <w:rPr>
          <w:lang w:val="en-AU"/>
        </w:rPr>
        <w:t>(</w:t>
      </w:r>
      <w:proofErr w:type="gramStart"/>
      <w:r w:rsidRPr="00465452">
        <w:rPr>
          <w:lang w:val="en-AU"/>
        </w:rPr>
        <w:t>median</w:t>
      </w:r>
      <w:proofErr w:type="gramEnd"/>
      <w:r w:rsidRPr="00465452">
        <w:rPr>
          <w:lang w:val="en-AU"/>
        </w:rPr>
        <w:t xml:space="preserve"> overall exposure of 14.9 months; range 0.1 – 67.2) where patients were offered open label</w:t>
      </w:r>
    </w:p>
    <w:p w:rsidR="00465452" w:rsidRPr="00465452" w:rsidRDefault="00465452" w:rsidP="00465452">
      <w:pPr>
        <w:rPr>
          <w:lang w:val="en-AU"/>
        </w:rPr>
      </w:pPr>
      <w:proofErr w:type="spellStart"/>
      <w:proofErr w:type="gramStart"/>
      <w:r w:rsidRPr="00465452">
        <w:rPr>
          <w:lang w:val="en-AU"/>
        </w:rPr>
        <w:t>Xgeva</w:t>
      </w:r>
      <w:proofErr w:type="spellEnd"/>
      <w:r w:rsidRPr="00465452">
        <w:rPr>
          <w:lang w:val="en-AU"/>
        </w:rPr>
        <w:t>.</w:t>
      </w:r>
      <w:proofErr w:type="gramEnd"/>
      <w:r w:rsidRPr="00465452">
        <w:rPr>
          <w:lang w:val="en-AU"/>
        </w:rPr>
        <w:t xml:space="preserve"> The patient-year adjusted incidence of confirmed ONJ was 1.1% during the first year of</w:t>
      </w:r>
    </w:p>
    <w:p w:rsidR="00465452" w:rsidRPr="00465452" w:rsidRDefault="00465452" w:rsidP="00465452">
      <w:pPr>
        <w:rPr>
          <w:lang w:val="en-AU"/>
        </w:rPr>
      </w:pPr>
      <w:proofErr w:type="gramStart"/>
      <w:r w:rsidRPr="00465452">
        <w:rPr>
          <w:lang w:val="en-AU"/>
        </w:rPr>
        <w:t>treatment</w:t>
      </w:r>
      <w:proofErr w:type="gramEnd"/>
      <w:r w:rsidRPr="00465452">
        <w:rPr>
          <w:lang w:val="en-AU"/>
        </w:rPr>
        <w:t xml:space="preserve"> and 4.1% thereafter. The median time to ONJ was 20.6 months (range: 4 - 53</w:t>
      </w:r>
      <w:proofErr w:type="gramStart"/>
      <w:r w:rsidRPr="00465452">
        <w:rPr>
          <w:lang w:val="en-AU"/>
        </w:rPr>
        <w:t>)</w:t>
      </w:r>
      <w:r w:rsidRPr="00465452">
        <w:rPr>
          <w:vertAlign w:val="superscript"/>
          <w:lang w:val="en-AU"/>
        </w:rPr>
        <w:t>#</w:t>
      </w:r>
      <w:proofErr w:type="gramEnd"/>
      <w:r w:rsidRPr="00465452">
        <w:rPr>
          <w:lang w:val="en-AU"/>
        </w:rPr>
        <w:t>.</w:t>
      </w:r>
    </w:p>
    <w:p w:rsidR="00465452" w:rsidRPr="00465452" w:rsidRDefault="00465452" w:rsidP="00465452">
      <w:pPr>
        <w:rPr>
          <w:lang w:val="en-AU"/>
        </w:rPr>
      </w:pPr>
    </w:p>
    <w:p w:rsidR="00465452" w:rsidRPr="00465452" w:rsidRDefault="00465452" w:rsidP="00465452">
      <w:pPr>
        <w:rPr>
          <w:lang w:val="en-AU"/>
        </w:rPr>
      </w:pPr>
      <w:proofErr w:type="gramStart"/>
      <w:r w:rsidRPr="00465452">
        <w:rPr>
          <w:lang w:val="en-AU"/>
        </w:rPr>
        <w:t>In two Phase II open-label studies in patients with giant cell tumour of bone, ONJ occurred in 4 of 304 (1.3%) of patients.</w:t>
      </w:r>
      <w:proofErr w:type="gramEnd"/>
      <w:r w:rsidRPr="00465452">
        <w:rPr>
          <w:lang w:val="en-AU"/>
        </w:rPr>
        <w:t xml:space="preserve"> The median time to ONJ was 16 months (range 13-20).</w:t>
      </w:r>
    </w:p>
    <w:p w:rsidR="00465452" w:rsidRPr="00465452" w:rsidRDefault="00465452" w:rsidP="00465452">
      <w:pPr>
        <w:rPr>
          <w:b/>
          <w:iCs/>
          <w:u w:val="single"/>
          <w:lang w:val="en-AU"/>
        </w:rPr>
      </w:pPr>
    </w:p>
    <w:p w:rsidR="00465452" w:rsidRPr="00465452" w:rsidRDefault="00465452" w:rsidP="00465452">
      <w:pPr>
        <w:rPr>
          <w:b/>
          <w:bCs/>
          <w:u w:val="single"/>
          <w:lang w:val="en-AU"/>
        </w:rPr>
      </w:pPr>
      <w:r w:rsidRPr="00465452">
        <w:rPr>
          <w:b/>
          <w:bCs/>
          <w:u w:val="single"/>
          <w:lang w:val="en-AU"/>
        </w:rPr>
        <w:t>Atypical Femoral Fractures</w:t>
      </w:r>
    </w:p>
    <w:p w:rsidR="00465452" w:rsidRPr="00465452" w:rsidRDefault="00465452" w:rsidP="00465452">
      <w:pPr>
        <w:rPr>
          <w:lang w:val="en-AU"/>
        </w:rPr>
      </w:pPr>
      <w:r w:rsidRPr="00465452">
        <w:rPr>
          <w:lang w:val="en-AU"/>
        </w:rPr>
        <w:t xml:space="preserve">Atypical femoral fracture has been reported with </w:t>
      </w:r>
      <w:proofErr w:type="spellStart"/>
      <w:r w:rsidRPr="00465452">
        <w:rPr>
          <w:lang w:val="en-AU"/>
        </w:rPr>
        <w:t>Xgeva</w:t>
      </w:r>
      <w:proofErr w:type="spellEnd"/>
      <w:r w:rsidRPr="00465452">
        <w:rPr>
          <w:lang w:val="en-AU"/>
        </w:rPr>
        <w:t>.</w:t>
      </w:r>
    </w:p>
    <w:p w:rsidR="00465452" w:rsidRPr="00465452" w:rsidRDefault="00465452" w:rsidP="00465452">
      <w:pPr>
        <w:rPr>
          <w:lang w:val="en-AU"/>
        </w:rPr>
      </w:pPr>
    </w:p>
    <w:p w:rsidR="00465452" w:rsidRPr="00465452" w:rsidRDefault="00465452" w:rsidP="00465452">
      <w:pPr>
        <w:rPr>
          <w:lang w:val="en-AU"/>
        </w:rPr>
      </w:pPr>
      <w:proofErr w:type="spellStart"/>
      <w:r w:rsidRPr="00465452">
        <w:rPr>
          <w:b/>
          <w:bCs/>
          <w:u w:val="single"/>
        </w:rPr>
        <w:t>Paediatric</w:t>
      </w:r>
      <w:proofErr w:type="spellEnd"/>
      <w:r w:rsidRPr="00465452">
        <w:rPr>
          <w:b/>
          <w:bCs/>
          <w:u w:val="single"/>
        </w:rPr>
        <w:t xml:space="preserve"> patients</w:t>
      </w:r>
    </w:p>
    <w:p w:rsidR="00465452" w:rsidRPr="00465452" w:rsidRDefault="00465452" w:rsidP="00465452">
      <w:pPr>
        <w:rPr>
          <w:bCs/>
        </w:rPr>
      </w:pPr>
      <w:r w:rsidRPr="00465452">
        <w:rPr>
          <w:bCs/>
        </w:rPr>
        <w:t xml:space="preserve">The safety profile of </w:t>
      </w:r>
      <w:proofErr w:type="spellStart"/>
      <w:r w:rsidRPr="00465452">
        <w:rPr>
          <w:bCs/>
        </w:rPr>
        <w:t>Xgeva</w:t>
      </w:r>
      <w:proofErr w:type="spellEnd"/>
      <w:r w:rsidRPr="00465452">
        <w:rPr>
          <w:bCs/>
        </w:rPr>
        <w:t xml:space="preserve"> in 10 skeletally mature adolescent patients with giant cell </w:t>
      </w:r>
      <w:proofErr w:type="spellStart"/>
      <w:r w:rsidRPr="00465452">
        <w:rPr>
          <w:bCs/>
        </w:rPr>
        <w:t>tumour</w:t>
      </w:r>
      <w:proofErr w:type="spellEnd"/>
      <w:r w:rsidRPr="00465452">
        <w:rPr>
          <w:bCs/>
        </w:rPr>
        <w:t xml:space="preserve"> of bone was consistent with that in adult patients.</w:t>
      </w:r>
    </w:p>
    <w:p w:rsidR="00465452" w:rsidRPr="00465452" w:rsidRDefault="00465452" w:rsidP="00465452">
      <w:pPr>
        <w:rPr>
          <w:lang w:val="en-AU"/>
        </w:rPr>
      </w:pPr>
    </w:p>
    <w:p w:rsidR="00465452" w:rsidRPr="00465452" w:rsidRDefault="00465452" w:rsidP="00465452">
      <w:pPr>
        <w:rPr>
          <w:b/>
          <w:bCs/>
          <w:u w:val="single"/>
        </w:rPr>
      </w:pPr>
      <w:r w:rsidRPr="00465452">
        <w:rPr>
          <w:b/>
          <w:bCs/>
          <w:u w:val="single"/>
        </w:rPr>
        <w:t xml:space="preserve">Drug Hypersensitivity Events </w:t>
      </w:r>
    </w:p>
    <w:p w:rsidR="00465452" w:rsidRPr="00465452" w:rsidRDefault="00465452" w:rsidP="00465452">
      <w:pPr>
        <w:rPr>
          <w:lang w:val="en-AU"/>
        </w:rPr>
      </w:pPr>
      <w:r w:rsidRPr="00465452">
        <w:t xml:space="preserve">In clinical trials in patients with advanced cancer, drug hypersensitivity events were reported in 0.9% and 0.4% of patients treated with </w:t>
      </w:r>
      <w:proofErr w:type="spellStart"/>
      <w:r w:rsidRPr="00465452">
        <w:t>Xgeva</w:t>
      </w:r>
      <w:proofErr w:type="spellEnd"/>
      <w:r w:rsidRPr="00465452">
        <w:t xml:space="preserve"> and </w:t>
      </w:r>
      <w:proofErr w:type="spellStart"/>
      <w:r w:rsidRPr="00465452">
        <w:t>zoledronic</w:t>
      </w:r>
      <w:proofErr w:type="spellEnd"/>
      <w:r w:rsidRPr="00465452">
        <w:t xml:space="preserve"> acid, respectively.  </w:t>
      </w:r>
    </w:p>
    <w:p w:rsidR="00465452" w:rsidRPr="00465452" w:rsidRDefault="00465452" w:rsidP="00465452">
      <w:pPr>
        <w:rPr>
          <w:b/>
          <w:bCs/>
          <w:u w:val="single"/>
        </w:rPr>
      </w:pPr>
    </w:p>
    <w:p w:rsidR="00465452" w:rsidRPr="00465452" w:rsidRDefault="00465452" w:rsidP="00465452">
      <w:pPr>
        <w:rPr>
          <w:b/>
          <w:bCs/>
          <w:u w:val="single"/>
        </w:rPr>
      </w:pPr>
      <w:r w:rsidRPr="00465452">
        <w:rPr>
          <w:b/>
          <w:bCs/>
          <w:u w:val="single"/>
        </w:rPr>
        <w:t>Pancreatitis</w:t>
      </w:r>
    </w:p>
    <w:p w:rsidR="00465452" w:rsidRPr="00465452" w:rsidRDefault="00465452" w:rsidP="00465452">
      <w:r w:rsidRPr="00465452">
        <w:t xml:space="preserve">In a </w:t>
      </w:r>
      <w:proofErr w:type="spellStart"/>
      <w:r w:rsidRPr="00465452">
        <w:t>randomised</w:t>
      </w:r>
      <w:proofErr w:type="spellEnd"/>
      <w:r w:rsidRPr="00465452">
        <w:t xml:space="preserve"> controlled trial in postmenopausal women with osteoporosis receiving 60 mg </w:t>
      </w:r>
      <w:proofErr w:type="spellStart"/>
      <w:r w:rsidRPr="00465452">
        <w:t>denosumab</w:t>
      </w:r>
      <w:proofErr w:type="spellEnd"/>
      <w:r w:rsidRPr="00465452">
        <w:t xml:space="preserve"> or placebo once every 6 months, pancreatitis was reported in 8 patients (0.2%) in the </w:t>
      </w:r>
      <w:proofErr w:type="spellStart"/>
      <w:r w:rsidRPr="00465452">
        <w:t>denosumab</w:t>
      </w:r>
      <w:proofErr w:type="spellEnd"/>
      <w:r w:rsidRPr="00465452">
        <w:t xml:space="preserve"> and 4 patients (0.1%) in the placebo groups.  An increased incidence has not been observed in </w:t>
      </w:r>
      <w:proofErr w:type="spellStart"/>
      <w:r w:rsidRPr="00465452">
        <w:t>randomised</w:t>
      </w:r>
      <w:proofErr w:type="spellEnd"/>
      <w:r w:rsidRPr="00465452">
        <w:t xml:space="preserve"> controlled trials in the oncology setting.</w:t>
      </w:r>
    </w:p>
    <w:p w:rsidR="00465452" w:rsidRPr="00465452" w:rsidRDefault="00465452" w:rsidP="00465452">
      <w:pPr>
        <w:rPr>
          <w:b/>
        </w:rPr>
      </w:pPr>
    </w:p>
    <w:p w:rsidR="00F800B6" w:rsidRDefault="00F800B6">
      <w:pPr>
        <w:spacing w:after="200" w:line="0" w:lineRule="auto"/>
        <w:rPr>
          <w:b/>
          <w:u w:val="single"/>
        </w:rPr>
      </w:pPr>
      <w:r>
        <w:rPr>
          <w:b/>
          <w:u w:val="single"/>
        </w:rPr>
        <w:br w:type="page"/>
      </w:r>
    </w:p>
    <w:p w:rsidR="00465452" w:rsidRPr="00465452" w:rsidRDefault="00465452" w:rsidP="00465452">
      <w:pPr>
        <w:rPr>
          <w:b/>
          <w:u w:val="single"/>
        </w:rPr>
      </w:pPr>
      <w:proofErr w:type="spellStart"/>
      <w:r w:rsidRPr="00465452">
        <w:rPr>
          <w:b/>
          <w:u w:val="single"/>
        </w:rPr>
        <w:lastRenderedPageBreak/>
        <w:t>Postmarketing</w:t>
      </w:r>
      <w:proofErr w:type="spellEnd"/>
      <w:r w:rsidRPr="00465452">
        <w:rPr>
          <w:b/>
          <w:u w:val="single"/>
        </w:rPr>
        <w:t xml:space="preserve"> experience</w:t>
      </w:r>
    </w:p>
    <w:p w:rsidR="00465452" w:rsidRPr="00465452" w:rsidRDefault="00465452" w:rsidP="00465452"/>
    <w:p w:rsidR="00465452" w:rsidRPr="00465452" w:rsidRDefault="00465452" w:rsidP="00465452">
      <w:r w:rsidRPr="00465452">
        <w:t xml:space="preserve">The following adverse reactions have been identified during post approval use of </w:t>
      </w:r>
      <w:proofErr w:type="spellStart"/>
      <w:r w:rsidRPr="00465452">
        <w:t>Xgeva</w:t>
      </w:r>
      <w:proofErr w:type="spellEnd"/>
      <w:r w:rsidRPr="00465452">
        <w:t>:</w:t>
      </w:r>
    </w:p>
    <w:p w:rsidR="00465452" w:rsidRPr="00465452" w:rsidRDefault="00465452" w:rsidP="00465452">
      <w:proofErr w:type="gramStart"/>
      <w:r w:rsidRPr="00465452">
        <w:t>Severe symptomatic hypocalcaemia, including fatal cases.</w:t>
      </w:r>
      <w:proofErr w:type="gramEnd"/>
    </w:p>
    <w:p w:rsidR="00465452" w:rsidRPr="00465452" w:rsidRDefault="00465452" w:rsidP="00465452">
      <w:r w:rsidRPr="00465452">
        <w:rPr>
          <w:lang w:val="en-AU"/>
        </w:rPr>
        <w:t>Hypersensitivity, including anaphylactic reactions</w:t>
      </w:r>
      <w:proofErr w:type="gramStart"/>
      <w:r w:rsidRPr="00465452">
        <w:rPr>
          <w:lang w:val="en-AU"/>
        </w:rPr>
        <w:t>.</w:t>
      </w:r>
      <w:r w:rsidRPr="00465452">
        <w:rPr>
          <w:vertAlign w:val="superscript"/>
          <w:lang w:val="en-AU"/>
        </w:rPr>
        <w:t>#</w:t>
      </w:r>
      <w:proofErr w:type="gramEnd"/>
    </w:p>
    <w:p w:rsidR="00465452" w:rsidRPr="00465452" w:rsidRDefault="00465452" w:rsidP="00465452">
      <w:pPr>
        <w:rPr>
          <w:bCs/>
        </w:rPr>
      </w:pPr>
      <w:r w:rsidRPr="00465452">
        <w:rPr>
          <w:bCs/>
        </w:rPr>
        <w:t>Musculoskeletal pain, including severe cases</w:t>
      </w:r>
      <w:proofErr w:type="gramStart"/>
      <w:r w:rsidRPr="00465452">
        <w:rPr>
          <w:bCs/>
          <w:lang w:val="en-AU"/>
        </w:rPr>
        <w:t>.</w:t>
      </w:r>
      <w:r w:rsidRPr="00465452">
        <w:rPr>
          <w:bCs/>
          <w:vertAlign w:val="superscript"/>
          <w:lang w:val="en-AU"/>
        </w:rPr>
        <w:t>#</w:t>
      </w:r>
      <w:proofErr w:type="gramEnd"/>
    </w:p>
    <w:p w:rsidR="00465452" w:rsidRPr="00465452" w:rsidRDefault="00465452" w:rsidP="00465452"/>
    <w:p w:rsidR="00465452" w:rsidRPr="00465452" w:rsidRDefault="00465452" w:rsidP="00465452">
      <w:pPr>
        <w:rPr>
          <w:b/>
          <w:bCs/>
        </w:rPr>
      </w:pPr>
      <w:r w:rsidRPr="00465452">
        <w:rPr>
          <w:b/>
          <w:bCs/>
        </w:rPr>
        <w:t>DOSAGE AND ADMINISTRATION</w:t>
      </w:r>
    </w:p>
    <w:p w:rsidR="00465452" w:rsidRPr="00465452" w:rsidRDefault="00465452" w:rsidP="00465452"/>
    <w:p w:rsidR="00465452" w:rsidRPr="00465452" w:rsidRDefault="00465452" w:rsidP="00465452">
      <w:r w:rsidRPr="00465452">
        <w:t>Administration should be performed by an individual who has been adequately trained in injection techniques.</w:t>
      </w:r>
    </w:p>
    <w:p w:rsidR="00465452" w:rsidRPr="00465452" w:rsidRDefault="00465452" w:rsidP="00465452"/>
    <w:p w:rsidR="00465452" w:rsidRPr="00465452" w:rsidRDefault="00465452" w:rsidP="00465452">
      <w:pPr>
        <w:rPr>
          <w:lang w:val="en-GB"/>
        </w:rPr>
      </w:pPr>
      <w:r w:rsidRPr="00465452">
        <w:t xml:space="preserve">The recommended dose of </w:t>
      </w:r>
      <w:proofErr w:type="spellStart"/>
      <w:r w:rsidRPr="00465452">
        <w:t>Xgeva</w:t>
      </w:r>
      <w:proofErr w:type="spellEnd"/>
      <w:r w:rsidRPr="00465452">
        <w:t xml:space="preserve"> for the prevention of skeletal related events is 120 mg administered as a single subcutaneous injection once every 4 weeks into the thigh, abdomen or upper arm.  Inject the entire contents of the vial.</w:t>
      </w:r>
      <w:r w:rsidRPr="00465452">
        <w:rPr>
          <w:lang w:val="en-GB"/>
        </w:rPr>
        <w:t xml:space="preserve"> Do not re-enter the vial.</w:t>
      </w:r>
    </w:p>
    <w:p w:rsidR="00465452" w:rsidRPr="00465452" w:rsidRDefault="00465452" w:rsidP="00465452"/>
    <w:p w:rsidR="00465452" w:rsidRPr="00465452" w:rsidRDefault="00465452" w:rsidP="00465452">
      <w:r w:rsidRPr="00465452">
        <w:t xml:space="preserve">The recommended dose of </w:t>
      </w:r>
      <w:proofErr w:type="spellStart"/>
      <w:r w:rsidRPr="00465452">
        <w:t>Xgeva</w:t>
      </w:r>
      <w:proofErr w:type="spellEnd"/>
      <w:r w:rsidRPr="00465452">
        <w:t xml:space="preserve"> for the treatment of giant cell </w:t>
      </w:r>
      <w:proofErr w:type="spellStart"/>
      <w:r w:rsidRPr="00465452">
        <w:t>tumour</w:t>
      </w:r>
      <w:proofErr w:type="spellEnd"/>
      <w:r w:rsidRPr="00465452">
        <w:t xml:space="preserve"> of bone is 120 mg administered as a single subcutaneous injection once every 4 weeks into the thigh, abdomen or upper arm with a loading dose of 120 mg on days 8 and 15 of the initial 4-week treatment period.</w:t>
      </w:r>
    </w:p>
    <w:p w:rsidR="00465452" w:rsidRPr="00465452" w:rsidRDefault="00465452" w:rsidP="00465452"/>
    <w:p w:rsidR="00465452" w:rsidRPr="00465452" w:rsidRDefault="00465452" w:rsidP="00465452">
      <w:r w:rsidRPr="00465452">
        <w:t xml:space="preserve">Daily supplementation with at least 500 mg calcium and 400 IU vitamin D is required in all patients, unless </w:t>
      </w:r>
      <w:proofErr w:type="spellStart"/>
      <w:r w:rsidRPr="00465452">
        <w:t>hypercalcaemia</w:t>
      </w:r>
      <w:proofErr w:type="spellEnd"/>
      <w:r w:rsidRPr="00465452">
        <w:t xml:space="preserve"> is present (see PRECAUTIONS, Vitamin Supplementation and Hypocalcaemia).</w:t>
      </w:r>
    </w:p>
    <w:p w:rsidR="00465452" w:rsidRPr="00465452" w:rsidRDefault="00465452" w:rsidP="00465452">
      <w:pPr>
        <w:rPr>
          <w:i/>
        </w:rPr>
      </w:pPr>
      <w:r w:rsidRPr="00465452">
        <w:br w:type="page"/>
      </w:r>
      <w:r w:rsidRPr="00465452">
        <w:rPr>
          <w:i/>
        </w:rPr>
        <w:lastRenderedPageBreak/>
        <w:t>Use in elderly</w:t>
      </w:r>
    </w:p>
    <w:p w:rsidR="00465452" w:rsidRPr="00465452" w:rsidRDefault="00465452" w:rsidP="00465452">
      <w:r w:rsidRPr="00465452">
        <w:t>No dose adjustment is necessary in elderly patients (see PRECAUTIONS, Use in the Elderly) or in patients with renal impairment (See PRECAUTIONS, Renal Impairment).</w:t>
      </w:r>
    </w:p>
    <w:p w:rsidR="00465452" w:rsidRPr="00465452" w:rsidRDefault="00465452" w:rsidP="00465452"/>
    <w:p w:rsidR="00465452" w:rsidRPr="00465452" w:rsidRDefault="00465452" w:rsidP="00465452">
      <w:pPr>
        <w:rPr>
          <w:i/>
        </w:rPr>
      </w:pPr>
      <w:r w:rsidRPr="00465452">
        <w:rPr>
          <w:i/>
        </w:rPr>
        <w:t xml:space="preserve">Use in </w:t>
      </w:r>
      <w:proofErr w:type="spellStart"/>
      <w:r w:rsidRPr="00465452">
        <w:rPr>
          <w:i/>
        </w:rPr>
        <w:t>paediatrics</w:t>
      </w:r>
      <w:proofErr w:type="spellEnd"/>
    </w:p>
    <w:p w:rsidR="00465452" w:rsidRPr="00465452" w:rsidRDefault="00465452" w:rsidP="00465452">
      <w:r w:rsidRPr="00465452">
        <w:t xml:space="preserve">For treatment of giant cell </w:t>
      </w:r>
      <w:proofErr w:type="spellStart"/>
      <w:r w:rsidRPr="00465452">
        <w:t>tumour</w:t>
      </w:r>
      <w:proofErr w:type="spellEnd"/>
      <w:r w:rsidRPr="00465452">
        <w:t xml:space="preserve"> of bone in skeletally mature adolescents, the posology is the same as in adults.</w:t>
      </w:r>
    </w:p>
    <w:p w:rsidR="00465452" w:rsidRPr="00465452" w:rsidRDefault="00465452" w:rsidP="00465452">
      <w:pPr>
        <w:rPr>
          <w:lang w:val="en-AU"/>
        </w:rPr>
      </w:pPr>
    </w:p>
    <w:p w:rsidR="00465452" w:rsidRPr="00465452" w:rsidRDefault="00465452" w:rsidP="00465452">
      <w:proofErr w:type="spellStart"/>
      <w:r w:rsidRPr="00465452">
        <w:t>Xgeva</w:t>
      </w:r>
      <w:proofErr w:type="spellEnd"/>
      <w:r w:rsidRPr="00465452">
        <w:t xml:space="preserve"> is not recommended in </w:t>
      </w:r>
      <w:proofErr w:type="spellStart"/>
      <w:r w:rsidRPr="00465452">
        <w:t>paediatric</w:t>
      </w:r>
      <w:proofErr w:type="spellEnd"/>
      <w:r w:rsidRPr="00465452">
        <w:t xml:space="preserve"> patients (age &lt; 18) other than skeletally mature </w:t>
      </w:r>
      <w:proofErr w:type="spellStart"/>
      <w:r w:rsidRPr="00465452">
        <w:t>paediatric</w:t>
      </w:r>
      <w:proofErr w:type="spellEnd"/>
      <w:r w:rsidRPr="00465452">
        <w:t xml:space="preserve"> patients with giant cell </w:t>
      </w:r>
      <w:proofErr w:type="spellStart"/>
      <w:r w:rsidRPr="00465452">
        <w:t>tumour</w:t>
      </w:r>
      <w:proofErr w:type="spellEnd"/>
      <w:r w:rsidRPr="00465452">
        <w:t xml:space="preserve"> of bone. The safety and efficacy of </w:t>
      </w:r>
      <w:proofErr w:type="spellStart"/>
      <w:r w:rsidRPr="00465452">
        <w:t>Xgeva</w:t>
      </w:r>
      <w:proofErr w:type="spellEnd"/>
      <w:r w:rsidRPr="00465452">
        <w:t xml:space="preserve"> have not been established in </w:t>
      </w:r>
      <w:proofErr w:type="spellStart"/>
      <w:r w:rsidRPr="00465452">
        <w:t>paediatric</w:t>
      </w:r>
      <w:proofErr w:type="spellEnd"/>
      <w:r w:rsidRPr="00465452">
        <w:t xml:space="preserve"> patients (age &lt; 18) other than skeletally mature </w:t>
      </w:r>
      <w:proofErr w:type="spellStart"/>
      <w:r w:rsidRPr="00465452">
        <w:t>paediatric</w:t>
      </w:r>
      <w:proofErr w:type="spellEnd"/>
      <w:r w:rsidRPr="00465452">
        <w:t xml:space="preserve"> patients with giant cell </w:t>
      </w:r>
      <w:proofErr w:type="spellStart"/>
      <w:r w:rsidRPr="00465452">
        <w:t>tumour</w:t>
      </w:r>
      <w:proofErr w:type="spellEnd"/>
      <w:r w:rsidRPr="00465452">
        <w:t xml:space="preserve"> of bone.</w:t>
      </w:r>
    </w:p>
    <w:p w:rsidR="00465452" w:rsidRPr="00465452" w:rsidRDefault="00465452" w:rsidP="00465452"/>
    <w:p w:rsidR="00465452" w:rsidRPr="00465452" w:rsidRDefault="00465452" w:rsidP="00465452">
      <w:proofErr w:type="spellStart"/>
      <w:r w:rsidRPr="00465452">
        <w:t>Xgeva</w:t>
      </w:r>
      <w:proofErr w:type="spellEnd"/>
      <w:r w:rsidRPr="00465452">
        <w:t xml:space="preserve"> is a sterile and preservative-free product.  Before administration, the </w:t>
      </w:r>
      <w:proofErr w:type="spellStart"/>
      <w:r w:rsidRPr="00465452">
        <w:t>Xgeva</w:t>
      </w:r>
      <w:proofErr w:type="spellEnd"/>
      <w:r w:rsidRPr="00465452">
        <w:t xml:space="preserve"> solution should be inspected for particulate matter and </w:t>
      </w:r>
      <w:proofErr w:type="spellStart"/>
      <w:r w:rsidRPr="00465452">
        <w:t>discolouration</w:t>
      </w:r>
      <w:proofErr w:type="spellEnd"/>
      <w:r w:rsidRPr="00465452">
        <w:t xml:space="preserve">.  Do not use if the solution is cloudy or </w:t>
      </w:r>
      <w:proofErr w:type="spellStart"/>
      <w:r w:rsidRPr="00465452">
        <w:t>discoloured</w:t>
      </w:r>
      <w:proofErr w:type="spellEnd"/>
      <w:r w:rsidRPr="00465452">
        <w:t>.  Do not shake excessively. To avoid discomfort at the site of injection, allow the vial to reach room temperature (up to 25°C) before injecting, and inject</w:t>
      </w:r>
      <w:r w:rsidRPr="00465452">
        <w:rPr>
          <w:b/>
        </w:rPr>
        <w:t xml:space="preserve"> </w:t>
      </w:r>
      <w:r w:rsidRPr="00465452">
        <w:t xml:space="preserve">slowly.  </w:t>
      </w:r>
      <w:r w:rsidRPr="00465452">
        <w:rPr>
          <w:lang w:val="en-GB"/>
        </w:rPr>
        <w:t xml:space="preserve">A 27 gauge needle </w:t>
      </w:r>
      <w:r w:rsidRPr="00465452">
        <w:t>or larger </w:t>
      </w:r>
      <w:proofErr w:type="gramStart"/>
      <w:r w:rsidRPr="00465452">
        <w:t>needle</w:t>
      </w:r>
      <w:proofErr w:type="gramEnd"/>
      <w:r w:rsidRPr="00465452">
        <w:br/>
        <w:t xml:space="preserve">(e.g. 25 gauge) is recommended for the administration of </w:t>
      </w:r>
      <w:proofErr w:type="spellStart"/>
      <w:r w:rsidRPr="00465452">
        <w:t>Xgeva</w:t>
      </w:r>
      <w:proofErr w:type="spellEnd"/>
      <w:r w:rsidRPr="00465452">
        <w:t xml:space="preserve">. </w:t>
      </w:r>
    </w:p>
    <w:p w:rsidR="00465452" w:rsidRPr="00465452" w:rsidRDefault="00465452" w:rsidP="00465452"/>
    <w:p w:rsidR="00465452" w:rsidRPr="00465452" w:rsidRDefault="00465452" w:rsidP="00465452">
      <w:r w:rsidRPr="00465452">
        <w:t>Product is for single-use in one patient only.  Dispose of any medicinal product remaining in the vial.</w:t>
      </w:r>
    </w:p>
    <w:p w:rsidR="00465452" w:rsidRPr="00465452" w:rsidRDefault="00465452" w:rsidP="00465452">
      <w:pPr>
        <w:rPr>
          <w:b/>
          <w:bCs/>
        </w:rPr>
      </w:pPr>
    </w:p>
    <w:p w:rsidR="00465452" w:rsidRPr="00465452" w:rsidRDefault="00465452" w:rsidP="00465452">
      <w:pPr>
        <w:rPr>
          <w:b/>
          <w:bCs/>
        </w:rPr>
      </w:pPr>
      <w:r w:rsidRPr="00465452">
        <w:rPr>
          <w:b/>
          <w:bCs/>
        </w:rPr>
        <w:t xml:space="preserve">OVERDOSAGE </w:t>
      </w:r>
    </w:p>
    <w:p w:rsidR="00465452" w:rsidRPr="00465452" w:rsidRDefault="00465452" w:rsidP="00465452">
      <w:pPr>
        <w:rPr>
          <w:iCs/>
        </w:rPr>
      </w:pPr>
    </w:p>
    <w:p w:rsidR="00465452" w:rsidRPr="00465452" w:rsidRDefault="00465452" w:rsidP="00465452">
      <w:r w:rsidRPr="00465452">
        <w:t xml:space="preserve">There is no experience with </w:t>
      </w:r>
      <w:proofErr w:type="spellStart"/>
      <w:r w:rsidRPr="00465452">
        <w:t>overdosage</w:t>
      </w:r>
      <w:proofErr w:type="spellEnd"/>
      <w:r w:rsidRPr="00465452">
        <w:t xml:space="preserve"> with </w:t>
      </w:r>
      <w:proofErr w:type="spellStart"/>
      <w:r w:rsidRPr="00465452">
        <w:t>Xgeva</w:t>
      </w:r>
      <w:proofErr w:type="spellEnd"/>
      <w:r w:rsidRPr="00465452">
        <w:t xml:space="preserve">.  </w:t>
      </w:r>
      <w:proofErr w:type="spellStart"/>
      <w:r w:rsidRPr="00465452">
        <w:t>Xgeva</w:t>
      </w:r>
      <w:proofErr w:type="spellEnd"/>
      <w:r w:rsidRPr="00465452">
        <w:t xml:space="preserve"> has been administered in clinical studies using doses up to 180 mg every 4 weeks (cumulative doses up to 1080 </w:t>
      </w:r>
      <w:r w:rsidRPr="00465452">
        <w:rPr>
          <w:bCs/>
        </w:rPr>
        <w:t>mg over 6</w:t>
      </w:r>
      <w:r w:rsidRPr="00465452">
        <w:t> </w:t>
      </w:r>
      <w:r w:rsidRPr="00465452">
        <w:rPr>
          <w:bCs/>
        </w:rPr>
        <w:t>months)</w:t>
      </w:r>
      <w:r w:rsidRPr="00465452">
        <w:t>, and 120 mg weekly for 3 weeks.</w:t>
      </w:r>
    </w:p>
    <w:p w:rsidR="00465452" w:rsidRPr="00465452" w:rsidRDefault="00465452" w:rsidP="00465452"/>
    <w:p w:rsidR="00465452" w:rsidRPr="00465452" w:rsidRDefault="00465452" w:rsidP="00465452">
      <w:pPr>
        <w:rPr>
          <w:b/>
          <w:bCs/>
        </w:rPr>
      </w:pPr>
    </w:p>
    <w:p w:rsidR="00465452" w:rsidRPr="00465452" w:rsidRDefault="00465452" w:rsidP="00465452">
      <w:pPr>
        <w:rPr>
          <w:b/>
          <w:bCs/>
        </w:rPr>
      </w:pPr>
      <w:r w:rsidRPr="00465452">
        <w:rPr>
          <w:b/>
          <w:bCs/>
        </w:rPr>
        <w:t>PRESENTATION AND STORAGE CONDITIONS</w:t>
      </w:r>
    </w:p>
    <w:p w:rsidR="00465452" w:rsidRPr="00465452" w:rsidRDefault="00465452" w:rsidP="00465452"/>
    <w:p w:rsidR="00465452" w:rsidRPr="00465452" w:rsidRDefault="00465452" w:rsidP="00465452">
      <w:proofErr w:type="spellStart"/>
      <w:r w:rsidRPr="00465452">
        <w:t>Xgeva</w:t>
      </w:r>
      <w:proofErr w:type="spellEnd"/>
      <w:r w:rsidRPr="00465452">
        <w:t xml:space="preserve"> is supplied as a sterile, preservative-free, clear, </w:t>
      </w:r>
      <w:proofErr w:type="spellStart"/>
      <w:proofErr w:type="gramStart"/>
      <w:r w:rsidRPr="00465452">
        <w:t>colourless</w:t>
      </w:r>
      <w:proofErr w:type="spellEnd"/>
      <w:proofErr w:type="gramEnd"/>
      <w:r w:rsidRPr="00465452">
        <w:t xml:space="preserve"> to slightly yellow solution for injection at pH 5.2.  The solution should not be used if cloudy or </w:t>
      </w:r>
      <w:proofErr w:type="spellStart"/>
      <w:r w:rsidRPr="00465452">
        <w:t>discoloured</w:t>
      </w:r>
      <w:proofErr w:type="spellEnd"/>
      <w:r w:rsidRPr="00465452">
        <w:t xml:space="preserve">.  The solution may contain trace amounts of translucent to white </w:t>
      </w:r>
      <w:proofErr w:type="spellStart"/>
      <w:r w:rsidRPr="00465452">
        <w:t>proteinaceous</w:t>
      </w:r>
      <w:proofErr w:type="spellEnd"/>
      <w:r w:rsidRPr="00465452">
        <w:t xml:space="preserve"> particles.</w:t>
      </w:r>
    </w:p>
    <w:p w:rsidR="00465452" w:rsidRPr="00465452" w:rsidRDefault="00465452" w:rsidP="00465452">
      <w:r w:rsidRPr="00465452">
        <w:t xml:space="preserve">Each vial contains a deliverable dose of 120 mg </w:t>
      </w:r>
      <w:proofErr w:type="spellStart"/>
      <w:r w:rsidRPr="00465452">
        <w:t>denosumab</w:t>
      </w:r>
      <w:proofErr w:type="spellEnd"/>
      <w:r w:rsidRPr="00465452">
        <w:t xml:space="preserve"> in 1.7 mL of solution (70 mg/mL). Product is for single use in one patient only.  Dispose of any medicinal product remaining in the vial.</w:t>
      </w:r>
    </w:p>
    <w:p w:rsidR="00465452" w:rsidRPr="00465452" w:rsidRDefault="00465452" w:rsidP="00465452"/>
    <w:p w:rsidR="00465452" w:rsidRPr="00465452" w:rsidRDefault="00465452" w:rsidP="00465452">
      <w:r w:rsidRPr="00465452">
        <w:t>It is recommended to store vials in a refrigerator at 2°C to 8°C in the original carton.  Do not freeze.  Protect from direct light.  Do not excessively shake the vial.  Do not expose to temperatures above 25°C.</w:t>
      </w:r>
    </w:p>
    <w:p w:rsidR="00465452" w:rsidRPr="00465452" w:rsidRDefault="00465452" w:rsidP="00465452"/>
    <w:p w:rsidR="00465452" w:rsidRPr="00465452" w:rsidRDefault="00465452" w:rsidP="00465452">
      <w:r w:rsidRPr="00465452">
        <w:t xml:space="preserve">If removed from the refrigerator, </w:t>
      </w:r>
      <w:proofErr w:type="spellStart"/>
      <w:r w:rsidRPr="00465452">
        <w:t>Xgeva</w:t>
      </w:r>
      <w:proofErr w:type="spellEnd"/>
      <w:r w:rsidRPr="00465452">
        <w:t xml:space="preserve"> should be kept at room temperature (up to 25°C) in the original container and must be used within 30 days.</w:t>
      </w:r>
    </w:p>
    <w:p w:rsidR="00465452" w:rsidRPr="00465452" w:rsidRDefault="00465452" w:rsidP="00465452"/>
    <w:p w:rsidR="00465452" w:rsidRPr="00465452" w:rsidRDefault="00465452" w:rsidP="00465452">
      <w:r w:rsidRPr="00465452">
        <w:t>Pack size of one or *four.</w:t>
      </w:r>
    </w:p>
    <w:p w:rsidR="00465452" w:rsidRPr="00465452" w:rsidRDefault="00465452" w:rsidP="00465452"/>
    <w:p w:rsidR="00465452" w:rsidRPr="00465452" w:rsidRDefault="00465452" w:rsidP="00465452">
      <w:r w:rsidRPr="00465452">
        <w:t>* Not marketed in Australia.</w:t>
      </w:r>
    </w:p>
    <w:p w:rsidR="00F800B6" w:rsidRDefault="00F800B6">
      <w:pPr>
        <w:spacing w:after="200" w:line="0" w:lineRule="auto"/>
        <w:rPr>
          <w:b/>
          <w:bCs/>
        </w:rPr>
      </w:pPr>
      <w:r>
        <w:rPr>
          <w:b/>
          <w:bCs/>
        </w:rPr>
        <w:br w:type="page"/>
      </w:r>
    </w:p>
    <w:p w:rsidR="00465452" w:rsidRPr="00465452" w:rsidRDefault="00465452" w:rsidP="00465452">
      <w:pPr>
        <w:rPr>
          <w:b/>
          <w:bCs/>
        </w:rPr>
      </w:pPr>
      <w:r w:rsidRPr="00465452">
        <w:rPr>
          <w:b/>
          <w:bCs/>
        </w:rPr>
        <w:lastRenderedPageBreak/>
        <w:t>NAME AND ADDRESS OF THE SPONSOR</w:t>
      </w:r>
    </w:p>
    <w:p w:rsidR="00465452" w:rsidRPr="00465452" w:rsidRDefault="00465452" w:rsidP="00465452"/>
    <w:p w:rsidR="00465452" w:rsidRPr="00465452" w:rsidRDefault="00465452" w:rsidP="00465452">
      <w:pPr>
        <w:rPr>
          <w:lang w:val="de-DE"/>
        </w:rPr>
      </w:pPr>
      <w:r w:rsidRPr="00465452">
        <w:rPr>
          <w:lang w:val="de-DE"/>
        </w:rPr>
        <w:t>Amgen Australia Pty Ltd</w:t>
      </w:r>
    </w:p>
    <w:p w:rsidR="00465452" w:rsidRPr="00465452" w:rsidRDefault="00465452" w:rsidP="00465452">
      <w:pPr>
        <w:rPr>
          <w:lang w:val="de-DE"/>
        </w:rPr>
      </w:pPr>
      <w:r w:rsidRPr="00465452">
        <w:rPr>
          <w:lang w:val="de-DE"/>
        </w:rPr>
        <w:t>ABN 31 051 057 428</w:t>
      </w:r>
    </w:p>
    <w:p w:rsidR="00465452" w:rsidRPr="00465452" w:rsidRDefault="00465452" w:rsidP="00465452">
      <w:pPr>
        <w:rPr>
          <w:lang w:val="en-AU"/>
        </w:rPr>
      </w:pPr>
      <w:r w:rsidRPr="00465452">
        <w:rPr>
          <w:lang w:val="en-AU"/>
        </w:rPr>
        <w:t>Level 7, 123 Epping Road</w:t>
      </w:r>
    </w:p>
    <w:p w:rsidR="00465452" w:rsidRPr="00465452" w:rsidRDefault="00465452" w:rsidP="00465452">
      <w:pPr>
        <w:rPr>
          <w:lang w:val="en-AU"/>
        </w:rPr>
      </w:pPr>
      <w:r w:rsidRPr="00465452">
        <w:rPr>
          <w:lang w:val="en-AU"/>
        </w:rPr>
        <w:t>North Ryde NSW 2113</w:t>
      </w:r>
    </w:p>
    <w:p w:rsidR="00465452" w:rsidRPr="00465452" w:rsidRDefault="00465452" w:rsidP="00465452"/>
    <w:p w:rsidR="00465452" w:rsidRPr="00465452" w:rsidRDefault="00465452" w:rsidP="00465452">
      <w:r w:rsidRPr="00465452">
        <w:t>Medical Information: 1800 803 638</w:t>
      </w:r>
      <w:bookmarkStart w:id="4" w:name="_GoBack"/>
      <w:bookmarkEnd w:id="4"/>
    </w:p>
    <w:p w:rsidR="00465452" w:rsidRPr="00465452" w:rsidRDefault="00465452" w:rsidP="00465452"/>
    <w:p w:rsidR="00465452" w:rsidRPr="00465452" w:rsidRDefault="00465452" w:rsidP="00465452">
      <w:pPr>
        <w:rPr>
          <w:b/>
          <w:bCs/>
          <w:lang w:val="en-AU"/>
        </w:rPr>
      </w:pPr>
      <w:r w:rsidRPr="00465452">
        <w:rPr>
          <w:b/>
          <w:bCs/>
          <w:lang w:val="en-AU"/>
        </w:rPr>
        <w:t>POISON SCHEDULE OF THE MEDICINE</w:t>
      </w:r>
    </w:p>
    <w:p w:rsidR="00465452" w:rsidRPr="00465452" w:rsidRDefault="00465452" w:rsidP="00465452">
      <w:pPr>
        <w:rPr>
          <w:lang w:val="en-AU"/>
        </w:rPr>
      </w:pPr>
    </w:p>
    <w:p w:rsidR="00465452" w:rsidRPr="00465452" w:rsidRDefault="00465452" w:rsidP="00465452">
      <w:pPr>
        <w:rPr>
          <w:lang w:val="en-AU"/>
        </w:rPr>
      </w:pPr>
      <w:r w:rsidRPr="00465452">
        <w:rPr>
          <w:lang w:val="en-AU"/>
        </w:rPr>
        <w:t>S4 Prescription Medicine</w:t>
      </w:r>
    </w:p>
    <w:p w:rsidR="00465452" w:rsidRPr="00465452" w:rsidRDefault="00465452" w:rsidP="00465452">
      <w:pPr>
        <w:rPr>
          <w:lang w:val="en-AU"/>
        </w:rPr>
      </w:pPr>
    </w:p>
    <w:p w:rsidR="00465452" w:rsidRPr="00465452" w:rsidRDefault="00465452" w:rsidP="00465452">
      <w:pPr>
        <w:rPr>
          <w:b/>
          <w:bCs/>
        </w:rPr>
      </w:pPr>
      <w:r w:rsidRPr="00465452">
        <w:rPr>
          <w:b/>
          <w:bCs/>
        </w:rPr>
        <w:t>DATE OF APPROVAL</w:t>
      </w:r>
    </w:p>
    <w:p w:rsidR="00465452" w:rsidRPr="00465452" w:rsidRDefault="00465452" w:rsidP="00465452">
      <w:pPr>
        <w:rPr>
          <w:lang w:val="en-AU"/>
        </w:rPr>
      </w:pPr>
    </w:p>
    <w:p w:rsidR="00465452" w:rsidRPr="00465452" w:rsidRDefault="00465452" w:rsidP="00465452">
      <w:pPr>
        <w:rPr>
          <w:lang w:val="en-AU"/>
        </w:rPr>
      </w:pPr>
      <w:r w:rsidRPr="00465452">
        <w:rPr>
          <w:lang w:val="en-AU"/>
        </w:rPr>
        <w:t>23 December 2013</w:t>
      </w:r>
    </w:p>
    <w:p w:rsidR="00465452" w:rsidRPr="00465452" w:rsidRDefault="00465452" w:rsidP="00465452">
      <w:pPr>
        <w:rPr>
          <w:lang w:val="en-AU"/>
        </w:rPr>
      </w:pPr>
    </w:p>
    <w:p w:rsidR="00465452" w:rsidRPr="00465452" w:rsidRDefault="00465452" w:rsidP="00465452">
      <w:pPr>
        <w:rPr>
          <w:b/>
          <w:bCs/>
          <w:lang w:val="en-AU"/>
        </w:rPr>
      </w:pPr>
      <w:r w:rsidRPr="00465452">
        <w:rPr>
          <w:b/>
          <w:bCs/>
          <w:lang w:val="en-AU"/>
        </w:rPr>
        <w:t>DATE OF MOST RECENT AMENDMENT</w:t>
      </w:r>
    </w:p>
    <w:p w:rsidR="00465452" w:rsidRPr="00465452" w:rsidRDefault="00465452" w:rsidP="00465452">
      <w:pPr>
        <w:rPr>
          <w:b/>
          <w:bCs/>
          <w:lang w:val="en-AU"/>
        </w:rPr>
      </w:pPr>
    </w:p>
    <w:p w:rsidR="00465452" w:rsidRPr="00465452" w:rsidRDefault="00465452" w:rsidP="00465452">
      <w:pPr>
        <w:rPr>
          <w:lang w:val="en-AU"/>
        </w:rPr>
      </w:pPr>
      <w:r w:rsidRPr="00465452">
        <w:rPr>
          <w:lang w:val="en-AU"/>
        </w:rPr>
        <w:t>3 December 2013</w:t>
      </w:r>
    </w:p>
    <w:p w:rsidR="00465452" w:rsidRPr="00465452" w:rsidRDefault="00465452" w:rsidP="00465452">
      <w:pPr>
        <w:rPr>
          <w:lang w:val="en-AU"/>
        </w:rPr>
      </w:pPr>
    </w:p>
    <w:p w:rsidR="00465452" w:rsidRPr="00465452" w:rsidRDefault="00465452" w:rsidP="00465452">
      <w:pPr>
        <w:rPr>
          <w:lang w:val="en-AU"/>
        </w:rPr>
      </w:pPr>
      <w:r w:rsidRPr="00465452">
        <w:t>XGEVA</w:t>
      </w:r>
      <w:r w:rsidRPr="00465452">
        <w:rPr>
          <w:vertAlign w:val="superscript"/>
        </w:rPr>
        <w:t>®</w:t>
      </w:r>
      <w:r w:rsidRPr="00465452">
        <w:rPr>
          <w:lang w:val="en-AU"/>
        </w:rPr>
        <w:t xml:space="preserve"> is a trademark of Amgen.</w:t>
      </w:r>
    </w:p>
    <w:p w:rsidR="00465452" w:rsidRPr="00465452" w:rsidRDefault="00465452" w:rsidP="00465452">
      <w:pPr>
        <w:rPr>
          <w:lang w:val="en-AU"/>
        </w:rPr>
      </w:pPr>
    </w:p>
    <w:p w:rsidR="00465452" w:rsidRPr="00465452" w:rsidRDefault="00465452" w:rsidP="00465452">
      <w:pPr>
        <w:rPr>
          <w:lang w:val="en-AU"/>
        </w:rPr>
      </w:pPr>
      <w:r w:rsidRPr="00465452">
        <w:rPr>
          <w:lang w:val="en-AU"/>
        </w:rPr>
        <w:t>© 2011 Amgen Inc. All rights reserved</w:t>
      </w:r>
    </w:p>
    <w:p w:rsidR="00465452" w:rsidRPr="00465452" w:rsidRDefault="00465452" w:rsidP="00465452">
      <w:pPr>
        <w:rPr>
          <w:lang w:val="en-AU"/>
        </w:rPr>
      </w:pPr>
    </w:p>
    <w:p w:rsidR="00465452" w:rsidRPr="00465452" w:rsidRDefault="00465452" w:rsidP="00465452">
      <w:pPr>
        <w:rPr>
          <w:lang w:val="en-AU"/>
        </w:rPr>
      </w:pPr>
      <w:r w:rsidRPr="00465452">
        <w:rPr>
          <w:vertAlign w:val="superscript"/>
          <w:lang w:val="en-AU"/>
        </w:rPr>
        <w:t>#</w:t>
      </w:r>
      <w:r w:rsidRPr="00465452">
        <w:rPr>
          <w:lang w:val="en-AU"/>
        </w:rPr>
        <w:t xml:space="preserve"> </w:t>
      </w:r>
      <w:proofErr w:type="gramStart"/>
      <w:r w:rsidRPr="00465452">
        <w:rPr>
          <w:lang w:val="en-AU"/>
        </w:rPr>
        <w:t>Please</w:t>
      </w:r>
      <w:proofErr w:type="gramEnd"/>
      <w:r w:rsidRPr="00465452">
        <w:rPr>
          <w:lang w:val="en-AU"/>
        </w:rPr>
        <w:t xml:space="preserve"> note changes in Product Information</w:t>
      </w:r>
    </w:p>
    <w:p w:rsidR="00EE0EEA" w:rsidRPr="00465452" w:rsidRDefault="00EE0EEA" w:rsidP="00465452"/>
    <w:sectPr w:rsidR="00EE0EEA" w:rsidRPr="00465452" w:rsidSect="00F9373E">
      <w:headerReference w:type="even" r:id="rId12"/>
      <w:headerReference w:type="default" r:id="rId13"/>
      <w:footerReference w:type="even" r:id="rId14"/>
      <w:footerReference w:type="default" r:id="rId15"/>
      <w:headerReference w:type="first" r:id="rId16"/>
      <w:footerReference w:type="first" r:id="rId17"/>
      <w:type w:val="continuous"/>
      <w:pgSz w:w="12240" w:h="15840"/>
      <w:pgMar w:top="933"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73E" w:rsidRDefault="00F9373E" w:rsidP="00C40A36">
      <w:r>
        <w:separator/>
      </w:r>
    </w:p>
  </w:endnote>
  <w:endnote w:type="continuationSeparator" w:id="0">
    <w:p w:rsidR="00F9373E" w:rsidRDefault="00F9373E"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6D5" w:rsidRDefault="00F800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6D5" w:rsidRDefault="00F800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6D5" w:rsidRDefault="00F80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73E" w:rsidRDefault="00F9373E" w:rsidP="00C40A36">
      <w:r>
        <w:separator/>
      </w:r>
    </w:p>
  </w:footnote>
  <w:footnote w:type="continuationSeparator" w:id="0">
    <w:p w:rsidR="00F9373E" w:rsidRDefault="00F9373E" w:rsidP="00C4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6D5" w:rsidRDefault="00F800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EB747A" w:rsidRPr="00EB747A" w:rsidTr="00EB747A">
      <w:tc>
        <w:tcPr>
          <w:tcW w:w="8720" w:type="dxa"/>
          <w:shd w:val="clear" w:color="auto" w:fill="E4F2E0"/>
        </w:tcPr>
        <w:p w:rsidR="00EB747A" w:rsidRPr="00EB747A" w:rsidRDefault="00D32D5B" w:rsidP="00BF25C4">
          <w:pPr>
            <w:rPr>
              <w:rFonts w:ascii="Cambria" w:hAnsi="Cambria"/>
              <w:b/>
              <w:sz w:val="20"/>
              <w:szCs w:val="20"/>
            </w:rPr>
          </w:pPr>
          <w:r w:rsidRPr="00EB747A">
            <w:rPr>
              <w:rFonts w:ascii="Cambria" w:hAnsi="Cambria"/>
              <w:b/>
              <w:sz w:val="20"/>
              <w:szCs w:val="20"/>
            </w:rPr>
            <w:t xml:space="preserve">Attachment 1: Product information for </w:t>
          </w:r>
          <w:proofErr w:type="spellStart"/>
          <w:r w:rsidRPr="00EB747A">
            <w:rPr>
              <w:rFonts w:ascii="Cambria" w:hAnsi="Cambria"/>
              <w:b/>
              <w:sz w:val="20"/>
              <w:szCs w:val="20"/>
            </w:rPr>
            <w:t>AusPAR</w:t>
          </w:r>
          <w:proofErr w:type="spellEnd"/>
          <w:r w:rsidRPr="00EB747A">
            <w:rPr>
              <w:rFonts w:ascii="Cambria" w:hAnsi="Cambria"/>
              <w:b/>
              <w:sz w:val="20"/>
              <w:szCs w:val="20"/>
            </w:rPr>
            <w:t xml:space="preserve"> </w:t>
          </w:r>
          <w:proofErr w:type="spellStart"/>
          <w:r w:rsidRPr="00EB747A">
            <w:rPr>
              <w:rFonts w:ascii="Cambria" w:hAnsi="Cambria"/>
              <w:b/>
              <w:sz w:val="20"/>
              <w:szCs w:val="20"/>
            </w:rPr>
            <w:t>Xgeva</w:t>
          </w:r>
          <w:proofErr w:type="spellEnd"/>
          <w:r w:rsidRPr="00EB747A">
            <w:rPr>
              <w:rFonts w:ascii="Cambria" w:hAnsi="Cambria"/>
              <w:b/>
              <w:sz w:val="20"/>
              <w:szCs w:val="20"/>
            </w:rPr>
            <w:t xml:space="preserve"> </w:t>
          </w:r>
          <w:proofErr w:type="spellStart"/>
          <w:r w:rsidRPr="00EB747A">
            <w:rPr>
              <w:rFonts w:ascii="Cambria" w:hAnsi="Cambria"/>
              <w:b/>
              <w:sz w:val="20"/>
              <w:szCs w:val="20"/>
            </w:rPr>
            <w:t>denosumab</w:t>
          </w:r>
          <w:proofErr w:type="spellEnd"/>
          <w:r w:rsidRPr="00EB747A">
            <w:rPr>
              <w:rFonts w:ascii="Cambria" w:hAnsi="Cambria"/>
              <w:b/>
              <w:sz w:val="20"/>
              <w:szCs w:val="20"/>
            </w:rPr>
            <w:t xml:space="preserve"> Amgen PM-2012-04329-1-4 Date of </w:t>
          </w:r>
          <w:proofErr w:type="spellStart"/>
          <w:r w:rsidRPr="00EB747A">
            <w:rPr>
              <w:rFonts w:ascii="Cambria" w:hAnsi="Cambria"/>
              <w:b/>
              <w:sz w:val="20"/>
              <w:szCs w:val="20"/>
            </w:rPr>
            <w:t>Finalisation</w:t>
          </w:r>
          <w:proofErr w:type="spellEnd"/>
          <w:r w:rsidRPr="00EB747A">
            <w:rPr>
              <w:rFonts w:ascii="Cambria" w:hAnsi="Cambria"/>
              <w:b/>
              <w:sz w:val="20"/>
              <w:szCs w:val="20"/>
            </w:rPr>
            <w:t xml:space="preserve"> 17 April 2014. This Product Information was approved at the time this </w:t>
          </w:r>
          <w:proofErr w:type="spellStart"/>
          <w:r w:rsidRPr="00EB747A">
            <w:rPr>
              <w:rFonts w:ascii="Cambria" w:hAnsi="Cambria"/>
              <w:b/>
              <w:sz w:val="20"/>
              <w:szCs w:val="20"/>
            </w:rPr>
            <w:t>AusPAR</w:t>
          </w:r>
          <w:proofErr w:type="spellEnd"/>
          <w:r w:rsidRPr="00EB747A">
            <w:rPr>
              <w:rFonts w:ascii="Cambria" w:hAnsi="Cambria"/>
              <w:b/>
              <w:sz w:val="20"/>
              <w:szCs w:val="20"/>
            </w:rPr>
            <w:t xml:space="preserve"> was published.</w:t>
          </w:r>
        </w:p>
      </w:tc>
    </w:tr>
  </w:tbl>
  <w:p w:rsidR="00EB747A" w:rsidRPr="00767C0A" w:rsidRDefault="00D32D5B" w:rsidP="00BF25C4">
    <w:pPr>
      <w:pBdr>
        <w:bottom w:val="single" w:sz="4" w:space="1" w:color="auto"/>
      </w:pBdr>
      <w:tabs>
        <w:tab w:val="left" w:pos="6120"/>
        <w:tab w:val="right" w:pos="9900"/>
      </w:tabs>
      <w:spacing w:before="240" w:after="240"/>
      <w:rPr>
        <w:rFonts w:cs="Arial"/>
        <w:sz w:val="20"/>
        <w:szCs w:val="20"/>
        <w:lang w:val="en-AU"/>
      </w:rPr>
    </w:pPr>
    <w:proofErr w:type="spellStart"/>
    <w:r>
      <w:rPr>
        <w:rFonts w:cs="Arial"/>
        <w:sz w:val="20"/>
        <w:szCs w:val="20"/>
        <w:lang w:val="en-AU"/>
      </w:rPr>
      <w:t>Xgeva</w:t>
    </w:r>
    <w:proofErr w:type="spellEnd"/>
    <w:r>
      <w:rPr>
        <w:rFonts w:cs="Arial"/>
        <w:sz w:val="20"/>
        <w:szCs w:val="20"/>
        <w:vertAlign w:val="superscript"/>
        <w:lang w:val="en-AU"/>
      </w:rPr>
      <w:t xml:space="preserve">® </w:t>
    </w:r>
    <w:r>
      <w:rPr>
        <w:rFonts w:cs="Arial"/>
        <w:sz w:val="20"/>
        <w:szCs w:val="20"/>
        <w:lang w:val="en-AU"/>
      </w:rPr>
      <w:t>(</w:t>
    </w:r>
    <w:proofErr w:type="spellStart"/>
    <w:r>
      <w:rPr>
        <w:rFonts w:cs="Arial"/>
        <w:sz w:val="20"/>
        <w:szCs w:val="20"/>
        <w:lang w:val="en-AU"/>
      </w:rPr>
      <w:t>denosumab</w:t>
    </w:r>
    <w:proofErr w:type="spellEnd"/>
    <w:r>
      <w:rPr>
        <w:rFonts w:cs="Arial"/>
        <w:sz w:val="20"/>
        <w:szCs w:val="20"/>
        <w:lang w:val="en-AU"/>
      </w:rPr>
      <w:t>)</w:t>
    </w:r>
    <w:r w:rsidRPr="00767C0A">
      <w:rPr>
        <w:rFonts w:cs="Arial"/>
        <w:sz w:val="20"/>
        <w:szCs w:val="20"/>
        <w:lang w:val="en-AU"/>
      </w:rPr>
      <w:t xml:space="preserve"> Product Information</w:t>
    </w:r>
    <w:r>
      <w:rPr>
        <w:rFonts w:cs="Arial"/>
        <w:sz w:val="20"/>
        <w:szCs w:val="20"/>
        <w:lang w:val="en-AU"/>
      </w:rPr>
      <w:tab/>
    </w:r>
    <w:r>
      <w:rPr>
        <w:rFonts w:cs="Arial"/>
        <w:sz w:val="20"/>
        <w:szCs w:val="20"/>
        <w:lang w:val="en-AU"/>
      </w:rPr>
      <w:tab/>
    </w:r>
    <w:r w:rsidRPr="007B06F1">
      <w:rPr>
        <w:rFonts w:cs="Arial"/>
        <w:sz w:val="20"/>
        <w:szCs w:val="20"/>
      </w:rPr>
      <w:t xml:space="preserve">Page </w:t>
    </w:r>
    <w:r w:rsidRPr="007B06F1">
      <w:rPr>
        <w:rFonts w:cs="Arial"/>
        <w:sz w:val="20"/>
        <w:szCs w:val="20"/>
      </w:rPr>
      <w:fldChar w:fldCharType="begin"/>
    </w:r>
    <w:r w:rsidRPr="007B06F1">
      <w:rPr>
        <w:rFonts w:cs="Arial"/>
        <w:sz w:val="20"/>
        <w:szCs w:val="20"/>
      </w:rPr>
      <w:instrText xml:space="preserve"> PAGE </w:instrText>
    </w:r>
    <w:r w:rsidRPr="007B06F1">
      <w:rPr>
        <w:rFonts w:cs="Arial"/>
        <w:sz w:val="20"/>
        <w:szCs w:val="20"/>
      </w:rPr>
      <w:fldChar w:fldCharType="separate"/>
    </w:r>
    <w:r w:rsidR="00F800B6">
      <w:rPr>
        <w:rFonts w:cs="Arial"/>
        <w:noProof/>
        <w:sz w:val="20"/>
        <w:szCs w:val="20"/>
      </w:rPr>
      <w:t>18</w:t>
    </w:r>
    <w:r w:rsidRPr="007B06F1">
      <w:rPr>
        <w:rFonts w:cs="Arial"/>
        <w:sz w:val="20"/>
        <w:szCs w:val="20"/>
      </w:rPr>
      <w:fldChar w:fldCharType="end"/>
    </w:r>
    <w:r w:rsidRPr="007B06F1">
      <w:rPr>
        <w:rFonts w:cs="Arial"/>
        <w:sz w:val="20"/>
        <w:szCs w:val="20"/>
      </w:rPr>
      <w:t xml:space="preserve"> of </w:t>
    </w:r>
    <w:r w:rsidRPr="007B06F1">
      <w:rPr>
        <w:rFonts w:cs="Arial"/>
        <w:sz w:val="20"/>
        <w:szCs w:val="20"/>
      </w:rPr>
      <w:fldChar w:fldCharType="begin"/>
    </w:r>
    <w:r w:rsidRPr="007B06F1">
      <w:rPr>
        <w:rFonts w:cs="Arial"/>
        <w:sz w:val="20"/>
        <w:szCs w:val="20"/>
      </w:rPr>
      <w:instrText xml:space="preserve"> NUMPAGES </w:instrText>
    </w:r>
    <w:r w:rsidRPr="007B06F1">
      <w:rPr>
        <w:rFonts w:cs="Arial"/>
        <w:sz w:val="20"/>
        <w:szCs w:val="20"/>
      </w:rPr>
      <w:fldChar w:fldCharType="separate"/>
    </w:r>
    <w:r w:rsidR="00F800B6">
      <w:rPr>
        <w:rFonts w:cs="Arial"/>
        <w:noProof/>
        <w:sz w:val="20"/>
        <w:szCs w:val="20"/>
      </w:rPr>
      <w:t>18</w:t>
    </w:r>
    <w:r w:rsidRPr="007B06F1">
      <w:rPr>
        <w:rFonts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6D5" w:rsidRDefault="00F800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E01ECA"/>
    <w:lvl w:ilvl="0">
      <w:start w:val="1"/>
      <w:numFmt w:val="decimal"/>
      <w:lvlText w:val="%1."/>
      <w:lvlJc w:val="left"/>
      <w:pPr>
        <w:tabs>
          <w:tab w:val="num" w:pos="1492"/>
        </w:tabs>
        <w:ind w:left="1492" w:hanging="360"/>
      </w:pPr>
    </w:lvl>
  </w:abstractNum>
  <w:abstractNum w:abstractNumId="1">
    <w:nsid w:val="FFFFFF7D"/>
    <w:multiLevelType w:val="singleLevel"/>
    <w:tmpl w:val="2FDEDC3E"/>
    <w:lvl w:ilvl="0">
      <w:start w:val="1"/>
      <w:numFmt w:val="decimal"/>
      <w:lvlText w:val="%1."/>
      <w:lvlJc w:val="left"/>
      <w:pPr>
        <w:tabs>
          <w:tab w:val="num" w:pos="1209"/>
        </w:tabs>
        <w:ind w:left="1209" w:hanging="360"/>
      </w:pPr>
    </w:lvl>
  </w:abstractNum>
  <w:abstractNum w:abstractNumId="2">
    <w:nsid w:val="FFFFFF7E"/>
    <w:multiLevelType w:val="singleLevel"/>
    <w:tmpl w:val="5FACB968"/>
    <w:lvl w:ilvl="0">
      <w:start w:val="1"/>
      <w:numFmt w:val="decimal"/>
      <w:lvlText w:val="%1."/>
      <w:lvlJc w:val="left"/>
      <w:pPr>
        <w:tabs>
          <w:tab w:val="num" w:pos="926"/>
        </w:tabs>
        <w:ind w:left="926" w:hanging="360"/>
      </w:pPr>
    </w:lvl>
  </w:abstractNum>
  <w:abstractNum w:abstractNumId="3">
    <w:nsid w:val="FFFFFF7F"/>
    <w:multiLevelType w:val="singleLevel"/>
    <w:tmpl w:val="24FA0CFE"/>
    <w:lvl w:ilvl="0">
      <w:start w:val="1"/>
      <w:numFmt w:val="decimal"/>
      <w:lvlText w:val="%1."/>
      <w:lvlJc w:val="left"/>
      <w:pPr>
        <w:tabs>
          <w:tab w:val="num" w:pos="643"/>
        </w:tabs>
        <w:ind w:left="643" w:hanging="360"/>
      </w:pPr>
    </w:lvl>
  </w:abstractNum>
  <w:abstractNum w:abstractNumId="4">
    <w:nsid w:val="FFFFFF80"/>
    <w:multiLevelType w:val="singleLevel"/>
    <w:tmpl w:val="A2D8C2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15662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nsid w:val="FFFFFF88"/>
    <w:multiLevelType w:val="singleLevel"/>
    <w:tmpl w:val="8C7C0B74"/>
    <w:lvl w:ilvl="0">
      <w:start w:val="1"/>
      <w:numFmt w:val="decimal"/>
      <w:lvlText w:val="%1."/>
      <w:lvlJc w:val="left"/>
      <w:pPr>
        <w:tabs>
          <w:tab w:val="num" w:pos="360"/>
        </w:tabs>
        <w:ind w:left="360" w:hanging="360"/>
      </w:pPr>
    </w:lvl>
  </w:abstractNum>
  <w:abstractNum w:abstractNumId="9">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0">
    <w:nsid w:val="00600509"/>
    <w:multiLevelType w:val="hybridMultilevel"/>
    <w:tmpl w:val="C0982D86"/>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0A8A09F7"/>
    <w:multiLevelType w:val="hybridMultilevel"/>
    <w:tmpl w:val="E1CE22D4"/>
    <w:lvl w:ilvl="0" w:tplc="0582AAAC">
      <w:start w:val="1"/>
      <w:numFmt w:val="bullet"/>
      <w:lvlText w:val=""/>
      <w:lvlJc w:val="left"/>
      <w:pPr>
        <w:tabs>
          <w:tab w:val="num" w:pos="556"/>
        </w:tabs>
        <w:ind w:left="556" w:hanging="360"/>
      </w:pPr>
      <w:rPr>
        <w:rFonts w:ascii="Wingdings" w:hAnsi="Wingdings" w:hint="default"/>
        <w:sz w:val="16"/>
      </w:rPr>
    </w:lvl>
    <w:lvl w:ilvl="1" w:tplc="04090003" w:tentative="1">
      <w:start w:val="1"/>
      <w:numFmt w:val="bullet"/>
      <w:lvlText w:val="o"/>
      <w:lvlJc w:val="left"/>
      <w:pPr>
        <w:tabs>
          <w:tab w:val="num" w:pos="1564"/>
        </w:tabs>
        <w:ind w:left="1564" w:hanging="360"/>
      </w:pPr>
      <w:rPr>
        <w:rFonts w:ascii="Courier New" w:hAnsi="Courier New" w:cs="Courier New" w:hint="default"/>
      </w:rPr>
    </w:lvl>
    <w:lvl w:ilvl="2" w:tplc="04090005" w:tentative="1">
      <w:start w:val="1"/>
      <w:numFmt w:val="bullet"/>
      <w:lvlText w:val=""/>
      <w:lvlJc w:val="left"/>
      <w:pPr>
        <w:tabs>
          <w:tab w:val="num" w:pos="2284"/>
        </w:tabs>
        <w:ind w:left="2284" w:hanging="360"/>
      </w:pPr>
      <w:rPr>
        <w:rFonts w:ascii="Wingdings" w:hAnsi="Wingdings" w:hint="default"/>
      </w:rPr>
    </w:lvl>
    <w:lvl w:ilvl="3" w:tplc="04090001" w:tentative="1">
      <w:start w:val="1"/>
      <w:numFmt w:val="bullet"/>
      <w:lvlText w:val=""/>
      <w:lvlJc w:val="left"/>
      <w:pPr>
        <w:tabs>
          <w:tab w:val="num" w:pos="3004"/>
        </w:tabs>
        <w:ind w:left="3004" w:hanging="360"/>
      </w:pPr>
      <w:rPr>
        <w:rFonts w:ascii="Symbol" w:hAnsi="Symbol" w:hint="default"/>
      </w:rPr>
    </w:lvl>
    <w:lvl w:ilvl="4" w:tplc="04090003" w:tentative="1">
      <w:start w:val="1"/>
      <w:numFmt w:val="bullet"/>
      <w:lvlText w:val="o"/>
      <w:lvlJc w:val="left"/>
      <w:pPr>
        <w:tabs>
          <w:tab w:val="num" w:pos="3724"/>
        </w:tabs>
        <w:ind w:left="3724" w:hanging="360"/>
      </w:pPr>
      <w:rPr>
        <w:rFonts w:ascii="Courier New" w:hAnsi="Courier New" w:cs="Courier New" w:hint="default"/>
      </w:rPr>
    </w:lvl>
    <w:lvl w:ilvl="5" w:tplc="04090005" w:tentative="1">
      <w:start w:val="1"/>
      <w:numFmt w:val="bullet"/>
      <w:lvlText w:val=""/>
      <w:lvlJc w:val="left"/>
      <w:pPr>
        <w:tabs>
          <w:tab w:val="num" w:pos="4444"/>
        </w:tabs>
        <w:ind w:left="4444" w:hanging="360"/>
      </w:pPr>
      <w:rPr>
        <w:rFonts w:ascii="Wingdings" w:hAnsi="Wingdings" w:hint="default"/>
      </w:rPr>
    </w:lvl>
    <w:lvl w:ilvl="6" w:tplc="04090001" w:tentative="1">
      <w:start w:val="1"/>
      <w:numFmt w:val="bullet"/>
      <w:lvlText w:val=""/>
      <w:lvlJc w:val="left"/>
      <w:pPr>
        <w:tabs>
          <w:tab w:val="num" w:pos="5164"/>
        </w:tabs>
        <w:ind w:left="5164" w:hanging="360"/>
      </w:pPr>
      <w:rPr>
        <w:rFonts w:ascii="Symbol" w:hAnsi="Symbol" w:hint="default"/>
      </w:rPr>
    </w:lvl>
    <w:lvl w:ilvl="7" w:tplc="04090003" w:tentative="1">
      <w:start w:val="1"/>
      <w:numFmt w:val="bullet"/>
      <w:lvlText w:val="o"/>
      <w:lvlJc w:val="left"/>
      <w:pPr>
        <w:tabs>
          <w:tab w:val="num" w:pos="5884"/>
        </w:tabs>
        <w:ind w:left="5884" w:hanging="360"/>
      </w:pPr>
      <w:rPr>
        <w:rFonts w:ascii="Courier New" w:hAnsi="Courier New" w:cs="Courier New" w:hint="default"/>
      </w:rPr>
    </w:lvl>
    <w:lvl w:ilvl="8" w:tplc="04090005" w:tentative="1">
      <w:start w:val="1"/>
      <w:numFmt w:val="bullet"/>
      <w:lvlText w:val=""/>
      <w:lvlJc w:val="left"/>
      <w:pPr>
        <w:tabs>
          <w:tab w:val="num" w:pos="6604"/>
        </w:tabs>
        <w:ind w:left="6604" w:hanging="360"/>
      </w:pPr>
      <w:rPr>
        <w:rFonts w:ascii="Wingdings" w:hAnsi="Wingdings" w:hint="default"/>
      </w:rPr>
    </w:lvl>
  </w:abstractNum>
  <w:abstractNum w:abstractNumId="12">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3">
    <w:nsid w:val="13991507"/>
    <w:multiLevelType w:val="hybridMultilevel"/>
    <w:tmpl w:val="A054350A"/>
    <w:lvl w:ilvl="0" w:tplc="6FFC7B08">
      <w:start w:val="1"/>
      <w:numFmt w:val="bullet"/>
      <w:lvlText w:val=""/>
      <w:lvlJc w:val="left"/>
      <w:pPr>
        <w:tabs>
          <w:tab w:val="num" w:pos="416"/>
        </w:tabs>
        <w:ind w:left="416" w:hanging="360"/>
      </w:pPr>
      <w:rPr>
        <w:rFonts w:ascii="Symbol" w:hAnsi="Symbol" w:hint="default"/>
        <w:color w:val="auto"/>
        <w:sz w:val="20"/>
        <w:szCs w:val="20"/>
        <w:u w:color="000080"/>
      </w:rPr>
    </w:lvl>
    <w:lvl w:ilvl="1" w:tplc="04090003" w:tentative="1">
      <w:start w:val="1"/>
      <w:numFmt w:val="bullet"/>
      <w:lvlText w:val="o"/>
      <w:lvlJc w:val="left"/>
      <w:pPr>
        <w:tabs>
          <w:tab w:val="num" w:pos="240"/>
        </w:tabs>
        <w:ind w:left="240" w:hanging="360"/>
      </w:pPr>
      <w:rPr>
        <w:rFonts w:ascii="Courier New" w:hAnsi="Courier New" w:cs="Courier New" w:hint="default"/>
      </w:rPr>
    </w:lvl>
    <w:lvl w:ilvl="2" w:tplc="04090005" w:tentative="1">
      <w:start w:val="1"/>
      <w:numFmt w:val="bullet"/>
      <w:lvlText w:val=""/>
      <w:lvlJc w:val="left"/>
      <w:pPr>
        <w:tabs>
          <w:tab w:val="num" w:pos="960"/>
        </w:tabs>
        <w:ind w:left="960" w:hanging="360"/>
      </w:pPr>
      <w:rPr>
        <w:rFonts w:ascii="Wingdings" w:hAnsi="Wingdings" w:hint="default"/>
      </w:rPr>
    </w:lvl>
    <w:lvl w:ilvl="3" w:tplc="04090001" w:tentative="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1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nsid w:val="1822745F"/>
    <w:multiLevelType w:val="hybridMultilevel"/>
    <w:tmpl w:val="3D54142C"/>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5EA4CF5"/>
    <w:multiLevelType w:val="hybridMultilevel"/>
    <w:tmpl w:val="1C16F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B686EAB"/>
    <w:multiLevelType w:val="hybridMultilevel"/>
    <w:tmpl w:val="B95ED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0707D1A"/>
    <w:multiLevelType w:val="hybridMultilevel"/>
    <w:tmpl w:val="58B69414"/>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104158A"/>
    <w:multiLevelType w:val="hybridMultilevel"/>
    <w:tmpl w:val="E1DE7F06"/>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31276D00"/>
    <w:multiLevelType w:val="hybridMultilevel"/>
    <w:tmpl w:val="3ED86B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341373F8"/>
    <w:multiLevelType w:val="hybridMultilevel"/>
    <w:tmpl w:val="8696CB64"/>
    <w:lvl w:ilvl="0" w:tplc="18502736">
      <w:start w:val="1"/>
      <w:numFmt w:val="bullet"/>
      <w:lvlText w:val="-"/>
      <w:lvlJc w:val="left"/>
      <w:pPr>
        <w:tabs>
          <w:tab w:val="num" w:pos="540"/>
        </w:tabs>
        <w:ind w:left="540" w:hanging="360"/>
      </w:pPr>
      <w:rPr>
        <w:rFonts w:ascii="Times New Roman" w:eastAsia="Times New Roman" w:hAnsi="Times New Roman" w:cs="Times New Roman" w:hint="default"/>
      </w:rPr>
    </w:lvl>
    <w:lvl w:ilvl="1" w:tplc="0C090003" w:tentative="1">
      <w:start w:val="1"/>
      <w:numFmt w:val="bullet"/>
      <w:lvlText w:val="o"/>
      <w:lvlJc w:val="left"/>
      <w:pPr>
        <w:tabs>
          <w:tab w:val="num" w:pos="-1260"/>
        </w:tabs>
        <w:ind w:left="-1260" w:hanging="360"/>
      </w:pPr>
      <w:rPr>
        <w:rFonts w:ascii="Courier New" w:hAnsi="Courier New" w:cs="Courier New"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80"/>
        </w:tabs>
        <w:ind w:left="180" w:hanging="360"/>
      </w:pPr>
      <w:rPr>
        <w:rFonts w:ascii="Symbol" w:hAnsi="Symbol" w:hint="default"/>
      </w:rPr>
    </w:lvl>
    <w:lvl w:ilvl="4" w:tplc="0C090003" w:tentative="1">
      <w:start w:val="1"/>
      <w:numFmt w:val="bullet"/>
      <w:lvlText w:val="o"/>
      <w:lvlJc w:val="left"/>
      <w:pPr>
        <w:tabs>
          <w:tab w:val="num" w:pos="900"/>
        </w:tabs>
        <w:ind w:left="900" w:hanging="360"/>
      </w:pPr>
      <w:rPr>
        <w:rFonts w:ascii="Courier New" w:hAnsi="Courier New" w:cs="Courier New" w:hint="default"/>
      </w:rPr>
    </w:lvl>
    <w:lvl w:ilvl="5" w:tplc="0C090005" w:tentative="1">
      <w:start w:val="1"/>
      <w:numFmt w:val="bullet"/>
      <w:lvlText w:val=""/>
      <w:lvlJc w:val="left"/>
      <w:pPr>
        <w:tabs>
          <w:tab w:val="num" w:pos="1620"/>
        </w:tabs>
        <w:ind w:left="1620" w:hanging="360"/>
      </w:pPr>
      <w:rPr>
        <w:rFonts w:ascii="Wingdings" w:hAnsi="Wingdings" w:hint="default"/>
      </w:rPr>
    </w:lvl>
    <w:lvl w:ilvl="6" w:tplc="0C090001" w:tentative="1">
      <w:start w:val="1"/>
      <w:numFmt w:val="bullet"/>
      <w:lvlText w:val=""/>
      <w:lvlJc w:val="left"/>
      <w:pPr>
        <w:tabs>
          <w:tab w:val="num" w:pos="2340"/>
        </w:tabs>
        <w:ind w:left="2340" w:hanging="360"/>
      </w:pPr>
      <w:rPr>
        <w:rFonts w:ascii="Symbol" w:hAnsi="Symbol" w:hint="default"/>
      </w:rPr>
    </w:lvl>
    <w:lvl w:ilvl="7" w:tplc="0C090003" w:tentative="1">
      <w:start w:val="1"/>
      <w:numFmt w:val="bullet"/>
      <w:lvlText w:val="o"/>
      <w:lvlJc w:val="left"/>
      <w:pPr>
        <w:tabs>
          <w:tab w:val="num" w:pos="3060"/>
        </w:tabs>
        <w:ind w:left="3060" w:hanging="360"/>
      </w:pPr>
      <w:rPr>
        <w:rFonts w:ascii="Courier New" w:hAnsi="Courier New" w:cs="Courier New" w:hint="default"/>
      </w:rPr>
    </w:lvl>
    <w:lvl w:ilvl="8" w:tplc="0C090005" w:tentative="1">
      <w:start w:val="1"/>
      <w:numFmt w:val="bullet"/>
      <w:lvlText w:val=""/>
      <w:lvlJc w:val="left"/>
      <w:pPr>
        <w:tabs>
          <w:tab w:val="num" w:pos="3780"/>
        </w:tabs>
        <w:ind w:left="3780" w:hanging="360"/>
      </w:pPr>
      <w:rPr>
        <w:rFonts w:ascii="Wingdings" w:hAnsi="Wingdings" w:hint="default"/>
      </w:rPr>
    </w:lvl>
  </w:abstractNum>
  <w:abstractNum w:abstractNumId="22">
    <w:nsid w:val="37BA1E77"/>
    <w:multiLevelType w:val="hybridMultilevel"/>
    <w:tmpl w:val="C2BAF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9146768"/>
    <w:multiLevelType w:val="hybridMultilevel"/>
    <w:tmpl w:val="825680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2EF09B5"/>
    <w:multiLevelType w:val="hybridMultilevel"/>
    <w:tmpl w:val="15501058"/>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56202FC"/>
    <w:multiLevelType w:val="hybridMultilevel"/>
    <w:tmpl w:val="585ACC2C"/>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947747E"/>
    <w:multiLevelType w:val="hybridMultilevel"/>
    <w:tmpl w:val="44724722"/>
    <w:lvl w:ilvl="0" w:tplc="F01E465A">
      <w:start w:val="1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982D0B"/>
    <w:multiLevelType w:val="hybridMultilevel"/>
    <w:tmpl w:val="55C4B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FBF6095"/>
    <w:multiLevelType w:val="hybridMultilevel"/>
    <w:tmpl w:val="59BC00BE"/>
    <w:lvl w:ilvl="0" w:tplc="151E7E3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DC43493"/>
    <w:multiLevelType w:val="hybridMultilevel"/>
    <w:tmpl w:val="59E060E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F247F05"/>
    <w:multiLevelType w:val="hybridMultilevel"/>
    <w:tmpl w:val="82EC1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FCD4937"/>
    <w:multiLevelType w:val="hybridMultilevel"/>
    <w:tmpl w:val="3084BEEE"/>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70DA1EE1"/>
    <w:multiLevelType w:val="hybridMultilevel"/>
    <w:tmpl w:val="090A1A60"/>
    <w:lvl w:ilvl="0" w:tplc="0A665D80">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48A1FFA"/>
    <w:multiLevelType w:val="hybridMultilevel"/>
    <w:tmpl w:val="BF860E24"/>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7704350C"/>
    <w:multiLevelType w:val="hybridMultilevel"/>
    <w:tmpl w:val="B89492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nsid w:val="7AD21CD9"/>
    <w:multiLevelType w:val="hybridMultilevel"/>
    <w:tmpl w:val="D20CB884"/>
    <w:lvl w:ilvl="0" w:tplc="FC26E8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4"/>
  </w:num>
  <w:num w:numId="4">
    <w:abstractNumId w:val="14"/>
  </w:num>
  <w:num w:numId="5">
    <w:abstractNumId w:val="6"/>
  </w:num>
  <w:num w:numId="6">
    <w:abstractNumId w:val="14"/>
  </w:num>
  <w:num w:numId="7">
    <w:abstractNumId w:val="14"/>
  </w:num>
  <w:num w:numId="8">
    <w:abstractNumId w:val="12"/>
  </w:num>
  <w:num w:numId="9">
    <w:abstractNumId w:val="12"/>
  </w:num>
  <w:num w:numId="10">
    <w:abstractNumId w:val="12"/>
  </w:num>
  <w:num w:numId="11">
    <w:abstractNumId w:val="12"/>
  </w:num>
  <w:num w:numId="12">
    <w:abstractNumId w:val="14"/>
  </w:num>
  <w:num w:numId="13">
    <w:abstractNumId w:val="14"/>
  </w:num>
  <w:num w:numId="14">
    <w:abstractNumId w:val="14"/>
  </w:num>
  <w:num w:numId="15">
    <w:abstractNumId w:val="28"/>
  </w:num>
  <w:num w:numId="16">
    <w:abstractNumId w:val="28"/>
  </w:num>
  <w:num w:numId="17">
    <w:abstractNumId w:val="30"/>
  </w:num>
  <w:num w:numId="18">
    <w:abstractNumId w:val="34"/>
  </w:num>
  <w:num w:numId="19">
    <w:abstractNumId w:val="35"/>
  </w:num>
  <w:num w:numId="20">
    <w:abstractNumId w:val="22"/>
  </w:num>
  <w:num w:numId="21">
    <w:abstractNumId w:val="16"/>
  </w:num>
  <w:num w:numId="22">
    <w:abstractNumId w:val="17"/>
  </w:num>
  <w:num w:numId="23">
    <w:abstractNumId w:val="27"/>
  </w:num>
  <w:num w:numId="24">
    <w:abstractNumId w:val="14"/>
  </w:num>
  <w:num w:numId="25">
    <w:abstractNumId w:val="14"/>
  </w:num>
  <w:num w:numId="26">
    <w:abstractNumId w:val="14"/>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9"/>
  </w:num>
  <w:num w:numId="35">
    <w:abstractNumId w:val="31"/>
  </w:num>
  <w:num w:numId="36">
    <w:abstractNumId w:val="25"/>
  </w:num>
  <w:num w:numId="37">
    <w:abstractNumId w:val="18"/>
  </w:num>
  <w:num w:numId="38">
    <w:abstractNumId w:val="33"/>
  </w:num>
  <w:num w:numId="39">
    <w:abstractNumId w:val="24"/>
  </w:num>
  <w:num w:numId="40">
    <w:abstractNumId w:val="15"/>
  </w:num>
  <w:num w:numId="41">
    <w:abstractNumId w:val="21"/>
  </w:num>
  <w:num w:numId="42">
    <w:abstractNumId w:val="11"/>
  </w:num>
  <w:num w:numId="43">
    <w:abstractNumId w:val="32"/>
  </w:num>
  <w:num w:numId="44">
    <w:abstractNumId w:val="29"/>
  </w:num>
  <w:num w:numId="45">
    <w:abstractNumId w:val="10"/>
  </w:num>
  <w:num w:numId="46">
    <w:abstractNumId w:val="13"/>
  </w:num>
  <w:num w:numId="47">
    <w:abstractNumId w:val="26"/>
  </w:num>
  <w:num w:numId="4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851"/>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3E"/>
    <w:rsid w:val="00002031"/>
    <w:rsid w:val="00004734"/>
    <w:rsid w:val="00006B22"/>
    <w:rsid w:val="0001276A"/>
    <w:rsid w:val="00016C59"/>
    <w:rsid w:val="000239C6"/>
    <w:rsid w:val="000246AE"/>
    <w:rsid w:val="00025C67"/>
    <w:rsid w:val="00034904"/>
    <w:rsid w:val="0005559E"/>
    <w:rsid w:val="00055B86"/>
    <w:rsid w:val="000570A5"/>
    <w:rsid w:val="00064C94"/>
    <w:rsid w:val="00065657"/>
    <w:rsid w:val="0007394C"/>
    <w:rsid w:val="00077775"/>
    <w:rsid w:val="00082A10"/>
    <w:rsid w:val="000872AA"/>
    <w:rsid w:val="00090471"/>
    <w:rsid w:val="000A1474"/>
    <w:rsid w:val="000A1F98"/>
    <w:rsid w:val="000A20BF"/>
    <w:rsid w:val="000A4A74"/>
    <w:rsid w:val="000B1EBF"/>
    <w:rsid w:val="000B3532"/>
    <w:rsid w:val="000B3A75"/>
    <w:rsid w:val="000B543C"/>
    <w:rsid w:val="000B7084"/>
    <w:rsid w:val="000C4728"/>
    <w:rsid w:val="000D283A"/>
    <w:rsid w:val="000D391B"/>
    <w:rsid w:val="000D3D6D"/>
    <w:rsid w:val="000D4FC7"/>
    <w:rsid w:val="000D579F"/>
    <w:rsid w:val="000D68D1"/>
    <w:rsid w:val="000E2AE8"/>
    <w:rsid w:val="000F16BC"/>
    <w:rsid w:val="000F28BA"/>
    <w:rsid w:val="000F4869"/>
    <w:rsid w:val="000F5B42"/>
    <w:rsid w:val="000F6E6F"/>
    <w:rsid w:val="001003F2"/>
    <w:rsid w:val="0010601F"/>
    <w:rsid w:val="0010704F"/>
    <w:rsid w:val="00110EA5"/>
    <w:rsid w:val="0011266E"/>
    <w:rsid w:val="00115240"/>
    <w:rsid w:val="00125318"/>
    <w:rsid w:val="00126A14"/>
    <w:rsid w:val="001305A2"/>
    <w:rsid w:val="00131476"/>
    <w:rsid w:val="00133238"/>
    <w:rsid w:val="00133E11"/>
    <w:rsid w:val="0014197B"/>
    <w:rsid w:val="00141B46"/>
    <w:rsid w:val="001434DF"/>
    <w:rsid w:val="001447CD"/>
    <w:rsid w:val="00144C49"/>
    <w:rsid w:val="0014503C"/>
    <w:rsid w:val="001467B9"/>
    <w:rsid w:val="001516B1"/>
    <w:rsid w:val="0015177A"/>
    <w:rsid w:val="00156316"/>
    <w:rsid w:val="00156653"/>
    <w:rsid w:val="00160FA8"/>
    <w:rsid w:val="00163E7C"/>
    <w:rsid w:val="00165389"/>
    <w:rsid w:val="0016554A"/>
    <w:rsid w:val="00175BDB"/>
    <w:rsid w:val="0017693F"/>
    <w:rsid w:val="0018110E"/>
    <w:rsid w:val="00181684"/>
    <w:rsid w:val="001843C6"/>
    <w:rsid w:val="001850E0"/>
    <w:rsid w:val="001867C1"/>
    <w:rsid w:val="001A1B90"/>
    <w:rsid w:val="001A525F"/>
    <w:rsid w:val="001B07F8"/>
    <w:rsid w:val="001B09F9"/>
    <w:rsid w:val="001B63A4"/>
    <w:rsid w:val="001B6448"/>
    <w:rsid w:val="001C4FEB"/>
    <w:rsid w:val="001D0748"/>
    <w:rsid w:val="001D1664"/>
    <w:rsid w:val="001E07CF"/>
    <w:rsid w:val="001E104C"/>
    <w:rsid w:val="001E425B"/>
    <w:rsid w:val="001E4AC7"/>
    <w:rsid w:val="001E59F1"/>
    <w:rsid w:val="001E7CA3"/>
    <w:rsid w:val="001F49EB"/>
    <w:rsid w:val="001F6CBA"/>
    <w:rsid w:val="00201D4E"/>
    <w:rsid w:val="0020571C"/>
    <w:rsid w:val="0021402A"/>
    <w:rsid w:val="002152BD"/>
    <w:rsid w:val="00217D05"/>
    <w:rsid w:val="00220B8A"/>
    <w:rsid w:val="0022530A"/>
    <w:rsid w:val="002257F3"/>
    <w:rsid w:val="0022716B"/>
    <w:rsid w:val="00227CF4"/>
    <w:rsid w:val="0023048E"/>
    <w:rsid w:val="00232D87"/>
    <w:rsid w:val="00233456"/>
    <w:rsid w:val="002339A5"/>
    <w:rsid w:val="002346E6"/>
    <w:rsid w:val="0024231E"/>
    <w:rsid w:val="00242725"/>
    <w:rsid w:val="00245DCE"/>
    <w:rsid w:val="002461C0"/>
    <w:rsid w:val="0024739A"/>
    <w:rsid w:val="002501BF"/>
    <w:rsid w:val="00251F86"/>
    <w:rsid w:val="00257848"/>
    <w:rsid w:val="00257AA5"/>
    <w:rsid w:val="0027084A"/>
    <w:rsid w:val="00274112"/>
    <w:rsid w:val="00286434"/>
    <w:rsid w:val="00286C59"/>
    <w:rsid w:val="002942D1"/>
    <w:rsid w:val="002A0556"/>
    <w:rsid w:val="002B1218"/>
    <w:rsid w:val="002B1638"/>
    <w:rsid w:val="002B6AE5"/>
    <w:rsid w:val="002B7FE9"/>
    <w:rsid w:val="002C2A01"/>
    <w:rsid w:val="002D371E"/>
    <w:rsid w:val="002D3D18"/>
    <w:rsid w:val="002D676D"/>
    <w:rsid w:val="002D7BA2"/>
    <w:rsid w:val="002E4C9A"/>
    <w:rsid w:val="002F11F8"/>
    <w:rsid w:val="002F2FC3"/>
    <w:rsid w:val="002F32B3"/>
    <w:rsid w:val="002F3F56"/>
    <w:rsid w:val="002F44B5"/>
    <w:rsid w:val="002F61FC"/>
    <w:rsid w:val="003002A9"/>
    <w:rsid w:val="00300C37"/>
    <w:rsid w:val="00302933"/>
    <w:rsid w:val="0030787D"/>
    <w:rsid w:val="00311446"/>
    <w:rsid w:val="00311AC0"/>
    <w:rsid w:val="003127F5"/>
    <w:rsid w:val="003246C8"/>
    <w:rsid w:val="0033260A"/>
    <w:rsid w:val="003507A6"/>
    <w:rsid w:val="003521E8"/>
    <w:rsid w:val="0035403E"/>
    <w:rsid w:val="0036150F"/>
    <w:rsid w:val="003664BF"/>
    <w:rsid w:val="00366CA7"/>
    <w:rsid w:val="00372416"/>
    <w:rsid w:val="003728F3"/>
    <w:rsid w:val="00373880"/>
    <w:rsid w:val="003779FA"/>
    <w:rsid w:val="00390900"/>
    <w:rsid w:val="003A52B2"/>
    <w:rsid w:val="003B7E39"/>
    <w:rsid w:val="003C19A8"/>
    <w:rsid w:val="003C33BE"/>
    <w:rsid w:val="003C58DC"/>
    <w:rsid w:val="003D1170"/>
    <w:rsid w:val="003D6C66"/>
    <w:rsid w:val="003E1985"/>
    <w:rsid w:val="003E3208"/>
    <w:rsid w:val="003E4C13"/>
    <w:rsid w:val="003E74D1"/>
    <w:rsid w:val="003F0B04"/>
    <w:rsid w:val="003F129A"/>
    <w:rsid w:val="003F1B0F"/>
    <w:rsid w:val="003F612D"/>
    <w:rsid w:val="0040134E"/>
    <w:rsid w:val="004024D7"/>
    <w:rsid w:val="0040373F"/>
    <w:rsid w:val="0040377F"/>
    <w:rsid w:val="00410EAC"/>
    <w:rsid w:val="00411777"/>
    <w:rsid w:val="00411E88"/>
    <w:rsid w:val="00415D8D"/>
    <w:rsid w:val="004169B7"/>
    <w:rsid w:val="00416EAC"/>
    <w:rsid w:val="00417BBA"/>
    <w:rsid w:val="004267E8"/>
    <w:rsid w:val="004269D1"/>
    <w:rsid w:val="004360FB"/>
    <w:rsid w:val="00440A2D"/>
    <w:rsid w:val="00440DAF"/>
    <w:rsid w:val="004564A7"/>
    <w:rsid w:val="004617BF"/>
    <w:rsid w:val="00465452"/>
    <w:rsid w:val="004662EA"/>
    <w:rsid w:val="00481784"/>
    <w:rsid w:val="00491760"/>
    <w:rsid w:val="004923FF"/>
    <w:rsid w:val="00494E60"/>
    <w:rsid w:val="004A38EE"/>
    <w:rsid w:val="004A4795"/>
    <w:rsid w:val="004B23A0"/>
    <w:rsid w:val="004B7B76"/>
    <w:rsid w:val="004C08EC"/>
    <w:rsid w:val="004C2568"/>
    <w:rsid w:val="004C2BF6"/>
    <w:rsid w:val="004C51FB"/>
    <w:rsid w:val="004E3641"/>
    <w:rsid w:val="004F0F38"/>
    <w:rsid w:val="004F2D9F"/>
    <w:rsid w:val="004F3E7C"/>
    <w:rsid w:val="004F3F5C"/>
    <w:rsid w:val="00501921"/>
    <w:rsid w:val="005076E8"/>
    <w:rsid w:val="00515DA6"/>
    <w:rsid w:val="005200EB"/>
    <w:rsid w:val="00521AE6"/>
    <w:rsid w:val="00530354"/>
    <w:rsid w:val="00536E30"/>
    <w:rsid w:val="005434C6"/>
    <w:rsid w:val="00543B39"/>
    <w:rsid w:val="0054427D"/>
    <w:rsid w:val="00545F70"/>
    <w:rsid w:val="00545F7B"/>
    <w:rsid w:val="00550096"/>
    <w:rsid w:val="00554BA0"/>
    <w:rsid w:val="00557FF9"/>
    <w:rsid w:val="005614D2"/>
    <w:rsid w:val="0057001C"/>
    <w:rsid w:val="00571115"/>
    <w:rsid w:val="00576378"/>
    <w:rsid w:val="00577E38"/>
    <w:rsid w:val="00585140"/>
    <w:rsid w:val="00585322"/>
    <w:rsid w:val="00593AD1"/>
    <w:rsid w:val="0059775C"/>
    <w:rsid w:val="005A1131"/>
    <w:rsid w:val="005A449F"/>
    <w:rsid w:val="005A7FAD"/>
    <w:rsid w:val="005C5570"/>
    <w:rsid w:val="005C79A4"/>
    <w:rsid w:val="005D5442"/>
    <w:rsid w:val="006065C2"/>
    <w:rsid w:val="00613396"/>
    <w:rsid w:val="0063073C"/>
    <w:rsid w:val="00635ECF"/>
    <w:rsid w:val="00640FC3"/>
    <w:rsid w:val="00642020"/>
    <w:rsid w:val="0065337B"/>
    <w:rsid w:val="0065419D"/>
    <w:rsid w:val="006604D8"/>
    <w:rsid w:val="006615AE"/>
    <w:rsid w:val="00662F53"/>
    <w:rsid w:val="00664A5B"/>
    <w:rsid w:val="00667942"/>
    <w:rsid w:val="00674474"/>
    <w:rsid w:val="00677790"/>
    <w:rsid w:val="00680C08"/>
    <w:rsid w:val="0068284F"/>
    <w:rsid w:val="006842BE"/>
    <w:rsid w:val="0068741A"/>
    <w:rsid w:val="006931B1"/>
    <w:rsid w:val="006A01D9"/>
    <w:rsid w:val="006A15C0"/>
    <w:rsid w:val="006A399C"/>
    <w:rsid w:val="006A7B7F"/>
    <w:rsid w:val="006C1F3B"/>
    <w:rsid w:val="006C3E2A"/>
    <w:rsid w:val="006C642F"/>
    <w:rsid w:val="006D03E5"/>
    <w:rsid w:val="006D3540"/>
    <w:rsid w:val="006D4FC3"/>
    <w:rsid w:val="006D5D3E"/>
    <w:rsid w:val="006D7E9D"/>
    <w:rsid w:val="006E08B3"/>
    <w:rsid w:val="006E1980"/>
    <w:rsid w:val="006E73F3"/>
    <w:rsid w:val="006F02AC"/>
    <w:rsid w:val="006F13B5"/>
    <w:rsid w:val="006F572E"/>
    <w:rsid w:val="007046D6"/>
    <w:rsid w:val="00705DB0"/>
    <w:rsid w:val="00706AFE"/>
    <w:rsid w:val="00710B19"/>
    <w:rsid w:val="00712EE4"/>
    <w:rsid w:val="00714FB5"/>
    <w:rsid w:val="00715E43"/>
    <w:rsid w:val="007302FA"/>
    <w:rsid w:val="0073664D"/>
    <w:rsid w:val="0074253D"/>
    <w:rsid w:val="00743CBF"/>
    <w:rsid w:val="0074429B"/>
    <w:rsid w:val="00745D5F"/>
    <w:rsid w:val="00746136"/>
    <w:rsid w:val="007477F8"/>
    <w:rsid w:val="00751D4C"/>
    <w:rsid w:val="00753301"/>
    <w:rsid w:val="007549FB"/>
    <w:rsid w:val="007565AE"/>
    <w:rsid w:val="007615BC"/>
    <w:rsid w:val="00762F05"/>
    <w:rsid w:val="007652FF"/>
    <w:rsid w:val="00770C88"/>
    <w:rsid w:val="00771329"/>
    <w:rsid w:val="00772CEF"/>
    <w:rsid w:val="00773EF7"/>
    <w:rsid w:val="00774E1D"/>
    <w:rsid w:val="0077675A"/>
    <w:rsid w:val="007770A4"/>
    <w:rsid w:val="00780355"/>
    <w:rsid w:val="00781735"/>
    <w:rsid w:val="00785721"/>
    <w:rsid w:val="00791678"/>
    <w:rsid w:val="007919EA"/>
    <w:rsid w:val="00792F09"/>
    <w:rsid w:val="00793A59"/>
    <w:rsid w:val="007A2162"/>
    <w:rsid w:val="007B7865"/>
    <w:rsid w:val="007C0F3D"/>
    <w:rsid w:val="007C1AF7"/>
    <w:rsid w:val="007C44CB"/>
    <w:rsid w:val="007C4790"/>
    <w:rsid w:val="007E1D03"/>
    <w:rsid w:val="007E39A9"/>
    <w:rsid w:val="007E462A"/>
    <w:rsid w:val="007E78FC"/>
    <w:rsid w:val="007F34F8"/>
    <w:rsid w:val="008100B6"/>
    <w:rsid w:val="00814CE3"/>
    <w:rsid w:val="00821776"/>
    <w:rsid w:val="00826007"/>
    <w:rsid w:val="00827F41"/>
    <w:rsid w:val="008321F5"/>
    <w:rsid w:val="00832369"/>
    <w:rsid w:val="00832C11"/>
    <w:rsid w:val="00833FE8"/>
    <w:rsid w:val="00834660"/>
    <w:rsid w:val="00834D93"/>
    <w:rsid w:val="0083644E"/>
    <w:rsid w:val="00836BC2"/>
    <w:rsid w:val="00842585"/>
    <w:rsid w:val="0084642D"/>
    <w:rsid w:val="00846C99"/>
    <w:rsid w:val="00856296"/>
    <w:rsid w:val="0085641B"/>
    <w:rsid w:val="00857136"/>
    <w:rsid w:val="00863B1D"/>
    <w:rsid w:val="00877066"/>
    <w:rsid w:val="00881E2B"/>
    <w:rsid w:val="00885930"/>
    <w:rsid w:val="008872A9"/>
    <w:rsid w:val="00887365"/>
    <w:rsid w:val="00887D37"/>
    <w:rsid w:val="00890E8F"/>
    <w:rsid w:val="00895A07"/>
    <w:rsid w:val="00896018"/>
    <w:rsid w:val="008A2B9D"/>
    <w:rsid w:val="008A5E0B"/>
    <w:rsid w:val="008A628A"/>
    <w:rsid w:val="008A6D59"/>
    <w:rsid w:val="008A7F9B"/>
    <w:rsid w:val="008B3E49"/>
    <w:rsid w:val="008B4B03"/>
    <w:rsid w:val="008B596F"/>
    <w:rsid w:val="008C159F"/>
    <w:rsid w:val="008C1623"/>
    <w:rsid w:val="008C1BE2"/>
    <w:rsid w:val="008C3A45"/>
    <w:rsid w:val="008C4E34"/>
    <w:rsid w:val="008C51A9"/>
    <w:rsid w:val="008C6267"/>
    <w:rsid w:val="008D2816"/>
    <w:rsid w:val="008D50AE"/>
    <w:rsid w:val="008D687D"/>
    <w:rsid w:val="008D6F95"/>
    <w:rsid w:val="008E6F53"/>
    <w:rsid w:val="008E7524"/>
    <w:rsid w:val="008F1CCC"/>
    <w:rsid w:val="008F2967"/>
    <w:rsid w:val="008F580A"/>
    <w:rsid w:val="00920330"/>
    <w:rsid w:val="009219D7"/>
    <w:rsid w:val="00922D53"/>
    <w:rsid w:val="00923B70"/>
    <w:rsid w:val="0092424D"/>
    <w:rsid w:val="0092600B"/>
    <w:rsid w:val="00930237"/>
    <w:rsid w:val="00940103"/>
    <w:rsid w:val="009453CE"/>
    <w:rsid w:val="009522A9"/>
    <w:rsid w:val="009527F4"/>
    <w:rsid w:val="00956D21"/>
    <w:rsid w:val="00963C08"/>
    <w:rsid w:val="009749DF"/>
    <w:rsid w:val="0098068F"/>
    <w:rsid w:val="00982678"/>
    <w:rsid w:val="00983655"/>
    <w:rsid w:val="00997E98"/>
    <w:rsid w:val="009A1D75"/>
    <w:rsid w:val="009A4CED"/>
    <w:rsid w:val="009A6616"/>
    <w:rsid w:val="009A6CAF"/>
    <w:rsid w:val="009B15E8"/>
    <w:rsid w:val="009B1D12"/>
    <w:rsid w:val="009B3399"/>
    <w:rsid w:val="009B416B"/>
    <w:rsid w:val="009B5930"/>
    <w:rsid w:val="009B6EC1"/>
    <w:rsid w:val="009C24B7"/>
    <w:rsid w:val="009C2A54"/>
    <w:rsid w:val="009C4BD5"/>
    <w:rsid w:val="009C65A4"/>
    <w:rsid w:val="009D145F"/>
    <w:rsid w:val="009D170D"/>
    <w:rsid w:val="009D54C0"/>
    <w:rsid w:val="009D7B77"/>
    <w:rsid w:val="009E0BB0"/>
    <w:rsid w:val="009E0F17"/>
    <w:rsid w:val="009E16D0"/>
    <w:rsid w:val="009E3FBB"/>
    <w:rsid w:val="009E43EE"/>
    <w:rsid w:val="009F5F9B"/>
    <w:rsid w:val="009F7867"/>
    <w:rsid w:val="00A04B48"/>
    <w:rsid w:val="00A056A0"/>
    <w:rsid w:val="00A111DD"/>
    <w:rsid w:val="00A1470B"/>
    <w:rsid w:val="00A14DF7"/>
    <w:rsid w:val="00A169DA"/>
    <w:rsid w:val="00A23851"/>
    <w:rsid w:val="00A26D59"/>
    <w:rsid w:val="00A27E43"/>
    <w:rsid w:val="00A3246D"/>
    <w:rsid w:val="00A35E34"/>
    <w:rsid w:val="00A36FA7"/>
    <w:rsid w:val="00A4383E"/>
    <w:rsid w:val="00A475B7"/>
    <w:rsid w:val="00A47AF7"/>
    <w:rsid w:val="00A47C3E"/>
    <w:rsid w:val="00A50226"/>
    <w:rsid w:val="00A57BE7"/>
    <w:rsid w:val="00A606D5"/>
    <w:rsid w:val="00A60BAD"/>
    <w:rsid w:val="00A61B30"/>
    <w:rsid w:val="00A61D1D"/>
    <w:rsid w:val="00A63407"/>
    <w:rsid w:val="00A73A8D"/>
    <w:rsid w:val="00A75755"/>
    <w:rsid w:val="00A77137"/>
    <w:rsid w:val="00A77BD3"/>
    <w:rsid w:val="00A87E87"/>
    <w:rsid w:val="00A95096"/>
    <w:rsid w:val="00AA0718"/>
    <w:rsid w:val="00AA49A2"/>
    <w:rsid w:val="00AA77AF"/>
    <w:rsid w:val="00AB5E44"/>
    <w:rsid w:val="00AC1D58"/>
    <w:rsid w:val="00AC2B40"/>
    <w:rsid w:val="00AC2BB2"/>
    <w:rsid w:val="00AC2C3C"/>
    <w:rsid w:val="00AC37AF"/>
    <w:rsid w:val="00AC49E1"/>
    <w:rsid w:val="00AC5EFA"/>
    <w:rsid w:val="00AD38E1"/>
    <w:rsid w:val="00AE1619"/>
    <w:rsid w:val="00AE32A9"/>
    <w:rsid w:val="00AE32F3"/>
    <w:rsid w:val="00AE65EB"/>
    <w:rsid w:val="00AF1D94"/>
    <w:rsid w:val="00AF4FB1"/>
    <w:rsid w:val="00AF60C5"/>
    <w:rsid w:val="00B009C6"/>
    <w:rsid w:val="00B01548"/>
    <w:rsid w:val="00B067F8"/>
    <w:rsid w:val="00B132DE"/>
    <w:rsid w:val="00B13F56"/>
    <w:rsid w:val="00B14C99"/>
    <w:rsid w:val="00B15E5C"/>
    <w:rsid w:val="00B17E8D"/>
    <w:rsid w:val="00B21D29"/>
    <w:rsid w:val="00B25034"/>
    <w:rsid w:val="00B27FCE"/>
    <w:rsid w:val="00B33863"/>
    <w:rsid w:val="00B34026"/>
    <w:rsid w:val="00B37812"/>
    <w:rsid w:val="00B37898"/>
    <w:rsid w:val="00B37D17"/>
    <w:rsid w:val="00B4175E"/>
    <w:rsid w:val="00B43E03"/>
    <w:rsid w:val="00B54C25"/>
    <w:rsid w:val="00B56277"/>
    <w:rsid w:val="00B73D47"/>
    <w:rsid w:val="00B76B91"/>
    <w:rsid w:val="00B8519C"/>
    <w:rsid w:val="00B85B79"/>
    <w:rsid w:val="00B93853"/>
    <w:rsid w:val="00B96878"/>
    <w:rsid w:val="00BA5BB9"/>
    <w:rsid w:val="00BB7F63"/>
    <w:rsid w:val="00BC4DA2"/>
    <w:rsid w:val="00BC622A"/>
    <w:rsid w:val="00BD0659"/>
    <w:rsid w:val="00BD2959"/>
    <w:rsid w:val="00BD41D3"/>
    <w:rsid w:val="00BD6C0C"/>
    <w:rsid w:val="00BE0A78"/>
    <w:rsid w:val="00BE673D"/>
    <w:rsid w:val="00BE79F0"/>
    <w:rsid w:val="00BF046D"/>
    <w:rsid w:val="00BF5D04"/>
    <w:rsid w:val="00C06A51"/>
    <w:rsid w:val="00C13563"/>
    <w:rsid w:val="00C16F1C"/>
    <w:rsid w:val="00C17FD8"/>
    <w:rsid w:val="00C20595"/>
    <w:rsid w:val="00C34A54"/>
    <w:rsid w:val="00C36EC5"/>
    <w:rsid w:val="00C37AD0"/>
    <w:rsid w:val="00C404A6"/>
    <w:rsid w:val="00C40A36"/>
    <w:rsid w:val="00C44419"/>
    <w:rsid w:val="00C45E7B"/>
    <w:rsid w:val="00C471B1"/>
    <w:rsid w:val="00C53564"/>
    <w:rsid w:val="00C53D7B"/>
    <w:rsid w:val="00C54E0F"/>
    <w:rsid w:val="00C61587"/>
    <w:rsid w:val="00C627C3"/>
    <w:rsid w:val="00C6316B"/>
    <w:rsid w:val="00C634A9"/>
    <w:rsid w:val="00C661EE"/>
    <w:rsid w:val="00C72261"/>
    <w:rsid w:val="00C772FF"/>
    <w:rsid w:val="00C801AF"/>
    <w:rsid w:val="00C80256"/>
    <w:rsid w:val="00C8061B"/>
    <w:rsid w:val="00C83154"/>
    <w:rsid w:val="00C912E5"/>
    <w:rsid w:val="00C9150D"/>
    <w:rsid w:val="00C92F9C"/>
    <w:rsid w:val="00C964DE"/>
    <w:rsid w:val="00C96F84"/>
    <w:rsid w:val="00CA3BC1"/>
    <w:rsid w:val="00CA4F54"/>
    <w:rsid w:val="00CB1FC2"/>
    <w:rsid w:val="00CB62DB"/>
    <w:rsid w:val="00CB6BC0"/>
    <w:rsid w:val="00CC1B7C"/>
    <w:rsid w:val="00CC25EB"/>
    <w:rsid w:val="00CC5A2E"/>
    <w:rsid w:val="00CC727F"/>
    <w:rsid w:val="00CE460C"/>
    <w:rsid w:val="00CE5BB0"/>
    <w:rsid w:val="00CE62C3"/>
    <w:rsid w:val="00CF15C3"/>
    <w:rsid w:val="00CF2B6F"/>
    <w:rsid w:val="00CF7F5A"/>
    <w:rsid w:val="00D017ED"/>
    <w:rsid w:val="00D02479"/>
    <w:rsid w:val="00D04F1E"/>
    <w:rsid w:val="00D0673D"/>
    <w:rsid w:val="00D1358D"/>
    <w:rsid w:val="00D153B1"/>
    <w:rsid w:val="00D224FE"/>
    <w:rsid w:val="00D242AC"/>
    <w:rsid w:val="00D329DB"/>
    <w:rsid w:val="00D32D5B"/>
    <w:rsid w:val="00D41E18"/>
    <w:rsid w:val="00D44CFD"/>
    <w:rsid w:val="00D46335"/>
    <w:rsid w:val="00D53B8F"/>
    <w:rsid w:val="00D54785"/>
    <w:rsid w:val="00D54C36"/>
    <w:rsid w:val="00D6493E"/>
    <w:rsid w:val="00D73E47"/>
    <w:rsid w:val="00D742B0"/>
    <w:rsid w:val="00D85F12"/>
    <w:rsid w:val="00D86B2C"/>
    <w:rsid w:val="00D92D8D"/>
    <w:rsid w:val="00DA1124"/>
    <w:rsid w:val="00DA1AFE"/>
    <w:rsid w:val="00DA2A4A"/>
    <w:rsid w:val="00DA720C"/>
    <w:rsid w:val="00DA747D"/>
    <w:rsid w:val="00DB3186"/>
    <w:rsid w:val="00DC133D"/>
    <w:rsid w:val="00DC64B4"/>
    <w:rsid w:val="00DC6B47"/>
    <w:rsid w:val="00DC6F0A"/>
    <w:rsid w:val="00DD05EF"/>
    <w:rsid w:val="00DD1285"/>
    <w:rsid w:val="00DD2605"/>
    <w:rsid w:val="00DD75A3"/>
    <w:rsid w:val="00DE02AE"/>
    <w:rsid w:val="00DE12A0"/>
    <w:rsid w:val="00DE1760"/>
    <w:rsid w:val="00DE6A0C"/>
    <w:rsid w:val="00DF1D7F"/>
    <w:rsid w:val="00DF6680"/>
    <w:rsid w:val="00E02FB4"/>
    <w:rsid w:val="00E1743A"/>
    <w:rsid w:val="00E20571"/>
    <w:rsid w:val="00E21651"/>
    <w:rsid w:val="00E233DD"/>
    <w:rsid w:val="00E235F7"/>
    <w:rsid w:val="00E239D4"/>
    <w:rsid w:val="00E23CD6"/>
    <w:rsid w:val="00E40B22"/>
    <w:rsid w:val="00E40F33"/>
    <w:rsid w:val="00E4588F"/>
    <w:rsid w:val="00E45EA5"/>
    <w:rsid w:val="00E46DA3"/>
    <w:rsid w:val="00E47673"/>
    <w:rsid w:val="00E52D58"/>
    <w:rsid w:val="00E53B10"/>
    <w:rsid w:val="00E912A2"/>
    <w:rsid w:val="00E955F5"/>
    <w:rsid w:val="00EA18AA"/>
    <w:rsid w:val="00EA406B"/>
    <w:rsid w:val="00EA7BFB"/>
    <w:rsid w:val="00EB0084"/>
    <w:rsid w:val="00EB0798"/>
    <w:rsid w:val="00EB0A24"/>
    <w:rsid w:val="00EB4071"/>
    <w:rsid w:val="00EB40AD"/>
    <w:rsid w:val="00EB586E"/>
    <w:rsid w:val="00EB5FC8"/>
    <w:rsid w:val="00EC5C76"/>
    <w:rsid w:val="00ED2502"/>
    <w:rsid w:val="00ED5A41"/>
    <w:rsid w:val="00EE0EEA"/>
    <w:rsid w:val="00EE3694"/>
    <w:rsid w:val="00EF0773"/>
    <w:rsid w:val="00EF1770"/>
    <w:rsid w:val="00EF3598"/>
    <w:rsid w:val="00EF578B"/>
    <w:rsid w:val="00F033EC"/>
    <w:rsid w:val="00F04624"/>
    <w:rsid w:val="00F04F68"/>
    <w:rsid w:val="00F06EE0"/>
    <w:rsid w:val="00F12670"/>
    <w:rsid w:val="00F12D55"/>
    <w:rsid w:val="00F14B27"/>
    <w:rsid w:val="00F20808"/>
    <w:rsid w:val="00F3148D"/>
    <w:rsid w:val="00F35298"/>
    <w:rsid w:val="00F35E35"/>
    <w:rsid w:val="00F47E37"/>
    <w:rsid w:val="00F565FA"/>
    <w:rsid w:val="00F640B6"/>
    <w:rsid w:val="00F643F4"/>
    <w:rsid w:val="00F712AC"/>
    <w:rsid w:val="00F73214"/>
    <w:rsid w:val="00F737B6"/>
    <w:rsid w:val="00F800B6"/>
    <w:rsid w:val="00F80E40"/>
    <w:rsid w:val="00F87A4D"/>
    <w:rsid w:val="00F91A5D"/>
    <w:rsid w:val="00F9373E"/>
    <w:rsid w:val="00F93D68"/>
    <w:rsid w:val="00FA0A98"/>
    <w:rsid w:val="00FA5B82"/>
    <w:rsid w:val="00FA639E"/>
    <w:rsid w:val="00FC25E4"/>
    <w:rsid w:val="00FC2B32"/>
    <w:rsid w:val="00FC4EF7"/>
    <w:rsid w:val="00FC6D35"/>
    <w:rsid w:val="00FD4FA3"/>
    <w:rsid w:val="00FE1DEE"/>
    <w:rsid w:val="00FE25DF"/>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mbria"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iPriority="0" w:unhideWhenUsed="0"/>
    <w:lsdException w:name="footer" w:semiHidden="0" w:uiPriority="0" w:unhideWhenUsed="0"/>
    <w:lsdException w:name="caption" w:uiPriority="0" w:unhideWhenUsed="0" w:qFormat="1"/>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w:uiPriority="0"/>
    <w:lsdException w:name="Subtitle" w:semiHidden="0" w:uiPriority="11" w:unhideWhenUsed="0"/>
    <w:lsdException w:name="Date" w:unhideWhenUsed="0"/>
    <w:lsdException w:name="Hyperlink" w:uiPriority="0"/>
    <w:lsdException w:name="Strong" w:semiHidden="0" w:uiPriority="22" w:unhideWhenUsed="0"/>
    <w:lsdException w:name="Emphasis" w:semiHidden="0" w:uiPriority="20" w:unhideWhenUsed="0"/>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uiPriority="34"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9373E"/>
    <w:pPr>
      <w:spacing w:after="0" w:line="240" w:lineRule="auto"/>
    </w:pPr>
    <w:rPr>
      <w:rFonts w:ascii="Arial" w:eastAsia="Times New Roman" w:hAnsi="Arial" w:cs="Times New Roman"/>
      <w:szCs w:val="24"/>
      <w:lang w:val="en-US"/>
    </w:rPr>
  </w:style>
  <w:style w:type="paragraph" w:styleId="Heading1">
    <w:name w:val="heading 1"/>
    <w:basedOn w:val="Normal"/>
    <w:next w:val="Normal"/>
    <w:link w:val="Heading1Char"/>
    <w:qFormat/>
    <w:rsid w:val="00055B86"/>
    <w:pPr>
      <w:keepNext/>
      <w:keepLines/>
      <w:spacing w:before="360" w:after="240"/>
      <w:outlineLvl w:val="0"/>
    </w:pPr>
    <w:rPr>
      <w:b/>
      <w:bCs/>
      <w:sz w:val="48"/>
      <w:szCs w:val="48"/>
    </w:rPr>
  </w:style>
  <w:style w:type="paragraph" w:styleId="Heading2">
    <w:name w:val="heading 2"/>
    <w:basedOn w:val="Normal"/>
    <w:next w:val="Normal"/>
    <w:link w:val="Heading2Char"/>
    <w:qFormat/>
    <w:rsid w:val="00A95096"/>
    <w:pPr>
      <w:keepNext/>
      <w:keepLines/>
      <w:spacing w:before="480" w:after="120"/>
      <w:outlineLvl w:val="1"/>
    </w:pPr>
    <w:rPr>
      <w:b/>
      <w:bCs/>
      <w:sz w:val="38"/>
      <w:szCs w:val="38"/>
    </w:rPr>
  </w:style>
  <w:style w:type="paragraph" w:styleId="Heading3">
    <w:name w:val="heading 3"/>
    <w:basedOn w:val="Normal"/>
    <w:next w:val="Normal"/>
    <w:link w:val="Heading3Char"/>
    <w:qFormat/>
    <w:rsid w:val="002F2FC3"/>
    <w:pPr>
      <w:keepNext/>
      <w:keepLines/>
      <w:spacing w:before="480" w:after="120"/>
      <w:outlineLvl w:val="2"/>
    </w:pPr>
    <w:rPr>
      <w:b/>
      <w:bCs/>
      <w:sz w:val="32"/>
      <w:szCs w:val="32"/>
    </w:rPr>
  </w:style>
  <w:style w:type="paragraph" w:styleId="Heading4">
    <w:name w:val="heading 4"/>
    <w:basedOn w:val="Normal"/>
    <w:next w:val="Normal"/>
    <w:link w:val="Heading4Char"/>
    <w:qFormat/>
    <w:rsid w:val="002F2FC3"/>
    <w:pPr>
      <w:keepNext/>
      <w:keepLines/>
      <w:spacing w:before="360" w:after="120"/>
      <w:outlineLvl w:val="3"/>
    </w:pPr>
    <w:rPr>
      <w:b/>
      <w:bCs/>
      <w:sz w:val="26"/>
      <w:szCs w:val="26"/>
    </w:rPr>
  </w:style>
  <w:style w:type="paragraph" w:styleId="Heading5">
    <w:name w:val="heading 5"/>
    <w:basedOn w:val="Normal"/>
    <w:next w:val="Normal"/>
    <w:link w:val="Heading5Char"/>
    <w:uiPriority w:val="9"/>
    <w:rsid w:val="002F2FC3"/>
    <w:pPr>
      <w:keepNext/>
      <w:keepLines/>
      <w:spacing w:before="240" w:after="120"/>
      <w:outlineLvl w:val="4"/>
    </w:pPr>
    <w:rPr>
      <w:b/>
      <w:bCs/>
      <w:color w:val="001523"/>
      <w:sz w:val="26"/>
      <w:szCs w:val="26"/>
    </w:rPr>
  </w:style>
  <w:style w:type="paragraph" w:styleId="Heading6">
    <w:name w:val="heading 6"/>
    <w:basedOn w:val="Normal"/>
    <w:next w:val="Normal"/>
    <w:link w:val="Heading6Char"/>
    <w:uiPriority w:val="9"/>
    <w:rsid w:val="002F2FC3"/>
    <w:pPr>
      <w:keepNext/>
      <w:keepLines/>
      <w:spacing w:before="240" w:after="120"/>
      <w:outlineLvl w:val="5"/>
    </w:pPr>
    <w:rPr>
      <w:b/>
      <w:bCs/>
      <w:i/>
      <w:szCs w:val="21"/>
    </w:rPr>
  </w:style>
  <w:style w:type="paragraph" w:styleId="Heading7">
    <w:name w:val="heading 7"/>
    <w:basedOn w:val="Normal"/>
    <w:next w:val="Normal"/>
    <w:link w:val="Heading7Char"/>
    <w:uiPriority w:val="9"/>
    <w:rsid w:val="002F2FC3"/>
    <w:pPr>
      <w:keepNext/>
      <w:keepLines/>
      <w:spacing w:before="240" w:after="60" w:line="180" w:lineRule="atLeast"/>
      <w:outlineLvl w:val="6"/>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5B86"/>
    <w:rPr>
      <w:rFonts w:ascii="Arial" w:eastAsia="Times New Roman" w:hAnsi="Arial"/>
      <w:b/>
      <w:bCs/>
      <w:sz w:val="48"/>
      <w:szCs w:val="48"/>
    </w:rPr>
  </w:style>
  <w:style w:type="character" w:customStyle="1" w:styleId="Heading2Char">
    <w:name w:val="Heading 2 Char"/>
    <w:basedOn w:val="DefaultParagraphFont"/>
    <w:link w:val="Heading2"/>
    <w:rsid w:val="00A95096"/>
    <w:rPr>
      <w:rFonts w:ascii="Arial" w:eastAsia="Times New Roman" w:hAnsi="Arial"/>
      <w:b/>
      <w:bCs/>
      <w:sz w:val="38"/>
      <w:szCs w:val="38"/>
    </w:rPr>
  </w:style>
  <w:style w:type="character" w:customStyle="1" w:styleId="Heading3Char">
    <w:name w:val="Heading 3 Char"/>
    <w:basedOn w:val="DefaultParagraphFont"/>
    <w:link w:val="Heading3"/>
    <w:rsid w:val="002F2FC3"/>
    <w:rPr>
      <w:rFonts w:ascii="Arial" w:eastAsia="Times New Roman" w:hAnsi="Arial"/>
      <w:b/>
      <w:bCs/>
      <w:sz w:val="32"/>
      <w:szCs w:val="32"/>
    </w:rPr>
  </w:style>
  <w:style w:type="paragraph" w:styleId="BalloonText">
    <w:name w:val="Balloon Text"/>
    <w:basedOn w:val="Normal"/>
    <w:link w:val="BalloonTextChar"/>
    <w:semiHidden/>
    <w:unhideWhenUsed/>
    <w:rsid w:val="00F3148D"/>
    <w:rPr>
      <w:rFonts w:ascii="Tahoma" w:hAnsi="Tahoma" w:cs="Tahoma"/>
      <w:sz w:val="16"/>
      <w:szCs w:val="16"/>
    </w:rPr>
  </w:style>
  <w:style w:type="character" w:customStyle="1" w:styleId="BalloonTextChar">
    <w:name w:val="Balloon Text Char"/>
    <w:basedOn w:val="DefaultParagraphFont"/>
    <w:link w:val="BalloonText"/>
    <w:semiHidden/>
    <w:rsid w:val="00F3148D"/>
    <w:rPr>
      <w:rFonts w:ascii="Tahoma" w:hAnsi="Tahoma" w:cs="Tahoma"/>
      <w:sz w:val="16"/>
      <w:szCs w:val="16"/>
    </w:rPr>
  </w:style>
  <w:style w:type="paragraph" w:customStyle="1" w:styleId="Figuredescription">
    <w:name w:val="Figure description"/>
    <w:basedOn w:val="Normal"/>
    <w:next w:val="Normal"/>
    <w:rsid w:val="00A95096"/>
    <w:pPr>
      <w:spacing w:after="240" w:line="180" w:lineRule="atLeast"/>
    </w:pPr>
    <w:rPr>
      <w:sz w:val="18"/>
    </w:rPr>
  </w:style>
  <w:style w:type="paragraph" w:customStyle="1" w:styleId="Figuretitle">
    <w:name w:val="Figure title"/>
    <w:basedOn w:val="Normal"/>
    <w:next w:val="Normal"/>
    <w:rsid w:val="00F643F4"/>
    <w:pPr>
      <w:outlineLvl w:val="4"/>
    </w:pPr>
    <w:rPr>
      <w:b/>
    </w:rPr>
  </w:style>
  <w:style w:type="character" w:customStyle="1" w:styleId="Heading4Char">
    <w:name w:val="Heading 4 Char"/>
    <w:basedOn w:val="DefaultParagraphFont"/>
    <w:link w:val="Heading4"/>
    <w:rsid w:val="002F2FC3"/>
    <w:rPr>
      <w:rFonts w:ascii="Arial" w:hAnsi="Arial"/>
      <w:b/>
      <w:bCs/>
      <w:sz w:val="26"/>
      <w:szCs w:val="26"/>
    </w:rPr>
  </w:style>
  <w:style w:type="character" w:styleId="FollowedHyperlink">
    <w:name w:val="FollowedHyperlink"/>
    <w:basedOn w:val="DefaultParagraphFont"/>
    <w:semiHidden/>
    <w:unhideWhenUsed/>
    <w:rsid w:val="006A399C"/>
    <w:rPr>
      <w:color w:val="800080"/>
      <w:u w:val="single"/>
    </w:rPr>
  </w:style>
  <w:style w:type="paragraph" w:styleId="Footer">
    <w:name w:val="footer"/>
    <w:basedOn w:val="Normal"/>
    <w:link w:val="FooterChar"/>
    <w:rsid w:val="009527F4"/>
    <w:pPr>
      <w:tabs>
        <w:tab w:val="center" w:pos="4513"/>
        <w:tab w:val="right" w:pos="9026"/>
      </w:tabs>
    </w:pPr>
    <w:rPr>
      <w:sz w:val="17"/>
    </w:rPr>
  </w:style>
  <w:style w:type="character" w:customStyle="1" w:styleId="FooterChar">
    <w:name w:val="Footer Char"/>
    <w:basedOn w:val="DefaultParagraphFont"/>
    <w:link w:val="Footer"/>
    <w:rsid w:val="009527F4"/>
    <w:rPr>
      <w:rFonts w:ascii="Cambria" w:hAnsi="Cambria"/>
      <w:sz w:val="17"/>
    </w:rPr>
  </w:style>
  <w:style w:type="paragraph" w:styleId="Header">
    <w:name w:val="header"/>
    <w:aliases w:val="Document"/>
    <w:basedOn w:val="Normal"/>
    <w:link w:val="HeaderChar"/>
    <w:rsid w:val="009527F4"/>
    <w:pPr>
      <w:pBdr>
        <w:bottom w:val="single" w:sz="4" w:space="3" w:color="auto"/>
      </w:pBdr>
      <w:tabs>
        <w:tab w:val="center" w:pos="4513"/>
        <w:tab w:val="right" w:pos="9026"/>
      </w:tabs>
      <w:jc w:val="right"/>
    </w:pPr>
    <w:rPr>
      <w:sz w:val="17"/>
    </w:rPr>
  </w:style>
  <w:style w:type="character" w:customStyle="1" w:styleId="HeaderChar">
    <w:name w:val="Header Char"/>
    <w:aliases w:val="Document Char"/>
    <w:basedOn w:val="DefaultParagraphFont"/>
    <w:link w:val="Header"/>
    <w:rsid w:val="009527F4"/>
    <w:rPr>
      <w:rFonts w:ascii="Cambria" w:hAnsi="Cambria"/>
      <w:sz w:val="17"/>
    </w:rPr>
  </w:style>
  <w:style w:type="paragraph" w:customStyle="1" w:styleId="Headernoline">
    <w:name w:val="Header no line"/>
    <w:basedOn w:val="Header"/>
    <w:rsid w:val="009527F4"/>
    <w:pPr>
      <w:pBdr>
        <w:bottom w:val="none" w:sz="0" w:space="0" w:color="auto"/>
      </w:pBdr>
      <w:spacing w:line="240" w:lineRule="atLeast"/>
    </w:pPr>
  </w:style>
  <w:style w:type="character" w:customStyle="1" w:styleId="Heading5Char">
    <w:name w:val="Heading 5 Char"/>
    <w:basedOn w:val="DefaultParagraphFont"/>
    <w:link w:val="Heading5"/>
    <w:uiPriority w:val="9"/>
    <w:rsid w:val="002F2FC3"/>
    <w:rPr>
      <w:rFonts w:ascii="Cambria" w:eastAsia="Times New Roman" w:hAnsi="Cambria"/>
      <w:b/>
      <w:bCs/>
      <w:color w:val="001523"/>
      <w:sz w:val="26"/>
      <w:szCs w:val="26"/>
    </w:rPr>
  </w:style>
  <w:style w:type="character" w:customStyle="1" w:styleId="Heading6Char">
    <w:name w:val="Heading 6 Char"/>
    <w:basedOn w:val="DefaultParagraphFont"/>
    <w:link w:val="Heading6"/>
    <w:uiPriority w:val="9"/>
    <w:rsid w:val="002F2FC3"/>
    <w:rPr>
      <w:rFonts w:ascii="Cambria" w:eastAsia="Times New Roman" w:hAnsi="Cambria"/>
      <w:b/>
      <w:bCs/>
      <w:i/>
      <w:sz w:val="22"/>
      <w:szCs w:val="21"/>
    </w:rPr>
  </w:style>
  <w:style w:type="character" w:customStyle="1" w:styleId="Heading7Char">
    <w:name w:val="Heading 7 Char"/>
    <w:basedOn w:val="DefaultParagraphFont"/>
    <w:link w:val="Heading7"/>
    <w:uiPriority w:val="9"/>
    <w:rsid w:val="002F2FC3"/>
    <w:rPr>
      <w:rFonts w:ascii="Cambria" w:eastAsia="Times New Roman" w:hAnsi="Cambria"/>
      <w:bCs/>
      <w:i/>
      <w:sz w:val="22"/>
      <w:szCs w:val="22"/>
    </w:rPr>
  </w:style>
  <w:style w:type="character" w:styleId="Hyperlink">
    <w:name w:val="Hyperlink"/>
    <w:basedOn w:val="DefaultParagraphFont"/>
    <w:unhideWhenUsed/>
    <w:rsid w:val="006A399C"/>
    <w:rPr>
      <w:color w:val="0000FF"/>
      <w:u w:val="single"/>
    </w:rPr>
  </w:style>
  <w:style w:type="paragraph" w:customStyle="1" w:styleId="LegalCopy">
    <w:name w:val="Legal Copy"/>
    <w:basedOn w:val="Footer"/>
    <w:semiHidden/>
    <w:unhideWhenUsed/>
    <w:rsid w:val="00F3148D"/>
  </w:style>
  <w:style w:type="paragraph" w:customStyle="1" w:styleId="LegalSubheading">
    <w:name w:val="Legal Subheading"/>
    <w:basedOn w:val="Footer"/>
    <w:semiHidden/>
    <w:unhideWhenUsed/>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32D87"/>
    <w:pPr>
      <w:numPr>
        <w:numId w:val="26"/>
      </w:numPr>
      <w:ind w:left="425" w:hanging="425"/>
    </w:pPr>
  </w:style>
  <w:style w:type="paragraph" w:styleId="ListBullet2">
    <w:name w:val="List Bullet 2"/>
    <w:basedOn w:val="Normal"/>
    <w:uiPriority w:val="2"/>
    <w:qFormat/>
    <w:rsid w:val="00232D87"/>
    <w:pPr>
      <w:numPr>
        <w:ilvl w:val="1"/>
        <w:numId w:val="26"/>
      </w:numPr>
      <w:ind w:left="850" w:hanging="425"/>
    </w:pPr>
  </w:style>
  <w:style w:type="paragraph" w:styleId="ListBullet3">
    <w:name w:val="List Bullet 3"/>
    <w:basedOn w:val="Normal"/>
    <w:uiPriority w:val="2"/>
    <w:qFormat/>
    <w:rsid w:val="00232D87"/>
    <w:pPr>
      <w:numPr>
        <w:ilvl w:val="2"/>
        <w:numId w:val="26"/>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055B86"/>
    <w:pPr>
      <w:keepNext/>
      <w:keepLines/>
      <w:spacing w:before="360"/>
    </w:pPr>
    <w:rPr>
      <w:b/>
      <w:sz w:val="38"/>
    </w:rPr>
  </w:style>
  <w:style w:type="paragraph" w:customStyle="1" w:styleId="Notes">
    <w:name w:val="Notes"/>
    <w:basedOn w:val="Normal"/>
    <w:semiHidden/>
    <w:locked/>
    <w:rsid w:val="00F3148D"/>
    <w:rPr>
      <w:sz w:val="16"/>
    </w:rPr>
  </w:style>
  <w:style w:type="paragraph" w:customStyle="1" w:styleId="Numberbullet0">
    <w:name w:val="Number bullet"/>
    <w:basedOn w:val="ListBullet"/>
    <w:uiPriority w:val="3"/>
    <w:qFormat/>
    <w:rsid w:val="00232D87"/>
    <w:pPr>
      <w:numPr>
        <w:numId w:val="11"/>
      </w:numPr>
    </w:pPr>
  </w:style>
  <w:style w:type="paragraph" w:customStyle="1" w:styleId="Numberbullet2">
    <w:name w:val="Number bullet 2"/>
    <w:basedOn w:val="ListBullet2"/>
    <w:uiPriority w:val="3"/>
    <w:qFormat/>
    <w:rsid w:val="00232D87"/>
    <w:pPr>
      <w:numPr>
        <w:numId w:val="11"/>
      </w:numPr>
      <w:ind w:left="850" w:hanging="425"/>
    </w:pPr>
  </w:style>
  <w:style w:type="paragraph" w:customStyle="1" w:styleId="Numberbullet3">
    <w:name w:val="Number bullet 3"/>
    <w:basedOn w:val="ListBullet3"/>
    <w:uiPriority w:val="3"/>
    <w:qFormat/>
    <w:rsid w:val="00232D87"/>
    <w:pPr>
      <w:numPr>
        <w:numId w:val="11"/>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9527F4"/>
    <w:pPr>
      <w:spacing w:before="40"/>
      <w:ind w:left="170" w:hanging="170"/>
    </w:pPr>
    <w:rPr>
      <w:sz w:val="19"/>
    </w:rPr>
  </w:style>
  <w:style w:type="paragraph" w:customStyle="1" w:styleId="Tabledescription">
    <w:name w:val="Table description"/>
    <w:basedOn w:val="Figuredescription"/>
    <w:next w:val="Normal"/>
    <w:rsid w:val="00A95096"/>
  </w:style>
  <w:style w:type="table" w:customStyle="1" w:styleId="TableTGAblue">
    <w:name w:val="Table TGA blue"/>
    <w:basedOn w:val="TableNormal"/>
    <w:uiPriority w:val="99"/>
    <w:qFormat/>
    <w:rsid w:val="00BD0659"/>
    <w:rPr>
      <w:rFonts w:ascii="Cambria" w:hAnsi="Cambria"/>
      <w:szCs w:val="21"/>
      <w:lang w:eastAsia="en-AU"/>
    </w:rPr>
    <w:tblPr>
      <w:tblInd w:w="0" w:type="dxa"/>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BD0659"/>
    <w:rPr>
      <w:rFonts w:ascii="Cambria" w:hAnsi="Cambria"/>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rsid w:val="00F643F4"/>
    <w:pPr>
      <w:keepNext/>
      <w:outlineLvl w:val="4"/>
    </w:pPr>
    <w:rPr>
      <w:b/>
    </w:rPr>
  </w:style>
  <w:style w:type="paragraph" w:styleId="TOC1">
    <w:name w:val="toc 1"/>
    <w:basedOn w:val="Normal"/>
    <w:next w:val="Normal"/>
    <w:uiPriority w:val="39"/>
    <w:unhideWhenUsed/>
    <w:rsid w:val="00B067F8"/>
    <w:pPr>
      <w:keepNext/>
      <w:keepLines/>
      <w:tabs>
        <w:tab w:val="right" w:leader="underscore" w:pos="9072"/>
      </w:tabs>
      <w:spacing w:after="200"/>
    </w:pPr>
    <w:rPr>
      <w:b/>
      <w:sz w:val="26"/>
    </w:rPr>
  </w:style>
  <w:style w:type="paragraph" w:styleId="TOC2">
    <w:name w:val="toc 2"/>
    <w:basedOn w:val="Normal"/>
    <w:next w:val="Normal"/>
    <w:unhideWhenUsed/>
    <w:rsid w:val="00B067F8"/>
    <w:pPr>
      <w:keepLines/>
      <w:tabs>
        <w:tab w:val="right" w:leader="underscore" w:pos="9072"/>
      </w:tabs>
      <w:spacing w:after="100"/>
      <w:ind w:left="425"/>
    </w:pPr>
    <w:rPr>
      <w:sz w:val="25"/>
    </w:rPr>
  </w:style>
  <w:style w:type="paragraph" w:styleId="TOC3">
    <w:name w:val="toc 3"/>
    <w:basedOn w:val="Normal"/>
    <w:next w:val="Normal"/>
    <w:uiPriority w:val="39"/>
    <w:unhideWhenUsed/>
    <w:rsid w:val="00B067F8"/>
    <w:pPr>
      <w:keepLines/>
      <w:tabs>
        <w:tab w:val="right" w:leader="underscore" w:pos="9072"/>
      </w:tabs>
      <w:spacing w:after="100"/>
      <w:ind w:left="851"/>
    </w:pPr>
  </w:style>
  <w:style w:type="paragraph" w:styleId="TOCHeading">
    <w:name w:val="TOC Heading"/>
    <w:basedOn w:val="Heading1"/>
    <w:next w:val="Normal"/>
    <w:uiPriority w:val="39"/>
    <w:semiHidden/>
    <w:unhideWhenUsed/>
    <w:qFormat/>
    <w:rsid w:val="00F3148D"/>
    <w:pPr>
      <w:spacing w:before="480" w:after="0" w:line="276" w:lineRule="auto"/>
      <w:outlineLvl w:val="9"/>
    </w:pPr>
    <w:rPr>
      <w:bCs w:val="0"/>
      <w:color w:val="002035"/>
      <w:sz w:val="28"/>
    </w:rPr>
  </w:style>
  <w:style w:type="paragraph" w:customStyle="1" w:styleId="Subject">
    <w:name w:val="Subject"/>
    <w:basedOn w:val="Normal"/>
    <w:rsid w:val="00055B86"/>
    <w:rPr>
      <w:b/>
    </w:rPr>
  </w:style>
  <w:style w:type="table" w:styleId="TableGrid">
    <w:name w:val="Table Grid"/>
    <w:basedOn w:val="TableNormal"/>
    <w:uiPriority w:val="59"/>
    <w:rsid w:val="004A38EE"/>
    <w:tblPr>
      <w:tblInd w:w="0" w:type="dxa"/>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CellMar>
        <w:top w:w="0" w:type="dxa"/>
        <w:left w:w="108" w:type="dxa"/>
        <w:bottom w:w="0" w:type="dxa"/>
        <w:right w:w="108" w:type="dxa"/>
      </w:tblCellMar>
    </w:tblPr>
  </w:style>
  <w:style w:type="paragraph" w:styleId="Caption">
    <w:name w:val="caption"/>
    <w:basedOn w:val="Tabletitle"/>
    <w:next w:val="Normal"/>
    <w:link w:val="CaptionChar"/>
    <w:qFormat/>
    <w:rsid w:val="0033260A"/>
  </w:style>
  <w:style w:type="paragraph" w:styleId="FootnoteText">
    <w:name w:val="footnote text"/>
    <w:basedOn w:val="Normal"/>
    <w:link w:val="FootnoteTextChar"/>
    <w:rsid w:val="009527F4"/>
    <w:pPr>
      <w:keepLines/>
    </w:pPr>
    <w:rPr>
      <w:sz w:val="20"/>
    </w:rPr>
  </w:style>
  <w:style w:type="character" w:customStyle="1" w:styleId="FootnoteTextChar">
    <w:name w:val="Footnote Text Char"/>
    <w:basedOn w:val="DefaultParagraphFont"/>
    <w:link w:val="FootnoteText"/>
    <w:rsid w:val="009527F4"/>
    <w:rPr>
      <w:rFonts w:ascii="Cambria" w:hAnsi="Cambria"/>
    </w:rPr>
  </w:style>
  <w:style w:type="paragraph" w:styleId="Subtitle">
    <w:name w:val="Subtitle"/>
    <w:basedOn w:val="Normal"/>
    <w:next w:val="Normal"/>
    <w:link w:val="SubtitleChar"/>
    <w:uiPriority w:val="11"/>
    <w:semiHidden/>
    <w:unhideWhenUsed/>
    <w:rsid w:val="009A6616"/>
    <w:pPr>
      <w:numPr>
        <w:ilvl w:val="1"/>
      </w:numPr>
      <w:spacing w:after="360"/>
      <w:ind w:left="170"/>
    </w:pPr>
    <w:rPr>
      <w:bCs/>
      <w:iCs/>
      <w:sz w:val="40"/>
    </w:rPr>
  </w:style>
  <w:style w:type="character" w:customStyle="1" w:styleId="SubtitleChar">
    <w:name w:val="Subtitle Char"/>
    <w:basedOn w:val="DefaultParagraphFont"/>
    <w:link w:val="Subtitle"/>
    <w:uiPriority w:val="11"/>
    <w:semiHidden/>
    <w:rsid w:val="009A1D75"/>
    <w:rPr>
      <w:rFonts w:ascii="Arial" w:eastAsia="Times New Roman" w:hAnsi="Arial"/>
      <w:bCs/>
      <w:iCs/>
      <w:sz w:val="40"/>
      <w:szCs w:val="24"/>
    </w:rPr>
  </w:style>
  <w:style w:type="paragraph" w:styleId="Title">
    <w:name w:val="Title"/>
    <w:next w:val="Normal"/>
    <w:link w:val="TitleChar"/>
    <w:uiPriority w:val="10"/>
    <w:semiHidden/>
    <w:unhideWhenUsed/>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semiHidden/>
    <w:rsid w:val="009A1D75"/>
    <w:rPr>
      <w:rFonts w:ascii="Arial" w:eastAsia="Times New Roman" w:hAnsi="Arial"/>
      <w:spacing w:val="5"/>
      <w:kern w:val="28"/>
      <w:sz w:val="52"/>
      <w:szCs w:val="52"/>
    </w:rPr>
  </w:style>
  <w:style w:type="paragraph" w:customStyle="1" w:styleId="FlowChartWhiteText">
    <w:name w:val="Flow Chart White Text"/>
    <w:basedOn w:val="Normal"/>
    <w:semiHidden/>
    <w:unhideWhenUsed/>
    <w:rsid w:val="007E78FC"/>
    <w:pPr>
      <w:jc w:val="center"/>
    </w:pPr>
    <w:rPr>
      <w:color w:val="FFFFFF"/>
    </w:rPr>
  </w:style>
  <w:style w:type="paragraph" w:customStyle="1" w:styleId="FlowchartText">
    <w:name w:val="Flowchart Text"/>
    <w:basedOn w:val="Normal"/>
    <w:semiHidden/>
    <w:unhideWhenUsed/>
    <w:rsid w:val="007E78FC"/>
    <w:pPr>
      <w:jc w:val="center"/>
    </w:pPr>
  </w:style>
  <w:style w:type="paragraph" w:customStyle="1" w:styleId="Quotation">
    <w:name w:val="Quotation"/>
    <w:basedOn w:val="Normal"/>
    <w:next w:val="Normal"/>
    <w:uiPriority w:val="4"/>
    <w:qFormat/>
    <w:rsid w:val="00055B86"/>
    <w:pPr>
      <w:ind w:left="425"/>
    </w:pPr>
    <w:rPr>
      <w:sz w:val="20"/>
    </w:rPr>
  </w:style>
  <w:style w:type="character" w:styleId="FootnoteReference">
    <w:name w:val="footnote reference"/>
    <w:basedOn w:val="DefaultParagraphFont"/>
    <w:unhideWhenUsed/>
    <w:rsid w:val="009527F4"/>
    <w:rPr>
      <w:vertAlign w:val="superscript"/>
    </w:rPr>
  </w:style>
  <w:style w:type="paragraph" w:styleId="TOC4">
    <w:name w:val="toc 4"/>
    <w:basedOn w:val="Normal"/>
    <w:next w:val="Normal"/>
    <w:autoRedefine/>
    <w:uiPriority w:val="39"/>
    <w:unhideWhenUsed/>
    <w:rsid w:val="00B067F8"/>
    <w:pPr>
      <w:keepLines/>
      <w:tabs>
        <w:tab w:val="right" w:leader="underscore" w:pos="9072"/>
      </w:tabs>
      <w:spacing w:after="100"/>
      <w:ind w:left="1276"/>
    </w:pPr>
  </w:style>
  <w:style w:type="paragraph" w:styleId="TOC5">
    <w:name w:val="toc 5"/>
    <w:basedOn w:val="Normal"/>
    <w:next w:val="Normal"/>
    <w:autoRedefine/>
    <w:uiPriority w:val="39"/>
    <w:unhideWhenUsed/>
    <w:rsid w:val="00B067F8"/>
    <w:pPr>
      <w:keepLines/>
      <w:tabs>
        <w:tab w:val="left" w:leader="underscore" w:pos="9072"/>
      </w:tabs>
      <w:spacing w:after="100"/>
      <w:ind w:left="1701"/>
    </w:pPr>
    <w:rPr>
      <w:noProof/>
    </w:rPr>
  </w:style>
  <w:style w:type="paragraph" w:styleId="TOC6">
    <w:name w:val="toc 6"/>
    <w:basedOn w:val="Normal"/>
    <w:next w:val="Normal"/>
    <w:autoRedefine/>
    <w:uiPriority w:val="39"/>
    <w:semiHidden/>
    <w:unhideWhenUsed/>
    <w:rsid w:val="00B067F8"/>
    <w:pPr>
      <w:tabs>
        <w:tab w:val="right" w:pos="8505"/>
      </w:tabs>
      <w:spacing w:after="100"/>
      <w:ind w:left="2126"/>
    </w:pPr>
  </w:style>
  <w:style w:type="paragraph" w:styleId="TOC7">
    <w:name w:val="toc 7"/>
    <w:basedOn w:val="Normal"/>
    <w:next w:val="Normal"/>
    <w:autoRedefine/>
    <w:uiPriority w:val="39"/>
    <w:semiHidden/>
    <w:unhideWhenUsed/>
    <w:rsid w:val="00B067F8"/>
    <w:pPr>
      <w:spacing w:after="100"/>
      <w:ind w:left="2211"/>
    </w:pPr>
  </w:style>
  <w:style w:type="paragraph" w:styleId="EndnoteText">
    <w:name w:val="endnote text"/>
    <w:basedOn w:val="FootnoteText"/>
    <w:link w:val="EndnoteTextChar"/>
    <w:semiHidden/>
    <w:unhideWhenUsed/>
    <w:rsid w:val="0033260A"/>
  </w:style>
  <w:style w:type="character" w:customStyle="1" w:styleId="EndnoteTextChar">
    <w:name w:val="Endnote Text Char"/>
    <w:basedOn w:val="DefaultParagraphFont"/>
    <w:link w:val="EndnoteText"/>
    <w:semiHidden/>
    <w:rsid w:val="0033260A"/>
    <w:rPr>
      <w:rFonts w:ascii="Cambria" w:hAnsi="Cambria"/>
    </w:rPr>
  </w:style>
  <w:style w:type="character" w:styleId="EndnoteReference">
    <w:name w:val="endnote reference"/>
    <w:basedOn w:val="DefaultParagraphFont"/>
    <w:uiPriority w:val="99"/>
    <w:semiHidden/>
    <w:unhideWhenUsed/>
    <w:rsid w:val="0033260A"/>
    <w:rPr>
      <w:vertAlign w:val="superscript"/>
    </w:rPr>
  </w:style>
  <w:style w:type="paragraph" w:styleId="TableofFigures">
    <w:name w:val="table of figures"/>
    <w:basedOn w:val="Normal"/>
    <w:next w:val="Normal"/>
    <w:uiPriority w:val="99"/>
    <w:semiHidden/>
    <w:unhideWhenUsed/>
    <w:rsid w:val="006A7B7F"/>
  </w:style>
  <w:style w:type="paragraph" w:customStyle="1" w:styleId="Text">
    <w:name w:val="Text"/>
    <w:basedOn w:val="Normal"/>
    <w:link w:val="TextChar"/>
    <w:rsid w:val="00F9373E"/>
    <w:pPr>
      <w:suppressAutoHyphens/>
      <w:spacing w:before="60" w:after="120"/>
    </w:pPr>
    <w:rPr>
      <w:rFonts w:ascii="Times New Roman" w:hAnsi="Times New Roman"/>
      <w:sz w:val="24"/>
      <w:szCs w:val="20"/>
    </w:rPr>
  </w:style>
  <w:style w:type="character" w:customStyle="1" w:styleId="TextChar">
    <w:name w:val="Text Char"/>
    <w:link w:val="Text"/>
    <w:rsid w:val="00F9373E"/>
    <w:rPr>
      <w:rFonts w:ascii="Times New Roman" w:eastAsia="Times New Roman" w:hAnsi="Times New Roman" w:cs="Times New Roman"/>
      <w:sz w:val="24"/>
      <w:szCs w:val="20"/>
      <w:lang w:val="en-US"/>
    </w:rPr>
  </w:style>
  <w:style w:type="paragraph" w:customStyle="1" w:styleId="TableCenterBold">
    <w:name w:val="TableCenterBold"/>
    <w:basedOn w:val="Normal"/>
    <w:rsid w:val="00F9373E"/>
    <w:pPr>
      <w:suppressAutoHyphens/>
      <w:spacing w:before="60" w:line="240" w:lineRule="exact"/>
      <w:jc w:val="center"/>
    </w:pPr>
    <w:rPr>
      <w:rFonts w:ascii="Times New Roman" w:hAnsi="Times New Roman"/>
      <w:b/>
      <w:szCs w:val="20"/>
    </w:rPr>
  </w:style>
  <w:style w:type="paragraph" w:customStyle="1" w:styleId="CPCLH1">
    <w:name w:val="CPCLH1"/>
    <w:basedOn w:val="Normal"/>
    <w:rsid w:val="00F9373E"/>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jc w:val="both"/>
      <w:textAlignment w:val="baseline"/>
    </w:pPr>
    <w:rPr>
      <w:rFonts w:ascii="Helv" w:hAnsi="Helv"/>
      <w:b/>
      <w:sz w:val="20"/>
      <w:szCs w:val="20"/>
    </w:rPr>
  </w:style>
  <w:style w:type="paragraph" w:customStyle="1" w:styleId="lbltxt">
    <w:name w:val="lbltxt"/>
    <w:rsid w:val="00F9373E"/>
    <w:pPr>
      <w:tabs>
        <w:tab w:val="left" w:pos="567"/>
      </w:tabs>
      <w:spacing w:after="0" w:line="240" w:lineRule="auto"/>
    </w:pPr>
    <w:rPr>
      <w:rFonts w:ascii="Times New Roman" w:eastAsia="Times New Roman" w:hAnsi="Times New Roman" w:cs="Times New Roman"/>
      <w:noProof/>
      <w:szCs w:val="20"/>
      <w:lang w:val="en-GB"/>
    </w:rPr>
  </w:style>
  <w:style w:type="character" w:styleId="CommentReference">
    <w:name w:val="annotation reference"/>
    <w:uiPriority w:val="99"/>
    <w:rsid w:val="00F9373E"/>
    <w:rPr>
      <w:sz w:val="16"/>
      <w:szCs w:val="16"/>
    </w:rPr>
  </w:style>
  <w:style w:type="paragraph" w:styleId="CommentText">
    <w:name w:val="annotation text"/>
    <w:basedOn w:val="Normal"/>
    <w:link w:val="CommentTextChar"/>
    <w:uiPriority w:val="99"/>
    <w:rsid w:val="00F9373E"/>
    <w:pPr>
      <w:tabs>
        <w:tab w:val="left" w:pos="567"/>
      </w:tabs>
      <w:spacing w:line="260" w:lineRule="exact"/>
    </w:pPr>
    <w:rPr>
      <w:rFonts w:ascii="Times New Roman" w:hAnsi="Times New Roman"/>
      <w:sz w:val="20"/>
      <w:szCs w:val="20"/>
      <w:lang w:val="en-GB"/>
    </w:rPr>
  </w:style>
  <w:style w:type="character" w:customStyle="1" w:styleId="CommentTextChar">
    <w:name w:val="Comment Text Char"/>
    <w:basedOn w:val="DefaultParagraphFont"/>
    <w:link w:val="CommentText"/>
    <w:uiPriority w:val="99"/>
    <w:rsid w:val="00F9373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F9373E"/>
    <w:pPr>
      <w:tabs>
        <w:tab w:val="clear" w:pos="567"/>
      </w:tabs>
      <w:spacing w:line="240" w:lineRule="auto"/>
    </w:pPr>
    <w:rPr>
      <w:rFonts w:ascii="Arial" w:hAnsi="Arial"/>
      <w:b/>
      <w:bCs/>
      <w:lang w:val="en-US"/>
    </w:rPr>
  </w:style>
  <w:style w:type="character" w:customStyle="1" w:styleId="CommentSubjectChar">
    <w:name w:val="Comment Subject Char"/>
    <w:basedOn w:val="CommentTextChar"/>
    <w:link w:val="CommentSubject"/>
    <w:semiHidden/>
    <w:rsid w:val="00F9373E"/>
    <w:rPr>
      <w:rFonts w:ascii="Arial" w:eastAsia="Times New Roman" w:hAnsi="Arial" w:cs="Times New Roman"/>
      <w:b/>
      <w:bCs/>
      <w:sz w:val="20"/>
      <w:szCs w:val="20"/>
      <w:lang w:val="en-US"/>
    </w:rPr>
  </w:style>
  <w:style w:type="character" w:customStyle="1" w:styleId="TextChar1">
    <w:name w:val="Text Char1"/>
    <w:rsid w:val="00F9373E"/>
    <w:rPr>
      <w:rFonts w:ascii="Arial" w:hAnsi="Arial"/>
      <w:sz w:val="22"/>
      <w:lang w:val="en-US" w:eastAsia="en-US" w:bidi="ar-SA"/>
    </w:rPr>
  </w:style>
  <w:style w:type="paragraph" w:customStyle="1" w:styleId="TableCenterAlign">
    <w:name w:val="TableCenterAlign"/>
    <w:basedOn w:val="Normal"/>
    <w:rsid w:val="00F9373E"/>
    <w:pPr>
      <w:suppressAutoHyphens/>
      <w:spacing w:before="40" w:after="40"/>
      <w:jc w:val="center"/>
    </w:pPr>
    <w:rPr>
      <w:sz w:val="18"/>
      <w:szCs w:val="20"/>
      <w:lang w:val="en-AU"/>
    </w:rPr>
  </w:style>
  <w:style w:type="paragraph" w:customStyle="1" w:styleId="TableCentreBold">
    <w:name w:val="TableCentreBold"/>
    <w:basedOn w:val="Normal"/>
    <w:rsid w:val="00F9373E"/>
    <w:pPr>
      <w:suppressAutoHyphens/>
      <w:spacing w:before="60" w:after="60"/>
      <w:jc w:val="center"/>
    </w:pPr>
    <w:rPr>
      <w:b/>
      <w:sz w:val="20"/>
      <w:szCs w:val="20"/>
      <w:lang w:val="en-AU"/>
    </w:rPr>
  </w:style>
  <w:style w:type="paragraph" w:customStyle="1" w:styleId="TableLeftAlign">
    <w:name w:val="TableLeftAlign"/>
    <w:basedOn w:val="Normal"/>
    <w:rsid w:val="00F9373E"/>
    <w:pPr>
      <w:suppressAutoHyphens/>
      <w:spacing w:before="40" w:after="40"/>
    </w:pPr>
    <w:rPr>
      <w:sz w:val="18"/>
      <w:szCs w:val="20"/>
      <w:lang w:val="en-AU"/>
    </w:rPr>
  </w:style>
  <w:style w:type="paragraph" w:customStyle="1" w:styleId="TableLeftBold">
    <w:name w:val="TableLeftBold"/>
    <w:basedOn w:val="Normal"/>
    <w:rsid w:val="00F9373E"/>
    <w:pPr>
      <w:suppressAutoHyphens/>
      <w:spacing w:before="60" w:after="60"/>
    </w:pPr>
    <w:rPr>
      <w:b/>
      <w:sz w:val="20"/>
      <w:szCs w:val="20"/>
      <w:lang w:val="en-AU"/>
    </w:rPr>
  </w:style>
  <w:style w:type="paragraph" w:styleId="DocumentMap">
    <w:name w:val="Document Map"/>
    <w:basedOn w:val="Normal"/>
    <w:link w:val="DocumentMapChar"/>
    <w:semiHidden/>
    <w:rsid w:val="00F9373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9373E"/>
    <w:rPr>
      <w:rFonts w:ascii="Tahoma" w:eastAsia="Times New Roman" w:hAnsi="Tahoma" w:cs="Tahoma"/>
      <w:sz w:val="20"/>
      <w:szCs w:val="20"/>
      <w:shd w:val="clear" w:color="auto" w:fill="000080"/>
      <w:lang w:val="en-US"/>
    </w:rPr>
  </w:style>
  <w:style w:type="paragraph" w:styleId="BodyText">
    <w:name w:val="Body Text"/>
    <w:basedOn w:val="Normal"/>
    <w:link w:val="BodyTextChar"/>
    <w:rsid w:val="00F9373E"/>
    <w:pPr>
      <w:overflowPunct w:val="0"/>
      <w:autoSpaceDE w:val="0"/>
      <w:autoSpaceDN w:val="0"/>
      <w:adjustRightInd w:val="0"/>
      <w:spacing w:after="120"/>
      <w:jc w:val="both"/>
      <w:textAlignment w:val="baseline"/>
    </w:pPr>
    <w:rPr>
      <w:szCs w:val="20"/>
    </w:rPr>
  </w:style>
  <w:style w:type="character" w:customStyle="1" w:styleId="BodyTextChar">
    <w:name w:val="Body Text Char"/>
    <w:basedOn w:val="DefaultParagraphFont"/>
    <w:link w:val="BodyText"/>
    <w:rsid w:val="00F9373E"/>
    <w:rPr>
      <w:rFonts w:ascii="Arial" w:eastAsia="Times New Roman" w:hAnsi="Arial" w:cs="Times New Roman"/>
      <w:szCs w:val="20"/>
      <w:lang w:val="en-US"/>
    </w:rPr>
  </w:style>
  <w:style w:type="paragraph" w:customStyle="1" w:styleId="text0">
    <w:name w:val="text"/>
    <w:basedOn w:val="Normal"/>
    <w:rsid w:val="00F9373E"/>
    <w:pPr>
      <w:overflowPunct w:val="0"/>
      <w:autoSpaceDE w:val="0"/>
      <w:autoSpaceDN w:val="0"/>
      <w:spacing w:before="100" w:beforeAutospacing="1" w:after="100" w:afterAutospacing="1" w:line="360" w:lineRule="auto"/>
      <w:ind w:left="56"/>
    </w:pPr>
    <w:rPr>
      <w:rFonts w:cs="Arial"/>
      <w:color w:val="0000FF"/>
      <w:sz w:val="20"/>
      <w:szCs w:val="20"/>
    </w:rPr>
  </w:style>
  <w:style w:type="paragraph" w:customStyle="1" w:styleId="SynopsisText">
    <w:name w:val="SynopsisText"/>
    <w:basedOn w:val="Text"/>
    <w:rsid w:val="00F9373E"/>
    <w:pPr>
      <w:tabs>
        <w:tab w:val="left" w:pos="1794"/>
      </w:tabs>
      <w:suppressAutoHyphens w:val="0"/>
      <w:spacing w:before="120"/>
    </w:pPr>
    <w:rPr>
      <w:rFonts w:ascii="Arial" w:hAnsi="Arial"/>
      <w:color w:val="000000"/>
      <w:sz w:val="20"/>
    </w:rPr>
  </w:style>
  <w:style w:type="paragraph" w:customStyle="1" w:styleId="Default">
    <w:name w:val="Default"/>
    <w:rsid w:val="00F9373E"/>
    <w:pPr>
      <w:autoSpaceDE w:val="0"/>
      <w:autoSpaceDN w:val="0"/>
      <w:adjustRightInd w:val="0"/>
      <w:spacing w:after="0" w:line="240" w:lineRule="auto"/>
    </w:pPr>
    <w:rPr>
      <w:rFonts w:ascii="Times New Roman" w:eastAsia="MS Mincho" w:hAnsi="Times New Roman" w:cs="Times New Roman"/>
      <w:color w:val="000000"/>
      <w:sz w:val="24"/>
      <w:szCs w:val="24"/>
      <w:lang w:val="en-US" w:eastAsia="ja-JP"/>
    </w:rPr>
  </w:style>
  <w:style w:type="paragraph" w:customStyle="1" w:styleId="default0">
    <w:name w:val="default"/>
    <w:basedOn w:val="Normal"/>
    <w:rsid w:val="00F9373E"/>
    <w:pPr>
      <w:autoSpaceDE w:val="0"/>
      <w:autoSpaceDN w:val="0"/>
    </w:pPr>
    <w:rPr>
      <w:rFonts w:ascii="Times New Roman" w:hAnsi="Times New Roman"/>
      <w:color w:val="000000"/>
      <w:sz w:val="24"/>
      <w:lang w:val="en-AU" w:eastAsia="en-AU"/>
    </w:rPr>
  </w:style>
  <w:style w:type="character" w:customStyle="1" w:styleId="CaptionChar">
    <w:name w:val="Caption Char"/>
    <w:link w:val="Caption"/>
    <w:rsid w:val="00F9373E"/>
    <w:rPr>
      <w:rFonts w:ascii="Cambria" w:hAnsi="Cambria"/>
      <w:b/>
    </w:rPr>
  </w:style>
  <w:style w:type="paragraph" w:styleId="ListParagraph">
    <w:name w:val="List Paragraph"/>
    <w:basedOn w:val="Normal"/>
    <w:uiPriority w:val="34"/>
    <w:qFormat/>
    <w:locked/>
    <w:rsid w:val="00F9373E"/>
    <w:pPr>
      <w:ind w:left="720"/>
    </w:pPr>
    <w:rPr>
      <w:rFonts w:ascii="Calibri" w:hAnsi="Calibri"/>
      <w:szCs w:val="22"/>
    </w:rPr>
  </w:style>
  <w:style w:type="paragraph" w:styleId="Revision">
    <w:name w:val="Revision"/>
    <w:hidden/>
    <w:uiPriority w:val="99"/>
    <w:semiHidden/>
    <w:rsid w:val="00F9373E"/>
    <w:pPr>
      <w:spacing w:after="0" w:line="240" w:lineRule="auto"/>
    </w:pPr>
    <w:rPr>
      <w:rFonts w:ascii="Arial" w:eastAsia="Times New Roman" w:hAnsi="Arial" w:cs="Times New Roman"/>
      <w:szCs w:val="24"/>
      <w:lang w:val="en-US"/>
    </w:rPr>
  </w:style>
  <w:style w:type="paragraph" w:customStyle="1" w:styleId="TextBold">
    <w:name w:val="Text Bold"/>
    <w:basedOn w:val="Normal"/>
    <w:link w:val="TextBoldChar"/>
    <w:rsid w:val="00F9373E"/>
    <w:rPr>
      <w:rFonts w:ascii="Times New Roman" w:eastAsia="MS Mincho" w:hAnsi="Times New Roman"/>
      <w:b/>
      <w:bCs/>
      <w:color w:val="000000"/>
      <w:sz w:val="24"/>
      <w:lang w:eastAsia="ja-JP"/>
    </w:rPr>
  </w:style>
  <w:style w:type="character" w:customStyle="1" w:styleId="TextBoldChar">
    <w:name w:val="Text Bold Char"/>
    <w:link w:val="TextBold"/>
    <w:rsid w:val="00F9373E"/>
    <w:rPr>
      <w:rFonts w:ascii="Times New Roman" w:eastAsia="MS Mincho" w:hAnsi="Times New Roman" w:cs="Times New Roman"/>
      <w:b/>
      <w:bCs/>
      <w:color w:val="000000"/>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mbria"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iPriority="0" w:unhideWhenUsed="0"/>
    <w:lsdException w:name="footer" w:semiHidden="0" w:uiPriority="0" w:unhideWhenUsed="0"/>
    <w:lsdException w:name="caption" w:uiPriority="0" w:unhideWhenUsed="0" w:qFormat="1"/>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w:uiPriority="0"/>
    <w:lsdException w:name="Subtitle" w:semiHidden="0" w:uiPriority="11" w:unhideWhenUsed="0"/>
    <w:lsdException w:name="Date" w:unhideWhenUsed="0"/>
    <w:lsdException w:name="Hyperlink" w:uiPriority="0"/>
    <w:lsdException w:name="Strong" w:semiHidden="0" w:uiPriority="22" w:unhideWhenUsed="0"/>
    <w:lsdException w:name="Emphasis" w:semiHidden="0" w:uiPriority="20" w:unhideWhenUsed="0"/>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uiPriority="34"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9373E"/>
    <w:pPr>
      <w:spacing w:after="0" w:line="240" w:lineRule="auto"/>
    </w:pPr>
    <w:rPr>
      <w:rFonts w:ascii="Arial" w:eastAsia="Times New Roman" w:hAnsi="Arial" w:cs="Times New Roman"/>
      <w:szCs w:val="24"/>
      <w:lang w:val="en-US"/>
    </w:rPr>
  </w:style>
  <w:style w:type="paragraph" w:styleId="Heading1">
    <w:name w:val="heading 1"/>
    <w:basedOn w:val="Normal"/>
    <w:next w:val="Normal"/>
    <w:link w:val="Heading1Char"/>
    <w:qFormat/>
    <w:rsid w:val="00055B86"/>
    <w:pPr>
      <w:keepNext/>
      <w:keepLines/>
      <w:spacing w:before="360" w:after="240"/>
      <w:outlineLvl w:val="0"/>
    </w:pPr>
    <w:rPr>
      <w:b/>
      <w:bCs/>
      <w:sz w:val="48"/>
      <w:szCs w:val="48"/>
    </w:rPr>
  </w:style>
  <w:style w:type="paragraph" w:styleId="Heading2">
    <w:name w:val="heading 2"/>
    <w:basedOn w:val="Normal"/>
    <w:next w:val="Normal"/>
    <w:link w:val="Heading2Char"/>
    <w:qFormat/>
    <w:rsid w:val="00A95096"/>
    <w:pPr>
      <w:keepNext/>
      <w:keepLines/>
      <w:spacing w:before="480" w:after="120"/>
      <w:outlineLvl w:val="1"/>
    </w:pPr>
    <w:rPr>
      <w:b/>
      <w:bCs/>
      <w:sz w:val="38"/>
      <w:szCs w:val="38"/>
    </w:rPr>
  </w:style>
  <w:style w:type="paragraph" w:styleId="Heading3">
    <w:name w:val="heading 3"/>
    <w:basedOn w:val="Normal"/>
    <w:next w:val="Normal"/>
    <w:link w:val="Heading3Char"/>
    <w:qFormat/>
    <w:rsid w:val="002F2FC3"/>
    <w:pPr>
      <w:keepNext/>
      <w:keepLines/>
      <w:spacing w:before="480" w:after="120"/>
      <w:outlineLvl w:val="2"/>
    </w:pPr>
    <w:rPr>
      <w:b/>
      <w:bCs/>
      <w:sz w:val="32"/>
      <w:szCs w:val="32"/>
    </w:rPr>
  </w:style>
  <w:style w:type="paragraph" w:styleId="Heading4">
    <w:name w:val="heading 4"/>
    <w:basedOn w:val="Normal"/>
    <w:next w:val="Normal"/>
    <w:link w:val="Heading4Char"/>
    <w:qFormat/>
    <w:rsid w:val="002F2FC3"/>
    <w:pPr>
      <w:keepNext/>
      <w:keepLines/>
      <w:spacing w:before="360" w:after="120"/>
      <w:outlineLvl w:val="3"/>
    </w:pPr>
    <w:rPr>
      <w:b/>
      <w:bCs/>
      <w:sz w:val="26"/>
      <w:szCs w:val="26"/>
    </w:rPr>
  </w:style>
  <w:style w:type="paragraph" w:styleId="Heading5">
    <w:name w:val="heading 5"/>
    <w:basedOn w:val="Normal"/>
    <w:next w:val="Normal"/>
    <w:link w:val="Heading5Char"/>
    <w:uiPriority w:val="9"/>
    <w:rsid w:val="002F2FC3"/>
    <w:pPr>
      <w:keepNext/>
      <w:keepLines/>
      <w:spacing w:before="240" w:after="120"/>
      <w:outlineLvl w:val="4"/>
    </w:pPr>
    <w:rPr>
      <w:b/>
      <w:bCs/>
      <w:color w:val="001523"/>
      <w:sz w:val="26"/>
      <w:szCs w:val="26"/>
    </w:rPr>
  </w:style>
  <w:style w:type="paragraph" w:styleId="Heading6">
    <w:name w:val="heading 6"/>
    <w:basedOn w:val="Normal"/>
    <w:next w:val="Normal"/>
    <w:link w:val="Heading6Char"/>
    <w:uiPriority w:val="9"/>
    <w:rsid w:val="002F2FC3"/>
    <w:pPr>
      <w:keepNext/>
      <w:keepLines/>
      <w:spacing w:before="240" w:after="120"/>
      <w:outlineLvl w:val="5"/>
    </w:pPr>
    <w:rPr>
      <w:b/>
      <w:bCs/>
      <w:i/>
      <w:szCs w:val="21"/>
    </w:rPr>
  </w:style>
  <w:style w:type="paragraph" w:styleId="Heading7">
    <w:name w:val="heading 7"/>
    <w:basedOn w:val="Normal"/>
    <w:next w:val="Normal"/>
    <w:link w:val="Heading7Char"/>
    <w:uiPriority w:val="9"/>
    <w:rsid w:val="002F2FC3"/>
    <w:pPr>
      <w:keepNext/>
      <w:keepLines/>
      <w:spacing w:before="240" w:after="60" w:line="180" w:lineRule="atLeast"/>
      <w:outlineLvl w:val="6"/>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5B86"/>
    <w:rPr>
      <w:rFonts w:ascii="Arial" w:eastAsia="Times New Roman" w:hAnsi="Arial"/>
      <w:b/>
      <w:bCs/>
      <w:sz w:val="48"/>
      <w:szCs w:val="48"/>
    </w:rPr>
  </w:style>
  <w:style w:type="character" w:customStyle="1" w:styleId="Heading2Char">
    <w:name w:val="Heading 2 Char"/>
    <w:basedOn w:val="DefaultParagraphFont"/>
    <w:link w:val="Heading2"/>
    <w:rsid w:val="00A95096"/>
    <w:rPr>
      <w:rFonts w:ascii="Arial" w:eastAsia="Times New Roman" w:hAnsi="Arial"/>
      <w:b/>
      <w:bCs/>
      <w:sz w:val="38"/>
      <w:szCs w:val="38"/>
    </w:rPr>
  </w:style>
  <w:style w:type="character" w:customStyle="1" w:styleId="Heading3Char">
    <w:name w:val="Heading 3 Char"/>
    <w:basedOn w:val="DefaultParagraphFont"/>
    <w:link w:val="Heading3"/>
    <w:rsid w:val="002F2FC3"/>
    <w:rPr>
      <w:rFonts w:ascii="Arial" w:eastAsia="Times New Roman" w:hAnsi="Arial"/>
      <w:b/>
      <w:bCs/>
      <w:sz w:val="32"/>
      <w:szCs w:val="32"/>
    </w:rPr>
  </w:style>
  <w:style w:type="paragraph" w:styleId="BalloonText">
    <w:name w:val="Balloon Text"/>
    <w:basedOn w:val="Normal"/>
    <w:link w:val="BalloonTextChar"/>
    <w:semiHidden/>
    <w:unhideWhenUsed/>
    <w:rsid w:val="00F3148D"/>
    <w:rPr>
      <w:rFonts w:ascii="Tahoma" w:hAnsi="Tahoma" w:cs="Tahoma"/>
      <w:sz w:val="16"/>
      <w:szCs w:val="16"/>
    </w:rPr>
  </w:style>
  <w:style w:type="character" w:customStyle="1" w:styleId="BalloonTextChar">
    <w:name w:val="Balloon Text Char"/>
    <w:basedOn w:val="DefaultParagraphFont"/>
    <w:link w:val="BalloonText"/>
    <w:semiHidden/>
    <w:rsid w:val="00F3148D"/>
    <w:rPr>
      <w:rFonts w:ascii="Tahoma" w:hAnsi="Tahoma" w:cs="Tahoma"/>
      <w:sz w:val="16"/>
      <w:szCs w:val="16"/>
    </w:rPr>
  </w:style>
  <w:style w:type="paragraph" w:customStyle="1" w:styleId="Figuredescription">
    <w:name w:val="Figure description"/>
    <w:basedOn w:val="Normal"/>
    <w:next w:val="Normal"/>
    <w:rsid w:val="00A95096"/>
    <w:pPr>
      <w:spacing w:after="240" w:line="180" w:lineRule="atLeast"/>
    </w:pPr>
    <w:rPr>
      <w:sz w:val="18"/>
    </w:rPr>
  </w:style>
  <w:style w:type="paragraph" w:customStyle="1" w:styleId="Figuretitle">
    <w:name w:val="Figure title"/>
    <w:basedOn w:val="Normal"/>
    <w:next w:val="Normal"/>
    <w:rsid w:val="00F643F4"/>
    <w:pPr>
      <w:outlineLvl w:val="4"/>
    </w:pPr>
    <w:rPr>
      <w:b/>
    </w:rPr>
  </w:style>
  <w:style w:type="character" w:customStyle="1" w:styleId="Heading4Char">
    <w:name w:val="Heading 4 Char"/>
    <w:basedOn w:val="DefaultParagraphFont"/>
    <w:link w:val="Heading4"/>
    <w:rsid w:val="002F2FC3"/>
    <w:rPr>
      <w:rFonts w:ascii="Arial" w:hAnsi="Arial"/>
      <w:b/>
      <w:bCs/>
      <w:sz w:val="26"/>
      <w:szCs w:val="26"/>
    </w:rPr>
  </w:style>
  <w:style w:type="character" w:styleId="FollowedHyperlink">
    <w:name w:val="FollowedHyperlink"/>
    <w:basedOn w:val="DefaultParagraphFont"/>
    <w:semiHidden/>
    <w:unhideWhenUsed/>
    <w:rsid w:val="006A399C"/>
    <w:rPr>
      <w:color w:val="800080"/>
      <w:u w:val="single"/>
    </w:rPr>
  </w:style>
  <w:style w:type="paragraph" w:styleId="Footer">
    <w:name w:val="footer"/>
    <w:basedOn w:val="Normal"/>
    <w:link w:val="FooterChar"/>
    <w:rsid w:val="009527F4"/>
    <w:pPr>
      <w:tabs>
        <w:tab w:val="center" w:pos="4513"/>
        <w:tab w:val="right" w:pos="9026"/>
      </w:tabs>
    </w:pPr>
    <w:rPr>
      <w:sz w:val="17"/>
    </w:rPr>
  </w:style>
  <w:style w:type="character" w:customStyle="1" w:styleId="FooterChar">
    <w:name w:val="Footer Char"/>
    <w:basedOn w:val="DefaultParagraphFont"/>
    <w:link w:val="Footer"/>
    <w:rsid w:val="009527F4"/>
    <w:rPr>
      <w:rFonts w:ascii="Cambria" w:hAnsi="Cambria"/>
      <w:sz w:val="17"/>
    </w:rPr>
  </w:style>
  <w:style w:type="paragraph" w:styleId="Header">
    <w:name w:val="header"/>
    <w:aliases w:val="Document"/>
    <w:basedOn w:val="Normal"/>
    <w:link w:val="HeaderChar"/>
    <w:rsid w:val="009527F4"/>
    <w:pPr>
      <w:pBdr>
        <w:bottom w:val="single" w:sz="4" w:space="3" w:color="auto"/>
      </w:pBdr>
      <w:tabs>
        <w:tab w:val="center" w:pos="4513"/>
        <w:tab w:val="right" w:pos="9026"/>
      </w:tabs>
      <w:jc w:val="right"/>
    </w:pPr>
    <w:rPr>
      <w:sz w:val="17"/>
    </w:rPr>
  </w:style>
  <w:style w:type="character" w:customStyle="1" w:styleId="HeaderChar">
    <w:name w:val="Header Char"/>
    <w:aliases w:val="Document Char"/>
    <w:basedOn w:val="DefaultParagraphFont"/>
    <w:link w:val="Header"/>
    <w:rsid w:val="009527F4"/>
    <w:rPr>
      <w:rFonts w:ascii="Cambria" w:hAnsi="Cambria"/>
      <w:sz w:val="17"/>
    </w:rPr>
  </w:style>
  <w:style w:type="paragraph" w:customStyle="1" w:styleId="Headernoline">
    <w:name w:val="Header no line"/>
    <w:basedOn w:val="Header"/>
    <w:rsid w:val="009527F4"/>
    <w:pPr>
      <w:pBdr>
        <w:bottom w:val="none" w:sz="0" w:space="0" w:color="auto"/>
      </w:pBdr>
      <w:spacing w:line="240" w:lineRule="atLeast"/>
    </w:pPr>
  </w:style>
  <w:style w:type="character" w:customStyle="1" w:styleId="Heading5Char">
    <w:name w:val="Heading 5 Char"/>
    <w:basedOn w:val="DefaultParagraphFont"/>
    <w:link w:val="Heading5"/>
    <w:uiPriority w:val="9"/>
    <w:rsid w:val="002F2FC3"/>
    <w:rPr>
      <w:rFonts w:ascii="Cambria" w:eastAsia="Times New Roman" w:hAnsi="Cambria"/>
      <w:b/>
      <w:bCs/>
      <w:color w:val="001523"/>
      <w:sz w:val="26"/>
      <w:szCs w:val="26"/>
    </w:rPr>
  </w:style>
  <w:style w:type="character" w:customStyle="1" w:styleId="Heading6Char">
    <w:name w:val="Heading 6 Char"/>
    <w:basedOn w:val="DefaultParagraphFont"/>
    <w:link w:val="Heading6"/>
    <w:uiPriority w:val="9"/>
    <w:rsid w:val="002F2FC3"/>
    <w:rPr>
      <w:rFonts w:ascii="Cambria" w:eastAsia="Times New Roman" w:hAnsi="Cambria"/>
      <w:b/>
      <w:bCs/>
      <w:i/>
      <w:sz w:val="22"/>
      <w:szCs w:val="21"/>
    </w:rPr>
  </w:style>
  <w:style w:type="character" w:customStyle="1" w:styleId="Heading7Char">
    <w:name w:val="Heading 7 Char"/>
    <w:basedOn w:val="DefaultParagraphFont"/>
    <w:link w:val="Heading7"/>
    <w:uiPriority w:val="9"/>
    <w:rsid w:val="002F2FC3"/>
    <w:rPr>
      <w:rFonts w:ascii="Cambria" w:eastAsia="Times New Roman" w:hAnsi="Cambria"/>
      <w:bCs/>
      <w:i/>
      <w:sz w:val="22"/>
      <w:szCs w:val="22"/>
    </w:rPr>
  </w:style>
  <w:style w:type="character" w:styleId="Hyperlink">
    <w:name w:val="Hyperlink"/>
    <w:basedOn w:val="DefaultParagraphFont"/>
    <w:unhideWhenUsed/>
    <w:rsid w:val="006A399C"/>
    <w:rPr>
      <w:color w:val="0000FF"/>
      <w:u w:val="single"/>
    </w:rPr>
  </w:style>
  <w:style w:type="paragraph" w:customStyle="1" w:styleId="LegalCopy">
    <w:name w:val="Legal Copy"/>
    <w:basedOn w:val="Footer"/>
    <w:semiHidden/>
    <w:unhideWhenUsed/>
    <w:rsid w:val="00F3148D"/>
  </w:style>
  <w:style w:type="paragraph" w:customStyle="1" w:styleId="LegalSubheading">
    <w:name w:val="Legal Subheading"/>
    <w:basedOn w:val="Footer"/>
    <w:semiHidden/>
    <w:unhideWhenUsed/>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32D87"/>
    <w:pPr>
      <w:numPr>
        <w:numId w:val="26"/>
      </w:numPr>
      <w:ind w:left="425" w:hanging="425"/>
    </w:pPr>
  </w:style>
  <w:style w:type="paragraph" w:styleId="ListBullet2">
    <w:name w:val="List Bullet 2"/>
    <w:basedOn w:val="Normal"/>
    <w:uiPriority w:val="2"/>
    <w:qFormat/>
    <w:rsid w:val="00232D87"/>
    <w:pPr>
      <w:numPr>
        <w:ilvl w:val="1"/>
        <w:numId w:val="26"/>
      </w:numPr>
      <w:ind w:left="850" w:hanging="425"/>
    </w:pPr>
  </w:style>
  <w:style w:type="paragraph" w:styleId="ListBullet3">
    <w:name w:val="List Bullet 3"/>
    <w:basedOn w:val="Normal"/>
    <w:uiPriority w:val="2"/>
    <w:qFormat/>
    <w:rsid w:val="00232D87"/>
    <w:pPr>
      <w:numPr>
        <w:ilvl w:val="2"/>
        <w:numId w:val="26"/>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055B86"/>
    <w:pPr>
      <w:keepNext/>
      <w:keepLines/>
      <w:spacing w:before="360"/>
    </w:pPr>
    <w:rPr>
      <w:b/>
      <w:sz w:val="38"/>
    </w:rPr>
  </w:style>
  <w:style w:type="paragraph" w:customStyle="1" w:styleId="Notes">
    <w:name w:val="Notes"/>
    <w:basedOn w:val="Normal"/>
    <w:semiHidden/>
    <w:locked/>
    <w:rsid w:val="00F3148D"/>
    <w:rPr>
      <w:sz w:val="16"/>
    </w:rPr>
  </w:style>
  <w:style w:type="paragraph" w:customStyle="1" w:styleId="Numberbullet0">
    <w:name w:val="Number bullet"/>
    <w:basedOn w:val="ListBullet"/>
    <w:uiPriority w:val="3"/>
    <w:qFormat/>
    <w:rsid w:val="00232D87"/>
    <w:pPr>
      <w:numPr>
        <w:numId w:val="11"/>
      </w:numPr>
    </w:pPr>
  </w:style>
  <w:style w:type="paragraph" w:customStyle="1" w:styleId="Numberbullet2">
    <w:name w:val="Number bullet 2"/>
    <w:basedOn w:val="ListBullet2"/>
    <w:uiPriority w:val="3"/>
    <w:qFormat/>
    <w:rsid w:val="00232D87"/>
    <w:pPr>
      <w:numPr>
        <w:numId w:val="11"/>
      </w:numPr>
      <w:ind w:left="850" w:hanging="425"/>
    </w:pPr>
  </w:style>
  <w:style w:type="paragraph" w:customStyle="1" w:styleId="Numberbullet3">
    <w:name w:val="Number bullet 3"/>
    <w:basedOn w:val="ListBullet3"/>
    <w:uiPriority w:val="3"/>
    <w:qFormat/>
    <w:rsid w:val="00232D87"/>
    <w:pPr>
      <w:numPr>
        <w:numId w:val="11"/>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9527F4"/>
    <w:pPr>
      <w:spacing w:before="40"/>
      <w:ind w:left="170" w:hanging="170"/>
    </w:pPr>
    <w:rPr>
      <w:sz w:val="19"/>
    </w:rPr>
  </w:style>
  <w:style w:type="paragraph" w:customStyle="1" w:styleId="Tabledescription">
    <w:name w:val="Table description"/>
    <w:basedOn w:val="Figuredescription"/>
    <w:next w:val="Normal"/>
    <w:rsid w:val="00A95096"/>
  </w:style>
  <w:style w:type="table" w:customStyle="1" w:styleId="TableTGAblue">
    <w:name w:val="Table TGA blue"/>
    <w:basedOn w:val="TableNormal"/>
    <w:uiPriority w:val="99"/>
    <w:qFormat/>
    <w:rsid w:val="00BD0659"/>
    <w:rPr>
      <w:rFonts w:ascii="Cambria" w:hAnsi="Cambria"/>
      <w:szCs w:val="21"/>
      <w:lang w:eastAsia="en-AU"/>
    </w:rPr>
    <w:tblPr>
      <w:tblInd w:w="0" w:type="dxa"/>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BD0659"/>
    <w:rPr>
      <w:rFonts w:ascii="Cambria" w:hAnsi="Cambria"/>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rsid w:val="00F643F4"/>
    <w:pPr>
      <w:keepNext/>
      <w:outlineLvl w:val="4"/>
    </w:pPr>
    <w:rPr>
      <w:b/>
    </w:rPr>
  </w:style>
  <w:style w:type="paragraph" w:styleId="TOC1">
    <w:name w:val="toc 1"/>
    <w:basedOn w:val="Normal"/>
    <w:next w:val="Normal"/>
    <w:uiPriority w:val="39"/>
    <w:unhideWhenUsed/>
    <w:rsid w:val="00B067F8"/>
    <w:pPr>
      <w:keepNext/>
      <w:keepLines/>
      <w:tabs>
        <w:tab w:val="right" w:leader="underscore" w:pos="9072"/>
      </w:tabs>
      <w:spacing w:after="200"/>
    </w:pPr>
    <w:rPr>
      <w:b/>
      <w:sz w:val="26"/>
    </w:rPr>
  </w:style>
  <w:style w:type="paragraph" w:styleId="TOC2">
    <w:name w:val="toc 2"/>
    <w:basedOn w:val="Normal"/>
    <w:next w:val="Normal"/>
    <w:unhideWhenUsed/>
    <w:rsid w:val="00B067F8"/>
    <w:pPr>
      <w:keepLines/>
      <w:tabs>
        <w:tab w:val="right" w:leader="underscore" w:pos="9072"/>
      </w:tabs>
      <w:spacing w:after="100"/>
      <w:ind w:left="425"/>
    </w:pPr>
    <w:rPr>
      <w:sz w:val="25"/>
    </w:rPr>
  </w:style>
  <w:style w:type="paragraph" w:styleId="TOC3">
    <w:name w:val="toc 3"/>
    <w:basedOn w:val="Normal"/>
    <w:next w:val="Normal"/>
    <w:uiPriority w:val="39"/>
    <w:unhideWhenUsed/>
    <w:rsid w:val="00B067F8"/>
    <w:pPr>
      <w:keepLines/>
      <w:tabs>
        <w:tab w:val="right" w:leader="underscore" w:pos="9072"/>
      </w:tabs>
      <w:spacing w:after="100"/>
      <w:ind w:left="851"/>
    </w:pPr>
  </w:style>
  <w:style w:type="paragraph" w:styleId="TOCHeading">
    <w:name w:val="TOC Heading"/>
    <w:basedOn w:val="Heading1"/>
    <w:next w:val="Normal"/>
    <w:uiPriority w:val="39"/>
    <w:semiHidden/>
    <w:unhideWhenUsed/>
    <w:qFormat/>
    <w:rsid w:val="00F3148D"/>
    <w:pPr>
      <w:spacing w:before="480" w:after="0" w:line="276" w:lineRule="auto"/>
      <w:outlineLvl w:val="9"/>
    </w:pPr>
    <w:rPr>
      <w:bCs w:val="0"/>
      <w:color w:val="002035"/>
      <w:sz w:val="28"/>
    </w:rPr>
  </w:style>
  <w:style w:type="paragraph" w:customStyle="1" w:styleId="Subject">
    <w:name w:val="Subject"/>
    <w:basedOn w:val="Normal"/>
    <w:rsid w:val="00055B86"/>
    <w:rPr>
      <w:b/>
    </w:rPr>
  </w:style>
  <w:style w:type="table" w:styleId="TableGrid">
    <w:name w:val="Table Grid"/>
    <w:basedOn w:val="TableNormal"/>
    <w:uiPriority w:val="59"/>
    <w:rsid w:val="004A38EE"/>
    <w:tblPr>
      <w:tblInd w:w="0" w:type="dxa"/>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CellMar>
        <w:top w:w="0" w:type="dxa"/>
        <w:left w:w="108" w:type="dxa"/>
        <w:bottom w:w="0" w:type="dxa"/>
        <w:right w:w="108" w:type="dxa"/>
      </w:tblCellMar>
    </w:tblPr>
  </w:style>
  <w:style w:type="paragraph" w:styleId="Caption">
    <w:name w:val="caption"/>
    <w:basedOn w:val="Tabletitle"/>
    <w:next w:val="Normal"/>
    <w:link w:val="CaptionChar"/>
    <w:qFormat/>
    <w:rsid w:val="0033260A"/>
  </w:style>
  <w:style w:type="paragraph" w:styleId="FootnoteText">
    <w:name w:val="footnote text"/>
    <w:basedOn w:val="Normal"/>
    <w:link w:val="FootnoteTextChar"/>
    <w:rsid w:val="009527F4"/>
    <w:pPr>
      <w:keepLines/>
    </w:pPr>
    <w:rPr>
      <w:sz w:val="20"/>
    </w:rPr>
  </w:style>
  <w:style w:type="character" w:customStyle="1" w:styleId="FootnoteTextChar">
    <w:name w:val="Footnote Text Char"/>
    <w:basedOn w:val="DefaultParagraphFont"/>
    <w:link w:val="FootnoteText"/>
    <w:rsid w:val="009527F4"/>
    <w:rPr>
      <w:rFonts w:ascii="Cambria" w:hAnsi="Cambria"/>
    </w:rPr>
  </w:style>
  <w:style w:type="paragraph" w:styleId="Subtitle">
    <w:name w:val="Subtitle"/>
    <w:basedOn w:val="Normal"/>
    <w:next w:val="Normal"/>
    <w:link w:val="SubtitleChar"/>
    <w:uiPriority w:val="11"/>
    <w:semiHidden/>
    <w:unhideWhenUsed/>
    <w:rsid w:val="009A6616"/>
    <w:pPr>
      <w:numPr>
        <w:ilvl w:val="1"/>
      </w:numPr>
      <w:spacing w:after="360"/>
      <w:ind w:left="170"/>
    </w:pPr>
    <w:rPr>
      <w:bCs/>
      <w:iCs/>
      <w:sz w:val="40"/>
    </w:rPr>
  </w:style>
  <w:style w:type="character" w:customStyle="1" w:styleId="SubtitleChar">
    <w:name w:val="Subtitle Char"/>
    <w:basedOn w:val="DefaultParagraphFont"/>
    <w:link w:val="Subtitle"/>
    <w:uiPriority w:val="11"/>
    <w:semiHidden/>
    <w:rsid w:val="009A1D75"/>
    <w:rPr>
      <w:rFonts w:ascii="Arial" w:eastAsia="Times New Roman" w:hAnsi="Arial"/>
      <w:bCs/>
      <w:iCs/>
      <w:sz w:val="40"/>
      <w:szCs w:val="24"/>
    </w:rPr>
  </w:style>
  <w:style w:type="paragraph" w:styleId="Title">
    <w:name w:val="Title"/>
    <w:next w:val="Normal"/>
    <w:link w:val="TitleChar"/>
    <w:uiPriority w:val="10"/>
    <w:semiHidden/>
    <w:unhideWhenUsed/>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semiHidden/>
    <w:rsid w:val="009A1D75"/>
    <w:rPr>
      <w:rFonts w:ascii="Arial" w:eastAsia="Times New Roman" w:hAnsi="Arial"/>
      <w:spacing w:val="5"/>
      <w:kern w:val="28"/>
      <w:sz w:val="52"/>
      <w:szCs w:val="52"/>
    </w:rPr>
  </w:style>
  <w:style w:type="paragraph" w:customStyle="1" w:styleId="FlowChartWhiteText">
    <w:name w:val="Flow Chart White Text"/>
    <w:basedOn w:val="Normal"/>
    <w:semiHidden/>
    <w:unhideWhenUsed/>
    <w:rsid w:val="007E78FC"/>
    <w:pPr>
      <w:jc w:val="center"/>
    </w:pPr>
    <w:rPr>
      <w:color w:val="FFFFFF"/>
    </w:rPr>
  </w:style>
  <w:style w:type="paragraph" w:customStyle="1" w:styleId="FlowchartText">
    <w:name w:val="Flowchart Text"/>
    <w:basedOn w:val="Normal"/>
    <w:semiHidden/>
    <w:unhideWhenUsed/>
    <w:rsid w:val="007E78FC"/>
    <w:pPr>
      <w:jc w:val="center"/>
    </w:pPr>
  </w:style>
  <w:style w:type="paragraph" w:customStyle="1" w:styleId="Quotation">
    <w:name w:val="Quotation"/>
    <w:basedOn w:val="Normal"/>
    <w:next w:val="Normal"/>
    <w:uiPriority w:val="4"/>
    <w:qFormat/>
    <w:rsid w:val="00055B86"/>
    <w:pPr>
      <w:ind w:left="425"/>
    </w:pPr>
    <w:rPr>
      <w:sz w:val="20"/>
    </w:rPr>
  </w:style>
  <w:style w:type="character" w:styleId="FootnoteReference">
    <w:name w:val="footnote reference"/>
    <w:basedOn w:val="DefaultParagraphFont"/>
    <w:unhideWhenUsed/>
    <w:rsid w:val="009527F4"/>
    <w:rPr>
      <w:vertAlign w:val="superscript"/>
    </w:rPr>
  </w:style>
  <w:style w:type="paragraph" w:styleId="TOC4">
    <w:name w:val="toc 4"/>
    <w:basedOn w:val="Normal"/>
    <w:next w:val="Normal"/>
    <w:autoRedefine/>
    <w:uiPriority w:val="39"/>
    <w:unhideWhenUsed/>
    <w:rsid w:val="00B067F8"/>
    <w:pPr>
      <w:keepLines/>
      <w:tabs>
        <w:tab w:val="right" w:leader="underscore" w:pos="9072"/>
      </w:tabs>
      <w:spacing w:after="100"/>
      <w:ind w:left="1276"/>
    </w:pPr>
  </w:style>
  <w:style w:type="paragraph" w:styleId="TOC5">
    <w:name w:val="toc 5"/>
    <w:basedOn w:val="Normal"/>
    <w:next w:val="Normal"/>
    <w:autoRedefine/>
    <w:uiPriority w:val="39"/>
    <w:unhideWhenUsed/>
    <w:rsid w:val="00B067F8"/>
    <w:pPr>
      <w:keepLines/>
      <w:tabs>
        <w:tab w:val="left" w:leader="underscore" w:pos="9072"/>
      </w:tabs>
      <w:spacing w:after="100"/>
      <w:ind w:left="1701"/>
    </w:pPr>
    <w:rPr>
      <w:noProof/>
    </w:rPr>
  </w:style>
  <w:style w:type="paragraph" w:styleId="TOC6">
    <w:name w:val="toc 6"/>
    <w:basedOn w:val="Normal"/>
    <w:next w:val="Normal"/>
    <w:autoRedefine/>
    <w:uiPriority w:val="39"/>
    <w:semiHidden/>
    <w:unhideWhenUsed/>
    <w:rsid w:val="00B067F8"/>
    <w:pPr>
      <w:tabs>
        <w:tab w:val="right" w:pos="8505"/>
      </w:tabs>
      <w:spacing w:after="100"/>
      <w:ind w:left="2126"/>
    </w:pPr>
  </w:style>
  <w:style w:type="paragraph" w:styleId="TOC7">
    <w:name w:val="toc 7"/>
    <w:basedOn w:val="Normal"/>
    <w:next w:val="Normal"/>
    <w:autoRedefine/>
    <w:uiPriority w:val="39"/>
    <w:semiHidden/>
    <w:unhideWhenUsed/>
    <w:rsid w:val="00B067F8"/>
    <w:pPr>
      <w:spacing w:after="100"/>
      <w:ind w:left="2211"/>
    </w:pPr>
  </w:style>
  <w:style w:type="paragraph" w:styleId="EndnoteText">
    <w:name w:val="endnote text"/>
    <w:basedOn w:val="FootnoteText"/>
    <w:link w:val="EndnoteTextChar"/>
    <w:semiHidden/>
    <w:unhideWhenUsed/>
    <w:rsid w:val="0033260A"/>
  </w:style>
  <w:style w:type="character" w:customStyle="1" w:styleId="EndnoteTextChar">
    <w:name w:val="Endnote Text Char"/>
    <w:basedOn w:val="DefaultParagraphFont"/>
    <w:link w:val="EndnoteText"/>
    <w:semiHidden/>
    <w:rsid w:val="0033260A"/>
    <w:rPr>
      <w:rFonts w:ascii="Cambria" w:hAnsi="Cambria"/>
    </w:rPr>
  </w:style>
  <w:style w:type="character" w:styleId="EndnoteReference">
    <w:name w:val="endnote reference"/>
    <w:basedOn w:val="DefaultParagraphFont"/>
    <w:uiPriority w:val="99"/>
    <w:semiHidden/>
    <w:unhideWhenUsed/>
    <w:rsid w:val="0033260A"/>
    <w:rPr>
      <w:vertAlign w:val="superscript"/>
    </w:rPr>
  </w:style>
  <w:style w:type="paragraph" w:styleId="TableofFigures">
    <w:name w:val="table of figures"/>
    <w:basedOn w:val="Normal"/>
    <w:next w:val="Normal"/>
    <w:uiPriority w:val="99"/>
    <w:semiHidden/>
    <w:unhideWhenUsed/>
    <w:rsid w:val="006A7B7F"/>
  </w:style>
  <w:style w:type="paragraph" w:customStyle="1" w:styleId="Text">
    <w:name w:val="Text"/>
    <w:basedOn w:val="Normal"/>
    <w:link w:val="TextChar"/>
    <w:rsid w:val="00F9373E"/>
    <w:pPr>
      <w:suppressAutoHyphens/>
      <w:spacing w:before="60" w:after="120"/>
    </w:pPr>
    <w:rPr>
      <w:rFonts w:ascii="Times New Roman" w:hAnsi="Times New Roman"/>
      <w:sz w:val="24"/>
      <w:szCs w:val="20"/>
    </w:rPr>
  </w:style>
  <w:style w:type="character" w:customStyle="1" w:styleId="TextChar">
    <w:name w:val="Text Char"/>
    <w:link w:val="Text"/>
    <w:rsid w:val="00F9373E"/>
    <w:rPr>
      <w:rFonts w:ascii="Times New Roman" w:eastAsia="Times New Roman" w:hAnsi="Times New Roman" w:cs="Times New Roman"/>
      <w:sz w:val="24"/>
      <w:szCs w:val="20"/>
      <w:lang w:val="en-US"/>
    </w:rPr>
  </w:style>
  <w:style w:type="paragraph" w:customStyle="1" w:styleId="TableCenterBold">
    <w:name w:val="TableCenterBold"/>
    <w:basedOn w:val="Normal"/>
    <w:rsid w:val="00F9373E"/>
    <w:pPr>
      <w:suppressAutoHyphens/>
      <w:spacing w:before="60" w:line="240" w:lineRule="exact"/>
      <w:jc w:val="center"/>
    </w:pPr>
    <w:rPr>
      <w:rFonts w:ascii="Times New Roman" w:hAnsi="Times New Roman"/>
      <w:b/>
      <w:szCs w:val="20"/>
    </w:rPr>
  </w:style>
  <w:style w:type="paragraph" w:customStyle="1" w:styleId="CPCLH1">
    <w:name w:val="CPCLH1"/>
    <w:basedOn w:val="Normal"/>
    <w:rsid w:val="00F9373E"/>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jc w:val="both"/>
      <w:textAlignment w:val="baseline"/>
    </w:pPr>
    <w:rPr>
      <w:rFonts w:ascii="Helv" w:hAnsi="Helv"/>
      <w:b/>
      <w:sz w:val="20"/>
      <w:szCs w:val="20"/>
    </w:rPr>
  </w:style>
  <w:style w:type="paragraph" w:customStyle="1" w:styleId="lbltxt">
    <w:name w:val="lbltxt"/>
    <w:rsid w:val="00F9373E"/>
    <w:pPr>
      <w:tabs>
        <w:tab w:val="left" w:pos="567"/>
      </w:tabs>
      <w:spacing w:after="0" w:line="240" w:lineRule="auto"/>
    </w:pPr>
    <w:rPr>
      <w:rFonts w:ascii="Times New Roman" w:eastAsia="Times New Roman" w:hAnsi="Times New Roman" w:cs="Times New Roman"/>
      <w:noProof/>
      <w:szCs w:val="20"/>
      <w:lang w:val="en-GB"/>
    </w:rPr>
  </w:style>
  <w:style w:type="character" w:styleId="CommentReference">
    <w:name w:val="annotation reference"/>
    <w:uiPriority w:val="99"/>
    <w:rsid w:val="00F9373E"/>
    <w:rPr>
      <w:sz w:val="16"/>
      <w:szCs w:val="16"/>
    </w:rPr>
  </w:style>
  <w:style w:type="paragraph" w:styleId="CommentText">
    <w:name w:val="annotation text"/>
    <w:basedOn w:val="Normal"/>
    <w:link w:val="CommentTextChar"/>
    <w:uiPriority w:val="99"/>
    <w:rsid w:val="00F9373E"/>
    <w:pPr>
      <w:tabs>
        <w:tab w:val="left" w:pos="567"/>
      </w:tabs>
      <w:spacing w:line="260" w:lineRule="exact"/>
    </w:pPr>
    <w:rPr>
      <w:rFonts w:ascii="Times New Roman" w:hAnsi="Times New Roman"/>
      <w:sz w:val="20"/>
      <w:szCs w:val="20"/>
      <w:lang w:val="en-GB"/>
    </w:rPr>
  </w:style>
  <w:style w:type="character" w:customStyle="1" w:styleId="CommentTextChar">
    <w:name w:val="Comment Text Char"/>
    <w:basedOn w:val="DefaultParagraphFont"/>
    <w:link w:val="CommentText"/>
    <w:uiPriority w:val="99"/>
    <w:rsid w:val="00F9373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F9373E"/>
    <w:pPr>
      <w:tabs>
        <w:tab w:val="clear" w:pos="567"/>
      </w:tabs>
      <w:spacing w:line="240" w:lineRule="auto"/>
    </w:pPr>
    <w:rPr>
      <w:rFonts w:ascii="Arial" w:hAnsi="Arial"/>
      <w:b/>
      <w:bCs/>
      <w:lang w:val="en-US"/>
    </w:rPr>
  </w:style>
  <w:style w:type="character" w:customStyle="1" w:styleId="CommentSubjectChar">
    <w:name w:val="Comment Subject Char"/>
    <w:basedOn w:val="CommentTextChar"/>
    <w:link w:val="CommentSubject"/>
    <w:semiHidden/>
    <w:rsid w:val="00F9373E"/>
    <w:rPr>
      <w:rFonts w:ascii="Arial" w:eastAsia="Times New Roman" w:hAnsi="Arial" w:cs="Times New Roman"/>
      <w:b/>
      <w:bCs/>
      <w:sz w:val="20"/>
      <w:szCs w:val="20"/>
      <w:lang w:val="en-US"/>
    </w:rPr>
  </w:style>
  <w:style w:type="character" w:customStyle="1" w:styleId="TextChar1">
    <w:name w:val="Text Char1"/>
    <w:rsid w:val="00F9373E"/>
    <w:rPr>
      <w:rFonts w:ascii="Arial" w:hAnsi="Arial"/>
      <w:sz w:val="22"/>
      <w:lang w:val="en-US" w:eastAsia="en-US" w:bidi="ar-SA"/>
    </w:rPr>
  </w:style>
  <w:style w:type="paragraph" w:customStyle="1" w:styleId="TableCenterAlign">
    <w:name w:val="TableCenterAlign"/>
    <w:basedOn w:val="Normal"/>
    <w:rsid w:val="00F9373E"/>
    <w:pPr>
      <w:suppressAutoHyphens/>
      <w:spacing w:before="40" w:after="40"/>
      <w:jc w:val="center"/>
    </w:pPr>
    <w:rPr>
      <w:sz w:val="18"/>
      <w:szCs w:val="20"/>
      <w:lang w:val="en-AU"/>
    </w:rPr>
  </w:style>
  <w:style w:type="paragraph" w:customStyle="1" w:styleId="TableCentreBold">
    <w:name w:val="TableCentreBold"/>
    <w:basedOn w:val="Normal"/>
    <w:rsid w:val="00F9373E"/>
    <w:pPr>
      <w:suppressAutoHyphens/>
      <w:spacing w:before="60" w:after="60"/>
      <w:jc w:val="center"/>
    </w:pPr>
    <w:rPr>
      <w:b/>
      <w:sz w:val="20"/>
      <w:szCs w:val="20"/>
      <w:lang w:val="en-AU"/>
    </w:rPr>
  </w:style>
  <w:style w:type="paragraph" w:customStyle="1" w:styleId="TableLeftAlign">
    <w:name w:val="TableLeftAlign"/>
    <w:basedOn w:val="Normal"/>
    <w:rsid w:val="00F9373E"/>
    <w:pPr>
      <w:suppressAutoHyphens/>
      <w:spacing w:before="40" w:after="40"/>
    </w:pPr>
    <w:rPr>
      <w:sz w:val="18"/>
      <w:szCs w:val="20"/>
      <w:lang w:val="en-AU"/>
    </w:rPr>
  </w:style>
  <w:style w:type="paragraph" w:customStyle="1" w:styleId="TableLeftBold">
    <w:name w:val="TableLeftBold"/>
    <w:basedOn w:val="Normal"/>
    <w:rsid w:val="00F9373E"/>
    <w:pPr>
      <w:suppressAutoHyphens/>
      <w:spacing w:before="60" w:after="60"/>
    </w:pPr>
    <w:rPr>
      <w:b/>
      <w:sz w:val="20"/>
      <w:szCs w:val="20"/>
      <w:lang w:val="en-AU"/>
    </w:rPr>
  </w:style>
  <w:style w:type="paragraph" w:styleId="DocumentMap">
    <w:name w:val="Document Map"/>
    <w:basedOn w:val="Normal"/>
    <w:link w:val="DocumentMapChar"/>
    <w:semiHidden/>
    <w:rsid w:val="00F9373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9373E"/>
    <w:rPr>
      <w:rFonts w:ascii="Tahoma" w:eastAsia="Times New Roman" w:hAnsi="Tahoma" w:cs="Tahoma"/>
      <w:sz w:val="20"/>
      <w:szCs w:val="20"/>
      <w:shd w:val="clear" w:color="auto" w:fill="000080"/>
      <w:lang w:val="en-US"/>
    </w:rPr>
  </w:style>
  <w:style w:type="paragraph" w:styleId="BodyText">
    <w:name w:val="Body Text"/>
    <w:basedOn w:val="Normal"/>
    <w:link w:val="BodyTextChar"/>
    <w:rsid w:val="00F9373E"/>
    <w:pPr>
      <w:overflowPunct w:val="0"/>
      <w:autoSpaceDE w:val="0"/>
      <w:autoSpaceDN w:val="0"/>
      <w:adjustRightInd w:val="0"/>
      <w:spacing w:after="120"/>
      <w:jc w:val="both"/>
      <w:textAlignment w:val="baseline"/>
    </w:pPr>
    <w:rPr>
      <w:szCs w:val="20"/>
    </w:rPr>
  </w:style>
  <w:style w:type="character" w:customStyle="1" w:styleId="BodyTextChar">
    <w:name w:val="Body Text Char"/>
    <w:basedOn w:val="DefaultParagraphFont"/>
    <w:link w:val="BodyText"/>
    <w:rsid w:val="00F9373E"/>
    <w:rPr>
      <w:rFonts w:ascii="Arial" w:eastAsia="Times New Roman" w:hAnsi="Arial" w:cs="Times New Roman"/>
      <w:szCs w:val="20"/>
      <w:lang w:val="en-US"/>
    </w:rPr>
  </w:style>
  <w:style w:type="paragraph" w:customStyle="1" w:styleId="text0">
    <w:name w:val="text"/>
    <w:basedOn w:val="Normal"/>
    <w:rsid w:val="00F9373E"/>
    <w:pPr>
      <w:overflowPunct w:val="0"/>
      <w:autoSpaceDE w:val="0"/>
      <w:autoSpaceDN w:val="0"/>
      <w:spacing w:before="100" w:beforeAutospacing="1" w:after="100" w:afterAutospacing="1" w:line="360" w:lineRule="auto"/>
      <w:ind w:left="56"/>
    </w:pPr>
    <w:rPr>
      <w:rFonts w:cs="Arial"/>
      <w:color w:val="0000FF"/>
      <w:sz w:val="20"/>
      <w:szCs w:val="20"/>
    </w:rPr>
  </w:style>
  <w:style w:type="paragraph" w:customStyle="1" w:styleId="SynopsisText">
    <w:name w:val="SynopsisText"/>
    <w:basedOn w:val="Text"/>
    <w:rsid w:val="00F9373E"/>
    <w:pPr>
      <w:tabs>
        <w:tab w:val="left" w:pos="1794"/>
      </w:tabs>
      <w:suppressAutoHyphens w:val="0"/>
      <w:spacing w:before="120"/>
    </w:pPr>
    <w:rPr>
      <w:rFonts w:ascii="Arial" w:hAnsi="Arial"/>
      <w:color w:val="000000"/>
      <w:sz w:val="20"/>
    </w:rPr>
  </w:style>
  <w:style w:type="paragraph" w:customStyle="1" w:styleId="Default">
    <w:name w:val="Default"/>
    <w:rsid w:val="00F9373E"/>
    <w:pPr>
      <w:autoSpaceDE w:val="0"/>
      <w:autoSpaceDN w:val="0"/>
      <w:adjustRightInd w:val="0"/>
      <w:spacing w:after="0" w:line="240" w:lineRule="auto"/>
    </w:pPr>
    <w:rPr>
      <w:rFonts w:ascii="Times New Roman" w:eastAsia="MS Mincho" w:hAnsi="Times New Roman" w:cs="Times New Roman"/>
      <w:color w:val="000000"/>
      <w:sz w:val="24"/>
      <w:szCs w:val="24"/>
      <w:lang w:val="en-US" w:eastAsia="ja-JP"/>
    </w:rPr>
  </w:style>
  <w:style w:type="paragraph" w:customStyle="1" w:styleId="default0">
    <w:name w:val="default"/>
    <w:basedOn w:val="Normal"/>
    <w:rsid w:val="00F9373E"/>
    <w:pPr>
      <w:autoSpaceDE w:val="0"/>
      <w:autoSpaceDN w:val="0"/>
    </w:pPr>
    <w:rPr>
      <w:rFonts w:ascii="Times New Roman" w:hAnsi="Times New Roman"/>
      <w:color w:val="000000"/>
      <w:sz w:val="24"/>
      <w:lang w:val="en-AU" w:eastAsia="en-AU"/>
    </w:rPr>
  </w:style>
  <w:style w:type="character" w:customStyle="1" w:styleId="CaptionChar">
    <w:name w:val="Caption Char"/>
    <w:link w:val="Caption"/>
    <w:rsid w:val="00F9373E"/>
    <w:rPr>
      <w:rFonts w:ascii="Cambria" w:hAnsi="Cambria"/>
      <w:b/>
    </w:rPr>
  </w:style>
  <w:style w:type="paragraph" w:styleId="ListParagraph">
    <w:name w:val="List Paragraph"/>
    <w:basedOn w:val="Normal"/>
    <w:uiPriority w:val="34"/>
    <w:qFormat/>
    <w:locked/>
    <w:rsid w:val="00F9373E"/>
    <w:pPr>
      <w:ind w:left="720"/>
    </w:pPr>
    <w:rPr>
      <w:rFonts w:ascii="Calibri" w:hAnsi="Calibri"/>
      <w:szCs w:val="22"/>
    </w:rPr>
  </w:style>
  <w:style w:type="paragraph" w:styleId="Revision">
    <w:name w:val="Revision"/>
    <w:hidden/>
    <w:uiPriority w:val="99"/>
    <w:semiHidden/>
    <w:rsid w:val="00F9373E"/>
    <w:pPr>
      <w:spacing w:after="0" w:line="240" w:lineRule="auto"/>
    </w:pPr>
    <w:rPr>
      <w:rFonts w:ascii="Arial" w:eastAsia="Times New Roman" w:hAnsi="Arial" w:cs="Times New Roman"/>
      <w:szCs w:val="24"/>
      <w:lang w:val="en-US"/>
    </w:rPr>
  </w:style>
  <w:style w:type="paragraph" w:customStyle="1" w:styleId="TextBold">
    <w:name w:val="Text Bold"/>
    <w:basedOn w:val="Normal"/>
    <w:link w:val="TextBoldChar"/>
    <w:rsid w:val="00F9373E"/>
    <w:rPr>
      <w:rFonts w:ascii="Times New Roman" w:eastAsia="MS Mincho" w:hAnsi="Times New Roman"/>
      <w:b/>
      <w:bCs/>
      <w:color w:val="000000"/>
      <w:sz w:val="24"/>
      <w:lang w:eastAsia="ja-JP"/>
    </w:rPr>
  </w:style>
  <w:style w:type="character" w:customStyle="1" w:styleId="TextBoldChar">
    <w:name w:val="Text Bold Char"/>
    <w:link w:val="TextBold"/>
    <w:rsid w:val="00F9373E"/>
    <w:rPr>
      <w:rFonts w:ascii="Times New Roman" w:eastAsia="MS Mincho" w:hAnsi="Times New Roman" w:cs="Times New Roman"/>
      <w:b/>
      <w:bCs/>
      <w:color w:val="00000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75739-987E-4BCA-BB0E-C3E63493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5731</Words>
  <Characters>32668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Attachment 1: Product Information for Xgeva</vt:lpstr>
    </vt:vector>
  </TitlesOfParts>
  <Company>Amgen</Company>
  <LinksUpToDate>false</LinksUpToDate>
  <CharactersWithSpaces>38323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Xgeva</dc:title>
  <dc:subject>prescription medicine regulation</dc:subject>
  <dc:creator>Amgen</dc:creator>
  <cp:keywords>product information, prescription, medicine, regulation, xgeva, denosumab</cp:keywords>
  <cp:lastModifiedBy>Searson, Lisa</cp:lastModifiedBy>
  <cp:revision>5</cp:revision>
  <cp:lastPrinted>2013-07-26T02:02:00Z</cp:lastPrinted>
  <dcterms:created xsi:type="dcterms:W3CDTF">2014-06-13T05:16:00Z</dcterms:created>
  <dcterms:modified xsi:type="dcterms:W3CDTF">2014-06-13T05:24:00Z</dcterms:modified>
</cp:coreProperties>
</file>