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tblGrid>
      <w:tr w:rsidR="008E7846" w:rsidRPr="00487162" w14:paraId="3796ABF4" w14:textId="77777777" w:rsidTr="001E3EF1">
        <w:trPr>
          <w:trHeight w:val="1863"/>
        </w:trPr>
        <w:tc>
          <w:tcPr>
            <w:tcW w:w="6062" w:type="dxa"/>
            <w:tcBorders>
              <w:top w:val="nil"/>
              <w:left w:val="nil"/>
              <w:bottom w:val="nil"/>
              <w:right w:val="nil"/>
            </w:tcBorders>
          </w:tcPr>
          <w:p w14:paraId="5D19EB0D" w14:textId="388B6083" w:rsidR="008E7846" w:rsidRDefault="00A07AB2" w:rsidP="0017078F">
            <w:pPr>
              <w:rPr>
                <w:rFonts w:ascii="Arial" w:hAnsi="Arial" w:cs="Arial"/>
                <w:b/>
                <w:color w:val="002C47"/>
                <w:sz w:val="36"/>
                <w:szCs w:val="36"/>
              </w:rPr>
            </w:pPr>
            <w:r>
              <w:rPr>
                <w:rFonts w:ascii="Arial" w:hAnsi="Arial" w:cs="Arial"/>
                <w:b/>
                <w:color w:val="002C47"/>
                <w:sz w:val="36"/>
                <w:szCs w:val="36"/>
              </w:rPr>
              <w:t>First r</w:t>
            </w:r>
            <w:r w:rsidR="001E3EF1">
              <w:rPr>
                <w:rFonts w:ascii="Arial" w:hAnsi="Arial" w:cs="Arial"/>
                <w:b/>
                <w:color w:val="002C47"/>
                <w:sz w:val="36"/>
                <w:szCs w:val="36"/>
              </w:rPr>
              <w:t>ound 26 April 201</w:t>
            </w:r>
            <w:r w:rsidR="004A7B79">
              <w:rPr>
                <w:rFonts w:ascii="Arial" w:hAnsi="Arial" w:cs="Arial"/>
                <w:b/>
                <w:color w:val="002C47"/>
                <w:sz w:val="36"/>
                <w:szCs w:val="36"/>
              </w:rPr>
              <w:t>6</w:t>
            </w:r>
          </w:p>
          <w:p w14:paraId="465B4C9B" w14:textId="77777777" w:rsidR="001E3EF1" w:rsidRPr="0017078F" w:rsidRDefault="001E3EF1" w:rsidP="0017078F">
            <w:pPr>
              <w:rPr>
                <w:rFonts w:ascii="Arial" w:hAnsi="Arial" w:cs="Arial"/>
                <w:b/>
                <w:color w:val="002C47"/>
                <w:sz w:val="36"/>
                <w:szCs w:val="36"/>
              </w:rPr>
            </w:pPr>
            <w:r>
              <w:rPr>
                <w:rFonts w:ascii="Arial" w:hAnsi="Arial" w:cs="Arial"/>
                <w:b/>
                <w:color w:val="002C47"/>
                <w:sz w:val="36"/>
                <w:szCs w:val="36"/>
              </w:rPr>
              <w:t>Second round 13 July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4623BED5" w14:textId="77777777" w:rsidTr="00E07F15">
        <w:trPr>
          <w:trHeight w:val="1548"/>
        </w:trPr>
        <w:tc>
          <w:tcPr>
            <w:tcW w:w="9079" w:type="dxa"/>
          </w:tcPr>
          <w:p w14:paraId="2A4F7AB8" w14:textId="77777777" w:rsidR="0032583B" w:rsidRPr="00A964D1" w:rsidRDefault="00E07F15" w:rsidP="00A964D1">
            <w:pPr>
              <w:pStyle w:val="Title"/>
              <w:rPr>
                <w:color w:val="FFFFFF" w:themeColor="background1"/>
              </w:rPr>
            </w:pPr>
            <w:r>
              <w:rPr>
                <w:color w:val="FFFFFF" w:themeColor="background1"/>
              </w:rPr>
              <w:t>AusPAR Attachment 2</w:t>
            </w:r>
          </w:p>
        </w:tc>
      </w:tr>
      <w:tr w:rsidR="00E07F15" w:rsidRPr="00A964D1" w14:paraId="57CA4B0E" w14:textId="77777777" w:rsidTr="00E07F15">
        <w:trPr>
          <w:trHeight w:val="868"/>
        </w:trPr>
        <w:tc>
          <w:tcPr>
            <w:tcW w:w="9079" w:type="dxa"/>
          </w:tcPr>
          <w:p w14:paraId="645CD0FC" w14:textId="77777777" w:rsidR="00E07F15" w:rsidRPr="00A964D1" w:rsidRDefault="00E07F15" w:rsidP="0052132B">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52132B">
              <w:rPr>
                <w:color w:val="FFFFFF" w:themeColor="background1"/>
              </w:rPr>
              <w:t>Desmopressin</w:t>
            </w:r>
          </w:p>
        </w:tc>
      </w:tr>
      <w:tr w:rsidR="00E07F15" w:rsidRPr="00B64760" w14:paraId="67DD134E" w14:textId="77777777" w:rsidTr="00E07F15">
        <w:tc>
          <w:tcPr>
            <w:tcW w:w="9079" w:type="dxa"/>
          </w:tcPr>
          <w:p w14:paraId="06AE4D6D" w14:textId="77777777" w:rsidR="00E07F15" w:rsidRPr="008E7846" w:rsidRDefault="00E07F15" w:rsidP="00E07F15">
            <w:pPr>
              <w:pStyle w:val="Subtitle"/>
              <w:rPr>
                <w:color w:val="FFFFFF" w:themeColor="background1"/>
              </w:rPr>
            </w:pPr>
            <w:r w:rsidRPr="008E7846">
              <w:rPr>
                <w:color w:val="FFFFFF" w:themeColor="background1"/>
              </w:rPr>
              <w:t xml:space="preserve">Proprietary Product Name: </w:t>
            </w:r>
            <w:r w:rsidR="0052132B" w:rsidRPr="0052132B">
              <w:rPr>
                <w:color w:val="FFFFFF" w:themeColor="background1"/>
              </w:rPr>
              <w:t>Nocdurna</w:t>
            </w:r>
          </w:p>
        </w:tc>
      </w:tr>
      <w:tr w:rsidR="00E07F15" w:rsidRPr="00B64760" w14:paraId="0B5357A6" w14:textId="77777777" w:rsidTr="00E07F15">
        <w:trPr>
          <w:trHeight w:val="486"/>
        </w:trPr>
        <w:tc>
          <w:tcPr>
            <w:tcW w:w="9079" w:type="dxa"/>
          </w:tcPr>
          <w:p w14:paraId="273A86D5" w14:textId="77777777" w:rsidR="00E07F15" w:rsidRPr="008E7846" w:rsidRDefault="0052132B" w:rsidP="0052132B">
            <w:pPr>
              <w:pStyle w:val="Subtitle"/>
              <w:rPr>
                <w:color w:val="FFFFFF" w:themeColor="background1"/>
              </w:rPr>
            </w:pPr>
            <w:r>
              <w:rPr>
                <w:color w:val="FFFFFF" w:themeColor="background1"/>
              </w:rPr>
              <w:t>Sponsor:</w:t>
            </w:r>
            <w:r w:rsidRPr="0052132B">
              <w:rPr>
                <w:color w:val="FFFFFF" w:themeColor="background1"/>
              </w:rPr>
              <w:t xml:space="preserve"> Fe</w:t>
            </w:r>
            <w:r>
              <w:rPr>
                <w:color w:val="FFFFFF" w:themeColor="background1"/>
              </w:rPr>
              <w:t>rring Pharmaceuticals Pty Ltd</w:t>
            </w:r>
          </w:p>
        </w:tc>
      </w:tr>
    </w:tbl>
    <w:p w14:paraId="17562C9C" w14:textId="77777777" w:rsidR="008E7846" w:rsidRDefault="008E7846" w:rsidP="008E7846">
      <w:pPr>
        <w:pStyle w:val="NonTOCHeading2"/>
      </w:pPr>
      <w:r>
        <w:br w:type="page"/>
      </w:r>
    </w:p>
    <w:p w14:paraId="5FFA2414" w14:textId="77777777" w:rsidR="008E7846" w:rsidRPr="001F6CBA" w:rsidRDefault="008E7846" w:rsidP="008E7846">
      <w:pPr>
        <w:pStyle w:val="NonTOCHeading2"/>
      </w:pPr>
      <w:r w:rsidRPr="001F6CBA">
        <w:lastRenderedPageBreak/>
        <w:t>About the Therapeutic Goods Administration (TGA)</w:t>
      </w:r>
    </w:p>
    <w:p w14:paraId="1A46F114" w14:textId="77777777" w:rsidR="008E7846" w:rsidRDefault="008E7846" w:rsidP="00A22970">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2E9B4FA1" w14:textId="77777777" w:rsidR="008E7846" w:rsidRDefault="00C811C0" w:rsidP="00A22970">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174A9248" w14:textId="77777777" w:rsidR="008E7846" w:rsidRDefault="008E7846" w:rsidP="00A22970">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22DA8FE0" w14:textId="77777777" w:rsidR="008E7846" w:rsidRDefault="008E7846" w:rsidP="00A22970">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35CE554C" w14:textId="77777777" w:rsidR="008E7846" w:rsidRDefault="008E7846" w:rsidP="00A22970">
      <w:pPr>
        <w:pStyle w:val="ListBullet"/>
        <w:numPr>
          <w:ilvl w:val="0"/>
          <w:numId w:val="1"/>
        </w:numPr>
        <w:ind w:left="357" w:hanging="357"/>
      </w:pPr>
      <w:r>
        <w:t>To report a problem with a medicine or medical device, please see the information on the TGA website</w:t>
      </w:r>
      <w:r w:rsidR="00112F56">
        <w:t xml:space="preserve"> </w:t>
      </w:r>
      <w:r w:rsidR="00604B45">
        <w:t xml:space="preserve">&lt; </w:t>
      </w:r>
      <w:hyperlink r:id="rId9" w:history="1">
        <w:r w:rsidR="00E979F4" w:rsidRPr="00FE02B1">
          <w:rPr>
            <w:rStyle w:val="Hyperlink"/>
          </w:rPr>
          <w:t>https://www.tga.gov.au</w:t>
        </w:r>
      </w:hyperlink>
      <w:proofErr w:type="gramStart"/>
      <w:r w:rsidR="00604B45">
        <w:t xml:space="preserve">&gt; </w:t>
      </w:r>
      <w:r>
        <w:t>.</w:t>
      </w:r>
      <w:proofErr w:type="gramEnd"/>
    </w:p>
    <w:p w14:paraId="47AB250B"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0BB8E812"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4FABC28B" w14:textId="77777777" w:rsidR="003D0A3B" w:rsidRDefault="003D0A3B" w:rsidP="003D0A3B">
      <w:pPr>
        <w:pStyle w:val="ListBullet"/>
      </w:pPr>
      <w:r w:rsidRPr="003D0A3B">
        <w:t>The words [Information redacted], where they appear in this document, indicate that confidential information has been deleted.</w:t>
      </w:r>
    </w:p>
    <w:p w14:paraId="0B533DB1" w14:textId="2CD2C6A1" w:rsidR="0017078F" w:rsidRDefault="003D0A3B" w:rsidP="0017078F">
      <w:pPr>
        <w:pStyle w:val="ListBullet"/>
      </w:pPr>
      <w:r w:rsidRPr="003D0A3B">
        <w:t>For the most recent Product Information (PI), please refer to the TGA website</w:t>
      </w:r>
      <w:r>
        <w:t xml:space="preserve"> </w:t>
      </w:r>
      <w:r w:rsidR="00604B45">
        <w:t xml:space="preserve">&lt; </w:t>
      </w:r>
      <w:hyperlink r:id="rId10" w:history="1">
        <w:r w:rsidR="0010193C">
          <w:rPr>
            <w:rStyle w:val="Hyperlink"/>
          </w:rPr>
          <w:t>https://www.tga.gov.au/product-information-pi</w:t>
        </w:r>
      </w:hyperlink>
      <w:r w:rsidR="00604B45">
        <w:t xml:space="preserve">&gt; </w:t>
      </w:r>
    </w:p>
    <w:p w14:paraId="1372780F" w14:textId="77777777" w:rsidR="00924482" w:rsidRPr="00DF1D7F" w:rsidRDefault="00924482" w:rsidP="0052132B">
      <w:pPr>
        <w:pStyle w:val="LegalSubheading"/>
        <w:spacing w:before="3960"/>
      </w:pPr>
      <w:r w:rsidRPr="00DF1D7F">
        <w:t>Copyright</w:t>
      </w:r>
    </w:p>
    <w:p w14:paraId="2974993D" w14:textId="77777777" w:rsidR="00924482" w:rsidRDefault="00924482" w:rsidP="00924482">
      <w:pPr>
        <w:pStyle w:val="LegalCopy"/>
      </w:pPr>
      <w:r w:rsidRPr="00191B3B">
        <w:rPr>
          <w:rFonts w:cs="Arial"/>
          <w:lang w:val="en-GB"/>
        </w:rPr>
        <w:t>© Comm</w:t>
      </w:r>
      <w:r>
        <w:rPr>
          <w:rFonts w:cs="Arial"/>
          <w:lang w:val="en-GB"/>
        </w:rPr>
        <w:t>onwealth of Australia 201</w:t>
      </w:r>
      <w:r w:rsidR="00D578E9">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w:t>
      </w:r>
      <w:r w:rsidR="00604B45">
        <w:rPr>
          <w:rFonts w:cs="Arial"/>
          <w:lang w:val="en-GB"/>
        </w:rPr>
        <w:t xml:space="preserve">&lt; </w:t>
      </w:r>
      <w:hyperlink r:id="rId11" w:history="1">
        <w:r w:rsidRPr="00191B3B">
          <w:rPr>
            <w:rStyle w:val="Hyperlink"/>
            <w:rFonts w:cs="Arial"/>
            <w:lang w:val="en-GB"/>
          </w:rPr>
          <w:t>tga.copyright@tga.gov.au</w:t>
        </w:r>
      </w:hyperlink>
      <w:proofErr w:type="gramStart"/>
      <w:r w:rsidR="00604B45">
        <w:rPr>
          <w:rFonts w:cs="Arial"/>
        </w:rPr>
        <w:t xml:space="preserve">&gt; </w:t>
      </w:r>
      <w:r w:rsidRPr="00191B3B">
        <w:rPr>
          <w:rFonts w:cs="Arial"/>
        </w:rPr>
        <w:t>.</w:t>
      </w:r>
      <w:proofErr w:type="gramEnd"/>
    </w:p>
    <w:p w14:paraId="79277F11"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7B429B12" w14:textId="77777777" w:rsidR="0089635C" w:rsidRPr="0089635C" w:rsidRDefault="0089635C" w:rsidP="0010788A">
          <w:pPr>
            <w:pStyle w:val="Contents"/>
          </w:pPr>
          <w:r w:rsidRPr="0010788A">
            <w:t>Contents</w:t>
          </w:r>
        </w:p>
        <w:p w14:paraId="6828834F" w14:textId="77777777" w:rsidR="00C571E9"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bookmarkStart w:id="2" w:name="_GoBack"/>
          <w:bookmarkEnd w:id="2"/>
          <w:r w:rsidR="00C571E9" w:rsidRPr="00DE319C">
            <w:rPr>
              <w:rStyle w:val="Hyperlink"/>
              <w:noProof/>
            </w:rPr>
            <w:fldChar w:fldCharType="begin"/>
          </w:r>
          <w:r w:rsidR="00C571E9" w:rsidRPr="00DE319C">
            <w:rPr>
              <w:rStyle w:val="Hyperlink"/>
              <w:noProof/>
            </w:rPr>
            <w:instrText xml:space="preserve"> </w:instrText>
          </w:r>
          <w:r w:rsidR="00C571E9">
            <w:rPr>
              <w:noProof/>
            </w:rPr>
            <w:instrText>HYPERLINK \l "_Toc500838963"</w:instrText>
          </w:r>
          <w:r w:rsidR="00C571E9" w:rsidRPr="00DE319C">
            <w:rPr>
              <w:rStyle w:val="Hyperlink"/>
              <w:noProof/>
            </w:rPr>
            <w:instrText xml:space="preserve"> </w:instrText>
          </w:r>
          <w:r w:rsidR="00C571E9" w:rsidRPr="00DE319C">
            <w:rPr>
              <w:rStyle w:val="Hyperlink"/>
              <w:noProof/>
            </w:rPr>
          </w:r>
          <w:r w:rsidR="00C571E9" w:rsidRPr="00DE319C">
            <w:rPr>
              <w:rStyle w:val="Hyperlink"/>
              <w:noProof/>
            </w:rPr>
            <w:fldChar w:fldCharType="separate"/>
          </w:r>
          <w:r w:rsidR="00C571E9" w:rsidRPr="00DE319C">
            <w:rPr>
              <w:rStyle w:val="Hyperlink"/>
              <w:noProof/>
            </w:rPr>
            <w:t>List of abbreviations</w:t>
          </w:r>
          <w:r w:rsidR="00C571E9">
            <w:rPr>
              <w:noProof/>
              <w:webHidden/>
            </w:rPr>
            <w:tab/>
          </w:r>
          <w:r w:rsidR="00C571E9">
            <w:rPr>
              <w:noProof/>
              <w:webHidden/>
            </w:rPr>
            <w:fldChar w:fldCharType="begin"/>
          </w:r>
          <w:r w:rsidR="00C571E9">
            <w:rPr>
              <w:noProof/>
              <w:webHidden/>
            </w:rPr>
            <w:instrText xml:space="preserve"> PAGEREF _Toc500838963 \h </w:instrText>
          </w:r>
          <w:r w:rsidR="00C571E9">
            <w:rPr>
              <w:noProof/>
              <w:webHidden/>
            </w:rPr>
          </w:r>
          <w:r w:rsidR="00C571E9">
            <w:rPr>
              <w:noProof/>
              <w:webHidden/>
            </w:rPr>
            <w:fldChar w:fldCharType="separate"/>
          </w:r>
          <w:r w:rsidR="00C571E9">
            <w:rPr>
              <w:noProof/>
              <w:webHidden/>
            </w:rPr>
            <w:t>5</w:t>
          </w:r>
          <w:r w:rsidR="00C571E9">
            <w:rPr>
              <w:noProof/>
              <w:webHidden/>
            </w:rPr>
            <w:fldChar w:fldCharType="end"/>
          </w:r>
          <w:r w:rsidR="00C571E9" w:rsidRPr="00DE319C">
            <w:rPr>
              <w:rStyle w:val="Hyperlink"/>
              <w:noProof/>
            </w:rPr>
            <w:fldChar w:fldCharType="end"/>
          </w:r>
        </w:p>
        <w:p w14:paraId="75425C97" w14:textId="77777777" w:rsidR="00C571E9" w:rsidRDefault="00C571E9">
          <w:pPr>
            <w:pStyle w:val="TOC2"/>
            <w:tabs>
              <w:tab w:val="left" w:pos="1100"/>
            </w:tabs>
            <w:rPr>
              <w:rFonts w:asciiTheme="minorHAnsi" w:eastAsiaTheme="minorEastAsia" w:hAnsiTheme="minorHAnsi" w:cstheme="minorBidi"/>
              <w:b w:val="0"/>
              <w:noProof/>
              <w:sz w:val="22"/>
              <w:lang w:eastAsia="en-AU"/>
            </w:rPr>
          </w:pPr>
          <w:hyperlink w:anchor="_Toc500838964" w:history="1">
            <w:r w:rsidRPr="00DE319C">
              <w:rPr>
                <w:rStyle w:val="Hyperlink"/>
                <w:noProof/>
                <w:lang w:eastAsia="en-AU"/>
              </w:rPr>
              <w:t>1.</w:t>
            </w:r>
            <w:r>
              <w:rPr>
                <w:rFonts w:asciiTheme="minorHAnsi" w:eastAsiaTheme="minorEastAsia" w:hAnsiTheme="minorHAnsi" w:cstheme="minorBidi"/>
                <w:b w:val="0"/>
                <w:noProof/>
                <w:sz w:val="22"/>
                <w:lang w:eastAsia="en-AU"/>
              </w:rPr>
              <w:tab/>
            </w:r>
            <w:r w:rsidRPr="00DE319C">
              <w:rPr>
                <w:rStyle w:val="Hyperlink"/>
                <w:noProof/>
                <w:lang w:eastAsia="en-AU"/>
              </w:rPr>
              <w:t>Introduction</w:t>
            </w:r>
            <w:r>
              <w:rPr>
                <w:noProof/>
                <w:webHidden/>
              </w:rPr>
              <w:tab/>
            </w:r>
            <w:r>
              <w:rPr>
                <w:noProof/>
                <w:webHidden/>
              </w:rPr>
              <w:fldChar w:fldCharType="begin"/>
            </w:r>
            <w:r>
              <w:rPr>
                <w:noProof/>
                <w:webHidden/>
              </w:rPr>
              <w:instrText xml:space="preserve"> PAGEREF _Toc500838964 \h </w:instrText>
            </w:r>
            <w:r>
              <w:rPr>
                <w:noProof/>
                <w:webHidden/>
              </w:rPr>
            </w:r>
            <w:r>
              <w:rPr>
                <w:noProof/>
                <w:webHidden/>
              </w:rPr>
              <w:fldChar w:fldCharType="separate"/>
            </w:r>
            <w:r>
              <w:rPr>
                <w:noProof/>
                <w:webHidden/>
              </w:rPr>
              <w:t>8</w:t>
            </w:r>
            <w:r>
              <w:rPr>
                <w:noProof/>
                <w:webHidden/>
              </w:rPr>
              <w:fldChar w:fldCharType="end"/>
            </w:r>
          </w:hyperlink>
        </w:p>
        <w:p w14:paraId="0DE70678" w14:textId="77777777" w:rsidR="00C571E9" w:rsidRDefault="00C571E9">
          <w:pPr>
            <w:pStyle w:val="TOC2"/>
            <w:tabs>
              <w:tab w:val="left" w:pos="1100"/>
            </w:tabs>
            <w:rPr>
              <w:rFonts w:asciiTheme="minorHAnsi" w:eastAsiaTheme="minorEastAsia" w:hAnsiTheme="minorHAnsi" w:cstheme="minorBidi"/>
              <w:b w:val="0"/>
              <w:noProof/>
              <w:sz w:val="22"/>
              <w:lang w:eastAsia="en-AU"/>
            </w:rPr>
          </w:pPr>
          <w:hyperlink w:anchor="_Toc500838965" w:history="1">
            <w:r w:rsidRPr="00DE319C">
              <w:rPr>
                <w:rStyle w:val="Hyperlink"/>
                <w:noProof/>
              </w:rPr>
              <w:t>2.</w:t>
            </w:r>
            <w:r>
              <w:rPr>
                <w:rFonts w:asciiTheme="minorHAnsi" w:eastAsiaTheme="minorEastAsia" w:hAnsiTheme="minorHAnsi" w:cstheme="minorBidi"/>
                <w:b w:val="0"/>
                <w:noProof/>
                <w:sz w:val="22"/>
                <w:lang w:eastAsia="en-AU"/>
              </w:rPr>
              <w:tab/>
            </w:r>
            <w:r w:rsidRPr="00DE319C">
              <w:rPr>
                <w:rStyle w:val="Hyperlink"/>
                <w:noProof/>
              </w:rPr>
              <w:t>Clinical rationale</w:t>
            </w:r>
            <w:r>
              <w:rPr>
                <w:noProof/>
                <w:webHidden/>
              </w:rPr>
              <w:tab/>
            </w:r>
            <w:r>
              <w:rPr>
                <w:noProof/>
                <w:webHidden/>
              </w:rPr>
              <w:fldChar w:fldCharType="begin"/>
            </w:r>
            <w:r>
              <w:rPr>
                <w:noProof/>
                <w:webHidden/>
              </w:rPr>
              <w:instrText xml:space="preserve"> PAGEREF _Toc500838965 \h </w:instrText>
            </w:r>
            <w:r>
              <w:rPr>
                <w:noProof/>
                <w:webHidden/>
              </w:rPr>
            </w:r>
            <w:r>
              <w:rPr>
                <w:noProof/>
                <w:webHidden/>
              </w:rPr>
              <w:fldChar w:fldCharType="separate"/>
            </w:r>
            <w:r>
              <w:rPr>
                <w:noProof/>
                <w:webHidden/>
              </w:rPr>
              <w:t>8</w:t>
            </w:r>
            <w:r>
              <w:rPr>
                <w:noProof/>
                <w:webHidden/>
              </w:rPr>
              <w:fldChar w:fldCharType="end"/>
            </w:r>
          </w:hyperlink>
        </w:p>
        <w:p w14:paraId="72EFD593" w14:textId="77777777" w:rsidR="00C571E9" w:rsidRDefault="00C571E9">
          <w:pPr>
            <w:pStyle w:val="TOC3"/>
            <w:tabs>
              <w:tab w:val="left" w:pos="1760"/>
            </w:tabs>
            <w:rPr>
              <w:rFonts w:asciiTheme="minorHAnsi" w:eastAsiaTheme="minorEastAsia" w:hAnsiTheme="minorHAnsi" w:cstheme="minorBidi"/>
              <w:noProof/>
              <w:lang w:eastAsia="en-AU"/>
            </w:rPr>
          </w:pPr>
          <w:hyperlink w:anchor="_Toc500838966" w:history="1">
            <w:r w:rsidRPr="00DE319C">
              <w:rPr>
                <w:rStyle w:val="Hyperlink"/>
                <w:noProof/>
              </w:rPr>
              <w:t>2.1.</w:t>
            </w:r>
            <w:r>
              <w:rPr>
                <w:rFonts w:asciiTheme="minorHAnsi" w:eastAsiaTheme="minorEastAsia" w:hAnsiTheme="minorHAnsi" w:cstheme="minorBidi"/>
                <w:noProof/>
                <w:lang w:eastAsia="en-AU"/>
              </w:rPr>
              <w:tab/>
            </w:r>
            <w:r w:rsidRPr="00DE319C">
              <w:rPr>
                <w:rStyle w:val="Hyperlink"/>
                <w:noProof/>
              </w:rPr>
              <w:t>Desmopressin</w:t>
            </w:r>
            <w:r>
              <w:rPr>
                <w:noProof/>
                <w:webHidden/>
              </w:rPr>
              <w:tab/>
            </w:r>
            <w:r>
              <w:rPr>
                <w:noProof/>
                <w:webHidden/>
              </w:rPr>
              <w:fldChar w:fldCharType="begin"/>
            </w:r>
            <w:r>
              <w:rPr>
                <w:noProof/>
                <w:webHidden/>
              </w:rPr>
              <w:instrText xml:space="preserve"> PAGEREF _Toc500838966 \h </w:instrText>
            </w:r>
            <w:r>
              <w:rPr>
                <w:noProof/>
                <w:webHidden/>
              </w:rPr>
            </w:r>
            <w:r>
              <w:rPr>
                <w:noProof/>
                <w:webHidden/>
              </w:rPr>
              <w:fldChar w:fldCharType="separate"/>
            </w:r>
            <w:r>
              <w:rPr>
                <w:noProof/>
                <w:webHidden/>
              </w:rPr>
              <w:t>8</w:t>
            </w:r>
            <w:r>
              <w:rPr>
                <w:noProof/>
                <w:webHidden/>
              </w:rPr>
              <w:fldChar w:fldCharType="end"/>
            </w:r>
          </w:hyperlink>
        </w:p>
        <w:p w14:paraId="75E15A24" w14:textId="77777777" w:rsidR="00C571E9" w:rsidRDefault="00C571E9">
          <w:pPr>
            <w:pStyle w:val="TOC3"/>
            <w:tabs>
              <w:tab w:val="left" w:pos="1760"/>
            </w:tabs>
            <w:rPr>
              <w:rFonts w:asciiTheme="minorHAnsi" w:eastAsiaTheme="minorEastAsia" w:hAnsiTheme="minorHAnsi" w:cstheme="minorBidi"/>
              <w:noProof/>
              <w:lang w:eastAsia="en-AU"/>
            </w:rPr>
          </w:pPr>
          <w:hyperlink w:anchor="_Toc500838967" w:history="1">
            <w:r w:rsidRPr="00DE319C">
              <w:rPr>
                <w:rStyle w:val="Hyperlink"/>
                <w:noProof/>
              </w:rPr>
              <w:t>2.2.</w:t>
            </w:r>
            <w:r>
              <w:rPr>
                <w:rFonts w:asciiTheme="minorHAnsi" w:eastAsiaTheme="minorEastAsia" w:hAnsiTheme="minorHAnsi" w:cstheme="minorBidi"/>
                <w:noProof/>
                <w:lang w:eastAsia="en-AU"/>
              </w:rPr>
              <w:tab/>
            </w:r>
            <w:r w:rsidRPr="00DE319C">
              <w:rPr>
                <w:rStyle w:val="Hyperlink"/>
                <w:noProof/>
              </w:rPr>
              <w:t>Presentation/formulation</w:t>
            </w:r>
            <w:r>
              <w:rPr>
                <w:noProof/>
                <w:webHidden/>
              </w:rPr>
              <w:tab/>
            </w:r>
            <w:r>
              <w:rPr>
                <w:noProof/>
                <w:webHidden/>
              </w:rPr>
              <w:fldChar w:fldCharType="begin"/>
            </w:r>
            <w:r>
              <w:rPr>
                <w:noProof/>
                <w:webHidden/>
              </w:rPr>
              <w:instrText xml:space="preserve"> PAGEREF _Toc500838967 \h </w:instrText>
            </w:r>
            <w:r>
              <w:rPr>
                <w:noProof/>
                <w:webHidden/>
              </w:rPr>
            </w:r>
            <w:r>
              <w:rPr>
                <w:noProof/>
                <w:webHidden/>
              </w:rPr>
              <w:fldChar w:fldCharType="separate"/>
            </w:r>
            <w:r>
              <w:rPr>
                <w:noProof/>
                <w:webHidden/>
              </w:rPr>
              <w:t>9</w:t>
            </w:r>
            <w:r>
              <w:rPr>
                <w:noProof/>
                <w:webHidden/>
              </w:rPr>
              <w:fldChar w:fldCharType="end"/>
            </w:r>
          </w:hyperlink>
        </w:p>
        <w:p w14:paraId="614C0CF0" w14:textId="77777777" w:rsidR="00C571E9" w:rsidRDefault="00C571E9">
          <w:pPr>
            <w:pStyle w:val="TOC3"/>
            <w:tabs>
              <w:tab w:val="left" w:pos="1760"/>
            </w:tabs>
            <w:rPr>
              <w:rFonts w:asciiTheme="minorHAnsi" w:eastAsiaTheme="minorEastAsia" w:hAnsiTheme="minorHAnsi" w:cstheme="minorBidi"/>
              <w:noProof/>
              <w:lang w:eastAsia="en-AU"/>
            </w:rPr>
          </w:pPr>
          <w:hyperlink w:anchor="_Toc500838968" w:history="1">
            <w:r w:rsidRPr="00DE319C">
              <w:rPr>
                <w:rStyle w:val="Hyperlink"/>
                <w:noProof/>
              </w:rPr>
              <w:t>2.3.</w:t>
            </w:r>
            <w:r>
              <w:rPr>
                <w:rFonts w:asciiTheme="minorHAnsi" w:eastAsiaTheme="minorEastAsia" w:hAnsiTheme="minorHAnsi" w:cstheme="minorBidi"/>
                <w:noProof/>
                <w:lang w:eastAsia="en-AU"/>
              </w:rPr>
              <w:tab/>
            </w:r>
            <w:r w:rsidRPr="00DE319C">
              <w:rPr>
                <w:rStyle w:val="Hyperlink"/>
                <w:noProof/>
              </w:rPr>
              <w:t>Nocturia</w:t>
            </w:r>
            <w:r>
              <w:rPr>
                <w:noProof/>
                <w:webHidden/>
              </w:rPr>
              <w:tab/>
            </w:r>
            <w:r>
              <w:rPr>
                <w:noProof/>
                <w:webHidden/>
              </w:rPr>
              <w:fldChar w:fldCharType="begin"/>
            </w:r>
            <w:r>
              <w:rPr>
                <w:noProof/>
                <w:webHidden/>
              </w:rPr>
              <w:instrText xml:space="preserve"> PAGEREF _Toc500838968 \h </w:instrText>
            </w:r>
            <w:r>
              <w:rPr>
                <w:noProof/>
                <w:webHidden/>
              </w:rPr>
            </w:r>
            <w:r>
              <w:rPr>
                <w:noProof/>
                <w:webHidden/>
              </w:rPr>
              <w:fldChar w:fldCharType="separate"/>
            </w:r>
            <w:r>
              <w:rPr>
                <w:noProof/>
                <w:webHidden/>
              </w:rPr>
              <w:t>9</w:t>
            </w:r>
            <w:r>
              <w:rPr>
                <w:noProof/>
                <w:webHidden/>
              </w:rPr>
              <w:fldChar w:fldCharType="end"/>
            </w:r>
          </w:hyperlink>
        </w:p>
        <w:p w14:paraId="3D9948C0" w14:textId="77777777" w:rsidR="00C571E9" w:rsidRDefault="00C571E9">
          <w:pPr>
            <w:pStyle w:val="TOC3"/>
            <w:tabs>
              <w:tab w:val="left" w:pos="1760"/>
            </w:tabs>
            <w:rPr>
              <w:rFonts w:asciiTheme="minorHAnsi" w:eastAsiaTheme="minorEastAsia" w:hAnsiTheme="minorHAnsi" w:cstheme="minorBidi"/>
              <w:noProof/>
              <w:lang w:eastAsia="en-AU"/>
            </w:rPr>
          </w:pPr>
          <w:hyperlink w:anchor="_Toc500838969" w:history="1">
            <w:r w:rsidRPr="00DE319C">
              <w:rPr>
                <w:rStyle w:val="Hyperlink"/>
                <w:noProof/>
              </w:rPr>
              <w:t>2.4.</w:t>
            </w:r>
            <w:r>
              <w:rPr>
                <w:rFonts w:asciiTheme="minorHAnsi" w:eastAsiaTheme="minorEastAsia" w:hAnsiTheme="minorHAnsi" w:cstheme="minorBidi"/>
                <w:noProof/>
                <w:lang w:eastAsia="en-AU"/>
              </w:rPr>
              <w:tab/>
            </w:r>
            <w:r w:rsidRPr="00DE319C">
              <w:rPr>
                <w:rStyle w:val="Hyperlink"/>
                <w:noProof/>
              </w:rPr>
              <w:t>Hyponatraemia</w:t>
            </w:r>
            <w:r>
              <w:rPr>
                <w:noProof/>
                <w:webHidden/>
              </w:rPr>
              <w:tab/>
            </w:r>
            <w:r>
              <w:rPr>
                <w:noProof/>
                <w:webHidden/>
              </w:rPr>
              <w:fldChar w:fldCharType="begin"/>
            </w:r>
            <w:r>
              <w:rPr>
                <w:noProof/>
                <w:webHidden/>
              </w:rPr>
              <w:instrText xml:space="preserve"> PAGEREF _Toc500838969 \h </w:instrText>
            </w:r>
            <w:r>
              <w:rPr>
                <w:noProof/>
                <w:webHidden/>
              </w:rPr>
            </w:r>
            <w:r>
              <w:rPr>
                <w:noProof/>
                <w:webHidden/>
              </w:rPr>
              <w:fldChar w:fldCharType="separate"/>
            </w:r>
            <w:r>
              <w:rPr>
                <w:noProof/>
                <w:webHidden/>
              </w:rPr>
              <w:t>11</w:t>
            </w:r>
            <w:r>
              <w:rPr>
                <w:noProof/>
                <w:webHidden/>
              </w:rPr>
              <w:fldChar w:fldCharType="end"/>
            </w:r>
          </w:hyperlink>
        </w:p>
        <w:p w14:paraId="3C88C75D" w14:textId="77777777" w:rsidR="00C571E9" w:rsidRDefault="00C571E9">
          <w:pPr>
            <w:pStyle w:val="TOC3"/>
            <w:tabs>
              <w:tab w:val="left" w:pos="1760"/>
            </w:tabs>
            <w:rPr>
              <w:rFonts w:asciiTheme="minorHAnsi" w:eastAsiaTheme="minorEastAsia" w:hAnsiTheme="minorHAnsi" w:cstheme="minorBidi"/>
              <w:noProof/>
              <w:lang w:eastAsia="en-AU"/>
            </w:rPr>
          </w:pPr>
          <w:hyperlink w:anchor="_Toc500838970" w:history="1">
            <w:r w:rsidRPr="00DE319C">
              <w:rPr>
                <w:rStyle w:val="Hyperlink"/>
                <w:noProof/>
              </w:rPr>
              <w:t>2.5.</w:t>
            </w:r>
            <w:r>
              <w:rPr>
                <w:rFonts w:asciiTheme="minorHAnsi" w:eastAsiaTheme="minorEastAsia" w:hAnsiTheme="minorHAnsi" w:cstheme="minorBidi"/>
                <w:noProof/>
                <w:lang w:eastAsia="en-AU"/>
              </w:rPr>
              <w:tab/>
            </w:r>
            <w:r w:rsidRPr="00DE319C">
              <w:rPr>
                <w:rStyle w:val="Hyperlink"/>
                <w:noProof/>
              </w:rPr>
              <w:t>Regulatory action for the risk of hyponatraemia associated with desmopressin</w:t>
            </w:r>
            <w:r>
              <w:rPr>
                <w:noProof/>
                <w:webHidden/>
              </w:rPr>
              <w:tab/>
            </w:r>
            <w:r>
              <w:rPr>
                <w:noProof/>
                <w:webHidden/>
              </w:rPr>
              <w:fldChar w:fldCharType="begin"/>
            </w:r>
            <w:r>
              <w:rPr>
                <w:noProof/>
                <w:webHidden/>
              </w:rPr>
              <w:instrText xml:space="preserve"> PAGEREF _Toc500838970 \h </w:instrText>
            </w:r>
            <w:r>
              <w:rPr>
                <w:noProof/>
                <w:webHidden/>
              </w:rPr>
            </w:r>
            <w:r>
              <w:rPr>
                <w:noProof/>
                <w:webHidden/>
              </w:rPr>
              <w:fldChar w:fldCharType="separate"/>
            </w:r>
            <w:r>
              <w:rPr>
                <w:noProof/>
                <w:webHidden/>
              </w:rPr>
              <w:t>12</w:t>
            </w:r>
            <w:r>
              <w:rPr>
                <w:noProof/>
                <w:webHidden/>
              </w:rPr>
              <w:fldChar w:fldCharType="end"/>
            </w:r>
          </w:hyperlink>
        </w:p>
        <w:p w14:paraId="66551DEA" w14:textId="77777777" w:rsidR="00C571E9" w:rsidRDefault="00C571E9">
          <w:pPr>
            <w:pStyle w:val="TOC3"/>
            <w:tabs>
              <w:tab w:val="left" w:pos="1760"/>
            </w:tabs>
            <w:rPr>
              <w:rFonts w:asciiTheme="minorHAnsi" w:eastAsiaTheme="minorEastAsia" w:hAnsiTheme="minorHAnsi" w:cstheme="minorBidi"/>
              <w:noProof/>
              <w:lang w:eastAsia="en-AU"/>
            </w:rPr>
          </w:pPr>
          <w:hyperlink w:anchor="_Toc500838971" w:history="1">
            <w:r w:rsidRPr="00DE319C">
              <w:rPr>
                <w:rStyle w:val="Hyperlink"/>
                <w:noProof/>
              </w:rPr>
              <w:t>2.6.</w:t>
            </w:r>
            <w:r>
              <w:rPr>
                <w:rFonts w:asciiTheme="minorHAnsi" w:eastAsiaTheme="minorEastAsia" w:hAnsiTheme="minorHAnsi" w:cstheme="minorBidi"/>
                <w:noProof/>
                <w:lang w:eastAsia="en-AU"/>
              </w:rPr>
              <w:tab/>
            </w:r>
            <w:r w:rsidRPr="00DE319C">
              <w:rPr>
                <w:rStyle w:val="Hyperlink"/>
                <w:noProof/>
              </w:rPr>
              <w:t>Overseas regulatory status</w:t>
            </w:r>
            <w:r>
              <w:rPr>
                <w:noProof/>
                <w:webHidden/>
              </w:rPr>
              <w:tab/>
            </w:r>
            <w:r>
              <w:rPr>
                <w:noProof/>
                <w:webHidden/>
              </w:rPr>
              <w:fldChar w:fldCharType="begin"/>
            </w:r>
            <w:r>
              <w:rPr>
                <w:noProof/>
                <w:webHidden/>
              </w:rPr>
              <w:instrText xml:space="preserve"> PAGEREF _Toc500838971 \h </w:instrText>
            </w:r>
            <w:r>
              <w:rPr>
                <w:noProof/>
                <w:webHidden/>
              </w:rPr>
            </w:r>
            <w:r>
              <w:rPr>
                <w:noProof/>
                <w:webHidden/>
              </w:rPr>
              <w:fldChar w:fldCharType="separate"/>
            </w:r>
            <w:r>
              <w:rPr>
                <w:noProof/>
                <w:webHidden/>
              </w:rPr>
              <w:t>13</w:t>
            </w:r>
            <w:r>
              <w:rPr>
                <w:noProof/>
                <w:webHidden/>
              </w:rPr>
              <w:fldChar w:fldCharType="end"/>
            </w:r>
          </w:hyperlink>
        </w:p>
        <w:p w14:paraId="6A697FC2" w14:textId="77777777" w:rsidR="00C571E9" w:rsidRDefault="00C571E9">
          <w:pPr>
            <w:pStyle w:val="TOC3"/>
            <w:tabs>
              <w:tab w:val="left" w:pos="1760"/>
            </w:tabs>
            <w:rPr>
              <w:rFonts w:asciiTheme="minorHAnsi" w:eastAsiaTheme="minorEastAsia" w:hAnsiTheme="minorHAnsi" w:cstheme="minorBidi"/>
              <w:noProof/>
              <w:lang w:eastAsia="en-AU"/>
            </w:rPr>
          </w:pPr>
          <w:hyperlink w:anchor="_Toc500838972" w:history="1">
            <w:r w:rsidRPr="00DE319C">
              <w:rPr>
                <w:rStyle w:val="Hyperlink"/>
                <w:noProof/>
              </w:rPr>
              <w:t>2.7.</w:t>
            </w:r>
            <w:r>
              <w:rPr>
                <w:rFonts w:asciiTheme="minorHAnsi" w:eastAsiaTheme="minorEastAsia" w:hAnsiTheme="minorHAnsi" w:cstheme="minorBidi"/>
                <w:noProof/>
                <w:lang w:eastAsia="en-AU"/>
              </w:rPr>
              <w:tab/>
            </w:r>
            <w:r w:rsidRPr="00DE319C">
              <w:rPr>
                <w:rStyle w:val="Hyperlink"/>
                <w:noProof/>
              </w:rPr>
              <w:t>Data set similarities</w:t>
            </w:r>
            <w:r>
              <w:rPr>
                <w:noProof/>
                <w:webHidden/>
              </w:rPr>
              <w:tab/>
            </w:r>
            <w:r>
              <w:rPr>
                <w:noProof/>
                <w:webHidden/>
              </w:rPr>
              <w:fldChar w:fldCharType="begin"/>
            </w:r>
            <w:r>
              <w:rPr>
                <w:noProof/>
                <w:webHidden/>
              </w:rPr>
              <w:instrText xml:space="preserve"> PAGEREF _Toc500838972 \h </w:instrText>
            </w:r>
            <w:r>
              <w:rPr>
                <w:noProof/>
                <w:webHidden/>
              </w:rPr>
            </w:r>
            <w:r>
              <w:rPr>
                <w:noProof/>
                <w:webHidden/>
              </w:rPr>
              <w:fldChar w:fldCharType="separate"/>
            </w:r>
            <w:r>
              <w:rPr>
                <w:noProof/>
                <w:webHidden/>
              </w:rPr>
              <w:t>14</w:t>
            </w:r>
            <w:r>
              <w:rPr>
                <w:noProof/>
                <w:webHidden/>
              </w:rPr>
              <w:fldChar w:fldCharType="end"/>
            </w:r>
          </w:hyperlink>
        </w:p>
        <w:p w14:paraId="6C5728F0" w14:textId="77777777" w:rsidR="00C571E9" w:rsidRDefault="00C571E9">
          <w:pPr>
            <w:pStyle w:val="TOC2"/>
            <w:tabs>
              <w:tab w:val="left" w:pos="1100"/>
            </w:tabs>
            <w:rPr>
              <w:rFonts w:asciiTheme="minorHAnsi" w:eastAsiaTheme="minorEastAsia" w:hAnsiTheme="minorHAnsi" w:cstheme="minorBidi"/>
              <w:b w:val="0"/>
              <w:noProof/>
              <w:sz w:val="22"/>
              <w:lang w:eastAsia="en-AU"/>
            </w:rPr>
          </w:pPr>
          <w:hyperlink w:anchor="_Toc500838973" w:history="1">
            <w:r w:rsidRPr="00DE319C">
              <w:rPr>
                <w:rStyle w:val="Hyperlink"/>
                <w:noProof/>
                <w:lang w:eastAsia="en-AU"/>
              </w:rPr>
              <w:t>3.</w:t>
            </w:r>
            <w:r>
              <w:rPr>
                <w:rFonts w:asciiTheme="minorHAnsi" w:eastAsiaTheme="minorEastAsia" w:hAnsiTheme="minorHAnsi" w:cstheme="minorBidi"/>
                <w:b w:val="0"/>
                <w:noProof/>
                <w:sz w:val="22"/>
                <w:lang w:eastAsia="en-AU"/>
              </w:rPr>
              <w:tab/>
            </w:r>
            <w:r w:rsidRPr="00DE319C">
              <w:rPr>
                <w:rStyle w:val="Hyperlink"/>
                <w:noProof/>
              </w:rPr>
              <w:t>Contents</w:t>
            </w:r>
            <w:r w:rsidRPr="00DE319C">
              <w:rPr>
                <w:rStyle w:val="Hyperlink"/>
                <w:noProof/>
                <w:lang w:eastAsia="en-AU"/>
              </w:rPr>
              <w:t xml:space="preserve"> of the clinical dossier</w:t>
            </w:r>
            <w:r>
              <w:rPr>
                <w:noProof/>
                <w:webHidden/>
              </w:rPr>
              <w:tab/>
            </w:r>
            <w:r>
              <w:rPr>
                <w:noProof/>
                <w:webHidden/>
              </w:rPr>
              <w:fldChar w:fldCharType="begin"/>
            </w:r>
            <w:r>
              <w:rPr>
                <w:noProof/>
                <w:webHidden/>
              </w:rPr>
              <w:instrText xml:space="preserve"> PAGEREF _Toc500838973 \h </w:instrText>
            </w:r>
            <w:r>
              <w:rPr>
                <w:noProof/>
                <w:webHidden/>
              </w:rPr>
            </w:r>
            <w:r>
              <w:rPr>
                <w:noProof/>
                <w:webHidden/>
              </w:rPr>
              <w:fldChar w:fldCharType="separate"/>
            </w:r>
            <w:r>
              <w:rPr>
                <w:noProof/>
                <w:webHidden/>
              </w:rPr>
              <w:t>15</w:t>
            </w:r>
            <w:r>
              <w:rPr>
                <w:noProof/>
                <w:webHidden/>
              </w:rPr>
              <w:fldChar w:fldCharType="end"/>
            </w:r>
          </w:hyperlink>
        </w:p>
        <w:p w14:paraId="66CA7BDE" w14:textId="77777777" w:rsidR="00C571E9" w:rsidRDefault="00C571E9">
          <w:pPr>
            <w:pStyle w:val="TOC3"/>
            <w:tabs>
              <w:tab w:val="left" w:pos="1760"/>
            </w:tabs>
            <w:rPr>
              <w:rFonts w:asciiTheme="minorHAnsi" w:eastAsiaTheme="minorEastAsia" w:hAnsiTheme="minorHAnsi" w:cstheme="minorBidi"/>
              <w:noProof/>
              <w:lang w:eastAsia="en-AU"/>
            </w:rPr>
          </w:pPr>
          <w:hyperlink w:anchor="_Toc500838974" w:history="1">
            <w:r w:rsidRPr="00DE319C">
              <w:rPr>
                <w:rStyle w:val="Hyperlink"/>
                <w:noProof/>
              </w:rPr>
              <w:t>3.1.</w:t>
            </w:r>
            <w:r>
              <w:rPr>
                <w:rFonts w:asciiTheme="minorHAnsi" w:eastAsiaTheme="minorEastAsia" w:hAnsiTheme="minorHAnsi" w:cstheme="minorBidi"/>
                <w:noProof/>
                <w:lang w:eastAsia="en-AU"/>
              </w:rPr>
              <w:tab/>
            </w:r>
            <w:r w:rsidRPr="00DE319C">
              <w:rPr>
                <w:rStyle w:val="Hyperlink"/>
                <w:noProof/>
              </w:rPr>
              <w:t>Scope of the clinical dossier</w:t>
            </w:r>
            <w:r>
              <w:rPr>
                <w:noProof/>
                <w:webHidden/>
              </w:rPr>
              <w:tab/>
            </w:r>
            <w:r>
              <w:rPr>
                <w:noProof/>
                <w:webHidden/>
              </w:rPr>
              <w:fldChar w:fldCharType="begin"/>
            </w:r>
            <w:r>
              <w:rPr>
                <w:noProof/>
                <w:webHidden/>
              </w:rPr>
              <w:instrText xml:space="preserve"> PAGEREF _Toc500838974 \h </w:instrText>
            </w:r>
            <w:r>
              <w:rPr>
                <w:noProof/>
                <w:webHidden/>
              </w:rPr>
            </w:r>
            <w:r>
              <w:rPr>
                <w:noProof/>
                <w:webHidden/>
              </w:rPr>
              <w:fldChar w:fldCharType="separate"/>
            </w:r>
            <w:r>
              <w:rPr>
                <w:noProof/>
                <w:webHidden/>
              </w:rPr>
              <w:t>15</w:t>
            </w:r>
            <w:r>
              <w:rPr>
                <w:noProof/>
                <w:webHidden/>
              </w:rPr>
              <w:fldChar w:fldCharType="end"/>
            </w:r>
          </w:hyperlink>
        </w:p>
        <w:p w14:paraId="00FED715" w14:textId="77777777" w:rsidR="00C571E9" w:rsidRDefault="00C571E9">
          <w:pPr>
            <w:pStyle w:val="TOC3"/>
            <w:tabs>
              <w:tab w:val="left" w:pos="1760"/>
            </w:tabs>
            <w:rPr>
              <w:rFonts w:asciiTheme="minorHAnsi" w:eastAsiaTheme="minorEastAsia" w:hAnsiTheme="minorHAnsi" w:cstheme="minorBidi"/>
              <w:noProof/>
              <w:lang w:eastAsia="en-AU"/>
            </w:rPr>
          </w:pPr>
          <w:hyperlink w:anchor="_Toc500838975" w:history="1">
            <w:r w:rsidRPr="00DE319C">
              <w:rPr>
                <w:rStyle w:val="Hyperlink"/>
                <w:noProof/>
              </w:rPr>
              <w:t>3.2.</w:t>
            </w:r>
            <w:r>
              <w:rPr>
                <w:rFonts w:asciiTheme="minorHAnsi" w:eastAsiaTheme="minorEastAsia" w:hAnsiTheme="minorHAnsi" w:cstheme="minorBidi"/>
                <w:noProof/>
                <w:lang w:eastAsia="en-AU"/>
              </w:rPr>
              <w:tab/>
            </w:r>
            <w:r w:rsidRPr="00DE319C">
              <w:rPr>
                <w:rStyle w:val="Hyperlink"/>
                <w:noProof/>
              </w:rPr>
              <w:t>Paediatric data</w:t>
            </w:r>
            <w:r>
              <w:rPr>
                <w:noProof/>
                <w:webHidden/>
              </w:rPr>
              <w:tab/>
            </w:r>
            <w:r>
              <w:rPr>
                <w:noProof/>
                <w:webHidden/>
              </w:rPr>
              <w:fldChar w:fldCharType="begin"/>
            </w:r>
            <w:r>
              <w:rPr>
                <w:noProof/>
                <w:webHidden/>
              </w:rPr>
              <w:instrText xml:space="preserve"> PAGEREF _Toc500838975 \h </w:instrText>
            </w:r>
            <w:r>
              <w:rPr>
                <w:noProof/>
                <w:webHidden/>
              </w:rPr>
            </w:r>
            <w:r>
              <w:rPr>
                <w:noProof/>
                <w:webHidden/>
              </w:rPr>
              <w:fldChar w:fldCharType="separate"/>
            </w:r>
            <w:r>
              <w:rPr>
                <w:noProof/>
                <w:webHidden/>
              </w:rPr>
              <w:t>15</w:t>
            </w:r>
            <w:r>
              <w:rPr>
                <w:noProof/>
                <w:webHidden/>
              </w:rPr>
              <w:fldChar w:fldCharType="end"/>
            </w:r>
          </w:hyperlink>
        </w:p>
        <w:p w14:paraId="4B8DF587" w14:textId="77777777" w:rsidR="00C571E9" w:rsidRDefault="00C571E9">
          <w:pPr>
            <w:pStyle w:val="TOC3"/>
            <w:tabs>
              <w:tab w:val="left" w:pos="1760"/>
            </w:tabs>
            <w:rPr>
              <w:rFonts w:asciiTheme="minorHAnsi" w:eastAsiaTheme="minorEastAsia" w:hAnsiTheme="minorHAnsi" w:cstheme="minorBidi"/>
              <w:noProof/>
              <w:lang w:eastAsia="en-AU"/>
            </w:rPr>
          </w:pPr>
          <w:hyperlink w:anchor="_Toc500838976" w:history="1">
            <w:r w:rsidRPr="00DE319C">
              <w:rPr>
                <w:rStyle w:val="Hyperlink"/>
                <w:noProof/>
              </w:rPr>
              <w:t>3.3.</w:t>
            </w:r>
            <w:r>
              <w:rPr>
                <w:rFonts w:asciiTheme="minorHAnsi" w:eastAsiaTheme="minorEastAsia" w:hAnsiTheme="minorHAnsi" w:cstheme="minorBidi"/>
                <w:noProof/>
                <w:lang w:eastAsia="en-AU"/>
              </w:rPr>
              <w:tab/>
            </w:r>
            <w:r w:rsidRPr="00DE319C">
              <w:rPr>
                <w:rStyle w:val="Hyperlink"/>
                <w:noProof/>
              </w:rPr>
              <w:t>Good clinical practice</w:t>
            </w:r>
            <w:r>
              <w:rPr>
                <w:noProof/>
                <w:webHidden/>
              </w:rPr>
              <w:tab/>
            </w:r>
            <w:r>
              <w:rPr>
                <w:noProof/>
                <w:webHidden/>
              </w:rPr>
              <w:fldChar w:fldCharType="begin"/>
            </w:r>
            <w:r>
              <w:rPr>
                <w:noProof/>
                <w:webHidden/>
              </w:rPr>
              <w:instrText xml:space="preserve"> PAGEREF _Toc500838976 \h </w:instrText>
            </w:r>
            <w:r>
              <w:rPr>
                <w:noProof/>
                <w:webHidden/>
              </w:rPr>
            </w:r>
            <w:r>
              <w:rPr>
                <w:noProof/>
                <w:webHidden/>
              </w:rPr>
              <w:fldChar w:fldCharType="separate"/>
            </w:r>
            <w:r>
              <w:rPr>
                <w:noProof/>
                <w:webHidden/>
              </w:rPr>
              <w:t>15</w:t>
            </w:r>
            <w:r>
              <w:rPr>
                <w:noProof/>
                <w:webHidden/>
              </w:rPr>
              <w:fldChar w:fldCharType="end"/>
            </w:r>
          </w:hyperlink>
        </w:p>
        <w:p w14:paraId="20111F07" w14:textId="77777777" w:rsidR="00C571E9" w:rsidRDefault="00C571E9">
          <w:pPr>
            <w:pStyle w:val="TOC2"/>
            <w:tabs>
              <w:tab w:val="left" w:pos="1100"/>
            </w:tabs>
            <w:rPr>
              <w:rFonts w:asciiTheme="minorHAnsi" w:eastAsiaTheme="minorEastAsia" w:hAnsiTheme="minorHAnsi" w:cstheme="minorBidi"/>
              <w:b w:val="0"/>
              <w:noProof/>
              <w:sz w:val="22"/>
              <w:lang w:eastAsia="en-AU"/>
            </w:rPr>
          </w:pPr>
          <w:hyperlink w:anchor="_Toc500838977" w:history="1">
            <w:r w:rsidRPr="00DE319C">
              <w:rPr>
                <w:rStyle w:val="Hyperlink"/>
                <w:noProof/>
              </w:rPr>
              <w:t>4.</w:t>
            </w:r>
            <w:r>
              <w:rPr>
                <w:rFonts w:asciiTheme="minorHAnsi" w:eastAsiaTheme="minorEastAsia" w:hAnsiTheme="minorHAnsi" w:cstheme="minorBidi"/>
                <w:b w:val="0"/>
                <w:noProof/>
                <w:sz w:val="22"/>
                <w:lang w:eastAsia="en-AU"/>
              </w:rPr>
              <w:tab/>
            </w:r>
            <w:r w:rsidRPr="00DE319C">
              <w:rPr>
                <w:rStyle w:val="Hyperlink"/>
                <w:noProof/>
              </w:rPr>
              <w:t>Pharmacokinetics</w:t>
            </w:r>
            <w:r>
              <w:rPr>
                <w:noProof/>
                <w:webHidden/>
              </w:rPr>
              <w:tab/>
            </w:r>
            <w:r>
              <w:rPr>
                <w:noProof/>
                <w:webHidden/>
              </w:rPr>
              <w:fldChar w:fldCharType="begin"/>
            </w:r>
            <w:r>
              <w:rPr>
                <w:noProof/>
                <w:webHidden/>
              </w:rPr>
              <w:instrText xml:space="preserve"> PAGEREF _Toc500838977 \h </w:instrText>
            </w:r>
            <w:r>
              <w:rPr>
                <w:noProof/>
                <w:webHidden/>
              </w:rPr>
            </w:r>
            <w:r>
              <w:rPr>
                <w:noProof/>
                <w:webHidden/>
              </w:rPr>
              <w:fldChar w:fldCharType="separate"/>
            </w:r>
            <w:r>
              <w:rPr>
                <w:noProof/>
                <w:webHidden/>
              </w:rPr>
              <w:t>15</w:t>
            </w:r>
            <w:r>
              <w:rPr>
                <w:noProof/>
                <w:webHidden/>
              </w:rPr>
              <w:fldChar w:fldCharType="end"/>
            </w:r>
          </w:hyperlink>
        </w:p>
        <w:p w14:paraId="4BE00C76" w14:textId="77777777" w:rsidR="00C571E9" w:rsidRDefault="00C571E9">
          <w:pPr>
            <w:pStyle w:val="TOC3"/>
            <w:tabs>
              <w:tab w:val="left" w:pos="1760"/>
            </w:tabs>
            <w:rPr>
              <w:rFonts w:asciiTheme="minorHAnsi" w:eastAsiaTheme="minorEastAsia" w:hAnsiTheme="minorHAnsi" w:cstheme="minorBidi"/>
              <w:noProof/>
              <w:lang w:eastAsia="en-AU"/>
            </w:rPr>
          </w:pPr>
          <w:hyperlink w:anchor="_Toc500838978" w:history="1">
            <w:r w:rsidRPr="00DE319C">
              <w:rPr>
                <w:rStyle w:val="Hyperlink"/>
                <w:noProof/>
              </w:rPr>
              <w:t>4.1.</w:t>
            </w:r>
            <w:r>
              <w:rPr>
                <w:rFonts w:asciiTheme="minorHAnsi" w:eastAsiaTheme="minorEastAsia" w:hAnsiTheme="minorHAnsi" w:cstheme="minorBidi"/>
                <w:noProof/>
                <w:lang w:eastAsia="en-AU"/>
              </w:rPr>
              <w:tab/>
            </w:r>
            <w:r w:rsidRPr="00DE319C">
              <w:rPr>
                <w:rStyle w:val="Hyperlink"/>
                <w:noProof/>
              </w:rPr>
              <w:t>PK/PD Clinical pharmacology</w:t>
            </w:r>
            <w:r>
              <w:rPr>
                <w:noProof/>
                <w:webHidden/>
              </w:rPr>
              <w:tab/>
            </w:r>
            <w:r>
              <w:rPr>
                <w:noProof/>
                <w:webHidden/>
              </w:rPr>
              <w:fldChar w:fldCharType="begin"/>
            </w:r>
            <w:r>
              <w:rPr>
                <w:noProof/>
                <w:webHidden/>
              </w:rPr>
              <w:instrText xml:space="preserve"> PAGEREF _Toc500838978 \h </w:instrText>
            </w:r>
            <w:r>
              <w:rPr>
                <w:noProof/>
                <w:webHidden/>
              </w:rPr>
            </w:r>
            <w:r>
              <w:rPr>
                <w:noProof/>
                <w:webHidden/>
              </w:rPr>
              <w:fldChar w:fldCharType="separate"/>
            </w:r>
            <w:r>
              <w:rPr>
                <w:noProof/>
                <w:webHidden/>
              </w:rPr>
              <w:t>15</w:t>
            </w:r>
            <w:r>
              <w:rPr>
                <w:noProof/>
                <w:webHidden/>
              </w:rPr>
              <w:fldChar w:fldCharType="end"/>
            </w:r>
          </w:hyperlink>
        </w:p>
        <w:p w14:paraId="6D4AD831" w14:textId="77777777" w:rsidR="00C571E9" w:rsidRDefault="00C571E9">
          <w:pPr>
            <w:pStyle w:val="TOC2"/>
            <w:tabs>
              <w:tab w:val="left" w:pos="1100"/>
            </w:tabs>
            <w:rPr>
              <w:rFonts w:asciiTheme="minorHAnsi" w:eastAsiaTheme="minorEastAsia" w:hAnsiTheme="minorHAnsi" w:cstheme="minorBidi"/>
              <w:b w:val="0"/>
              <w:noProof/>
              <w:sz w:val="22"/>
              <w:lang w:eastAsia="en-AU"/>
            </w:rPr>
          </w:pPr>
          <w:hyperlink w:anchor="_Toc500838979" w:history="1">
            <w:r w:rsidRPr="00DE319C">
              <w:rPr>
                <w:rStyle w:val="Hyperlink"/>
                <w:noProof/>
              </w:rPr>
              <w:t>5.</w:t>
            </w:r>
            <w:r>
              <w:rPr>
                <w:rFonts w:asciiTheme="minorHAnsi" w:eastAsiaTheme="minorEastAsia" w:hAnsiTheme="minorHAnsi" w:cstheme="minorBidi"/>
                <w:b w:val="0"/>
                <w:noProof/>
                <w:sz w:val="22"/>
                <w:lang w:eastAsia="en-AU"/>
              </w:rPr>
              <w:tab/>
            </w:r>
            <w:r w:rsidRPr="00DE319C">
              <w:rPr>
                <w:rStyle w:val="Hyperlink"/>
                <w:noProof/>
              </w:rPr>
              <w:t>Pharmacodynamics</w:t>
            </w:r>
            <w:r>
              <w:rPr>
                <w:noProof/>
                <w:webHidden/>
              </w:rPr>
              <w:tab/>
            </w:r>
            <w:r>
              <w:rPr>
                <w:noProof/>
                <w:webHidden/>
              </w:rPr>
              <w:fldChar w:fldCharType="begin"/>
            </w:r>
            <w:r>
              <w:rPr>
                <w:noProof/>
                <w:webHidden/>
              </w:rPr>
              <w:instrText xml:space="preserve"> PAGEREF _Toc500838979 \h </w:instrText>
            </w:r>
            <w:r>
              <w:rPr>
                <w:noProof/>
                <w:webHidden/>
              </w:rPr>
            </w:r>
            <w:r>
              <w:rPr>
                <w:noProof/>
                <w:webHidden/>
              </w:rPr>
              <w:fldChar w:fldCharType="separate"/>
            </w:r>
            <w:r>
              <w:rPr>
                <w:noProof/>
                <w:webHidden/>
              </w:rPr>
              <w:t>16</w:t>
            </w:r>
            <w:r>
              <w:rPr>
                <w:noProof/>
                <w:webHidden/>
              </w:rPr>
              <w:fldChar w:fldCharType="end"/>
            </w:r>
          </w:hyperlink>
        </w:p>
        <w:p w14:paraId="6B54BB05" w14:textId="77777777" w:rsidR="00C571E9" w:rsidRDefault="00C571E9">
          <w:pPr>
            <w:pStyle w:val="TOC2"/>
            <w:tabs>
              <w:tab w:val="left" w:pos="1100"/>
            </w:tabs>
            <w:rPr>
              <w:rFonts w:asciiTheme="minorHAnsi" w:eastAsiaTheme="minorEastAsia" w:hAnsiTheme="minorHAnsi" w:cstheme="minorBidi"/>
              <w:b w:val="0"/>
              <w:noProof/>
              <w:sz w:val="22"/>
              <w:lang w:eastAsia="en-AU"/>
            </w:rPr>
          </w:pPr>
          <w:hyperlink w:anchor="_Toc500838980" w:history="1">
            <w:r w:rsidRPr="00DE319C">
              <w:rPr>
                <w:rStyle w:val="Hyperlink"/>
                <w:noProof/>
              </w:rPr>
              <w:t>6.</w:t>
            </w:r>
            <w:r>
              <w:rPr>
                <w:rFonts w:asciiTheme="minorHAnsi" w:eastAsiaTheme="minorEastAsia" w:hAnsiTheme="minorHAnsi" w:cstheme="minorBidi"/>
                <w:b w:val="0"/>
                <w:noProof/>
                <w:sz w:val="22"/>
                <w:lang w:eastAsia="en-AU"/>
              </w:rPr>
              <w:tab/>
            </w:r>
            <w:r w:rsidRPr="00DE319C">
              <w:rPr>
                <w:rStyle w:val="Hyperlink"/>
                <w:noProof/>
              </w:rPr>
              <w:t>Dosage selection for the pivotal studies</w:t>
            </w:r>
            <w:r>
              <w:rPr>
                <w:noProof/>
                <w:webHidden/>
              </w:rPr>
              <w:tab/>
            </w:r>
            <w:r>
              <w:rPr>
                <w:noProof/>
                <w:webHidden/>
              </w:rPr>
              <w:fldChar w:fldCharType="begin"/>
            </w:r>
            <w:r>
              <w:rPr>
                <w:noProof/>
                <w:webHidden/>
              </w:rPr>
              <w:instrText xml:space="preserve"> PAGEREF _Toc500838980 \h </w:instrText>
            </w:r>
            <w:r>
              <w:rPr>
                <w:noProof/>
                <w:webHidden/>
              </w:rPr>
            </w:r>
            <w:r>
              <w:rPr>
                <w:noProof/>
                <w:webHidden/>
              </w:rPr>
              <w:fldChar w:fldCharType="separate"/>
            </w:r>
            <w:r>
              <w:rPr>
                <w:noProof/>
                <w:webHidden/>
              </w:rPr>
              <w:t>16</w:t>
            </w:r>
            <w:r>
              <w:rPr>
                <w:noProof/>
                <w:webHidden/>
              </w:rPr>
              <w:fldChar w:fldCharType="end"/>
            </w:r>
          </w:hyperlink>
        </w:p>
        <w:p w14:paraId="2C97AC53" w14:textId="77777777" w:rsidR="00C571E9" w:rsidRDefault="00C571E9">
          <w:pPr>
            <w:pStyle w:val="TOC2"/>
            <w:tabs>
              <w:tab w:val="left" w:pos="1100"/>
            </w:tabs>
            <w:rPr>
              <w:rFonts w:asciiTheme="minorHAnsi" w:eastAsiaTheme="minorEastAsia" w:hAnsiTheme="minorHAnsi" w:cstheme="minorBidi"/>
              <w:b w:val="0"/>
              <w:noProof/>
              <w:sz w:val="22"/>
              <w:lang w:eastAsia="en-AU"/>
            </w:rPr>
          </w:pPr>
          <w:hyperlink w:anchor="_Toc500838981" w:history="1">
            <w:r w:rsidRPr="00DE319C">
              <w:rPr>
                <w:rStyle w:val="Hyperlink"/>
                <w:noProof/>
              </w:rPr>
              <w:t>7.</w:t>
            </w:r>
            <w:r>
              <w:rPr>
                <w:rFonts w:asciiTheme="minorHAnsi" w:eastAsiaTheme="minorEastAsia" w:hAnsiTheme="minorHAnsi" w:cstheme="minorBidi"/>
                <w:b w:val="0"/>
                <w:noProof/>
                <w:sz w:val="22"/>
                <w:lang w:eastAsia="en-AU"/>
              </w:rPr>
              <w:tab/>
            </w:r>
            <w:r w:rsidRPr="00DE319C">
              <w:rPr>
                <w:rStyle w:val="Hyperlink"/>
                <w:noProof/>
              </w:rPr>
              <w:t>Clinical efficacy</w:t>
            </w:r>
            <w:r>
              <w:rPr>
                <w:noProof/>
                <w:webHidden/>
              </w:rPr>
              <w:tab/>
            </w:r>
            <w:r>
              <w:rPr>
                <w:noProof/>
                <w:webHidden/>
              </w:rPr>
              <w:fldChar w:fldCharType="begin"/>
            </w:r>
            <w:r>
              <w:rPr>
                <w:noProof/>
                <w:webHidden/>
              </w:rPr>
              <w:instrText xml:space="preserve"> PAGEREF _Toc500838981 \h </w:instrText>
            </w:r>
            <w:r>
              <w:rPr>
                <w:noProof/>
                <w:webHidden/>
              </w:rPr>
            </w:r>
            <w:r>
              <w:rPr>
                <w:noProof/>
                <w:webHidden/>
              </w:rPr>
              <w:fldChar w:fldCharType="separate"/>
            </w:r>
            <w:r>
              <w:rPr>
                <w:noProof/>
                <w:webHidden/>
              </w:rPr>
              <w:t>17</w:t>
            </w:r>
            <w:r>
              <w:rPr>
                <w:noProof/>
                <w:webHidden/>
              </w:rPr>
              <w:fldChar w:fldCharType="end"/>
            </w:r>
          </w:hyperlink>
        </w:p>
        <w:p w14:paraId="51BAA938" w14:textId="77777777" w:rsidR="00C571E9" w:rsidRDefault="00C571E9">
          <w:pPr>
            <w:pStyle w:val="TOC3"/>
            <w:tabs>
              <w:tab w:val="left" w:pos="1760"/>
            </w:tabs>
            <w:rPr>
              <w:rFonts w:asciiTheme="minorHAnsi" w:eastAsiaTheme="minorEastAsia" w:hAnsiTheme="minorHAnsi" w:cstheme="minorBidi"/>
              <w:noProof/>
              <w:lang w:eastAsia="en-AU"/>
            </w:rPr>
          </w:pPr>
          <w:hyperlink w:anchor="_Toc500838982" w:history="1">
            <w:r w:rsidRPr="00DE319C">
              <w:rPr>
                <w:rStyle w:val="Hyperlink"/>
                <w:noProof/>
              </w:rPr>
              <w:t>7.1.</w:t>
            </w:r>
            <w:r>
              <w:rPr>
                <w:rFonts w:asciiTheme="minorHAnsi" w:eastAsiaTheme="minorEastAsia" w:hAnsiTheme="minorHAnsi" w:cstheme="minorBidi"/>
                <w:noProof/>
                <w:lang w:eastAsia="en-AU"/>
              </w:rPr>
              <w:tab/>
            </w:r>
            <w:r w:rsidRPr="00DE319C">
              <w:rPr>
                <w:rStyle w:val="Hyperlink"/>
                <w:noProof/>
              </w:rPr>
              <w:t>Clinical trials</w:t>
            </w:r>
            <w:r>
              <w:rPr>
                <w:noProof/>
                <w:webHidden/>
              </w:rPr>
              <w:tab/>
            </w:r>
            <w:r>
              <w:rPr>
                <w:noProof/>
                <w:webHidden/>
              </w:rPr>
              <w:fldChar w:fldCharType="begin"/>
            </w:r>
            <w:r>
              <w:rPr>
                <w:noProof/>
                <w:webHidden/>
              </w:rPr>
              <w:instrText xml:space="preserve"> PAGEREF _Toc500838982 \h </w:instrText>
            </w:r>
            <w:r>
              <w:rPr>
                <w:noProof/>
                <w:webHidden/>
              </w:rPr>
            </w:r>
            <w:r>
              <w:rPr>
                <w:noProof/>
                <w:webHidden/>
              </w:rPr>
              <w:fldChar w:fldCharType="separate"/>
            </w:r>
            <w:r>
              <w:rPr>
                <w:noProof/>
                <w:webHidden/>
              </w:rPr>
              <w:t>17</w:t>
            </w:r>
            <w:r>
              <w:rPr>
                <w:noProof/>
                <w:webHidden/>
              </w:rPr>
              <w:fldChar w:fldCharType="end"/>
            </w:r>
          </w:hyperlink>
        </w:p>
        <w:p w14:paraId="00FAA49C" w14:textId="77777777" w:rsidR="00C571E9" w:rsidRDefault="00C571E9">
          <w:pPr>
            <w:pStyle w:val="TOC2"/>
            <w:tabs>
              <w:tab w:val="left" w:pos="1100"/>
            </w:tabs>
            <w:rPr>
              <w:rFonts w:asciiTheme="minorHAnsi" w:eastAsiaTheme="minorEastAsia" w:hAnsiTheme="minorHAnsi" w:cstheme="minorBidi"/>
              <w:b w:val="0"/>
              <w:noProof/>
              <w:sz w:val="22"/>
              <w:lang w:eastAsia="en-AU"/>
            </w:rPr>
          </w:pPr>
          <w:hyperlink w:anchor="_Toc500838983" w:history="1">
            <w:r w:rsidRPr="00DE319C">
              <w:rPr>
                <w:rStyle w:val="Hyperlink"/>
                <w:noProof/>
              </w:rPr>
              <w:t>8.</w:t>
            </w:r>
            <w:r>
              <w:rPr>
                <w:rFonts w:asciiTheme="minorHAnsi" w:eastAsiaTheme="minorEastAsia" w:hAnsiTheme="minorHAnsi" w:cstheme="minorBidi"/>
                <w:b w:val="0"/>
                <w:noProof/>
                <w:sz w:val="22"/>
                <w:lang w:eastAsia="en-AU"/>
              </w:rPr>
              <w:tab/>
            </w:r>
            <w:r w:rsidRPr="00DE319C">
              <w:rPr>
                <w:rStyle w:val="Hyperlink"/>
                <w:noProof/>
              </w:rPr>
              <w:t>Clinical safety</w:t>
            </w:r>
            <w:r>
              <w:rPr>
                <w:noProof/>
                <w:webHidden/>
              </w:rPr>
              <w:tab/>
            </w:r>
            <w:r>
              <w:rPr>
                <w:noProof/>
                <w:webHidden/>
              </w:rPr>
              <w:fldChar w:fldCharType="begin"/>
            </w:r>
            <w:r>
              <w:rPr>
                <w:noProof/>
                <w:webHidden/>
              </w:rPr>
              <w:instrText xml:space="preserve"> PAGEREF _Toc500838983 \h </w:instrText>
            </w:r>
            <w:r>
              <w:rPr>
                <w:noProof/>
                <w:webHidden/>
              </w:rPr>
            </w:r>
            <w:r>
              <w:rPr>
                <w:noProof/>
                <w:webHidden/>
              </w:rPr>
              <w:fldChar w:fldCharType="separate"/>
            </w:r>
            <w:r>
              <w:rPr>
                <w:noProof/>
                <w:webHidden/>
              </w:rPr>
              <w:t>39</w:t>
            </w:r>
            <w:r>
              <w:rPr>
                <w:noProof/>
                <w:webHidden/>
              </w:rPr>
              <w:fldChar w:fldCharType="end"/>
            </w:r>
          </w:hyperlink>
        </w:p>
        <w:p w14:paraId="2A89B14A" w14:textId="77777777" w:rsidR="00C571E9" w:rsidRDefault="00C571E9">
          <w:pPr>
            <w:pStyle w:val="TOC3"/>
            <w:tabs>
              <w:tab w:val="left" w:pos="1760"/>
            </w:tabs>
            <w:rPr>
              <w:rFonts w:asciiTheme="minorHAnsi" w:eastAsiaTheme="minorEastAsia" w:hAnsiTheme="minorHAnsi" w:cstheme="minorBidi"/>
              <w:noProof/>
              <w:lang w:eastAsia="en-AU"/>
            </w:rPr>
          </w:pPr>
          <w:hyperlink w:anchor="_Toc500838984" w:history="1">
            <w:r w:rsidRPr="00DE319C">
              <w:rPr>
                <w:rStyle w:val="Hyperlink"/>
                <w:noProof/>
              </w:rPr>
              <w:t>8.1.</w:t>
            </w:r>
            <w:r>
              <w:rPr>
                <w:rFonts w:asciiTheme="minorHAnsi" w:eastAsiaTheme="minorEastAsia" w:hAnsiTheme="minorHAnsi" w:cstheme="minorBidi"/>
                <w:noProof/>
                <w:lang w:eastAsia="en-AU"/>
              </w:rPr>
              <w:tab/>
            </w:r>
            <w:r w:rsidRPr="00DE319C">
              <w:rPr>
                <w:rStyle w:val="Hyperlink"/>
                <w:noProof/>
              </w:rPr>
              <w:t>CS40</w:t>
            </w:r>
            <w:r>
              <w:rPr>
                <w:noProof/>
                <w:webHidden/>
              </w:rPr>
              <w:tab/>
            </w:r>
            <w:r>
              <w:rPr>
                <w:noProof/>
                <w:webHidden/>
              </w:rPr>
              <w:fldChar w:fldCharType="begin"/>
            </w:r>
            <w:r>
              <w:rPr>
                <w:noProof/>
                <w:webHidden/>
              </w:rPr>
              <w:instrText xml:space="preserve"> PAGEREF _Toc500838984 \h </w:instrText>
            </w:r>
            <w:r>
              <w:rPr>
                <w:noProof/>
                <w:webHidden/>
              </w:rPr>
            </w:r>
            <w:r>
              <w:rPr>
                <w:noProof/>
                <w:webHidden/>
              </w:rPr>
              <w:fldChar w:fldCharType="separate"/>
            </w:r>
            <w:r>
              <w:rPr>
                <w:noProof/>
                <w:webHidden/>
              </w:rPr>
              <w:t>40</w:t>
            </w:r>
            <w:r>
              <w:rPr>
                <w:noProof/>
                <w:webHidden/>
              </w:rPr>
              <w:fldChar w:fldCharType="end"/>
            </w:r>
          </w:hyperlink>
        </w:p>
        <w:p w14:paraId="7F633BB2" w14:textId="77777777" w:rsidR="00C571E9" w:rsidRDefault="00C571E9">
          <w:pPr>
            <w:pStyle w:val="TOC3"/>
            <w:tabs>
              <w:tab w:val="left" w:pos="1760"/>
            </w:tabs>
            <w:rPr>
              <w:rFonts w:asciiTheme="minorHAnsi" w:eastAsiaTheme="minorEastAsia" w:hAnsiTheme="minorHAnsi" w:cstheme="minorBidi"/>
              <w:noProof/>
              <w:lang w:eastAsia="en-AU"/>
            </w:rPr>
          </w:pPr>
          <w:hyperlink w:anchor="_Toc500838985" w:history="1">
            <w:r w:rsidRPr="00DE319C">
              <w:rPr>
                <w:rStyle w:val="Hyperlink"/>
                <w:noProof/>
              </w:rPr>
              <w:t>8.2.</w:t>
            </w:r>
            <w:r>
              <w:rPr>
                <w:rFonts w:asciiTheme="minorHAnsi" w:eastAsiaTheme="minorEastAsia" w:hAnsiTheme="minorHAnsi" w:cstheme="minorBidi"/>
                <w:noProof/>
                <w:lang w:eastAsia="en-AU"/>
              </w:rPr>
              <w:tab/>
            </w:r>
            <w:r w:rsidRPr="00DE319C">
              <w:rPr>
                <w:rStyle w:val="Hyperlink"/>
                <w:noProof/>
              </w:rPr>
              <w:t>CS41</w:t>
            </w:r>
            <w:r>
              <w:rPr>
                <w:noProof/>
                <w:webHidden/>
              </w:rPr>
              <w:tab/>
            </w:r>
            <w:r>
              <w:rPr>
                <w:noProof/>
                <w:webHidden/>
              </w:rPr>
              <w:fldChar w:fldCharType="begin"/>
            </w:r>
            <w:r>
              <w:rPr>
                <w:noProof/>
                <w:webHidden/>
              </w:rPr>
              <w:instrText xml:space="preserve"> PAGEREF _Toc500838985 \h </w:instrText>
            </w:r>
            <w:r>
              <w:rPr>
                <w:noProof/>
                <w:webHidden/>
              </w:rPr>
            </w:r>
            <w:r>
              <w:rPr>
                <w:noProof/>
                <w:webHidden/>
              </w:rPr>
              <w:fldChar w:fldCharType="separate"/>
            </w:r>
            <w:r>
              <w:rPr>
                <w:noProof/>
                <w:webHidden/>
              </w:rPr>
              <w:t>44</w:t>
            </w:r>
            <w:r>
              <w:rPr>
                <w:noProof/>
                <w:webHidden/>
              </w:rPr>
              <w:fldChar w:fldCharType="end"/>
            </w:r>
          </w:hyperlink>
        </w:p>
        <w:p w14:paraId="1CF622E0" w14:textId="77777777" w:rsidR="00C571E9" w:rsidRDefault="00C571E9">
          <w:pPr>
            <w:pStyle w:val="TOC3"/>
            <w:tabs>
              <w:tab w:val="left" w:pos="1760"/>
            </w:tabs>
            <w:rPr>
              <w:rFonts w:asciiTheme="minorHAnsi" w:eastAsiaTheme="minorEastAsia" w:hAnsiTheme="minorHAnsi" w:cstheme="minorBidi"/>
              <w:noProof/>
              <w:lang w:eastAsia="en-AU"/>
            </w:rPr>
          </w:pPr>
          <w:hyperlink w:anchor="_Toc500838986" w:history="1">
            <w:r w:rsidRPr="00DE319C">
              <w:rPr>
                <w:rStyle w:val="Hyperlink"/>
                <w:noProof/>
              </w:rPr>
              <w:t>8.3.</w:t>
            </w:r>
            <w:r>
              <w:rPr>
                <w:rFonts w:asciiTheme="minorHAnsi" w:eastAsiaTheme="minorEastAsia" w:hAnsiTheme="minorHAnsi" w:cstheme="minorBidi"/>
                <w:noProof/>
                <w:lang w:eastAsia="en-AU"/>
              </w:rPr>
              <w:tab/>
            </w:r>
            <w:r w:rsidRPr="00DE319C">
              <w:rPr>
                <w:rStyle w:val="Hyperlink"/>
                <w:noProof/>
              </w:rPr>
              <w:t>Risk management plan</w:t>
            </w:r>
            <w:r>
              <w:rPr>
                <w:noProof/>
                <w:webHidden/>
              </w:rPr>
              <w:tab/>
            </w:r>
            <w:r>
              <w:rPr>
                <w:noProof/>
                <w:webHidden/>
              </w:rPr>
              <w:fldChar w:fldCharType="begin"/>
            </w:r>
            <w:r>
              <w:rPr>
                <w:noProof/>
                <w:webHidden/>
              </w:rPr>
              <w:instrText xml:space="preserve"> PAGEREF _Toc500838986 \h </w:instrText>
            </w:r>
            <w:r>
              <w:rPr>
                <w:noProof/>
                <w:webHidden/>
              </w:rPr>
            </w:r>
            <w:r>
              <w:rPr>
                <w:noProof/>
                <w:webHidden/>
              </w:rPr>
              <w:fldChar w:fldCharType="separate"/>
            </w:r>
            <w:r>
              <w:rPr>
                <w:noProof/>
                <w:webHidden/>
              </w:rPr>
              <w:t>47</w:t>
            </w:r>
            <w:r>
              <w:rPr>
                <w:noProof/>
                <w:webHidden/>
              </w:rPr>
              <w:fldChar w:fldCharType="end"/>
            </w:r>
          </w:hyperlink>
        </w:p>
        <w:p w14:paraId="29A4A931" w14:textId="77777777" w:rsidR="00C571E9" w:rsidRDefault="00C571E9">
          <w:pPr>
            <w:pStyle w:val="TOC2"/>
            <w:tabs>
              <w:tab w:val="left" w:pos="1100"/>
            </w:tabs>
            <w:rPr>
              <w:rFonts w:asciiTheme="minorHAnsi" w:eastAsiaTheme="minorEastAsia" w:hAnsiTheme="minorHAnsi" w:cstheme="minorBidi"/>
              <w:b w:val="0"/>
              <w:noProof/>
              <w:sz w:val="22"/>
              <w:lang w:eastAsia="en-AU"/>
            </w:rPr>
          </w:pPr>
          <w:hyperlink w:anchor="_Toc500838987" w:history="1">
            <w:r w:rsidRPr="00DE319C">
              <w:rPr>
                <w:rStyle w:val="Hyperlink"/>
                <w:noProof/>
              </w:rPr>
              <w:t>9.</w:t>
            </w:r>
            <w:r>
              <w:rPr>
                <w:rFonts w:asciiTheme="minorHAnsi" w:eastAsiaTheme="minorEastAsia" w:hAnsiTheme="minorHAnsi" w:cstheme="minorBidi"/>
                <w:b w:val="0"/>
                <w:noProof/>
                <w:sz w:val="22"/>
                <w:lang w:eastAsia="en-AU"/>
              </w:rPr>
              <w:tab/>
            </w:r>
            <w:r w:rsidRPr="00DE319C">
              <w:rPr>
                <w:rStyle w:val="Hyperlink"/>
                <w:noProof/>
              </w:rPr>
              <w:t>First round benefit-risk assessment</w:t>
            </w:r>
            <w:r>
              <w:rPr>
                <w:noProof/>
                <w:webHidden/>
              </w:rPr>
              <w:tab/>
            </w:r>
            <w:r>
              <w:rPr>
                <w:noProof/>
                <w:webHidden/>
              </w:rPr>
              <w:fldChar w:fldCharType="begin"/>
            </w:r>
            <w:r>
              <w:rPr>
                <w:noProof/>
                <w:webHidden/>
              </w:rPr>
              <w:instrText xml:space="preserve"> PAGEREF _Toc500838987 \h </w:instrText>
            </w:r>
            <w:r>
              <w:rPr>
                <w:noProof/>
                <w:webHidden/>
              </w:rPr>
            </w:r>
            <w:r>
              <w:rPr>
                <w:noProof/>
                <w:webHidden/>
              </w:rPr>
              <w:fldChar w:fldCharType="separate"/>
            </w:r>
            <w:r>
              <w:rPr>
                <w:noProof/>
                <w:webHidden/>
              </w:rPr>
              <w:t>48</w:t>
            </w:r>
            <w:r>
              <w:rPr>
                <w:noProof/>
                <w:webHidden/>
              </w:rPr>
              <w:fldChar w:fldCharType="end"/>
            </w:r>
          </w:hyperlink>
        </w:p>
        <w:p w14:paraId="2CFB9106" w14:textId="77777777" w:rsidR="00C571E9" w:rsidRDefault="00C571E9">
          <w:pPr>
            <w:pStyle w:val="TOC3"/>
            <w:tabs>
              <w:tab w:val="left" w:pos="1760"/>
            </w:tabs>
            <w:rPr>
              <w:rFonts w:asciiTheme="minorHAnsi" w:eastAsiaTheme="minorEastAsia" w:hAnsiTheme="minorHAnsi" w:cstheme="minorBidi"/>
              <w:noProof/>
              <w:lang w:eastAsia="en-AU"/>
            </w:rPr>
          </w:pPr>
          <w:hyperlink w:anchor="_Toc500838988" w:history="1">
            <w:r w:rsidRPr="00DE319C">
              <w:rPr>
                <w:rStyle w:val="Hyperlink"/>
                <w:noProof/>
              </w:rPr>
              <w:t>9.1.</w:t>
            </w:r>
            <w:r>
              <w:rPr>
                <w:rFonts w:asciiTheme="minorHAnsi" w:eastAsiaTheme="minorEastAsia" w:hAnsiTheme="minorHAnsi" w:cstheme="minorBidi"/>
                <w:noProof/>
                <w:lang w:eastAsia="en-AU"/>
              </w:rPr>
              <w:tab/>
            </w:r>
            <w:r w:rsidRPr="00DE319C">
              <w:rPr>
                <w:rStyle w:val="Hyperlink"/>
                <w:noProof/>
              </w:rPr>
              <w:t>Uncertainties about benefits</w:t>
            </w:r>
            <w:r>
              <w:rPr>
                <w:noProof/>
                <w:webHidden/>
              </w:rPr>
              <w:tab/>
            </w:r>
            <w:r>
              <w:rPr>
                <w:noProof/>
                <w:webHidden/>
              </w:rPr>
              <w:fldChar w:fldCharType="begin"/>
            </w:r>
            <w:r>
              <w:rPr>
                <w:noProof/>
                <w:webHidden/>
              </w:rPr>
              <w:instrText xml:space="preserve"> PAGEREF _Toc500838988 \h </w:instrText>
            </w:r>
            <w:r>
              <w:rPr>
                <w:noProof/>
                <w:webHidden/>
              </w:rPr>
            </w:r>
            <w:r>
              <w:rPr>
                <w:noProof/>
                <w:webHidden/>
              </w:rPr>
              <w:fldChar w:fldCharType="separate"/>
            </w:r>
            <w:r>
              <w:rPr>
                <w:noProof/>
                <w:webHidden/>
              </w:rPr>
              <w:t>48</w:t>
            </w:r>
            <w:r>
              <w:rPr>
                <w:noProof/>
                <w:webHidden/>
              </w:rPr>
              <w:fldChar w:fldCharType="end"/>
            </w:r>
          </w:hyperlink>
        </w:p>
        <w:p w14:paraId="49F74CF3" w14:textId="77777777" w:rsidR="00C571E9" w:rsidRDefault="00C571E9">
          <w:pPr>
            <w:pStyle w:val="TOC3"/>
            <w:tabs>
              <w:tab w:val="left" w:pos="1760"/>
            </w:tabs>
            <w:rPr>
              <w:rFonts w:asciiTheme="minorHAnsi" w:eastAsiaTheme="minorEastAsia" w:hAnsiTheme="minorHAnsi" w:cstheme="minorBidi"/>
              <w:noProof/>
              <w:lang w:eastAsia="en-AU"/>
            </w:rPr>
          </w:pPr>
          <w:hyperlink w:anchor="_Toc500838989" w:history="1">
            <w:r w:rsidRPr="00DE319C">
              <w:rPr>
                <w:rStyle w:val="Hyperlink"/>
                <w:noProof/>
              </w:rPr>
              <w:t>9.2.</w:t>
            </w:r>
            <w:r>
              <w:rPr>
                <w:rFonts w:asciiTheme="minorHAnsi" w:eastAsiaTheme="minorEastAsia" w:hAnsiTheme="minorHAnsi" w:cstheme="minorBidi"/>
                <w:noProof/>
                <w:lang w:eastAsia="en-AU"/>
              </w:rPr>
              <w:tab/>
            </w:r>
            <w:r w:rsidRPr="00DE319C">
              <w:rPr>
                <w:rStyle w:val="Hyperlink"/>
                <w:noProof/>
              </w:rPr>
              <w:t>Uncertainties about harms</w:t>
            </w:r>
            <w:r>
              <w:rPr>
                <w:noProof/>
                <w:webHidden/>
              </w:rPr>
              <w:tab/>
            </w:r>
            <w:r>
              <w:rPr>
                <w:noProof/>
                <w:webHidden/>
              </w:rPr>
              <w:fldChar w:fldCharType="begin"/>
            </w:r>
            <w:r>
              <w:rPr>
                <w:noProof/>
                <w:webHidden/>
              </w:rPr>
              <w:instrText xml:space="preserve"> PAGEREF _Toc500838989 \h </w:instrText>
            </w:r>
            <w:r>
              <w:rPr>
                <w:noProof/>
                <w:webHidden/>
              </w:rPr>
            </w:r>
            <w:r>
              <w:rPr>
                <w:noProof/>
                <w:webHidden/>
              </w:rPr>
              <w:fldChar w:fldCharType="separate"/>
            </w:r>
            <w:r>
              <w:rPr>
                <w:noProof/>
                <w:webHidden/>
              </w:rPr>
              <w:t>49</w:t>
            </w:r>
            <w:r>
              <w:rPr>
                <w:noProof/>
                <w:webHidden/>
              </w:rPr>
              <w:fldChar w:fldCharType="end"/>
            </w:r>
          </w:hyperlink>
        </w:p>
        <w:p w14:paraId="2F4FE1D7" w14:textId="77777777" w:rsidR="00C571E9" w:rsidRDefault="00C571E9">
          <w:pPr>
            <w:pStyle w:val="TOC2"/>
            <w:tabs>
              <w:tab w:val="left" w:pos="1320"/>
            </w:tabs>
            <w:rPr>
              <w:rFonts w:asciiTheme="minorHAnsi" w:eastAsiaTheme="minorEastAsia" w:hAnsiTheme="minorHAnsi" w:cstheme="minorBidi"/>
              <w:b w:val="0"/>
              <w:noProof/>
              <w:sz w:val="22"/>
              <w:lang w:eastAsia="en-AU"/>
            </w:rPr>
          </w:pPr>
          <w:hyperlink w:anchor="_Toc500838990" w:history="1">
            <w:r w:rsidRPr="00DE319C">
              <w:rPr>
                <w:rStyle w:val="Hyperlink"/>
                <w:noProof/>
              </w:rPr>
              <w:t>10.</w:t>
            </w:r>
            <w:r>
              <w:rPr>
                <w:rFonts w:asciiTheme="minorHAnsi" w:eastAsiaTheme="minorEastAsia" w:hAnsiTheme="minorHAnsi" w:cstheme="minorBidi"/>
                <w:b w:val="0"/>
                <w:noProof/>
                <w:sz w:val="22"/>
                <w:lang w:eastAsia="en-AU"/>
              </w:rPr>
              <w:tab/>
            </w:r>
            <w:r w:rsidRPr="00DE319C">
              <w:rPr>
                <w:rStyle w:val="Hyperlink"/>
                <w:noProof/>
              </w:rPr>
              <w:t>First round recommendation regarding authorisation</w:t>
            </w:r>
            <w:r>
              <w:rPr>
                <w:noProof/>
                <w:webHidden/>
              </w:rPr>
              <w:tab/>
            </w:r>
            <w:r>
              <w:rPr>
                <w:noProof/>
                <w:webHidden/>
              </w:rPr>
              <w:fldChar w:fldCharType="begin"/>
            </w:r>
            <w:r>
              <w:rPr>
                <w:noProof/>
                <w:webHidden/>
              </w:rPr>
              <w:instrText xml:space="preserve"> PAGEREF _Toc500838990 \h </w:instrText>
            </w:r>
            <w:r>
              <w:rPr>
                <w:noProof/>
                <w:webHidden/>
              </w:rPr>
            </w:r>
            <w:r>
              <w:rPr>
                <w:noProof/>
                <w:webHidden/>
              </w:rPr>
              <w:fldChar w:fldCharType="separate"/>
            </w:r>
            <w:r>
              <w:rPr>
                <w:noProof/>
                <w:webHidden/>
              </w:rPr>
              <w:t>49</w:t>
            </w:r>
            <w:r>
              <w:rPr>
                <w:noProof/>
                <w:webHidden/>
              </w:rPr>
              <w:fldChar w:fldCharType="end"/>
            </w:r>
          </w:hyperlink>
        </w:p>
        <w:p w14:paraId="2697CD99" w14:textId="77777777" w:rsidR="00C571E9" w:rsidRDefault="00C571E9">
          <w:pPr>
            <w:pStyle w:val="TOC2"/>
            <w:tabs>
              <w:tab w:val="left" w:pos="1320"/>
            </w:tabs>
            <w:rPr>
              <w:rFonts w:asciiTheme="minorHAnsi" w:eastAsiaTheme="minorEastAsia" w:hAnsiTheme="minorHAnsi" w:cstheme="minorBidi"/>
              <w:b w:val="0"/>
              <w:noProof/>
              <w:sz w:val="22"/>
              <w:lang w:eastAsia="en-AU"/>
            </w:rPr>
          </w:pPr>
          <w:hyperlink w:anchor="_Toc500838991" w:history="1">
            <w:r w:rsidRPr="00DE319C">
              <w:rPr>
                <w:rStyle w:val="Hyperlink"/>
                <w:noProof/>
              </w:rPr>
              <w:t>11.</w:t>
            </w:r>
            <w:r>
              <w:rPr>
                <w:rFonts w:asciiTheme="minorHAnsi" w:eastAsiaTheme="minorEastAsia" w:hAnsiTheme="minorHAnsi" w:cstheme="minorBidi"/>
                <w:b w:val="0"/>
                <w:noProof/>
                <w:sz w:val="22"/>
                <w:lang w:eastAsia="en-AU"/>
              </w:rPr>
              <w:tab/>
            </w:r>
            <w:r w:rsidRPr="00DE319C">
              <w:rPr>
                <w:rStyle w:val="Hyperlink"/>
                <w:noProof/>
              </w:rPr>
              <w:t>Clinical questions</w:t>
            </w:r>
            <w:r>
              <w:rPr>
                <w:noProof/>
                <w:webHidden/>
              </w:rPr>
              <w:tab/>
            </w:r>
            <w:r>
              <w:rPr>
                <w:noProof/>
                <w:webHidden/>
              </w:rPr>
              <w:fldChar w:fldCharType="begin"/>
            </w:r>
            <w:r>
              <w:rPr>
                <w:noProof/>
                <w:webHidden/>
              </w:rPr>
              <w:instrText xml:space="preserve"> PAGEREF _Toc500838991 \h </w:instrText>
            </w:r>
            <w:r>
              <w:rPr>
                <w:noProof/>
                <w:webHidden/>
              </w:rPr>
            </w:r>
            <w:r>
              <w:rPr>
                <w:noProof/>
                <w:webHidden/>
              </w:rPr>
              <w:fldChar w:fldCharType="separate"/>
            </w:r>
            <w:r>
              <w:rPr>
                <w:noProof/>
                <w:webHidden/>
              </w:rPr>
              <w:t>49</w:t>
            </w:r>
            <w:r>
              <w:rPr>
                <w:noProof/>
                <w:webHidden/>
              </w:rPr>
              <w:fldChar w:fldCharType="end"/>
            </w:r>
          </w:hyperlink>
        </w:p>
        <w:p w14:paraId="28B72DEA" w14:textId="77777777" w:rsidR="00C571E9" w:rsidRDefault="00C571E9">
          <w:pPr>
            <w:pStyle w:val="TOC2"/>
            <w:tabs>
              <w:tab w:val="left" w:pos="1320"/>
            </w:tabs>
            <w:rPr>
              <w:rFonts w:asciiTheme="minorHAnsi" w:eastAsiaTheme="minorEastAsia" w:hAnsiTheme="minorHAnsi" w:cstheme="minorBidi"/>
              <w:b w:val="0"/>
              <w:noProof/>
              <w:sz w:val="22"/>
              <w:lang w:eastAsia="en-AU"/>
            </w:rPr>
          </w:pPr>
          <w:hyperlink w:anchor="_Toc500838992" w:history="1">
            <w:r w:rsidRPr="00DE319C">
              <w:rPr>
                <w:rStyle w:val="Hyperlink"/>
                <w:noProof/>
              </w:rPr>
              <w:t>12.</w:t>
            </w:r>
            <w:r>
              <w:rPr>
                <w:rFonts w:asciiTheme="minorHAnsi" w:eastAsiaTheme="minorEastAsia" w:hAnsiTheme="minorHAnsi" w:cstheme="minorBidi"/>
                <w:b w:val="0"/>
                <w:noProof/>
                <w:sz w:val="22"/>
                <w:lang w:eastAsia="en-AU"/>
              </w:rPr>
              <w:tab/>
            </w:r>
            <w:r w:rsidRPr="00DE319C">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_Toc500838992 \h </w:instrText>
            </w:r>
            <w:r>
              <w:rPr>
                <w:noProof/>
                <w:webHidden/>
              </w:rPr>
            </w:r>
            <w:r>
              <w:rPr>
                <w:noProof/>
                <w:webHidden/>
              </w:rPr>
              <w:fldChar w:fldCharType="separate"/>
            </w:r>
            <w:r>
              <w:rPr>
                <w:noProof/>
                <w:webHidden/>
              </w:rPr>
              <w:t>50</w:t>
            </w:r>
            <w:r>
              <w:rPr>
                <w:noProof/>
                <w:webHidden/>
              </w:rPr>
              <w:fldChar w:fldCharType="end"/>
            </w:r>
          </w:hyperlink>
        </w:p>
        <w:p w14:paraId="166940DA" w14:textId="77777777" w:rsidR="00C571E9" w:rsidRDefault="00C571E9">
          <w:pPr>
            <w:pStyle w:val="TOC3"/>
            <w:tabs>
              <w:tab w:val="left" w:pos="1760"/>
            </w:tabs>
            <w:rPr>
              <w:rFonts w:asciiTheme="minorHAnsi" w:eastAsiaTheme="minorEastAsia" w:hAnsiTheme="minorHAnsi" w:cstheme="minorBidi"/>
              <w:noProof/>
              <w:lang w:eastAsia="en-AU"/>
            </w:rPr>
          </w:pPr>
          <w:hyperlink w:anchor="_Toc500838993" w:history="1">
            <w:r w:rsidRPr="00DE319C">
              <w:rPr>
                <w:rStyle w:val="Hyperlink"/>
                <w:noProof/>
              </w:rPr>
              <w:t>12.1.</w:t>
            </w:r>
            <w:r>
              <w:rPr>
                <w:rFonts w:asciiTheme="minorHAnsi" w:eastAsiaTheme="minorEastAsia" w:hAnsiTheme="minorHAnsi" w:cstheme="minorBidi"/>
                <w:noProof/>
                <w:lang w:eastAsia="en-AU"/>
              </w:rPr>
              <w:tab/>
            </w:r>
            <w:r w:rsidRPr="00DE319C">
              <w:rPr>
                <w:rStyle w:val="Hyperlink"/>
                <w:noProof/>
              </w:rPr>
              <w:t>Sponsor identified errors of fact or omission</w:t>
            </w:r>
            <w:r>
              <w:rPr>
                <w:noProof/>
                <w:webHidden/>
              </w:rPr>
              <w:tab/>
            </w:r>
            <w:r>
              <w:rPr>
                <w:noProof/>
                <w:webHidden/>
              </w:rPr>
              <w:fldChar w:fldCharType="begin"/>
            </w:r>
            <w:r>
              <w:rPr>
                <w:noProof/>
                <w:webHidden/>
              </w:rPr>
              <w:instrText xml:space="preserve"> PAGEREF _Toc500838993 \h </w:instrText>
            </w:r>
            <w:r>
              <w:rPr>
                <w:noProof/>
                <w:webHidden/>
              </w:rPr>
            </w:r>
            <w:r>
              <w:rPr>
                <w:noProof/>
                <w:webHidden/>
              </w:rPr>
              <w:fldChar w:fldCharType="separate"/>
            </w:r>
            <w:r>
              <w:rPr>
                <w:noProof/>
                <w:webHidden/>
              </w:rPr>
              <w:t>50</w:t>
            </w:r>
            <w:r>
              <w:rPr>
                <w:noProof/>
                <w:webHidden/>
              </w:rPr>
              <w:fldChar w:fldCharType="end"/>
            </w:r>
          </w:hyperlink>
        </w:p>
        <w:p w14:paraId="5EE9B2AD" w14:textId="77777777" w:rsidR="00C571E9" w:rsidRDefault="00C571E9">
          <w:pPr>
            <w:pStyle w:val="TOC3"/>
            <w:tabs>
              <w:tab w:val="left" w:pos="1760"/>
            </w:tabs>
            <w:rPr>
              <w:rFonts w:asciiTheme="minorHAnsi" w:eastAsiaTheme="minorEastAsia" w:hAnsiTheme="minorHAnsi" w:cstheme="minorBidi"/>
              <w:noProof/>
              <w:lang w:eastAsia="en-AU"/>
            </w:rPr>
          </w:pPr>
          <w:hyperlink w:anchor="_Toc500838994" w:history="1">
            <w:r w:rsidRPr="00DE319C">
              <w:rPr>
                <w:rStyle w:val="Hyperlink"/>
                <w:noProof/>
              </w:rPr>
              <w:t>12.2.</w:t>
            </w:r>
            <w:r>
              <w:rPr>
                <w:rFonts w:asciiTheme="minorHAnsi" w:eastAsiaTheme="minorEastAsia" w:hAnsiTheme="minorHAnsi" w:cstheme="minorBidi"/>
                <w:noProof/>
                <w:lang w:eastAsia="en-AU"/>
              </w:rPr>
              <w:tab/>
            </w:r>
            <w:r w:rsidRPr="00DE319C">
              <w:rPr>
                <w:rStyle w:val="Hyperlink"/>
                <w:noProof/>
              </w:rPr>
              <w:t>Second round evaluation of the sponsors response</w:t>
            </w:r>
            <w:r>
              <w:rPr>
                <w:noProof/>
                <w:webHidden/>
              </w:rPr>
              <w:tab/>
            </w:r>
            <w:r>
              <w:rPr>
                <w:noProof/>
                <w:webHidden/>
              </w:rPr>
              <w:fldChar w:fldCharType="begin"/>
            </w:r>
            <w:r>
              <w:rPr>
                <w:noProof/>
                <w:webHidden/>
              </w:rPr>
              <w:instrText xml:space="preserve"> PAGEREF _Toc500838994 \h </w:instrText>
            </w:r>
            <w:r>
              <w:rPr>
                <w:noProof/>
                <w:webHidden/>
              </w:rPr>
            </w:r>
            <w:r>
              <w:rPr>
                <w:noProof/>
                <w:webHidden/>
              </w:rPr>
              <w:fldChar w:fldCharType="separate"/>
            </w:r>
            <w:r>
              <w:rPr>
                <w:noProof/>
                <w:webHidden/>
              </w:rPr>
              <w:t>51</w:t>
            </w:r>
            <w:r>
              <w:rPr>
                <w:noProof/>
                <w:webHidden/>
              </w:rPr>
              <w:fldChar w:fldCharType="end"/>
            </w:r>
          </w:hyperlink>
        </w:p>
        <w:p w14:paraId="46787BA0" w14:textId="77777777" w:rsidR="00C571E9" w:rsidRDefault="00C571E9">
          <w:pPr>
            <w:pStyle w:val="TOC3"/>
            <w:tabs>
              <w:tab w:val="left" w:pos="1760"/>
            </w:tabs>
            <w:rPr>
              <w:rFonts w:asciiTheme="minorHAnsi" w:eastAsiaTheme="minorEastAsia" w:hAnsiTheme="minorHAnsi" w:cstheme="minorBidi"/>
              <w:noProof/>
              <w:lang w:eastAsia="en-AU"/>
            </w:rPr>
          </w:pPr>
          <w:hyperlink w:anchor="_Toc500838995" w:history="1">
            <w:r w:rsidRPr="00DE319C">
              <w:rPr>
                <w:rStyle w:val="Hyperlink"/>
                <w:noProof/>
              </w:rPr>
              <w:t>12.3.</w:t>
            </w:r>
            <w:r>
              <w:rPr>
                <w:rFonts w:asciiTheme="minorHAnsi" w:eastAsiaTheme="minorEastAsia" w:hAnsiTheme="minorHAnsi" w:cstheme="minorBidi"/>
                <w:noProof/>
                <w:lang w:eastAsia="en-AU"/>
              </w:rPr>
              <w:tab/>
            </w:r>
            <w:r w:rsidRPr="00DE319C">
              <w:rPr>
                <w:rStyle w:val="Hyperlink"/>
                <w:noProof/>
              </w:rPr>
              <w:t>Other issues</w:t>
            </w:r>
            <w:r>
              <w:rPr>
                <w:noProof/>
                <w:webHidden/>
              </w:rPr>
              <w:tab/>
            </w:r>
            <w:r>
              <w:rPr>
                <w:noProof/>
                <w:webHidden/>
              </w:rPr>
              <w:fldChar w:fldCharType="begin"/>
            </w:r>
            <w:r>
              <w:rPr>
                <w:noProof/>
                <w:webHidden/>
              </w:rPr>
              <w:instrText xml:space="preserve"> PAGEREF _Toc500838995 \h </w:instrText>
            </w:r>
            <w:r>
              <w:rPr>
                <w:noProof/>
                <w:webHidden/>
              </w:rPr>
            </w:r>
            <w:r>
              <w:rPr>
                <w:noProof/>
                <w:webHidden/>
              </w:rPr>
              <w:fldChar w:fldCharType="separate"/>
            </w:r>
            <w:r>
              <w:rPr>
                <w:noProof/>
                <w:webHidden/>
              </w:rPr>
              <w:t>55</w:t>
            </w:r>
            <w:r>
              <w:rPr>
                <w:noProof/>
                <w:webHidden/>
              </w:rPr>
              <w:fldChar w:fldCharType="end"/>
            </w:r>
          </w:hyperlink>
        </w:p>
        <w:p w14:paraId="172B8EBB" w14:textId="77777777" w:rsidR="00C571E9" w:rsidRDefault="00C571E9">
          <w:pPr>
            <w:pStyle w:val="TOC3"/>
            <w:tabs>
              <w:tab w:val="left" w:pos="1760"/>
            </w:tabs>
            <w:rPr>
              <w:rFonts w:asciiTheme="minorHAnsi" w:eastAsiaTheme="minorEastAsia" w:hAnsiTheme="minorHAnsi" w:cstheme="minorBidi"/>
              <w:noProof/>
              <w:lang w:eastAsia="en-AU"/>
            </w:rPr>
          </w:pPr>
          <w:hyperlink w:anchor="_Toc500838996" w:history="1">
            <w:r w:rsidRPr="00DE319C">
              <w:rPr>
                <w:rStyle w:val="Hyperlink"/>
                <w:noProof/>
              </w:rPr>
              <w:t>12.4.</w:t>
            </w:r>
            <w:r>
              <w:rPr>
                <w:rFonts w:asciiTheme="minorHAnsi" w:eastAsiaTheme="minorEastAsia" w:hAnsiTheme="minorHAnsi" w:cstheme="minorBidi"/>
                <w:noProof/>
                <w:lang w:eastAsia="en-AU"/>
              </w:rPr>
              <w:tab/>
            </w:r>
            <w:r w:rsidRPr="00DE319C">
              <w:rPr>
                <w:rStyle w:val="Hyperlink"/>
                <w:noProof/>
              </w:rPr>
              <w:t>Sponsor’s response to clinical questions</w:t>
            </w:r>
            <w:r>
              <w:rPr>
                <w:noProof/>
                <w:webHidden/>
              </w:rPr>
              <w:tab/>
            </w:r>
            <w:r>
              <w:rPr>
                <w:noProof/>
                <w:webHidden/>
              </w:rPr>
              <w:fldChar w:fldCharType="begin"/>
            </w:r>
            <w:r>
              <w:rPr>
                <w:noProof/>
                <w:webHidden/>
              </w:rPr>
              <w:instrText xml:space="preserve"> PAGEREF _Toc500838996 \h </w:instrText>
            </w:r>
            <w:r>
              <w:rPr>
                <w:noProof/>
                <w:webHidden/>
              </w:rPr>
            </w:r>
            <w:r>
              <w:rPr>
                <w:noProof/>
                <w:webHidden/>
              </w:rPr>
              <w:fldChar w:fldCharType="separate"/>
            </w:r>
            <w:r>
              <w:rPr>
                <w:noProof/>
                <w:webHidden/>
              </w:rPr>
              <w:t>55</w:t>
            </w:r>
            <w:r>
              <w:rPr>
                <w:noProof/>
                <w:webHidden/>
              </w:rPr>
              <w:fldChar w:fldCharType="end"/>
            </w:r>
          </w:hyperlink>
        </w:p>
        <w:p w14:paraId="7D0F5B18" w14:textId="77777777" w:rsidR="00C571E9" w:rsidRDefault="00C571E9">
          <w:pPr>
            <w:pStyle w:val="TOC2"/>
            <w:tabs>
              <w:tab w:val="left" w:pos="1320"/>
            </w:tabs>
            <w:rPr>
              <w:rFonts w:asciiTheme="minorHAnsi" w:eastAsiaTheme="minorEastAsia" w:hAnsiTheme="minorHAnsi" w:cstheme="minorBidi"/>
              <w:b w:val="0"/>
              <w:noProof/>
              <w:sz w:val="22"/>
              <w:lang w:eastAsia="en-AU"/>
            </w:rPr>
          </w:pPr>
          <w:hyperlink w:anchor="_Toc500838997" w:history="1">
            <w:r w:rsidRPr="00DE319C">
              <w:rPr>
                <w:rStyle w:val="Hyperlink"/>
                <w:noProof/>
              </w:rPr>
              <w:t>13.</w:t>
            </w:r>
            <w:r>
              <w:rPr>
                <w:rFonts w:asciiTheme="minorHAnsi" w:eastAsiaTheme="minorEastAsia" w:hAnsiTheme="minorHAnsi" w:cstheme="minorBidi"/>
                <w:b w:val="0"/>
                <w:noProof/>
                <w:sz w:val="22"/>
                <w:lang w:eastAsia="en-AU"/>
              </w:rPr>
              <w:tab/>
            </w:r>
            <w:r w:rsidRPr="00DE319C">
              <w:rPr>
                <w:rStyle w:val="Hyperlink"/>
                <w:noProof/>
              </w:rPr>
              <w:t>Second round benefit-risk assessment</w:t>
            </w:r>
            <w:r>
              <w:rPr>
                <w:noProof/>
                <w:webHidden/>
              </w:rPr>
              <w:tab/>
            </w:r>
            <w:r>
              <w:rPr>
                <w:noProof/>
                <w:webHidden/>
              </w:rPr>
              <w:fldChar w:fldCharType="begin"/>
            </w:r>
            <w:r>
              <w:rPr>
                <w:noProof/>
                <w:webHidden/>
              </w:rPr>
              <w:instrText xml:space="preserve"> PAGEREF _Toc500838997 \h </w:instrText>
            </w:r>
            <w:r>
              <w:rPr>
                <w:noProof/>
                <w:webHidden/>
              </w:rPr>
            </w:r>
            <w:r>
              <w:rPr>
                <w:noProof/>
                <w:webHidden/>
              </w:rPr>
              <w:fldChar w:fldCharType="separate"/>
            </w:r>
            <w:r>
              <w:rPr>
                <w:noProof/>
                <w:webHidden/>
              </w:rPr>
              <w:t>59</w:t>
            </w:r>
            <w:r>
              <w:rPr>
                <w:noProof/>
                <w:webHidden/>
              </w:rPr>
              <w:fldChar w:fldCharType="end"/>
            </w:r>
          </w:hyperlink>
        </w:p>
        <w:p w14:paraId="44B58AF0" w14:textId="65B9D660" w:rsidR="003A7F6C" w:rsidRPr="00D84342" w:rsidRDefault="004F4AF5" w:rsidP="00D84342">
          <w:pPr>
            <w:pStyle w:val="TOC2"/>
          </w:pPr>
          <w:r>
            <w:fldChar w:fldCharType="end"/>
          </w:r>
        </w:p>
      </w:sdtContent>
    </w:sdt>
    <w:bookmarkStart w:id="3" w:name="_Toc314842482" w:displacedByCustomXml="prev"/>
    <w:p w14:paraId="15F1EE5E" w14:textId="77777777" w:rsidR="00586F98" w:rsidRDefault="00586F98" w:rsidP="00A07AB2">
      <w:pPr>
        <w:pStyle w:val="Heading2"/>
        <w:pageBreakBefore/>
        <w:numPr>
          <w:ilvl w:val="0"/>
          <w:numId w:val="0"/>
        </w:numPr>
        <w:spacing w:before="120"/>
      </w:pPr>
      <w:bookmarkStart w:id="4" w:name="_Toc351716269"/>
      <w:bookmarkStart w:id="5" w:name="_Toc351718881"/>
      <w:bookmarkStart w:id="6" w:name="_Toc355338616"/>
      <w:bookmarkStart w:id="7" w:name="_Toc500838963"/>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6926BB" w:rsidRPr="006926BB" w14:paraId="285B0366" w14:textId="77777777" w:rsidTr="00396C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7D523E6C" w14:textId="77777777" w:rsidR="00586F98" w:rsidRPr="006926BB" w:rsidRDefault="00586F98" w:rsidP="006926BB">
            <w:r w:rsidRPr="006926BB">
              <w:t>Abbreviation</w:t>
            </w:r>
          </w:p>
        </w:tc>
        <w:tc>
          <w:tcPr>
            <w:tcW w:w="6911" w:type="dxa"/>
          </w:tcPr>
          <w:p w14:paraId="5731B0DD" w14:textId="77777777" w:rsidR="00586F98" w:rsidRPr="006926BB" w:rsidRDefault="00586F98" w:rsidP="006926BB">
            <w:pPr>
              <w:cnfStyle w:val="100000000000" w:firstRow="1" w:lastRow="0" w:firstColumn="0" w:lastColumn="0" w:oddVBand="0" w:evenVBand="0" w:oddHBand="0" w:evenHBand="0" w:firstRowFirstColumn="0" w:firstRowLastColumn="0" w:lastRowFirstColumn="0" w:lastRowLastColumn="0"/>
            </w:pPr>
            <w:r w:rsidRPr="006926BB">
              <w:t>Meaning</w:t>
            </w:r>
          </w:p>
        </w:tc>
      </w:tr>
      <w:tr w:rsidR="006926BB" w:rsidRPr="006926BB" w14:paraId="282ECE09"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469E3639" w14:textId="77777777" w:rsidR="00586F98" w:rsidRPr="006926BB" w:rsidRDefault="000A2CDC" w:rsidP="006926BB">
            <w:r>
              <w:t>∆</w:t>
            </w:r>
          </w:p>
        </w:tc>
        <w:tc>
          <w:tcPr>
            <w:tcW w:w="6911" w:type="dxa"/>
          </w:tcPr>
          <w:p w14:paraId="3E92FE33" w14:textId="15C6712F" w:rsidR="00586F98" w:rsidRPr="006926BB" w:rsidRDefault="00A32BE3" w:rsidP="006926BB">
            <w:pPr>
              <w:cnfStyle w:val="000000000000" w:firstRow="0" w:lastRow="0" w:firstColumn="0" w:lastColumn="0" w:oddVBand="0" w:evenVBand="0" w:oddHBand="0" w:evenHBand="0" w:firstRowFirstColumn="0" w:firstRowLastColumn="0" w:lastRowFirstColumn="0" w:lastRowLastColumn="0"/>
            </w:pPr>
            <w:r>
              <w:t>C</w:t>
            </w:r>
            <w:r w:rsidR="002C5D89" w:rsidRPr="006926BB">
              <w:t>hange</w:t>
            </w:r>
          </w:p>
        </w:tc>
      </w:tr>
      <w:tr w:rsidR="006926BB" w:rsidRPr="006926BB" w14:paraId="136EEB99"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26A2EB24" w14:textId="77777777" w:rsidR="00586F98" w:rsidRPr="006926BB" w:rsidRDefault="006926BB" w:rsidP="006926BB">
            <w:r w:rsidRPr="006926BB">
              <w:t>ACE</w:t>
            </w:r>
          </w:p>
        </w:tc>
        <w:tc>
          <w:tcPr>
            <w:tcW w:w="6911" w:type="dxa"/>
          </w:tcPr>
          <w:p w14:paraId="53237C93" w14:textId="78F0CE3F" w:rsidR="00396C92" w:rsidRPr="006926BB" w:rsidRDefault="00A32BE3" w:rsidP="006926BB">
            <w:pPr>
              <w:cnfStyle w:val="000000000000" w:firstRow="0" w:lastRow="0" w:firstColumn="0" w:lastColumn="0" w:oddVBand="0" w:evenVBand="0" w:oddHBand="0" w:evenHBand="0" w:firstRowFirstColumn="0" w:firstRowLastColumn="0" w:lastRowFirstColumn="0" w:lastRowLastColumn="0"/>
            </w:pPr>
            <w:r>
              <w:t>A</w:t>
            </w:r>
            <w:r w:rsidR="002C5D89" w:rsidRPr="006926BB">
              <w:t>ngiotensin-converting enzyme</w:t>
            </w:r>
          </w:p>
        </w:tc>
      </w:tr>
      <w:tr w:rsidR="006926BB" w:rsidRPr="006926BB" w14:paraId="0A3B695B"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2150F80B" w14:textId="77777777" w:rsidR="002C5D89" w:rsidRPr="006926BB" w:rsidRDefault="006926BB" w:rsidP="006926BB">
            <w:r w:rsidRPr="006926BB">
              <w:t>ADR</w:t>
            </w:r>
          </w:p>
        </w:tc>
        <w:tc>
          <w:tcPr>
            <w:tcW w:w="6911" w:type="dxa"/>
          </w:tcPr>
          <w:p w14:paraId="3A487EF6" w14:textId="49252D3D" w:rsidR="002C5D89" w:rsidRPr="006926BB" w:rsidRDefault="00A32BE3" w:rsidP="006926BB">
            <w:pPr>
              <w:cnfStyle w:val="000000000000" w:firstRow="0" w:lastRow="0" w:firstColumn="0" w:lastColumn="0" w:oddVBand="0" w:evenVBand="0" w:oddHBand="0" w:evenHBand="0" w:firstRowFirstColumn="0" w:firstRowLastColumn="0" w:lastRowFirstColumn="0" w:lastRowLastColumn="0"/>
            </w:pPr>
            <w:r>
              <w:t>A</w:t>
            </w:r>
            <w:r w:rsidR="002C5D89" w:rsidRPr="006926BB">
              <w:t>dverse drug reaction</w:t>
            </w:r>
          </w:p>
        </w:tc>
      </w:tr>
      <w:tr w:rsidR="006926BB" w:rsidRPr="006926BB" w14:paraId="47D80FE7"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24456E33" w14:textId="77777777" w:rsidR="002C5D89" w:rsidRPr="006926BB" w:rsidRDefault="006926BB" w:rsidP="006926BB">
            <w:r w:rsidRPr="006926BB">
              <w:t>AE</w:t>
            </w:r>
          </w:p>
        </w:tc>
        <w:tc>
          <w:tcPr>
            <w:tcW w:w="6911" w:type="dxa"/>
          </w:tcPr>
          <w:p w14:paraId="16A15F77" w14:textId="32455BA5" w:rsidR="002C5D89" w:rsidRPr="006926BB" w:rsidRDefault="00A32BE3" w:rsidP="006926BB">
            <w:pPr>
              <w:cnfStyle w:val="000000000000" w:firstRow="0" w:lastRow="0" w:firstColumn="0" w:lastColumn="0" w:oddVBand="0" w:evenVBand="0" w:oddHBand="0" w:evenHBand="0" w:firstRowFirstColumn="0" w:firstRowLastColumn="0" w:lastRowFirstColumn="0" w:lastRowLastColumn="0"/>
            </w:pPr>
            <w:r>
              <w:t>A</w:t>
            </w:r>
            <w:r w:rsidR="002C5D89" w:rsidRPr="006926BB">
              <w:t>dverse event</w:t>
            </w:r>
          </w:p>
        </w:tc>
      </w:tr>
      <w:tr w:rsidR="006926BB" w:rsidRPr="006926BB" w14:paraId="616B697D"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46E6E92F" w14:textId="77777777" w:rsidR="002C5D89" w:rsidRPr="006926BB" w:rsidRDefault="002C5D89" w:rsidP="006926BB">
            <w:r w:rsidRPr="006926BB">
              <w:t>A</w:t>
            </w:r>
            <w:r w:rsidR="006926BB" w:rsidRPr="006926BB">
              <w:t>NCOVA</w:t>
            </w:r>
          </w:p>
        </w:tc>
        <w:tc>
          <w:tcPr>
            <w:tcW w:w="6911" w:type="dxa"/>
          </w:tcPr>
          <w:p w14:paraId="238C88DE" w14:textId="29D9A4A8" w:rsidR="002C5D89" w:rsidRPr="006926BB" w:rsidRDefault="00A32BE3" w:rsidP="006926BB">
            <w:pPr>
              <w:cnfStyle w:val="000000000000" w:firstRow="0" w:lastRow="0" w:firstColumn="0" w:lastColumn="0" w:oddVBand="0" w:evenVBand="0" w:oddHBand="0" w:evenHBand="0" w:firstRowFirstColumn="0" w:firstRowLastColumn="0" w:lastRowFirstColumn="0" w:lastRowLastColumn="0"/>
            </w:pPr>
            <w:r>
              <w:t>A</w:t>
            </w:r>
            <w:r w:rsidR="002C5D89" w:rsidRPr="006926BB">
              <w:t>nalysis of covariance</w:t>
            </w:r>
          </w:p>
        </w:tc>
      </w:tr>
      <w:tr w:rsidR="006926BB" w:rsidRPr="006926BB" w14:paraId="770245B8"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70BACD21" w14:textId="77777777" w:rsidR="002C5D89" w:rsidRPr="006926BB" w:rsidRDefault="006926BB" w:rsidP="006926BB">
            <w:r w:rsidRPr="006926BB">
              <w:t>ANOVA</w:t>
            </w:r>
          </w:p>
        </w:tc>
        <w:tc>
          <w:tcPr>
            <w:tcW w:w="6911" w:type="dxa"/>
          </w:tcPr>
          <w:p w14:paraId="495C5A55" w14:textId="1D8E8119" w:rsidR="002C5D89" w:rsidRPr="006926BB" w:rsidRDefault="00A32BE3" w:rsidP="006926BB">
            <w:pPr>
              <w:cnfStyle w:val="000000000000" w:firstRow="0" w:lastRow="0" w:firstColumn="0" w:lastColumn="0" w:oddVBand="0" w:evenVBand="0" w:oddHBand="0" w:evenHBand="0" w:firstRowFirstColumn="0" w:firstRowLastColumn="0" w:lastRowFirstColumn="0" w:lastRowLastColumn="0"/>
            </w:pPr>
            <w:r>
              <w:t>A</w:t>
            </w:r>
            <w:r w:rsidR="002C5D89" w:rsidRPr="006926BB">
              <w:t>nalysis of variance</w:t>
            </w:r>
          </w:p>
        </w:tc>
      </w:tr>
      <w:tr w:rsidR="006926BB" w:rsidRPr="006926BB" w14:paraId="7DC99ED2"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2D3991B1" w14:textId="77777777" w:rsidR="002C5D89" w:rsidRPr="006926BB" w:rsidRDefault="006926BB" w:rsidP="006926BB">
            <w:r w:rsidRPr="006926BB">
              <w:t>AUC</w:t>
            </w:r>
          </w:p>
        </w:tc>
        <w:tc>
          <w:tcPr>
            <w:tcW w:w="6911" w:type="dxa"/>
          </w:tcPr>
          <w:p w14:paraId="1496F1DE" w14:textId="7EFB5B2B" w:rsidR="002C5D89" w:rsidRPr="006926BB" w:rsidRDefault="00A32BE3" w:rsidP="006926BB">
            <w:pPr>
              <w:cnfStyle w:val="000000000000" w:firstRow="0" w:lastRow="0" w:firstColumn="0" w:lastColumn="0" w:oddVBand="0" w:evenVBand="0" w:oddHBand="0" w:evenHBand="0" w:firstRowFirstColumn="0" w:firstRowLastColumn="0" w:lastRowFirstColumn="0" w:lastRowLastColumn="0"/>
            </w:pPr>
            <w:r>
              <w:t>A</w:t>
            </w:r>
            <w:r w:rsidR="002C5D89" w:rsidRPr="006926BB">
              <w:t>rea under the curve (plasma)</w:t>
            </w:r>
          </w:p>
        </w:tc>
      </w:tr>
      <w:tr w:rsidR="006926BB" w:rsidRPr="006926BB" w14:paraId="5FC02AA5"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3ADEE1F0" w14:textId="77777777" w:rsidR="002C5D89" w:rsidRPr="006926BB" w:rsidRDefault="002C5D89" w:rsidP="006926BB">
            <w:proofErr w:type="spellStart"/>
            <w:r w:rsidRPr="006926BB">
              <w:t>AUC</w:t>
            </w:r>
            <w:r w:rsidR="006926BB" w:rsidRPr="007E37F2">
              <w:rPr>
                <w:vertAlign w:val="subscript"/>
              </w:rPr>
              <w:t>inf</w:t>
            </w:r>
            <w:proofErr w:type="spellEnd"/>
          </w:p>
        </w:tc>
        <w:tc>
          <w:tcPr>
            <w:tcW w:w="6911" w:type="dxa"/>
          </w:tcPr>
          <w:p w14:paraId="138E9393" w14:textId="0BE57E94" w:rsidR="002C5D89" w:rsidRPr="006926BB" w:rsidRDefault="00A32BE3" w:rsidP="006926BB">
            <w:pPr>
              <w:cnfStyle w:val="000000000000" w:firstRow="0" w:lastRow="0" w:firstColumn="0" w:lastColumn="0" w:oddVBand="0" w:evenVBand="0" w:oddHBand="0" w:evenHBand="0" w:firstRowFirstColumn="0" w:firstRowLastColumn="0" w:lastRowFirstColumn="0" w:lastRowLastColumn="0"/>
            </w:pPr>
            <w:r>
              <w:t>A</w:t>
            </w:r>
            <w:r w:rsidR="002C5D89" w:rsidRPr="006926BB">
              <w:t>rea under the plasma concentration-time curve from time zero to infinity</w:t>
            </w:r>
          </w:p>
        </w:tc>
      </w:tr>
      <w:tr w:rsidR="006926BB" w:rsidRPr="006926BB" w14:paraId="49B954B8"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6A30D747" w14:textId="77777777" w:rsidR="002C5D89" w:rsidRPr="006926BB" w:rsidRDefault="002C5D89" w:rsidP="006926BB">
            <w:proofErr w:type="spellStart"/>
            <w:r w:rsidRPr="006926BB">
              <w:t>AUC</w:t>
            </w:r>
            <w:r w:rsidR="006926BB" w:rsidRPr="007E37F2">
              <w:rPr>
                <w:vertAlign w:val="subscript"/>
              </w:rPr>
              <w:t>t</w:t>
            </w:r>
            <w:proofErr w:type="spellEnd"/>
          </w:p>
        </w:tc>
        <w:tc>
          <w:tcPr>
            <w:tcW w:w="6911" w:type="dxa"/>
          </w:tcPr>
          <w:p w14:paraId="6EBFA8BD" w14:textId="7E35B447" w:rsidR="002C5D89" w:rsidRPr="006926BB" w:rsidRDefault="00A32BE3" w:rsidP="006926BB">
            <w:pPr>
              <w:cnfStyle w:val="000000000000" w:firstRow="0" w:lastRow="0" w:firstColumn="0" w:lastColumn="0" w:oddVBand="0" w:evenVBand="0" w:oddHBand="0" w:evenHBand="0" w:firstRowFirstColumn="0" w:firstRowLastColumn="0" w:lastRowFirstColumn="0" w:lastRowLastColumn="0"/>
            </w:pPr>
            <w:r>
              <w:t>A</w:t>
            </w:r>
            <w:r w:rsidR="002C5D89" w:rsidRPr="006926BB">
              <w:t xml:space="preserve">rea under the plasma concentration-time curve from time zero to time t, where </w:t>
            </w:r>
            <w:proofErr w:type="spellStart"/>
            <w:r w:rsidR="002C5D89" w:rsidRPr="006926BB">
              <w:t>t</w:t>
            </w:r>
            <w:proofErr w:type="spellEnd"/>
            <w:r w:rsidR="002C5D89" w:rsidRPr="006926BB">
              <w:t xml:space="preserve"> is the last scheduled time point or the last time point at which the subject shows concentration above the lower limit of quantitation</w:t>
            </w:r>
          </w:p>
        </w:tc>
      </w:tr>
      <w:tr w:rsidR="006926BB" w:rsidRPr="006926BB" w14:paraId="35C4632E"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65F3ECA2" w14:textId="77777777" w:rsidR="002C5D89" w:rsidRPr="006926BB" w:rsidRDefault="006926BB" w:rsidP="006926BB">
            <w:r w:rsidRPr="006926BB">
              <w:t>AVP</w:t>
            </w:r>
          </w:p>
        </w:tc>
        <w:tc>
          <w:tcPr>
            <w:tcW w:w="6911" w:type="dxa"/>
          </w:tcPr>
          <w:p w14:paraId="59CA023A" w14:textId="6D51F0B1" w:rsidR="002C5D89" w:rsidRPr="006926BB" w:rsidRDefault="00A32BE3" w:rsidP="006926BB">
            <w:pPr>
              <w:cnfStyle w:val="000000000000" w:firstRow="0" w:lastRow="0" w:firstColumn="0" w:lastColumn="0" w:oddVBand="0" w:evenVBand="0" w:oddHBand="0" w:evenHBand="0" w:firstRowFirstColumn="0" w:firstRowLastColumn="0" w:lastRowFirstColumn="0" w:lastRowLastColumn="0"/>
            </w:pPr>
            <w:r>
              <w:t>A</w:t>
            </w:r>
            <w:r w:rsidR="006926BB" w:rsidRPr="006926BB">
              <w:t>rginine vasopressin</w:t>
            </w:r>
          </w:p>
        </w:tc>
      </w:tr>
      <w:tr w:rsidR="006926BB" w:rsidRPr="006926BB" w14:paraId="25522E12"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4A1DBC12" w14:textId="77777777" w:rsidR="002C5D89" w:rsidRPr="006926BB" w:rsidRDefault="006926BB" w:rsidP="006926BB">
            <w:r w:rsidRPr="006926BB">
              <w:t>BPH</w:t>
            </w:r>
          </w:p>
        </w:tc>
        <w:tc>
          <w:tcPr>
            <w:tcW w:w="6911" w:type="dxa"/>
          </w:tcPr>
          <w:p w14:paraId="71C4C8A4" w14:textId="7B8B9B87" w:rsidR="002C5D89" w:rsidRPr="006926BB" w:rsidRDefault="00A32BE3" w:rsidP="006926BB">
            <w:pPr>
              <w:cnfStyle w:val="000000000000" w:firstRow="0" w:lastRow="0" w:firstColumn="0" w:lastColumn="0" w:oddVBand="0" w:evenVBand="0" w:oddHBand="0" w:evenHBand="0" w:firstRowFirstColumn="0" w:firstRowLastColumn="0" w:lastRowFirstColumn="0" w:lastRowLastColumn="0"/>
            </w:pPr>
            <w:r>
              <w:t>B</w:t>
            </w:r>
            <w:r w:rsidR="006926BB" w:rsidRPr="006926BB">
              <w:t>enign prostatic hyperplasia</w:t>
            </w:r>
          </w:p>
        </w:tc>
      </w:tr>
      <w:tr w:rsidR="006926BB" w:rsidRPr="006926BB" w14:paraId="19C75167"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5CBE30FE" w14:textId="77777777" w:rsidR="002C5D89" w:rsidRPr="006926BB" w:rsidRDefault="006926BB" w:rsidP="006926BB">
            <w:r w:rsidRPr="006926BB">
              <w:t>CDI</w:t>
            </w:r>
          </w:p>
        </w:tc>
        <w:tc>
          <w:tcPr>
            <w:tcW w:w="6911" w:type="dxa"/>
          </w:tcPr>
          <w:p w14:paraId="076A72EB" w14:textId="35DA732B" w:rsidR="002C5D89" w:rsidRPr="006926BB" w:rsidRDefault="00A32BE3" w:rsidP="006926BB">
            <w:pPr>
              <w:cnfStyle w:val="000000000000" w:firstRow="0" w:lastRow="0" w:firstColumn="0" w:lastColumn="0" w:oddVBand="0" w:evenVBand="0" w:oddHBand="0" w:evenHBand="0" w:firstRowFirstColumn="0" w:firstRowLastColumn="0" w:lastRowFirstColumn="0" w:lastRowLastColumn="0"/>
            </w:pPr>
            <w:r>
              <w:t>C</w:t>
            </w:r>
            <w:r w:rsidR="006926BB" w:rsidRPr="006926BB">
              <w:t>entral diabetes insipidus</w:t>
            </w:r>
          </w:p>
        </w:tc>
      </w:tr>
      <w:tr w:rsidR="006926BB" w:rsidRPr="006926BB" w14:paraId="14800284"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0E8AA075" w14:textId="77777777" w:rsidR="002C5D89" w:rsidRPr="006926BB" w:rsidRDefault="006926BB" w:rsidP="006926BB">
            <w:r w:rsidRPr="006926BB">
              <w:t>CI</w:t>
            </w:r>
          </w:p>
        </w:tc>
        <w:tc>
          <w:tcPr>
            <w:tcW w:w="6911" w:type="dxa"/>
          </w:tcPr>
          <w:p w14:paraId="773A5947" w14:textId="18810C78" w:rsidR="002C5D89" w:rsidRPr="006926BB" w:rsidRDefault="00A32BE3" w:rsidP="006926BB">
            <w:pPr>
              <w:cnfStyle w:val="000000000000" w:firstRow="0" w:lastRow="0" w:firstColumn="0" w:lastColumn="0" w:oddVBand="0" w:evenVBand="0" w:oddHBand="0" w:evenHBand="0" w:firstRowFirstColumn="0" w:firstRowLastColumn="0" w:lastRowFirstColumn="0" w:lastRowLastColumn="0"/>
            </w:pPr>
            <w:r>
              <w:t>C</w:t>
            </w:r>
            <w:r w:rsidR="006926BB" w:rsidRPr="006926BB">
              <w:t>onfidence interval</w:t>
            </w:r>
          </w:p>
        </w:tc>
      </w:tr>
      <w:tr w:rsidR="006926BB" w:rsidRPr="006926BB" w14:paraId="64C9EE1D"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0DED300A" w14:textId="77777777" w:rsidR="002C5D89" w:rsidRPr="006926BB" w:rsidRDefault="006926BB" w:rsidP="006926BB">
            <w:proofErr w:type="spellStart"/>
            <w:r w:rsidRPr="006926BB">
              <w:t>C</w:t>
            </w:r>
            <w:r w:rsidRPr="004A7B79">
              <w:rPr>
                <w:vertAlign w:val="subscript"/>
              </w:rPr>
              <w:t>max</w:t>
            </w:r>
            <w:proofErr w:type="spellEnd"/>
          </w:p>
        </w:tc>
        <w:tc>
          <w:tcPr>
            <w:tcW w:w="6911" w:type="dxa"/>
          </w:tcPr>
          <w:p w14:paraId="5F5897F1" w14:textId="29C814E3" w:rsidR="002C5D89" w:rsidRPr="006926BB" w:rsidRDefault="00A32BE3" w:rsidP="006926BB">
            <w:pPr>
              <w:cnfStyle w:val="000000000000" w:firstRow="0" w:lastRow="0" w:firstColumn="0" w:lastColumn="0" w:oddVBand="0" w:evenVBand="0" w:oddHBand="0" w:evenHBand="0" w:firstRowFirstColumn="0" w:firstRowLastColumn="0" w:lastRowFirstColumn="0" w:lastRowLastColumn="0"/>
            </w:pPr>
            <w:r>
              <w:t>M</w:t>
            </w:r>
            <w:r w:rsidR="006926BB" w:rsidRPr="006926BB">
              <w:t>aximum plasma concentration</w:t>
            </w:r>
          </w:p>
        </w:tc>
      </w:tr>
      <w:tr w:rsidR="006926BB" w:rsidRPr="006926BB" w14:paraId="57346293"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31C0A827" w14:textId="77777777" w:rsidR="002C5D89" w:rsidRPr="006926BB" w:rsidRDefault="006926BB" w:rsidP="006926BB">
            <w:r w:rsidRPr="006926BB">
              <w:t>%CV</w:t>
            </w:r>
          </w:p>
        </w:tc>
        <w:tc>
          <w:tcPr>
            <w:tcW w:w="6911" w:type="dxa"/>
          </w:tcPr>
          <w:p w14:paraId="46FF9CEF" w14:textId="7BD61244" w:rsidR="002C5D89" w:rsidRPr="006926BB" w:rsidRDefault="00A32BE3" w:rsidP="006926BB">
            <w:pPr>
              <w:cnfStyle w:val="000000000000" w:firstRow="0" w:lastRow="0" w:firstColumn="0" w:lastColumn="0" w:oddVBand="0" w:evenVBand="0" w:oddHBand="0" w:evenHBand="0" w:firstRowFirstColumn="0" w:firstRowLastColumn="0" w:lastRowFirstColumn="0" w:lastRowLastColumn="0"/>
            </w:pPr>
            <w:r>
              <w:t>C</w:t>
            </w:r>
            <w:r w:rsidR="006926BB" w:rsidRPr="006926BB">
              <w:t>oefficient of variation</w:t>
            </w:r>
          </w:p>
        </w:tc>
      </w:tr>
      <w:tr w:rsidR="006926BB" w:rsidRPr="006926BB" w14:paraId="606B8D29"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0FB694DF" w14:textId="77777777" w:rsidR="002C5D89" w:rsidRPr="006926BB" w:rsidRDefault="006926BB" w:rsidP="006926BB">
            <w:r w:rsidRPr="006926BB">
              <w:t>CYP450</w:t>
            </w:r>
          </w:p>
        </w:tc>
        <w:tc>
          <w:tcPr>
            <w:tcW w:w="6911" w:type="dxa"/>
          </w:tcPr>
          <w:p w14:paraId="6A79DEF7" w14:textId="5E87B7AF" w:rsidR="002C5D89" w:rsidRPr="006926BB" w:rsidRDefault="00A32BE3" w:rsidP="006926BB">
            <w:pPr>
              <w:cnfStyle w:val="000000000000" w:firstRow="0" w:lastRow="0" w:firstColumn="0" w:lastColumn="0" w:oddVBand="0" w:evenVBand="0" w:oddHBand="0" w:evenHBand="0" w:firstRowFirstColumn="0" w:firstRowLastColumn="0" w:lastRowFirstColumn="0" w:lastRowLastColumn="0"/>
            </w:pPr>
            <w:r>
              <w:t>C</w:t>
            </w:r>
            <w:r w:rsidR="006926BB" w:rsidRPr="006926BB">
              <w:t>ytochrome P450</w:t>
            </w:r>
          </w:p>
        </w:tc>
      </w:tr>
      <w:tr w:rsidR="006926BB" w:rsidRPr="006926BB" w14:paraId="268EF768"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19133929" w14:textId="77777777" w:rsidR="002C5D89" w:rsidRPr="006926BB" w:rsidRDefault="006926BB" w:rsidP="006926BB">
            <w:r w:rsidRPr="006926BB">
              <w:t>EC50</w:t>
            </w:r>
          </w:p>
        </w:tc>
        <w:tc>
          <w:tcPr>
            <w:tcW w:w="6911" w:type="dxa"/>
          </w:tcPr>
          <w:p w14:paraId="11849684" w14:textId="179E8D84" w:rsidR="002C5D89" w:rsidRPr="006926BB" w:rsidRDefault="00A32BE3" w:rsidP="006926BB">
            <w:pPr>
              <w:cnfStyle w:val="000000000000" w:firstRow="0" w:lastRow="0" w:firstColumn="0" w:lastColumn="0" w:oddVBand="0" w:evenVBand="0" w:oddHBand="0" w:evenHBand="0" w:firstRowFirstColumn="0" w:firstRowLastColumn="0" w:lastRowFirstColumn="0" w:lastRowLastColumn="0"/>
            </w:pPr>
            <w:r>
              <w:t>C</w:t>
            </w:r>
            <w:r w:rsidR="006926BB" w:rsidRPr="006926BB">
              <w:t>oncentration at 50% of maximal effect</w:t>
            </w:r>
          </w:p>
        </w:tc>
      </w:tr>
      <w:tr w:rsidR="006926BB" w:rsidRPr="006926BB" w14:paraId="2E739546"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55B62620" w14:textId="77777777" w:rsidR="002C5D89" w:rsidRPr="006926BB" w:rsidRDefault="006926BB" w:rsidP="006926BB">
            <w:proofErr w:type="spellStart"/>
            <w:r w:rsidRPr="006926BB">
              <w:t>E</w:t>
            </w:r>
            <w:r w:rsidRPr="004A7B79">
              <w:rPr>
                <w:vertAlign w:val="subscript"/>
              </w:rPr>
              <w:t>max</w:t>
            </w:r>
            <w:proofErr w:type="spellEnd"/>
          </w:p>
        </w:tc>
        <w:tc>
          <w:tcPr>
            <w:tcW w:w="6911" w:type="dxa"/>
          </w:tcPr>
          <w:p w14:paraId="47E16F31" w14:textId="38A7CBBB" w:rsidR="002C5D89" w:rsidRPr="006926BB" w:rsidRDefault="00A32BE3" w:rsidP="006926BB">
            <w:pPr>
              <w:cnfStyle w:val="000000000000" w:firstRow="0" w:lastRow="0" w:firstColumn="0" w:lastColumn="0" w:oddVBand="0" w:evenVBand="0" w:oddHBand="0" w:evenHBand="0" w:firstRowFirstColumn="0" w:firstRowLastColumn="0" w:lastRowFirstColumn="0" w:lastRowLastColumn="0"/>
            </w:pPr>
            <w:r>
              <w:t>M</w:t>
            </w:r>
            <w:r w:rsidR="006926BB" w:rsidRPr="006926BB">
              <w:t>aximal effect</w:t>
            </w:r>
          </w:p>
        </w:tc>
      </w:tr>
      <w:tr w:rsidR="006926BB" w:rsidRPr="006926BB" w14:paraId="5D687FD1"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23327C8B" w14:textId="77777777" w:rsidR="006926BB" w:rsidRPr="006926BB" w:rsidRDefault="006926BB" w:rsidP="006926BB">
            <w:r w:rsidRPr="006926BB">
              <w:t>FAS</w:t>
            </w:r>
          </w:p>
        </w:tc>
        <w:tc>
          <w:tcPr>
            <w:tcW w:w="6911" w:type="dxa"/>
          </w:tcPr>
          <w:p w14:paraId="62E0995D" w14:textId="77777777" w:rsidR="006926BB" w:rsidRPr="006926BB" w:rsidRDefault="006926BB" w:rsidP="006926BB">
            <w:pPr>
              <w:cnfStyle w:val="000000000000" w:firstRow="0" w:lastRow="0" w:firstColumn="0" w:lastColumn="0" w:oddVBand="0" w:evenVBand="0" w:oddHBand="0" w:evenHBand="0" w:firstRowFirstColumn="0" w:firstRowLastColumn="0" w:lastRowFirstColumn="0" w:lastRowLastColumn="0"/>
            </w:pPr>
            <w:r w:rsidRPr="006926BB">
              <w:t>Full Analysis Set</w:t>
            </w:r>
          </w:p>
        </w:tc>
      </w:tr>
      <w:tr w:rsidR="006926BB" w:rsidRPr="006926BB" w14:paraId="6612DE8C"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0CFC5882" w14:textId="77777777" w:rsidR="006926BB" w:rsidRPr="006926BB" w:rsidRDefault="006926BB" w:rsidP="006926BB">
            <w:r w:rsidRPr="006926BB">
              <w:t>FDA</w:t>
            </w:r>
          </w:p>
        </w:tc>
        <w:tc>
          <w:tcPr>
            <w:tcW w:w="6911" w:type="dxa"/>
          </w:tcPr>
          <w:p w14:paraId="47DC3610" w14:textId="77777777" w:rsidR="006926BB" w:rsidRPr="006926BB" w:rsidRDefault="006926BB" w:rsidP="006926BB">
            <w:pPr>
              <w:cnfStyle w:val="000000000000" w:firstRow="0" w:lastRow="0" w:firstColumn="0" w:lastColumn="0" w:oddVBand="0" w:evenVBand="0" w:oddHBand="0" w:evenHBand="0" w:firstRowFirstColumn="0" w:firstRowLastColumn="0" w:lastRowFirstColumn="0" w:lastRowLastColumn="0"/>
            </w:pPr>
            <w:r w:rsidRPr="006926BB">
              <w:t>Food and Drug Administration</w:t>
            </w:r>
          </w:p>
        </w:tc>
      </w:tr>
      <w:tr w:rsidR="006926BB" w:rsidRPr="006926BB" w14:paraId="3DEECA5F"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7CF09FC9" w14:textId="77777777" w:rsidR="006926BB" w:rsidRPr="006926BB" w:rsidRDefault="006926BB" w:rsidP="006926BB">
            <w:proofErr w:type="spellStart"/>
            <w:r w:rsidRPr="006926BB">
              <w:t>F</w:t>
            </w:r>
            <w:r w:rsidRPr="004A7B79">
              <w:rPr>
                <w:vertAlign w:val="subscript"/>
              </w:rPr>
              <w:t>rel</w:t>
            </w:r>
            <w:proofErr w:type="spellEnd"/>
          </w:p>
        </w:tc>
        <w:tc>
          <w:tcPr>
            <w:tcW w:w="6911" w:type="dxa"/>
          </w:tcPr>
          <w:p w14:paraId="362ED6AF" w14:textId="183FA96A" w:rsidR="006926BB" w:rsidRPr="006926BB" w:rsidRDefault="00A32BE3" w:rsidP="006926BB">
            <w:pPr>
              <w:cnfStyle w:val="000000000000" w:firstRow="0" w:lastRow="0" w:firstColumn="0" w:lastColumn="0" w:oddVBand="0" w:evenVBand="0" w:oddHBand="0" w:evenHBand="0" w:firstRowFirstColumn="0" w:firstRowLastColumn="0" w:lastRowFirstColumn="0" w:lastRowLastColumn="0"/>
            </w:pPr>
            <w:r>
              <w:t>R</w:t>
            </w:r>
            <w:r w:rsidR="006926BB" w:rsidRPr="006926BB">
              <w:t>elative bioavailability</w:t>
            </w:r>
          </w:p>
        </w:tc>
      </w:tr>
      <w:tr w:rsidR="006926BB" w:rsidRPr="006926BB" w14:paraId="7BCAAF9B"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0CD66D57" w14:textId="77777777" w:rsidR="006926BB" w:rsidRPr="006926BB" w:rsidRDefault="006926BB" w:rsidP="006926BB">
            <w:r w:rsidRPr="006926BB">
              <w:t>FUSP</w:t>
            </w:r>
          </w:p>
        </w:tc>
        <w:tc>
          <w:tcPr>
            <w:tcW w:w="6911" w:type="dxa"/>
          </w:tcPr>
          <w:p w14:paraId="192D5961" w14:textId="7CFC8242" w:rsidR="006926BB" w:rsidRPr="006926BB" w:rsidRDefault="00A32BE3" w:rsidP="006926BB">
            <w:pPr>
              <w:cnfStyle w:val="000000000000" w:firstRow="0" w:lastRow="0" w:firstColumn="0" w:lastColumn="0" w:oddVBand="0" w:evenVBand="0" w:oddHBand="0" w:evenHBand="0" w:firstRowFirstColumn="0" w:firstRowLastColumn="0" w:lastRowFirstColumn="0" w:lastRowLastColumn="0"/>
            </w:pPr>
            <w:r>
              <w:t>F</w:t>
            </w:r>
            <w:r w:rsidR="006926BB" w:rsidRPr="006926BB">
              <w:t>irst undisturbed sleep period</w:t>
            </w:r>
          </w:p>
        </w:tc>
      </w:tr>
      <w:tr w:rsidR="006926BB" w:rsidRPr="006926BB" w14:paraId="54C1ECF3"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29BFD78E" w14:textId="77777777" w:rsidR="006926BB" w:rsidRPr="006926BB" w:rsidRDefault="006926BB" w:rsidP="006926BB">
            <w:r w:rsidRPr="006926BB">
              <w:lastRenderedPageBreak/>
              <w:t>ICIQ-N</w:t>
            </w:r>
          </w:p>
        </w:tc>
        <w:tc>
          <w:tcPr>
            <w:tcW w:w="6911" w:type="dxa"/>
          </w:tcPr>
          <w:p w14:paraId="3FBD1B02" w14:textId="77777777" w:rsidR="006926BB" w:rsidRPr="006926BB" w:rsidRDefault="006926BB" w:rsidP="006926BB">
            <w:pPr>
              <w:cnfStyle w:val="000000000000" w:firstRow="0" w:lastRow="0" w:firstColumn="0" w:lastColumn="0" w:oddVBand="0" w:evenVBand="0" w:oddHBand="0" w:evenHBand="0" w:firstRowFirstColumn="0" w:firstRowLastColumn="0" w:lastRowFirstColumn="0" w:lastRowLastColumn="0"/>
            </w:pPr>
            <w:r w:rsidRPr="006926BB">
              <w:t>The International Consultation on Incontinence Modular Questionnaire - Nocturia</w:t>
            </w:r>
          </w:p>
        </w:tc>
      </w:tr>
      <w:tr w:rsidR="006926BB" w:rsidRPr="006926BB" w14:paraId="3D0B481D"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2EABFC39" w14:textId="77777777" w:rsidR="006926BB" w:rsidRPr="006926BB" w:rsidRDefault="006926BB" w:rsidP="006926BB">
            <w:r w:rsidRPr="006926BB">
              <w:t>ICS</w:t>
            </w:r>
          </w:p>
        </w:tc>
        <w:tc>
          <w:tcPr>
            <w:tcW w:w="6911" w:type="dxa"/>
          </w:tcPr>
          <w:p w14:paraId="16F7D74C" w14:textId="77777777" w:rsidR="006926BB" w:rsidRPr="006926BB" w:rsidRDefault="006926BB" w:rsidP="006926BB">
            <w:pPr>
              <w:cnfStyle w:val="000000000000" w:firstRow="0" w:lastRow="0" w:firstColumn="0" w:lastColumn="0" w:oddVBand="0" w:evenVBand="0" w:oddHBand="0" w:evenHBand="0" w:firstRowFirstColumn="0" w:firstRowLastColumn="0" w:lastRowFirstColumn="0" w:lastRowLastColumn="0"/>
            </w:pPr>
            <w:r w:rsidRPr="006926BB">
              <w:t>International Continence Society</w:t>
            </w:r>
          </w:p>
        </w:tc>
      </w:tr>
      <w:tr w:rsidR="006926BB" w:rsidRPr="006926BB" w14:paraId="604C81B7"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74DA61A4" w14:textId="77777777" w:rsidR="006926BB" w:rsidRPr="006926BB" w:rsidRDefault="006926BB" w:rsidP="006926BB">
            <w:r w:rsidRPr="006926BB">
              <w:t>ITT</w:t>
            </w:r>
          </w:p>
        </w:tc>
        <w:tc>
          <w:tcPr>
            <w:tcW w:w="6911" w:type="dxa"/>
          </w:tcPr>
          <w:p w14:paraId="78E0BA00" w14:textId="77777777" w:rsidR="006926BB" w:rsidRPr="006926BB" w:rsidRDefault="0080062E" w:rsidP="006926BB">
            <w:pPr>
              <w:cnfStyle w:val="000000000000" w:firstRow="0" w:lastRow="0" w:firstColumn="0" w:lastColumn="0" w:oddVBand="0" w:evenVBand="0" w:oddHBand="0" w:evenHBand="0" w:firstRowFirstColumn="0" w:firstRowLastColumn="0" w:lastRowFirstColumn="0" w:lastRowLastColumn="0"/>
            </w:pPr>
            <w:r>
              <w:t xml:space="preserve">Intent to </w:t>
            </w:r>
            <w:r w:rsidR="006926BB" w:rsidRPr="006926BB">
              <w:t>treat</w:t>
            </w:r>
          </w:p>
        </w:tc>
      </w:tr>
      <w:tr w:rsidR="006926BB" w:rsidRPr="006926BB" w14:paraId="1372340D"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72194316" w14:textId="77777777" w:rsidR="006926BB" w:rsidRPr="006926BB" w:rsidRDefault="006926BB" w:rsidP="006926BB">
            <w:proofErr w:type="spellStart"/>
            <w:r w:rsidRPr="006926BB">
              <w:t>i.v.</w:t>
            </w:r>
            <w:proofErr w:type="spellEnd"/>
          </w:p>
        </w:tc>
        <w:tc>
          <w:tcPr>
            <w:tcW w:w="6911" w:type="dxa"/>
          </w:tcPr>
          <w:p w14:paraId="4E2F9BA0" w14:textId="7E1E0EBD" w:rsidR="006926BB" w:rsidRPr="006926BB" w:rsidRDefault="00A32BE3" w:rsidP="006926BB">
            <w:pPr>
              <w:cnfStyle w:val="000000000000" w:firstRow="0" w:lastRow="0" w:firstColumn="0" w:lastColumn="0" w:oddVBand="0" w:evenVBand="0" w:oddHBand="0" w:evenHBand="0" w:firstRowFirstColumn="0" w:firstRowLastColumn="0" w:lastRowFirstColumn="0" w:lastRowLastColumn="0"/>
            </w:pPr>
            <w:r>
              <w:t>I</w:t>
            </w:r>
            <w:r w:rsidR="006926BB" w:rsidRPr="006926BB">
              <w:t>ntravenous</w:t>
            </w:r>
          </w:p>
        </w:tc>
      </w:tr>
      <w:tr w:rsidR="006926BB" w:rsidRPr="006926BB" w14:paraId="384550A8"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1F4391EB" w14:textId="77777777" w:rsidR="006926BB" w:rsidRPr="006926BB" w:rsidRDefault="006926BB" w:rsidP="006926BB">
            <w:r w:rsidRPr="006926BB">
              <w:t>LOCF</w:t>
            </w:r>
          </w:p>
        </w:tc>
        <w:tc>
          <w:tcPr>
            <w:tcW w:w="6911" w:type="dxa"/>
          </w:tcPr>
          <w:p w14:paraId="7E41AAE0" w14:textId="62287719" w:rsidR="006926BB" w:rsidRPr="006926BB" w:rsidRDefault="00A32BE3" w:rsidP="006926BB">
            <w:pPr>
              <w:cnfStyle w:val="000000000000" w:firstRow="0" w:lastRow="0" w:firstColumn="0" w:lastColumn="0" w:oddVBand="0" w:evenVBand="0" w:oddHBand="0" w:evenHBand="0" w:firstRowFirstColumn="0" w:firstRowLastColumn="0" w:lastRowFirstColumn="0" w:lastRowLastColumn="0"/>
            </w:pPr>
            <w:r>
              <w:t>L</w:t>
            </w:r>
            <w:r w:rsidR="006926BB" w:rsidRPr="006926BB">
              <w:t>ast observation carried forward</w:t>
            </w:r>
          </w:p>
        </w:tc>
      </w:tr>
      <w:tr w:rsidR="006926BB" w:rsidRPr="006926BB" w14:paraId="6B2F4595"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56340B7B" w14:textId="77777777" w:rsidR="006926BB" w:rsidRPr="006926BB" w:rsidRDefault="006926BB" w:rsidP="006926BB">
            <w:r w:rsidRPr="006926BB">
              <w:t>MED</w:t>
            </w:r>
          </w:p>
        </w:tc>
        <w:tc>
          <w:tcPr>
            <w:tcW w:w="6911" w:type="dxa"/>
          </w:tcPr>
          <w:p w14:paraId="25A94E58" w14:textId="456DDF76" w:rsidR="006926BB" w:rsidRPr="006926BB" w:rsidRDefault="00A32BE3" w:rsidP="006926BB">
            <w:pPr>
              <w:cnfStyle w:val="000000000000" w:firstRow="0" w:lastRow="0" w:firstColumn="0" w:lastColumn="0" w:oddVBand="0" w:evenVBand="0" w:oddHBand="0" w:evenHBand="0" w:firstRowFirstColumn="0" w:firstRowLastColumn="0" w:lastRowFirstColumn="0" w:lastRowLastColumn="0"/>
            </w:pPr>
            <w:r>
              <w:t>M</w:t>
            </w:r>
            <w:r w:rsidR="006926BB" w:rsidRPr="006926BB">
              <w:t>inimum effective dose</w:t>
            </w:r>
          </w:p>
        </w:tc>
      </w:tr>
      <w:tr w:rsidR="006926BB" w:rsidRPr="006926BB" w14:paraId="1A3B2BAD"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0F8D4723" w14:textId="77777777" w:rsidR="006926BB" w:rsidRPr="006926BB" w:rsidRDefault="006926BB" w:rsidP="006926BB">
            <w:r w:rsidRPr="006926BB">
              <w:t>NI</w:t>
            </w:r>
          </w:p>
        </w:tc>
        <w:tc>
          <w:tcPr>
            <w:tcW w:w="6911" w:type="dxa"/>
          </w:tcPr>
          <w:p w14:paraId="39EED3AB" w14:textId="77777777" w:rsidR="006926BB" w:rsidRPr="006926BB" w:rsidRDefault="006926BB" w:rsidP="006926BB">
            <w:pPr>
              <w:cnfStyle w:val="000000000000" w:firstRow="0" w:lastRow="0" w:firstColumn="0" w:lastColumn="0" w:oddVBand="0" w:evenVBand="0" w:oddHBand="0" w:evenHBand="0" w:firstRowFirstColumn="0" w:firstRowLastColumn="0" w:lastRowFirstColumn="0" w:lastRowLastColumn="0"/>
            </w:pPr>
            <w:r w:rsidRPr="006926BB">
              <w:t>Nocturia Impact</w:t>
            </w:r>
          </w:p>
        </w:tc>
      </w:tr>
      <w:tr w:rsidR="006926BB" w:rsidRPr="006926BB" w14:paraId="1577DD67"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6B075C8B" w14:textId="77777777" w:rsidR="006926BB" w:rsidRPr="006926BB" w:rsidRDefault="006926BB" w:rsidP="006926BB">
            <w:r w:rsidRPr="006926BB">
              <w:t>NP</w:t>
            </w:r>
          </w:p>
        </w:tc>
        <w:tc>
          <w:tcPr>
            <w:tcW w:w="6911" w:type="dxa"/>
          </w:tcPr>
          <w:p w14:paraId="14763264" w14:textId="2322827E" w:rsidR="006926BB" w:rsidRPr="006926BB" w:rsidRDefault="00A32BE3" w:rsidP="006926BB">
            <w:pPr>
              <w:cnfStyle w:val="000000000000" w:firstRow="0" w:lastRow="0" w:firstColumn="0" w:lastColumn="0" w:oddVBand="0" w:evenVBand="0" w:oddHBand="0" w:evenHBand="0" w:firstRowFirstColumn="0" w:firstRowLastColumn="0" w:lastRowFirstColumn="0" w:lastRowLastColumn="0"/>
            </w:pPr>
            <w:r>
              <w:t>N</w:t>
            </w:r>
            <w:r w:rsidR="006926BB" w:rsidRPr="006926BB">
              <w:t>octurnal polyuria</w:t>
            </w:r>
          </w:p>
        </w:tc>
      </w:tr>
      <w:tr w:rsidR="006926BB" w:rsidRPr="006926BB" w14:paraId="2EC6765C"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32757F4D" w14:textId="77777777" w:rsidR="006926BB" w:rsidRPr="006926BB" w:rsidRDefault="006926BB" w:rsidP="006926BB">
            <w:r w:rsidRPr="006926BB">
              <w:t>NPI</w:t>
            </w:r>
          </w:p>
        </w:tc>
        <w:tc>
          <w:tcPr>
            <w:tcW w:w="6911" w:type="dxa"/>
          </w:tcPr>
          <w:p w14:paraId="60A1805E" w14:textId="77777777" w:rsidR="006926BB" w:rsidRPr="006926BB" w:rsidRDefault="006926BB" w:rsidP="006926BB">
            <w:pPr>
              <w:cnfStyle w:val="000000000000" w:firstRow="0" w:lastRow="0" w:firstColumn="0" w:lastColumn="0" w:oddVBand="0" w:evenVBand="0" w:oddHBand="0" w:evenHBand="0" w:firstRowFirstColumn="0" w:firstRowLastColumn="0" w:lastRowFirstColumn="0" w:lastRowLastColumn="0"/>
            </w:pPr>
            <w:r w:rsidRPr="006926BB">
              <w:t>Nocturnal Polyuria Index</w:t>
            </w:r>
          </w:p>
        </w:tc>
      </w:tr>
      <w:tr w:rsidR="006926BB" w:rsidRPr="006926BB" w14:paraId="0968B4C8"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0EB76398" w14:textId="77777777" w:rsidR="006926BB" w:rsidRPr="006926BB" w:rsidRDefault="006926BB" w:rsidP="006926BB">
            <w:r w:rsidRPr="006926BB">
              <w:t>N-</w:t>
            </w:r>
            <w:proofErr w:type="spellStart"/>
            <w:r w:rsidRPr="006926BB">
              <w:t>QoL</w:t>
            </w:r>
            <w:proofErr w:type="spellEnd"/>
          </w:p>
        </w:tc>
        <w:tc>
          <w:tcPr>
            <w:tcW w:w="6911" w:type="dxa"/>
          </w:tcPr>
          <w:p w14:paraId="2C746C3A" w14:textId="77777777" w:rsidR="006926BB" w:rsidRPr="006926BB" w:rsidRDefault="006926BB" w:rsidP="006926BB">
            <w:pPr>
              <w:cnfStyle w:val="000000000000" w:firstRow="0" w:lastRow="0" w:firstColumn="0" w:lastColumn="0" w:oddVBand="0" w:evenVBand="0" w:oddHBand="0" w:evenHBand="0" w:firstRowFirstColumn="0" w:firstRowLastColumn="0" w:lastRowFirstColumn="0" w:lastRowLastColumn="0"/>
            </w:pPr>
            <w:r w:rsidRPr="006926BB">
              <w:t>Nocturia Quality of Life questionnaire</w:t>
            </w:r>
          </w:p>
        </w:tc>
      </w:tr>
      <w:tr w:rsidR="006926BB" w:rsidRPr="006926BB" w14:paraId="20865515"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10EC099E" w14:textId="77777777" w:rsidR="006926BB" w:rsidRPr="006926BB" w:rsidRDefault="006926BB" w:rsidP="006926BB">
            <w:r w:rsidRPr="006926BB">
              <w:t>NSAID</w:t>
            </w:r>
          </w:p>
        </w:tc>
        <w:tc>
          <w:tcPr>
            <w:tcW w:w="6911" w:type="dxa"/>
          </w:tcPr>
          <w:p w14:paraId="4A39A546" w14:textId="7DF4E054" w:rsidR="006926BB" w:rsidRPr="006926BB" w:rsidRDefault="00A32BE3" w:rsidP="006926BB">
            <w:pPr>
              <w:cnfStyle w:val="000000000000" w:firstRow="0" w:lastRow="0" w:firstColumn="0" w:lastColumn="0" w:oddVBand="0" w:evenVBand="0" w:oddHBand="0" w:evenHBand="0" w:firstRowFirstColumn="0" w:firstRowLastColumn="0" w:lastRowFirstColumn="0" w:lastRowLastColumn="0"/>
            </w:pPr>
            <w:r>
              <w:t>N</w:t>
            </w:r>
            <w:r w:rsidR="006926BB" w:rsidRPr="006926BB">
              <w:t>on-steroidal anti-inflammatory drug</w:t>
            </w:r>
          </w:p>
        </w:tc>
      </w:tr>
      <w:tr w:rsidR="006926BB" w:rsidRPr="006926BB" w14:paraId="621B1F9E"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5C7ADA9F" w14:textId="77777777" w:rsidR="006926BB" w:rsidRPr="006926BB" w:rsidRDefault="006926BB" w:rsidP="006926BB">
            <w:r w:rsidRPr="006926BB">
              <w:t>OAB</w:t>
            </w:r>
          </w:p>
        </w:tc>
        <w:tc>
          <w:tcPr>
            <w:tcW w:w="6911" w:type="dxa"/>
          </w:tcPr>
          <w:p w14:paraId="7021F75A" w14:textId="364EFE70" w:rsidR="006926BB" w:rsidRPr="006926BB" w:rsidRDefault="00A32BE3" w:rsidP="006926BB">
            <w:pPr>
              <w:cnfStyle w:val="000000000000" w:firstRow="0" w:lastRow="0" w:firstColumn="0" w:lastColumn="0" w:oddVBand="0" w:evenVBand="0" w:oddHBand="0" w:evenHBand="0" w:firstRowFirstColumn="0" w:firstRowLastColumn="0" w:lastRowFirstColumn="0" w:lastRowLastColumn="0"/>
            </w:pPr>
            <w:r>
              <w:t>O</w:t>
            </w:r>
            <w:r w:rsidR="006926BB" w:rsidRPr="006926BB">
              <w:t>veractive bladder</w:t>
            </w:r>
          </w:p>
        </w:tc>
      </w:tr>
      <w:tr w:rsidR="006926BB" w:rsidRPr="006926BB" w14:paraId="20A3EB4A"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4598EE34" w14:textId="77777777" w:rsidR="006926BB" w:rsidRPr="006926BB" w:rsidRDefault="006926BB" w:rsidP="006926BB">
            <w:r w:rsidRPr="006926BB">
              <w:t>PD</w:t>
            </w:r>
          </w:p>
        </w:tc>
        <w:tc>
          <w:tcPr>
            <w:tcW w:w="6911" w:type="dxa"/>
          </w:tcPr>
          <w:p w14:paraId="16F719C2" w14:textId="0F83D533" w:rsidR="006926BB" w:rsidRPr="006926BB" w:rsidRDefault="00A32BE3" w:rsidP="006926BB">
            <w:pPr>
              <w:cnfStyle w:val="000000000000" w:firstRow="0" w:lastRow="0" w:firstColumn="0" w:lastColumn="0" w:oddVBand="0" w:evenVBand="0" w:oddHBand="0" w:evenHBand="0" w:firstRowFirstColumn="0" w:firstRowLastColumn="0" w:lastRowFirstColumn="0" w:lastRowLastColumn="0"/>
            </w:pPr>
            <w:r>
              <w:t>P</w:t>
            </w:r>
            <w:r w:rsidR="006926BB" w:rsidRPr="006926BB">
              <w:t>harmacodynamic(s)</w:t>
            </w:r>
          </w:p>
        </w:tc>
      </w:tr>
      <w:tr w:rsidR="006926BB" w:rsidRPr="006926BB" w14:paraId="32876E92"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4B86381E" w14:textId="77777777" w:rsidR="006926BB" w:rsidRPr="006926BB" w:rsidRDefault="006926BB" w:rsidP="006926BB">
            <w:r w:rsidRPr="006926BB">
              <w:t>PK</w:t>
            </w:r>
          </w:p>
        </w:tc>
        <w:tc>
          <w:tcPr>
            <w:tcW w:w="6911" w:type="dxa"/>
          </w:tcPr>
          <w:p w14:paraId="7723C69D" w14:textId="4F96B615" w:rsidR="006926BB" w:rsidRPr="006926BB" w:rsidRDefault="00A32BE3" w:rsidP="006926BB">
            <w:pPr>
              <w:cnfStyle w:val="000000000000" w:firstRow="0" w:lastRow="0" w:firstColumn="0" w:lastColumn="0" w:oddVBand="0" w:evenVBand="0" w:oddHBand="0" w:evenHBand="0" w:firstRowFirstColumn="0" w:firstRowLastColumn="0" w:lastRowFirstColumn="0" w:lastRowLastColumn="0"/>
            </w:pPr>
            <w:r>
              <w:t>P</w:t>
            </w:r>
            <w:r w:rsidR="006926BB" w:rsidRPr="006926BB">
              <w:t>harmacokinetic(s)</w:t>
            </w:r>
          </w:p>
        </w:tc>
      </w:tr>
      <w:tr w:rsidR="006926BB" w:rsidRPr="006926BB" w14:paraId="5AB61F86"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10A9A27F" w14:textId="77777777" w:rsidR="006926BB" w:rsidRPr="006926BB" w:rsidRDefault="006926BB" w:rsidP="006926BB">
            <w:r>
              <w:t>PNE</w:t>
            </w:r>
          </w:p>
        </w:tc>
        <w:tc>
          <w:tcPr>
            <w:tcW w:w="6911" w:type="dxa"/>
          </w:tcPr>
          <w:p w14:paraId="56CB923D" w14:textId="63D41214" w:rsidR="006926BB" w:rsidRPr="006926BB" w:rsidRDefault="00A32BE3" w:rsidP="006926BB">
            <w:pPr>
              <w:cnfStyle w:val="000000000000" w:firstRow="0" w:lastRow="0" w:firstColumn="0" w:lastColumn="0" w:oddVBand="0" w:evenVBand="0" w:oddHBand="0" w:evenHBand="0" w:firstRowFirstColumn="0" w:firstRowLastColumn="0" w:lastRowFirstColumn="0" w:lastRowLastColumn="0"/>
            </w:pPr>
            <w:r>
              <w:t>P</w:t>
            </w:r>
            <w:r w:rsidR="006926BB" w:rsidRPr="006926BB">
              <w:t>rimary nocturnal enuresis</w:t>
            </w:r>
          </w:p>
        </w:tc>
      </w:tr>
      <w:tr w:rsidR="006926BB" w:rsidRPr="006926BB" w14:paraId="7595C344"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17E45111" w14:textId="77777777" w:rsidR="006926BB" w:rsidRPr="006926BB" w:rsidRDefault="006926BB" w:rsidP="006926BB">
            <w:r w:rsidRPr="006926BB">
              <w:t>PP</w:t>
            </w:r>
          </w:p>
        </w:tc>
        <w:tc>
          <w:tcPr>
            <w:tcW w:w="6911" w:type="dxa"/>
          </w:tcPr>
          <w:p w14:paraId="2D06B68B" w14:textId="59C669EC" w:rsidR="006926BB" w:rsidRPr="006926BB" w:rsidRDefault="00A32BE3" w:rsidP="006926BB">
            <w:pPr>
              <w:cnfStyle w:val="000000000000" w:firstRow="0" w:lastRow="0" w:firstColumn="0" w:lastColumn="0" w:oddVBand="0" w:evenVBand="0" w:oddHBand="0" w:evenHBand="0" w:firstRowFirstColumn="0" w:firstRowLastColumn="0" w:lastRowFirstColumn="0" w:lastRowLastColumn="0"/>
            </w:pPr>
            <w:r>
              <w:t>P</w:t>
            </w:r>
            <w:r w:rsidR="006926BB" w:rsidRPr="006926BB">
              <w:t>er protocol</w:t>
            </w:r>
          </w:p>
        </w:tc>
      </w:tr>
      <w:tr w:rsidR="006926BB" w:rsidRPr="006926BB" w14:paraId="0D90609F"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0D710091" w14:textId="77777777" w:rsidR="006926BB" w:rsidRPr="006926BB" w:rsidRDefault="006926BB" w:rsidP="006926BB">
            <w:r w:rsidRPr="006926BB">
              <w:t>PRO</w:t>
            </w:r>
          </w:p>
        </w:tc>
        <w:tc>
          <w:tcPr>
            <w:tcW w:w="6911" w:type="dxa"/>
          </w:tcPr>
          <w:p w14:paraId="432F6DB4" w14:textId="2BDA68B7" w:rsidR="006926BB" w:rsidRPr="006926BB" w:rsidRDefault="00A32BE3" w:rsidP="006926BB">
            <w:pPr>
              <w:cnfStyle w:val="000000000000" w:firstRow="0" w:lastRow="0" w:firstColumn="0" w:lastColumn="0" w:oddVBand="0" w:evenVBand="0" w:oddHBand="0" w:evenHBand="0" w:firstRowFirstColumn="0" w:firstRowLastColumn="0" w:lastRowFirstColumn="0" w:lastRowLastColumn="0"/>
            </w:pPr>
            <w:r>
              <w:t>P</w:t>
            </w:r>
            <w:r w:rsidR="006926BB" w:rsidRPr="006926BB">
              <w:t>atient reported outcome</w:t>
            </w:r>
          </w:p>
        </w:tc>
      </w:tr>
      <w:tr w:rsidR="006926BB" w:rsidRPr="006926BB" w14:paraId="67F9E179"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76D75926" w14:textId="77777777" w:rsidR="006926BB" w:rsidRPr="006926BB" w:rsidRDefault="006926BB" w:rsidP="006926BB">
            <w:r>
              <w:t>PSQI</w:t>
            </w:r>
          </w:p>
        </w:tc>
        <w:tc>
          <w:tcPr>
            <w:tcW w:w="6911" w:type="dxa"/>
          </w:tcPr>
          <w:p w14:paraId="3E83F925" w14:textId="77777777" w:rsidR="006926BB" w:rsidRPr="006926BB" w:rsidRDefault="006926BB" w:rsidP="006926BB">
            <w:pPr>
              <w:cnfStyle w:val="000000000000" w:firstRow="0" w:lastRow="0" w:firstColumn="0" w:lastColumn="0" w:oddVBand="0" w:evenVBand="0" w:oddHBand="0" w:evenHBand="0" w:firstRowFirstColumn="0" w:firstRowLastColumn="0" w:lastRowFirstColumn="0" w:lastRowLastColumn="0"/>
            </w:pPr>
            <w:r w:rsidRPr="006926BB">
              <w:t>Pittsburgh Sleep Quality Index</w:t>
            </w:r>
          </w:p>
        </w:tc>
      </w:tr>
      <w:tr w:rsidR="006926BB" w:rsidRPr="006926BB" w14:paraId="168CD28D"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784BC169" w14:textId="77777777" w:rsidR="006926BB" w:rsidRPr="006926BB" w:rsidRDefault="006926BB" w:rsidP="006926BB">
            <w:proofErr w:type="spellStart"/>
            <w:r>
              <w:t>QoL</w:t>
            </w:r>
            <w:proofErr w:type="spellEnd"/>
          </w:p>
        </w:tc>
        <w:tc>
          <w:tcPr>
            <w:tcW w:w="6911" w:type="dxa"/>
          </w:tcPr>
          <w:p w14:paraId="0D47CCEA" w14:textId="74EFF01F" w:rsidR="006926BB" w:rsidRPr="006926BB" w:rsidRDefault="00A32BE3" w:rsidP="006926BB">
            <w:pPr>
              <w:cnfStyle w:val="000000000000" w:firstRow="0" w:lastRow="0" w:firstColumn="0" w:lastColumn="0" w:oddVBand="0" w:evenVBand="0" w:oddHBand="0" w:evenHBand="0" w:firstRowFirstColumn="0" w:firstRowLastColumn="0" w:lastRowFirstColumn="0" w:lastRowLastColumn="0"/>
            </w:pPr>
            <w:r>
              <w:t>Q</w:t>
            </w:r>
            <w:r w:rsidR="006926BB" w:rsidRPr="006926BB">
              <w:t>uality of life</w:t>
            </w:r>
          </w:p>
        </w:tc>
      </w:tr>
      <w:tr w:rsidR="006926BB" w:rsidRPr="006926BB" w14:paraId="4710384F"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33761EC6" w14:textId="77777777" w:rsidR="006926BB" w:rsidRPr="006926BB" w:rsidRDefault="006926BB" w:rsidP="006926BB">
            <w:r w:rsidRPr="006926BB">
              <w:t>SAE</w:t>
            </w:r>
          </w:p>
        </w:tc>
        <w:tc>
          <w:tcPr>
            <w:tcW w:w="6911" w:type="dxa"/>
          </w:tcPr>
          <w:p w14:paraId="55876A92" w14:textId="33DBC595" w:rsidR="006926BB" w:rsidRPr="006926BB" w:rsidRDefault="00A32BE3" w:rsidP="006926BB">
            <w:pPr>
              <w:cnfStyle w:val="000000000000" w:firstRow="0" w:lastRow="0" w:firstColumn="0" w:lastColumn="0" w:oddVBand="0" w:evenVBand="0" w:oddHBand="0" w:evenHBand="0" w:firstRowFirstColumn="0" w:firstRowLastColumn="0" w:lastRowFirstColumn="0" w:lastRowLastColumn="0"/>
            </w:pPr>
            <w:r>
              <w:t>S</w:t>
            </w:r>
            <w:r w:rsidR="006926BB" w:rsidRPr="006926BB">
              <w:t>erious adverse event</w:t>
            </w:r>
          </w:p>
        </w:tc>
      </w:tr>
      <w:tr w:rsidR="006926BB" w:rsidRPr="006926BB" w14:paraId="595217A0"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544CFD4C" w14:textId="77777777" w:rsidR="006926BB" w:rsidRPr="006926BB" w:rsidRDefault="006926BB" w:rsidP="006926BB">
            <w:r w:rsidRPr="006926BB">
              <w:t>SD</w:t>
            </w:r>
          </w:p>
        </w:tc>
        <w:tc>
          <w:tcPr>
            <w:tcW w:w="6911" w:type="dxa"/>
          </w:tcPr>
          <w:p w14:paraId="289E3B35" w14:textId="1137A366" w:rsidR="006926BB" w:rsidRPr="006926BB" w:rsidRDefault="00A32BE3" w:rsidP="006926BB">
            <w:pPr>
              <w:cnfStyle w:val="000000000000" w:firstRow="0" w:lastRow="0" w:firstColumn="0" w:lastColumn="0" w:oddVBand="0" w:evenVBand="0" w:oddHBand="0" w:evenHBand="0" w:firstRowFirstColumn="0" w:firstRowLastColumn="0" w:lastRowFirstColumn="0" w:lastRowLastColumn="0"/>
            </w:pPr>
            <w:r>
              <w:t>S</w:t>
            </w:r>
            <w:r w:rsidR="006926BB" w:rsidRPr="006926BB">
              <w:t>tandard deviation</w:t>
            </w:r>
          </w:p>
        </w:tc>
      </w:tr>
      <w:tr w:rsidR="006926BB" w:rsidRPr="006926BB" w14:paraId="66D300CB"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3D6137E2" w14:textId="77777777" w:rsidR="006926BB" w:rsidRPr="006926BB" w:rsidRDefault="006926BB" w:rsidP="006926BB">
            <w:r>
              <w:t>SIADH</w:t>
            </w:r>
          </w:p>
        </w:tc>
        <w:tc>
          <w:tcPr>
            <w:tcW w:w="6911" w:type="dxa"/>
          </w:tcPr>
          <w:p w14:paraId="55A99C03" w14:textId="1E84315C" w:rsidR="006926BB" w:rsidRPr="006926BB" w:rsidRDefault="00A32BE3" w:rsidP="006926BB">
            <w:pPr>
              <w:cnfStyle w:val="000000000000" w:firstRow="0" w:lastRow="0" w:firstColumn="0" w:lastColumn="0" w:oddVBand="0" w:evenVBand="0" w:oddHBand="0" w:evenHBand="0" w:firstRowFirstColumn="0" w:firstRowLastColumn="0" w:lastRowFirstColumn="0" w:lastRowLastColumn="0"/>
            </w:pPr>
            <w:r>
              <w:t>S</w:t>
            </w:r>
            <w:r w:rsidR="006926BB" w:rsidRPr="006926BB">
              <w:t>yndrome of inappropriate antidiuretic hormone secretion</w:t>
            </w:r>
          </w:p>
        </w:tc>
      </w:tr>
      <w:tr w:rsidR="006926BB" w:rsidRPr="006926BB" w14:paraId="593CED8A"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47D2668E" w14:textId="77777777" w:rsidR="006926BB" w:rsidRPr="006926BB" w:rsidRDefault="006926BB" w:rsidP="006926BB">
            <w:r>
              <w:t>SSRI</w:t>
            </w:r>
          </w:p>
        </w:tc>
        <w:tc>
          <w:tcPr>
            <w:tcW w:w="6911" w:type="dxa"/>
          </w:tcPr>
          <w:p w14:paraId="6DB52442" w14:textId="50665DD4" w:rsidR="006926BB" w:rsidRPr="006926BB" w:rsidRDefault="00A32BE3" w:rsidP="006926BB">
            <w:pPr>
              <w:cnfStyle w:val="000000000000" w:firstRow="0" w:lastRow="0" w:firstColumn="0" w:lastColumn="0" w:oddVBand="0" w:evenVBand="0" w:oddHBand="0" w:evenHBand="0" w:firstRowFirstColumn="0" w:firstRowLastColumn="0" w:lastRowFirstColumn="0" w:lastRowLastColumn="0"/>
            </w:pPr>
            <w:r>
              <w:t>S</w:t>
            </w:r>
            <w:r w:rsidR="006926BB" w:rsidRPr="006926BB">
              <w:t>elective serotonin reuptake inhibitor</w:t>
            </w:r>
          </w:p>
        </w:tc>
      </w:tr>
      <w:tr w:rsidR="006926BB" w:rsidRPr="006926BB" w14:paraId="061DF19A"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1171A0D3" w14:textId="77777777" w:rsidR="006926BB" w:rsidRPr="006926BB" w:rsidRDefault="006926BB" w:rsidP="006926BB">
            <w:r w:rsidRPr="006926BB">
              <w:t>t</w:t>
            </w:r>
            <w:r w:rsidRPr="006926BB">
              <w:rPr>
                <w:rFonts w:hint="eastAsia"/>
              </w:rPr>
              <w:t>½</w:t>
            </w:r>
          </w:p>
        </w:tc>
        <w:tc>
          <w:tcPr>
            <w:tcW w:w="6911" w:type="dxa"/>
          </w:tcPr>
          <w:p w14:paraId="4F338263" w14:textId="022A6BD4" w:rsidR="006926BB" w:rsidRPr="006926BB" w:rsidRDefault="00A32BE3" w:rsidP="006926BB">
            <w:pPr>
              <w:cnfStyle w:val="000000000000" w:firstRow="0" w:lastRow="0" w:firstColumn="0" w:lastColumn="0" w:oddVBand="0" w:evenVBand="0" w:oddHBand="0" w:evenHBand="0" w:firstRowFirstColumn="0" w:firstRowLastColumn="0" w:lastRowFirstColumn="0" w:lastRowLastColumn="0"/>
            </w:pPr>
            <w:r>
              <w:t>E</w:t>
            </w:r>
            <w:r w:rsidR="006926BB" w:rsidRPr="006926BB">
              <w:t>limination half-life</w:t>
            </w:r>
          </w:p>
        </w:tc>
      </w:tr>
      <w:tr w:rsidR="006926BB" w:rsidRPr="006926BB" w14:paraId="073651B7"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45CA480F" w14:textId="77777777" w:rsidR="006926BB" w:rsidRPr="006926BB" w:rsidRDefault="006926BB" w:rsidP="006926BB">
            <w:proofErr w:type="spellStart"/>
            <w:r w:rsidRPr="006926BB">
              <w:t>t</w:t>
            </w:r>
            <w:r w:rsidRPr="004A7B79">
              <w:rPr>
                <w:vertAlign w:val="subscript"/>
              </w:rPr>
              <w:t>max</w:t>
            </w:r>
            <w:proofErr w:type="spellEnd"/>
          </w:p>
        </w:tc>
        <w:tc>
          <w:tcPr>
            <w:tcW w:w="6911" w:type="dxa"/>
          </w:tcPr>
          <w:p w14:paraId="7C3B3A3E" w14:textId="30776761" w:rsidR="006926BB" w:rsidRPr="006926BB" w:rsidRDefault="00A32BE3" w:rsidP="006926BB">
            <w:pPr>
              <w:cnfStyle w:val="000000000000" w:firstRow="0" w:lastRow="0" w:firstColumn="0" w:lastColumn="0" w:oddVBand="0" w:evenVBand="0" w:oddHBand="0" w:evenHBand="0" w:firstRowFirstColumn="0" w:firstRowLastColumn="0" w:lastRowFirstColumn="0" w:lastRowLastColumn="0"/>
            </w:pPr>
            <w:r>
              <w:t>T</w:t>
            </w:r>
            <w:r w:rsidR="006926BB" w:rsidRPr="006926BB">
              <w:t>ime to maximum plasma concentration</w:t>
            </w:r>
          </w:p>
        </w:tc>
      </w:tr>
      <w:tr w:rsidR="006926BB" w:rsidRPr="006926BB" w14:paraId="332A4D6D"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49E99041" w14:textId="77777777" w:rsidR="006926BB" w:rsidRPr="006926BB" w:rsidRDefault="006926BB" w:rsidP="006926BB">
            <w:r>
              <w:lastRenderedPageBreak/>
              <w:t>VAS</w:t>
            </w:r>
          </w:p>
        </w:tc>
        <w:tc>
          <w:tcPr>
            <w:tcW w:w="6911" w:type="dxa"/>
          </w:tcPr>
          <w:p w14:paraId="204FDEFD" w14:textId="6FC5B307" w:rsidR="006926BB" w:rsidRPr="006926BB" w:rsidRDefault="00A32BE3" w:rsidP="006926BB">
            <w:pPr>
              <w:cnfStyle w:val="000000000000" w:firstRow="0" w:lastRow="0" w:firstColumn="0" w:lastColumn="0" w:oddVBand="0" w:evenVBand="0" w:oddHBand="0" w:evenHBand="0" w:firstRowFirstColumn="0" w:firstRowLastColumn="0" w:lastRowFirstColumn="0" w:lastRowLastColumn="0"/>
            </w:pPr>
            <w:r>
              <w:t>V</w:t>
            </w:r>
            <w:r w:rsidR="006926BB" w:rsidRPr="006926BB">
              <w:t>isual analogue scale</w:t>
            </w:r>
          </w:p>
        </w:tc>
      </w:tr>
      <w:tr w:rsidR="006926BB" w:rsidRPr="006926BB" w14:paraId="4330DFC8"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78E92D4E" w14:textId="77777777" w:rsidR="006926BB" w:rsidRPr="006926BB" w:rsidRDefault="006926BB" w:rsidP="006926BB">
            <w:r w:rsidRPr="006926BB">
              <w:t>V</w:t>
            </w:r>
            <w:r>
              <w:t>1</w:t>
            </w:r>
          </w:p>
        </w:tc>
        <w:tc>
          <w:tcPr>
            <w:tcW w:w="6911" w:type="dxa"/>
          </w:tcPr>
          <w:p w14:paraId="247BF9F5" w14:textId="0E720CA1" w:rsidR="006926BB" w:rsidRPr="006926BB" w:rsidRDefault="00A32BE3" w:rsidP="006926BB">
            <w:pPr>
              <w:cnfStyle w:val="000000000000" w:firstRow="0" w:lastRow="0" w:firstColumn="0" w:lastColumn="0" w:oddVBand="0" w:evenVBand="0" w:oddHBand="0" w:evenHBand="0" w:firstRowFirstColumn="0" w:firstRowLastColumn="0" w:lastRowFirstColumn="0" w:lastRowLastColumn="0"/>
            </w:pPr>
            <w:r>
              <w:t>A</w:t>
            </w:r>
            <w:r w:rsidR="006926BB" w:rsidRPr="006926BB">
              <w:t>pparent volume of the central or plasma compartment in a two compartment model</w:t>
            </w:r>
          </w:p>
        </w:tc>
      </w:tr>
      <w:tr w:rsidR="006926BB" w:rsidRPr="006926BB" w14:paraId="584BF1D0"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4505C2D7" w14:textId="77777777" w:rsidR="006926BB" w:rsidRPr="006926BB" w:rsidRDefault="006926BB" w:rsidP="006926BB">
            <w:r w:rsidRPr="006926BB">
              <w:t>V</w:t>
            </w:r>
            <w:r>
              <w:t>2</w:t>
            </w:r>
          </w:p>
        </w:tc>
        <w:tc>
          <w:tcPr>
            <w:tcW w:w="6911" w:type="dxa"/>
          </w:tcPr>
          <w:p w14:paraId="09107B04" w14:textId="485B4458" w:rsidR="006926BB" w:rsidRPr="006926BB" w:rsidRDefault="00A32BE3" w:rsidP="006926BB">
            <w:pPr>
              <w:cnfStyle w:val="000000000000" w:firstRow="0" w:lastRow="0" w:firstColumn="0" w:lastColumn="0" w:oddVBand="0" w:evenVBand="0" w:oddHBand="0" w:evenHBand="0" w:firstRowFirstColumn="0" w:firstRowLastColumn="0" w:lastRowFirstColumn="0" w:lastRowLastColumn="0"/>
            </w:pPr>
            <w:r>
              <w:t>A</w:t>
            </w:r>
            <w:r w:rsidR="006926BB" w:rsidRPr="006926BB">
              <w:t>pparent volume of the peripheral compartment in a two-compartment model</w:t>
            </w:r>
          </w:p>
        </w:tc>
      </w:tr>
      <w:tr w:rsidR="006926BB" w:rsidRPr="006926BB" w14:paraId="7C66CC06"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74889C97" w14:textId="77777777" w:rsidR="006926BB" w:rsidRPr="006926BB" w:rsidRDefault="006926BB" w:rsidP="006926BB">
            <w:proofErr w:type="spellStart"/>
            <w:r w:rsidRPr="006926BB">
              <w:t>Vss</w:t>
            </w:r>
            <w:proofErr w:type="spellEnd"/>
          </w:p>
        </w:tc>
        <w:tc>
          <w:tcPr>
            <w:tcW w:w="6911" w:type="dxa"/>
          </w:tcPr>
          <w:p w14:paraId="37EC3981" w14:textId="7059C539" w:rsidR="006926BB" w:rsidRPr="006926BB" w:rsidRDefault="00A32BE3" w:rsidP="006926BB">
            <w:pPr>
              <w:cnfStyle w:val="000000000000" w:firstRow="0" w:lastRow="0" w:firstColumn="0" w:lastColumn="0" w:oddVBand="0" w:evenVBand="0" w:oddHBand="0" w:evenHBand="0" w:firstRowFirstColumn="0" w:firstRowLastColumn="0" w:lastRowFirstColumn="0" w:lastRowLastColumn="0"/>
            </w:pPr>
            <w:r>
              <w:t>A</w:t>
            </w:r>
            <w:r w:rsidR="006926BB" w:rsidRPr="006926BB">
              <w:t>pparent volume of distribution at steady state</w:t>
            </w:r>
          </w:p>
        </w:tc>
      </w:tr>
      <w:tr w:rsidR="006926BB" w:rsidRPr="006926BB" w14:paraId="31430DC9"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0EADEAEF" w14:textId="77777777" w:rsidR="006926BB" w:rsidRPr="006926BB" w:rsidRDefault="006926BB" w:rsidP="006926BB">
            <w:proofErr w:type="spellStart"/>
            <w:r w:rsidRPr="006926BB">
              <w:t>V</w:t>
            </w:r>
            <w:r>
              <w:t>z</w:t>
            </w:r>
            <w:proofErr w:type="spellEnd"/>
          </w:p>
        </w:tc>
        <w:tc>
          <w:tcPr>
            <w:tcW w:w="6911" w:type="dxa"/>
          </w:tcPr>
          <w:p w14:paraId="411A83E7" w14:textId="3EF01311" w:rsidR="006926BB" w:rsidRPr="006926BB" w:rsidRDefault="00A32BE3" w:rsidP="006926BB">
            <w:pPr>
              <w:cnfStyle w:val="000000000000" w:firstRow="0" w:lastRow="0" w:firstColumn="0" w:lastColumn="0" w:oddVBand="0" w:evenVBand="0" w:oddHBand="0" w:evenHBand="0" w:firstRowFirstColumn="0" w:firstRowLastColumn="0" w:lastRowFirstColumn="0" w:lastRowLastColumn="0"/>
            </w:pPr>
            <w:r>
              <w:t>A</w:t>
            </w:r>
            <w:r w:rsidR="006926BB" w:rsidRPr="006926BB">
              <w:t>pparent volume of distribution during terminal phase</w:t>
            </w:r>
          </w:p>
        </w:tc>
      </w:tr>
      <w:tr w:rsidR="006926BB" w:rsidRPr="006926BB" w14:paraId="470A02C1" w14:textId="77777777" w:rsidTr="000A63AF">
        <w:tc>
          <w:tcPr>
            <w:cnfStyle w:val="001000000000" w:firstRow="0" w:lastRow="0" w:firstColumn="1" w:lastColumn="0" w:oddVBand="0" w:evenVBand="0" w:oddHBand="0" w:evenHBand="0" w:firstRowFirstColumn="0" w:firstRowLastColumn="0" w:lastRowFirstColumn="0" w:lastRowLastColumn="0"/>
            <w:tcW w:w="1809" w:type="dxa"/>
          </w:tcPr>
          <w:p w14:paraId="74749BD4" w14:textId="77777777" w:rsidR="006926BB" w:rsidRPr="006926BB" w:rsidRDefault="006926BB" w:rsidP="006926BB">
            <w:r>
              <w:t>WPAI</w:t>
            </w:r>
          </w:p>
        </w:tc>
        <w:tc>
          <w:tcPr>
            <w:tcW w:w="6911" w:type="dxa"/>
          </w:tcPr>
          <w:p w14:paraId="388AFC9E" w14:textId="77777777" w:rsidR="006926BB" w:rsidRPr="006926BB" w:rsidRDefault="006926BB" w:rsidP="006926BB">
            <w:pPr>
              <w:cnfStyle w:val="000000000000" w:firstRow="0" w:lastRow="0" w:firstColumn="0" w:lastColumn="0" w:oddVBand="0" w:evenVBand="0" w:oddHBand="0" w:evenHBand="0" w:firstRowFirstColumn="0" w:firstRowLastColumn="0" w:lastRowFirstColumn="0" w:lastRowLastColumn="0"/>
            </w:pPr>
            <w:r w:rsidRPr="006926BB">
              <w:t>Work Productivity and Activity Impairment questionnaire</w:t>
            </w:r>
          </w:p>
        </w:tc>
      </w:tr>
    </w:tbl>
    <w:p w14:paraId="66187948" w14:textId="77777777" w:rsidR="0094614A" w:rsidRDefault="0094614A" w:rsidP="00DA23AC">
      <w:pPr>
        <w:pStyle w:val="Heading2"/>
        <w:pageBreakBefore/>
        <w:spacing w:before="120"/>
        <w:rPr>
          <w:lang w:eastAsia="en-AU"/>
        </w:rPr>
      </w:pPr>
      <w:bookmarkStart w:id="8" w:name="_Toc351718900"/>
      <w:bookmarkStart w:id="9" w:name="_Toc355338635"/>
      <w:bookmarkStart w:id="10" w:name="_Toc500838964"/>
      <w:r>
        <w:rPr>
          <w:lang w:eastAsia="en-AU"/>
        </w:rPr>
        <w:lastRenderedPageBreak/>
        <w:t>Introduction</w:t>
      </w:r>
      <w:bookmarkEnd w:id="10"/>
    </w:p>
    <w:p w14:paraId="53F1B0D2" w14:textId="77777777" w:rsidR="00586F98" w:rsidRPr="001E3EF1" w:rsidRDefault="001E3EF1" w:rsidP="00BD7D55">
      <w:proofErr w:type="gramStart"/>
      <w:r w:rsidRPr="001E3EF1">
        <w:t>Application to extend the indication for Desmopressin.</w:t>
      </w:r>
      <w:proofErr w:type="gramEnd"/>
    </w:p>
    <w:p w14:paraId="7A19572E" w14:textId="77777777" w:rsidR="001E3EF1" w:rsidRDefault="001E3EF1" w:rsidP="001E3EF1">
      <w:pPr>
        <w:ind w:left="567"/>
        <w:rPr>
          <w:i/>
        </w:rPr>
      </w:pPr>
      <w:r w:rsidRPr="001E3EF1">
        <w:rPr>
          <w:i/>
        </w:rPr>
        <w:t xml:space="preserve">… </w:t>
      </w:r>
      <w:proofErr w:type="gramStart"/>
      <w:r w:rsidRPr="001E3EF1">
        <w:rPr>
          <w:i/>
        </w:rPr>
        <w:t>for</w:t>
      </w:r>
      <w:proofErr w:type="gramEnd"/>
      <w:r w:rsidRPr="001E3EF1">
        <w:rPr>
          <w:i/>
        </w:rPr>
        <w:t xml:space="preserve"> the treatment of nocturia due to nocturnal polyuria in adults who awaken to void two or more times each night to void.</w:t>
      </w:r>
    </w:p>
    <w:p w14:paraId="39327952" w14:textId="77777777" w:rsidR="001E3EF1" w:rsidRPr="001E3EF1" w:rsidRDefault="001E3EF1" w:rsidP="001E3EF1">
      <w:r w:rsidRPr="001E3EF1">
        <w:t>Proposed dosage</w:t>
      </w:r>
    </w:p>
    <w:p w14:paraId="60651122" w14:textId="77777777" w:rsidR="001E3EF1" w:rsidRPr="001E3EF1" w:rsidRDefault="001E3EF1" w:rsidP="00BD7D55">
      <w:r w:rsidRPr="001E3EF1">
        <w:t xml:space="preserve">Women: 25 </w:t>
      </w:r>
      <w:r w:rsidR="00D578E9">
        <w:t>µg</w:t>
      </w:r>
      <w:r w:rsidRPr="001E3EF1">
        <w:t>, one hour before bedtime, taken without water</w:t>
      </w:r>
      <w:r w:rsidR="000A2CDC">
        <w:t>.</w:t>
      </w:r>
    </w:p>
    <w:p w14:paraId="204F3718" w14:textId="77777777" w:rsidR="001E3EF1" w:rsidRDefault="001E3EF1" w:rsidP="00BD7D55">
      <w:r w:rsidRPr="001E3EF1">
        <w:t xml:space="preserve">Men: 50 </w:t>
      </w:r>
      <w:r w:rsidR="00D578E9">
        <w:t>µg</w:t>
      </w:r>
      <w:r w:rsidRPr="001E3EF1">
        <w:t xml:space="preserve">, one </w:t>
      </w:r>
      <w:r>
        <w:t>h</w:t>
      </w:r>
      <w:r w:rsidRPr="001E3EF1">
        <w:t>our before bedtime, taken without water</w:t>
      </w:r>
      <w:r w:rsidR="000A2CDC">
        <w:t>.</w:t>
      </w:r>
    </w:p>
    <w:p w14:paraId="1A016338" w14:textId="77777777" w:rsidR="00586F98" w:rsidRDefault="00586F98" w:rsidP="00BD7D55">
      <w:pPr>
        <w:pStyle w:val="Heading2"/>
      </w:pPr>
      <w:bookmarkStart w:id="11" w:name="_Toc500838965"/>
      <w:r w:rsidRPr="0094614A">
        <w:t>Clinical rationale</w:t>
      </w:r>
      <w:bookmarkEnd w:id="11"/>
    </w:p>
    <w:p w14:paraId="42482A78" w14:textId="77777777" w:rsidR="001E3EF1" w:rsidRPr="001E3EF1" w:rsidRDefault="001E3EF1" w:rsidP="00BD7D55">
      <w:pPr>
        <w:pStyle w:val="Heading3"/>
      </w:pPr>
      <w:bookmarkStart w:id="12" w:name="_Toc500838966"/>
      <w:r w:rsidRPr="00BD7D55">
        <w:t>Desmopressin</w:t>
      </w:r>
      <w:bookmarkEnd w:id="12"/>
    </w:p>
    <w:p w14:paraId="6592103D" w14:textId="77777777" w:rsidR="001E3EF1" w:rsidRPr="001E3EF1" w:rsidRDefault="001E3EF1" w:rsidP="00BD7D55">
      <w:r w:rsidRPr="001E3EF1">
        <w:t>Desmopressin is a synthetic analogue of endogenous (pituitary) arginine vasopressin. It is an antidiuretic hormone that prevents excessive water loss in urine. Compared to vasopressin, desmopressin is longer acting, has greater anti-diuretic properties and lacks a pressor effect at clinically relevant doses.</w:t>
      </w:r>
    </w:p>
    <w:p w14:paraId="2F85DB6A" w14:textId="77777777" w:rsidR="001E3EF1" w:rsidRPr="001E3EF1" w:rsidRDefault="001E3EF1" w:rsidP="00BD7D55">
      <w:r w:rsidRPr="001E3EF1">
        <w:t xml:space="preserve">Besides the antidiuretic effect, desmopressin has a haematological effect. In higher doses it increases circulating levels of factor </w:t>
      </w:r>
      <w:r w:rsidR="00D578E9">
        <w:t>VIII and von Willebrand factor.</w:t>
      </w:r>
    </w:p>
    <w:p w14:paraId="3D3F3086" w14:textId="77777777" w:rsidR="001E3EF1" w:rsidRPr="001E3EF1" w:rsidRDefault="001E3EF1" w:rsidP="00BD7D55">
      <w:r w:rsidRPr="001E3EF1">
        <w:t>Desmopressin is currently available in Australia in various presentations (IM/IV injection, oral tablet, sublingual wafer/melt) for several indications:</w:t>
      </w:r>
    </w:p>
    <w:p w14:paraId="3C35554E" w14:textId="77777777" w:rsidR="001E3EF1" w:rsidRPr="00BD7D55" w:rsidRDefault="001E3EF1" w:rsidP="00BD7D55">
      <w:pPr>
        <w:pStyle w:val="ListBullet"/>
      </w:pPr>
      <w:r w:rsidRPr="00BD7D55">
        <w:t>Treatment of patients with diabetes insipidus who have a deficiency</w:t>
      </w:r>
      <w:r w:rsidR="006648C5" w:rsidRPr="00BD7D55">
        <w:t xml:space="preserve"> of endogenous vasopressin (100 to </w:t>
      </w:r>
      <w:r w:rsidRPr="00BD7D55">
        <w:t>1</w:t>
      </w:r>
      <w:r w:rsidR="006648C5" w:rsidRPr="00BD7D55">
        <w:t>,</w:t>
      </w:r>
      <w:r w:rsidRPr="00BD7D55">
        <w:t xml:space="preserve">200 </w:t>
      </w:r>
      <w:r w:rsidR="00D578E9" w:rsidRPr="00BD7D55">
        <w:t>µ</w:t>
      </w:r>
      <w:r w:rsidRPr="00BD7D55">
        <w:t>g per day, divided into 2 or 3 doses).</w:t>
      </w:r>
    </w:p>
    <w:p w14:paraId="651655E5" w14:textId="77777777" w:rsidR="001E3EF1" w:rsidRPr="00BD7D55" w:rsidRDefault="001E3EF1" w:rsidP="00BD7D55">
      <w:pPr>
        <w:pStyle w:val="ListBullet"/>
      </w:pPr>
      <w:r w:rsidRPr="00BD7D55">
        <w:t>Measurement of the kidney’s ability to concentrate urine (</w:t>
      </w:r>
      <w:r w:rsidR="00D578E9" w:rsidRPr="00BD7D55">
        <w:t>that is</w:t>
      </w:r>
      <w:r w:rsidRPr="00BD7D55">
        <w:t xml:space="preserve">, renal concentration capacity testing [RCCT]) or patients with suspected renal disease (single dose of 600 </w:t>
      </w:r>
      <w:r w:rsidR="00D578E9" w:rsidRPr="00BD7D55">
        <w:t>µg).</w:t>
      </w:r>
    </w:p>
    <w:p w14:paraId="24EA13C0" w14:textId="77777777" w:rsidR="001E3EF1" w:rsidRPr="00BD7D55" w:rsidRDefault="001E3EF1" w:rsidP="00BD7D55">
      <w:pPr>
        <w:pStyle w:val="ListBullet"/>
      </w:pPr>
      <w:r w:rsidRPr="00BD7D55">
        <w:t>Treatment of children and young adults with p</w:t>
      </w:r>
      <w:r w:rsidR="00D578E9" w:rsidRPr="00BD7D55">
        <w:t xml:space="preserve">rimary nocturnal enuresis (200 to </w:t>
      </w:r>
      <w:r w:rsidRPr="00BD7D55">
        <w:t xml:space="preserve">600 </w:t>
      </w:r>
      <w:r w:rsidR="00D578E9" w:rsidRPr="00BD7D55">
        <w:t>µg</w:t>
      </w:r>
      <w:r w:rsidRPr="00BD7D55">
        <w:t xml:space="preserve"> at bedtime).</w:t>
      </w:r>
    </w:p>
    <w:p w14:paraId="43047342" w14:textId="77777777" w:rsidR="001E3EF1" w:rsidRPr="001E3EF1" w:rsidRDefault="001E3EF1" w:rsidP="00BD7D55">
      <w:pPr>
        <w:pStyle w:val="ListBullet"/>
      </w:pPr>
      <w:r w:rsidRPr="00BD7D55">
        <w:t xml:space="preserve">To prevent bleeding in patients with haemophilia A or type 1 von </w:t>
      </w:r>
      <w:proofErr w:type="spellStart"/>
      <w:r w:rsidRPr="00BD7D55">
        <w:t>Willebrand’s</w:t>
      </w:r>
      <w:proofErr w:type="spellEnd"/>
      <w:r w:rsidRPr="00BD7D55">
        <w:t xml:space="preserve"> Disease (</w:t>
      </w:r>
      <w:r w:rsidR="00D578E9" w:rsidRPr="00BD7D55">
        <w:t>SC </w:t>
      </w:r>
      <w:r w:rsidRPr="00BD7D55">
        <w:t>injection or</w:t>
      </w:r>
      <w:r w:rsidRPr="001E3EF1">
        <w:t xml:space="preserve"> a higher dose of nasal spray).</w:t>
      </w:r>
    </w:p>
    <w:p w14:paraId="1CC681E5" w14:textId="77777777" w:rsidR="001E3EF1" w:rsidRPr="001E3EF1" w:rsidRDefault="00D578E9" w:rsidP="00BD7D55">
      <w:pPr>
        <w:pStyle w:val="Tabletitle"/>
      </w:pPr>
      <w:r>
        <w:t xml:space="preserve">Table 1: </w:t>
      </w:r>
      <w:r w:rsidR="001E3EF1" w:rsidRPr="001E3EF1">
        <w:t xml:space="preserve">Medicines </w:t>
      </w:r>
      <w:r w:rsidR="001E3EF1" w:rsidRPr="00BD7D55">
        <w:t>registered</w:t>
      </w:r>
      <w:r w:rsidR="001E3EF1" w:rsidRPr="001E3EF1">
        <w:t xml:space="preserve"> in Au</w:t>
      </w:r>
      <w:r>
        <w:t>stralia containing desmopressin</w:t>
      </w:r>
    </w:p>
    <w:tbl>
      <w:tblPr>
        <w:tblStyle w:val="TableTGAblue"/>
        <w:tblW w:w="0" w:type="auto"/>
        <w:tblLook w:val="04A0" w:firstRow="1" w:lastRow="0" w:firstColumn="1" w:lastColumn="0" w:noHBand="0" w:noVBand="1"/>
      </w:tblPr>
      <w:tblGrid>
        <w:gridCol w:w="1446"/>
        <w:gridCol w:w="1316"/>
        <w:gridCol w:w="2410"/>
        <w:gridCol w:w="1701"/>
        <w:gridCol w:w="1701"/>
      </w:tblGrid>
      <w:tr w:rsidR="001E3EF1" w:rsidRPr="00D578E9" w14:paraId="138B8AA3" w14:textId="77777777" w:rsidTr="00D578E9">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446" w:type="dxa"/>
          </w:tcPr>
          <w:p w14:paraId="0671FCA5" w14:textId="77777777" w:rsidR="001E3EF1" w:rsidRPr="00D578E9" w:rsidRDefault="001E3EF1" w:rsidP="00D578E9">
            <w:pPr>
              <w:ind w:left="0" w:right="0"/>
              <w:rPr>
                <w:sz w:val="20"/>
                <w:szCs w:val="20"/>
              </w:rPr>
            </w:pPr>
            <w:r w:rsidRPr="00D578E9">
              <w:rPr>
                <w:sz w:val="20"/>
                <w:szCs w:val="20"/>
              </w:rPr>
              <w:t>Tradename</w:t>
            </w:r>
          </w:p>
        </w:tc>
        <w:tc>
          <w:tcPr>
            <w:tcW w:w="916" w:type="dxa"/>
          </w:tcPr>
          <w:p w14:paraId="5DF6003C" w14:textId="77777777" w:rsidR="001E3EF1" w:rsidRPr="00D578E9" w:rsidRDefault="001E3EF1" w:rsidP="00D578E9">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D578E9">
              <w:rPr>
                <w:sz w:val="20"/>
                <w:szCs w:val="20"/>
              </w:rPr>
              <w:t>Date of</w:t>
            </w:r>
            <w:r w:rsidR="00D578E9">
              <w:rPr>
                <w:sz w:val="20"/>
                <w:szCs w:val="20"/>
              </w:rPr>
              <w:t xml:space="preserve"> </w:t>
            </w:r>
            <w:r w:rsidRPr="00D578E9">
              <w:rPr>
                <w:sz w:val="20"/>
                <w:szCs w:val="20"/>
              </w:rPr>
              <w:t>1st reg</w:t>
            </w:r>
            <w:r w:rsidR="00604B45">
              <w:rPr>
                <w:sz w:val="20"/>
                <w:szCs w:val="20"/>
              </w:rPr>
              <w:t>istration</w:t>
            </w:r>
          </w:p>
        </w:tc>
        <w:tc>
          <w:tcPr>
            <w:tcW w:w="2410" w:type="dxa"/>
          </w:tcPr>
          <w:p w14:paraId="4173E3C6" w14:textId="77777777" w:rsidR="001E3EF1" w:rsidRPr="00D578E9" w:rsidRDefault="001E3EF1" w:rsidP="00D578E9">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D578E9">
              <w:rPr>
                <w:sz w:val="20"/>
                <w:szCs w:val="20"/>
              </w:rPr>
              <w:t>Presentation</w:t>
            </w:r>
          </w:p>
        </w:tc>
        <w:tc>
          <w:tcPr>
            <w:tcW w:w="1701" w:type="dxa"/>
          </w:tcPr>
          <w:p w14:paraId="15F604F0" w14:textId="77777777" w:rsidR="001E3EF1" w:rsidRPr="00D578E9" w:rsidRDefault="001E3EF1" w:rsidP="00D578E9">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D578E9">
              <w:rPr>
                <w:sz w:val="20"/>
                <w:szCs w:val="20"/>
              </w:rPr>
              <w:t>Abbreviated indications</w:t>
            </w:r>
          </w:p>
        </w:tc>
        <w:tc>
          <w:tcPr>
            <w:tcW w:w="1701" w:type="dxa"/>
          </w:tcPr>
          <w:p w14:paraId="1A283525" w14:textId="77777777" w:rsidR="001E3EF1" w:rsidRPr="00D578E9" w:rsidRDefault="001E3EF1" w:rsidP="00D578E9">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D578E9">
              <w:rPr>
                <w:sz w:val="20"/>
                <w:szCs w:val="20"/>
              </w:rPr>
              <w:t>Dosage</w:t>
            </w:r>
          </w:p>
        </w:tc>
      </w:tr>
      <w:tr w:rsidR="001E3EF1" w:rsidRPr="00D578E9" w14:paraId="09AAF6C1" w14:textId="77777777" w:rsidTr="001E3EF1">
        <w:tc>
          <w:tcPr>
            <w:cnfStyle w:val="001000000000" w:firstRow="0" w:lastRow="0" w:firstColumn="1" w:lastColumn="0" w:oddVBand="0" w:evenVBand="0" w:oddHBand="0" w:evenHBand="0" w:firstRowFirstColumn="0" w:firstRowLastColumn="0" w:lastRowFirstColumn="0" w:lastRowLastColumn="0"/>
            <w:tcW w:w="1446" w:type="dxa"/>
          </w:tcPr>
          <w:p w14:paraId="6B52398C" w14:textId="77777777" w:rsidR="001E3EF1" w:rsidRPr="00D578E9" w:rsidRDefault="001E3EF1" w:rsidP="00D578E9">
            <w:pPr>
              <w:ind w:left="0" w:right="0"/>
              <w:rPr>
                <w:sz w:val="20"/>
                <w:szCs w:val="20"/>
              </w:rPr>
            </w:pPr>
            <w:r w:rsidRPr="00D578E9">
              <w:rPr>
                <w:sz w:val="20"/>
                <w:szCs w:val="20"/>
              </w:rPr>
              <w:t>Minirin</w:t>
            </w:r>
          </w:p>
          <w:p w14:paraId="4C76A1C0" w14:textId="77777777" w:rsidR="001E3EF1" w:rsidRPr="00D578E9" w:rsidRDefault="001E3EF1" w:rsidP="00D578E9">
            <w:pPr>
              <w:ind w:left="0" w:right="0"/>
              <w:rPr>
                <w:sz w:val="20"/>
                <w:szCs w:val="20"/>
              </w:rPr>
            </w:pPr>
          </w:p>
          <w:p w14:paraId="7E28202F" w14:textId="77777777" w:rsidR="001E3EF1" w:rsidRPr="00D578E9" w:rsidRDefault="001E3EF1" w:rsidP="00D578E9">
            <w:pPr>
              <w:ind w:left="0" w:right="0"/>
              <w:rPr>
                <w:sz w:val="20"/>
                <w:szCs w:val="20"/>
              </w:rPr>
            </w:pPr>
            <w:proofErr w:type="spellStart"/>
            <w:r w:rsidRPr="00D578E9">
              <w:rPr>
                <w:sz w:val="20"/>
                <w:szCs w:val="20"/>
              </w:rPr>
              <w:t>Octostim</w:t>
            </w:r>
            <w:proofErr w:type="spellEnd"/>
          </w:p>
        </w:tc>
        <w:tc>
          <w:tcPr>
            <w:tcW w:w="916" w:type="dxa"/>
          </w:tcPr>
          <w:p w14:paraId="64679851" w14:textId="77777777" w:rsidR="001E3EF1" w:rsidRPr="00D578E9" w:rsidRDefault="001E3EF1" w:rsidP="00D578E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578E9">
              <w:rPr>
                <w:sz w:val="20"/>
                <w:szCs w:val="20"/>
              </w:rPr>
              <w:t>1993</w:t>
            </w:r>
          </w:p>
        </w:tc>
        <w:tc>
          <w:tcPr>
            <w:tcW w:w="2410" w:type="dxa"/>
          </w:tcPr>
          <w:p w14:paraId="754B5555" w14:textId="77777777" w:rsidR="001E3EF1" w:rsidRPr="00D578E9" w:rsidRDefault="001E3EF1" w:rsidP="00D578E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578E9">
              <w:rPr>
                <w:sz w:val="20"/>
                <w:szCs w:val="20"/>
              </w:rPr>
              <w:t>Minirin intranasal solution</w:t>
            </w:r>
          </w:p>
          <w:p w14:paraId="66158C06" w14:textId="77777777" w:rsidR="001E3EF1" w:rsidRPr="00D578E9" w:rsidRDefault="001E3EF1" w:rsidP="00D578E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578E9">
              <w:rPr>
                <w:sz w:val="20"/>
                <w:szCs w:val="20"/>
              </w:rPr>
              <w:t xml:space="preserve">Dropper bottles, 2.5 mL, 100 </w:t>
            </w:r>
            <w:r w:rsidR="00D578E9" w:rsidRPr="00D578E9">
              <w:rPr>
                <w:sz w:val="20"/>
                <w:szCs w:val="20"/>
              </w:rPr>
              <w:t>µg</w:t>
            </w:r>
            <w:r w:rsidRPr="00D578E9">
              <w:rPr>
                <w:sz w:val="20"/>
                <w:szCs w:val="20"/>
              </w:rPr>
              <w:t>/mL</w:t>
            </w:r>
          </w:p>
          <w:p w14:paraId="63A99C9E" w14:textId="77777777" w:rsidR="001E3EF1" w:rsidRPr="00D578E9" w:rsidRDefault="001E3EF1" w:rsidP="00D578E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578E9">
              <w:rPr>
                <w:sz w:val="20"/>
                <w:szCs w:val="20"/>
              </w:rPr>
              <w:t xml:space="preserve">Minirin injection </w:t>
            </w:r>
            <w:r w:rsidR="006648C5">
              <w:rPr>
                <w:sz w:val="20"/>
                <w:szCs w:val="20"/>
              </w:rPr>
              <w:t>4 </w:t>
            </w:r>
            <w:r w:rsidR="00D578E9" w:rsidRPr="00D578E9">
              <w:rPr>
                <w:sz w:val="20"/>
                <w:szCs w:val="20"/>
              </w:rPr>
              <w:t>µg</w:t>
            </w:r>
            <w:r w:rsidRPr="00D578E9">
              <w:rPr>
                <w:sz w:val="20"/>
                <w:szCs w:val="20"/>
              </w:rPr>
              <w:t>/mL, box of 10 ampoules of 1 mL</w:t>
            </w:r>
          </w:p>
          <w:p w14:paraId="7CEA3C73" w14:textId="77777777" w:rsidR="001E3EF1" w:rsidRPr="00D578E9" w:rsidRDefault="001E3EF1" w:rsidP="00D578E9">
            <w:pPr>
              <w:ind w:left="0" w:right="0"/>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D578E9">
              <w:rPr>
                <w:sz w:val="20"/>
                <w:szCs w:val="20"/>
              </w:rPr>
              <w:t>Octostim</w:t>
            </w:r>
            <w:proofErr w:type="spellEnd"/>
            <w:r w:rsidRPr="00D578E9">
              <w:rPr>
                <w:sz w:val="20"/>
                <w:szCs w:val="20"/>
              </w:rPr>
              <w:t xml:space="preserve"> injection</w:t>
            </w:r>
            <w:r w:rsidR="006648C5">
              <w:rPr>
                <w:sz w:val="20"/>
                <w:szCs w:val="20"/>
              </w:rPr>
              <w:t xml:space="preserve"> 15 </w:t>
            </w:r>
            <w:r w:rsidR="00D578E9" w:rsidRPr="00D578E9">
              <w:rPr>
                <w:sz w:val="20"/>
                <w:szCs w:val="20"/>
              </w:rPr>
              <w:t>µg</w:t>
            </w:r>
            <w:r w:rsidRPr="00D578E9">
              <w:rPr>
                <w:sz w:val="20"/>
                <w:szCs w:val="20"/>
              </w:rPr>
              <w:t>/mL, box of 10 ampoules of 1 mL</w:t>
            </w:r>
          </w:p>
        </w:tc>
        <w:tc>
          <w:tcPr>
            <w:tcW w:w="1701" w:type="dxa"/>
          </w:tcPr>
          <w:p w14:paraId="411E0CED" w14:textId="77777777" w:rsidR="001E3EF1" w:rsidRPr="00D578E9" w:rsidRDefault="001E3EF1" w:rsidP="00D578E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578E9">
              <w:rPr>
                <w:sz w:val="20"/>
                <w:szCs w:val="20"/>
              </w:rPr>
              <w:t>Central/cranial diabetes insipidus (CDI)</w:t>
            </w:r>
          </w:p>
          <w:p w14:paraId="38E2B165" w14:textId="77777777" w:rsidR="001E3EF1" w:rsidRPr="00D578E9" w:rsidRDefault="001E3EF1" w:rsidP="00D578E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578E9">
              <w:rPr>
                <w:sz w:val="20"/>
                <w:szCs w:val="20"/>
              </w:rPr>
              <w:t>Diagnostic assessment of renal concentrating capacity</w:t>
            </w:r>
          </w:p>
          <w:p w14:paraId="6BBC4C9A" w14:textId="77777777" w:rsidR="001E3EF1" w:rsidRPr="00D578E9" w:rsidRDefault="001E3EF1" w:rsidP="00D578E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578E9">
              <w:rPr>
                <w:sz w:val="20"/>
                <w:szCs w:val="20"/>
              </w:rPr>
              <w:t xml:space="preserve">Mild/moderate haemophilia A, </w:t>
            </w:r>
            <w:r w:rsidR="00D578E9">
              <w:rPr>
                <w:sz w:val="20"/>
                <w:szCs w:val="20"/>
              </w:rPr>
              <w:t>etcetera</w:t>
            </w:r>
            <w:r w:rsidRPr="00D578E9">
              <w:rPr>
                <w:sz w:val="20"/>
                <w:szCs w:val="20"/>
              </w:rPr>
              <w:t xml:space="preserve"> </w:t>
            </w:r>
          </w:p>
        </w:tc>
        <w:tc>
          <w:tcPr>
            <w:tcW w:w="1701" w:type="dxa"/>
          </w:tcPr>
          <w:p w14:paraId="31D392C7" w14:textId="77777777" w:rsidR="001E3EF1" w:rsidRPr="00D578E9" w:rsidRDefault="006648C5" w:rsidP="00D578E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578E9">
              <w:rPr>
                <w:sz w:val="20"/>
                <w:szCs w:val="20"/>
              </w:rPr>
              <w:t>I</w:t>
            </w:r>
            <w:r w:rsidR="001E3EF1" w:rsidRPr="00D578E9">
              <w:rPr>
                <w:sz w:val="20"/>
                <w:szCs w:val="20"/>
              </w:rPr>
              <w:t>ntranasal</w:t>
            </w:r>
            <w:r>
              <w:rPr>
                <w:sz w:val="20"/>
                <w:szCs w:val="20"/>
              </w:rPr>
              <w:t xml:space="preserve"> </w:t>
            </w:r>
            <w:r w:rsidR="00D578E9">
              <w:rPr>
                <w:sz w:val="20"/>
                <w:szCs w:val="20"/>
              </w:rPr>
              <w:t xml:space="preserve">10 to </w:t>
            </w:r>
            <w:r w:rsidR="001E3EF1" w:rsidRPr="00D578E9">
              <w:rPr>
                <w:sz w:val="20"/>
                <w:szCs w:val="20"/>
              </w:rPr>
              <w:t xml:space="preserve">40 </w:t>
            </w:r>
            <w:r w:rsidR="00D578E9" w:rsidRPr="00D578E9">
              <w:rPr>
                <w:sz w:val="20"/>
                <w:szCs w:val="20"/>
              </w:rPr>
              <w:t>µg</w:t>
            </w:r>
          </w:p>
          <w:p w14:paraId="1CB2A640" w14:textId="77777777" w:rsidR="001E3EF1" w:rsidRPr="00D578E9" w:rsidRDefault="001E3EF1" w:rsidP="00D578E9">
            <w:pPr>
              <w:ind w:left="0" w:right="0"/>
              <w:cnfStyle w:val="000000000000" w:firstRow="0" w:lastRow="0" w:firstColumn="0" w:lastColumn="0" w:oddVBand="0" w:evenVBand="0" w:oddHBand="0" w:evenHBand="0" w:firstRowFirstColumn="0" w:firstRowLastColumn="0" w:lastRowFirstColumn="0" w:lastRowLastColumn="0"/>
              <w:rPr>
                <w:sz w:val="20"/>
                <w:szCs w:val="20"/>
              </w:rPr>
            </w:pPr>
          </w:p>
          <w:p w14:paraId="0CA0A372" w14:textId="77777777" w:rsidR="001E3EF1" w:rsidRPr="00D578E9" w:rsidRDefault="001E3EF1" w:rsidP="00D578E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578E9">
              <w:rPr>
                <w:sz w:val="20"/>
                <w:szCs w:val="20"/>
              </w:rPr>
              <w:t>IM/IV</w:t>
            </w:r>
            <w:r w:rsidR="00D578E9">
              <w:rPr>
                <w:sz w:val="20"/>
                <w:szCs w:val="20"/>
              </w:rPr>
              <w:t xml:space="preserve"> 1 to 4 </w:t>
            </w:r>
            <w:r w:rsidR="00D578E9" w:rsidRPr="00D578E9">
              <w:rPr>
                <w:sz w:val="20"/>
                <w:szCs w:val="20"/>
              </w:rPr>
              <w:t>µg</w:t>
            </w:r>
          </w:p>
        </w:tc>
      </w:tr>
      <w:tr w:rsidR="001E3EF1" w:rsidRPr="00D578E9" w14:paraId="78926CE8" w14:textId="77777777" w:rsidTr="001E3EF1">
        <w:tc>
          <w:tcPr>
            <w:cnfStyle w:val="001000000000" w:firstRow="0" w:lastRow="0" w:firstColumn="1" w:lastColumn="0" w:oddVBand="0" w:evenVBand="0" w:oddHBand="0" w:evenHBand="0" w:firstRowFirstColumn="0" w:firstRowLastColumn="0" w:lastRowFirstColumn="0" w:lastRowLastColumn="0"/>
            <w:tcW w:w="1446" w:type="dxa"/>
          </w:tcPr>
          <w:p w14:paraId="7EC8EF46" w14:textId="77777777" w:rsidR="001E3EF1" w:rsidRPr="00D578E9" w:rsidRDefault="001E3EF1" w:rsidP="00D578E9">
            <w:pPr>
              <w:ind w:left="0" w:right="0"/>
              <w:rPr>
                <w:sz w:val="20"/>
                <w:szCs w:val="20"/>
              </w:rPr>
            </w:pPr>
            <w:r w:rsidRPr="00D578E9">
              <w:rPr>
                <w:sz w:val="20"/>
                <w:szCs w:val="20"/>
              </w:rPr>
              <w:lastRenderedPageBreak/>
              <w:t>Minirin</w:t>
            </w:r>
            <w:r w:rsidR="006648C5">
              <w:rPr>
                <w:sz w:val="20"/>
                <w:szCs w:val="20"/>
              </w:rPr>
              <w:t xml:space="preserve"> </w:t>
            </w:r>
            <w:r w:rsidRPr="00D578E9">
              <w:rPr>
                <w:sz w:val="20"/>
                <w:szCs w:val="20"/>
              </w:rPr>
              <w:t>nasal spray</w:t>
            </w:r>
          </w:p>
        </w:tc>
        <w:tc>
          <w:tcPr>
            <w:tcW w:w="916" w:type="dxa"/>
          </w:tcPr>
          <w:p w14:paraId="7D90543A" w14:textId="77777777" w:rsidR="001E3EF1" w:rsidRPr="00D578E9" w:rsidRDefault="001E3EF1" w:rsidP="00D578E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578E9">
              <w:rPr>
                <w:sz w:val="20"/>
                <w:szCs w:val="20"/>
              </w:rPr>
              <w:t>1997</w:t>
            </w:r>
          </w:p>
        </w:tc>
        <w:tc>
          <w:tcPr>
            <w:tcW w:w="2410" w:type="dxa"/>
          </w:tcPr>
          <w:p w14:paraId="24FC2265" w14:textId="77777777" w:rsidR="001E3EF1" w:rsidRPr="00D578E9" w:rsidRDefault="001E3EF1" w:rsidP="00D578E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578E9">
              <w:rPr>
                <w:sz w:val="20"/>
                <w:szCs w:val="20"/>
              </w:rPr>
              <w:t xml:space="preserve">6 mL spray pump, delivering 60 doses of 10 </w:t>
            </w:r>
            <w:r w:rsidR="00D578E9" w:rsidRPr="00D578E9">
              <w:rPr>
                <w:sz w:val="20"/>
                <w:szCs w:val="20"/>
              </w:rPr>
              <w:t>µg</w:t>
            </w:r>
            <w:r w:rsidRPr="00D578E9">
              <w:rPr>
                <w:sz w:val="20"/>
                <w:szCs w:val="20"/>
              </w:rPr>
              <w:t>, intranasal</w:t>
            </w:r>
          </w:p>
        </w:tc>
        <w:tc>
          <w:tcPr>
            <w:tcW w:w="1701" w:type="dxa"/>
          </w:tcPr>
          <w:p w14:paraId="77C030C3" w14:textId="77777777" w:rsidR="001E3EF1" w:rsidRPr="00D578E9" w:rsidRDefault="001E3EF1" w:rsidP="00D578E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578E9">
              <w:rPr>
                <w:sz w:val="20"/>
                <w:szCs w:val="20"/>
              </w:rPr>
              <w:t>CDI</w:t>
            </w:r>
            <w:r w:rsidR="006648C5">
              <w:rPr>
                <w:sz w:val="20"/>
                <w:szCs w:val="20"/>
              </w:rPr>
              <w:t>,</w:t>
            </w:r>
            <w:r w:rsidRPr="00D578E9">
              <w:rPr>
                <w:sz w:val="20"/>
                <w:szCs w:val="20"/>
              </w:rPr>
              <w:t xml:space="preserve"> Nocturnal enuresis</w:t>
            </w:r>
            <w:r w:rsidR="00D578E9">
              <w:rPr>
                <w:sz w:val="20"/>
                <w:szCs w:val="20"/>
              </w:rPr>
              <w:t xml:space="preserve"> </w:t>
            </w:r>
            <w:r w:rsidRPr="00D578E9">
              <w:rPr>
                <w:sz w:val="20"/>
                <w:szCs w:val="20"/>
              </w:rPr>
              <w:t>6</w:t>
            </w:r>
            <w:r w:rsidR="00D578E9">
              <w:rPr>
                <w:sz w:val="20"/>
                <w:szCs w:val="20"/>
              </w:rPr>
              <w:t> + </w:t>
            </w:r>
            <w:r w:rsidRPr="00D578E9">
              <w:rPr>
                <w:sz w:val="20"/>
                <w:szCs w:val="20"/>
              </w:rPr>
              <w:t>years</w:t>
            </w:r>
            <w:r w:rsidR="00D578E9">
              <w:rPr>
                <w:sz w:val="20"/>
                <w:szCs w:val="20"/>
              </w:rPr>
              <w:t xml:space="preserve"> </w:t>
            </w:r>
            <w:r w:rsidRPr="00D578E9">
              <w:rPr>
                <w:sz w:val="20"/>
                <w:szCs w:val="20"/>
              </w:rPr>
              <w:t>refractory to alarm or</w:t>
            </w:r>
            <w:r w:rsidR="00D578E9">
              <w:rPr>
                <w:sz w:val="20"/>
                <w:szCs w:val="20"/>
              </w:rPr>
              <w:t xml:space="preserve"> </w:t>
            </w:r>
            <w:r w:rsidRPr="00D578E9">
              <w:rPr>
                <w:sz w:val="20"/>
                <w:szCs w:val="20"/>
              </w:rPr>
              <w:t>alarm not suitable</w:t>
            </w:r>
          </w:p>
        </w:tc>
        <w:tc>
          <w:tcPr>
            <w:tcW w:w="1701" w:type="dxa"/>
          </w:tcPr>
          <w:p w14:paraId="231BB243" w14:textId="77777777" w:rsidR="001E3EF1" w:rsidRPr="00D578E9" w:rsidRDefault="00D578E9" w:rsidP="00D578E9">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10 to </w:t>
            </w:r>
            <w:r w:rsidR="001E3EF1" w:rsidRPr="00D578E9">
              <w:rPr>
                <w:sz w:val="20"/>
                <w:szCs w:val="20"/>
              </w:rPr>
              <w:t xml:space="preserve">40 </w:t>
            </w:r>
            <w:r w:rsidRPr="00D578E9">
              <w:rPr>
                <w:sz w:val="20"/>
                <w:szCs w:val="20"/>
              </w:rPr>
              <w:t>µg</w:t>
            </w:r>
          </w:p>
        </w:tc>
      </w:tr>
      <w:tr w:rsidR="001E3EF1" w:rsidRPr="00D578E9" w14:paraId="550B458A" w14:textId="77777777" w:rsidTr="001E3EF1">
        <w:tc>
          <w:tcPr>
            <w:cnfStyle w:val="001000000000" w:firstRow="0" w:lastRow="0" w:firstColumn="1" w:lastColumn="0" w:oddVBand="0" w:evenVBand="0" w:oddHBand="0" w:evenHBand="0" w:firstRowFirstColumn="0" w:firstRowLastColumn="0" w:lastRowFirstColumn="0" w:lastRowLastColumn="0"/>
            <w:tcW w:w="1446" w:type="dxa"/>
          </w:tcPr>
          <w:p w14:paraId="246905CE" w14:textId="77777777" w:rsidR="001E3EF1" w:rsidRPr="00D578E9" w:rsidRDefault="001E3EF1" w:rsidP="00D578E9">
            <w:pPr>
              <w:ind w:left="0" w:right="0"/>
              <w:rPr>
                <w:sz w:val="20"/>
                <w:szCs w:val="20"/>
              </w:rPr>
            </w:pPr>
            <w:r w:rsidRPr="00D578E9">
              <w:rPr>
                <w:sz w:val="20"/>
                <w:szCs w:val="20"/>
              </w:rPr>
              <w:t>Minirin tablet</w:t>
            </w:r>
          </w:p>
        </w:tc>
        <w:tc>
          <w:tcPr>
            <w:tcW w:w="916" w:type="dxa"/>
          </w:tcPr>
          <w:p w14:paraId="6C107DAF" w14:textId="77777777" w:rsidR="001E3EF1" w:rsidRPr="00D578E9" w:rsidRDefault="001E3EF1" w:rsidP="00D578E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578E9">
              <w:rPr>
                <w:sz w:val="20"/>
                <w:szCs w:val="20"/>
              </w:rPr>
              <w:t>2003</w:t>
            </w:r>
          </w:p>
        </w:tc>
        <w:tc>
          <w:tcPr>
            <w:tcW w:w="2410" w:type="dxa"/>
          </w:tcPr>
          <w:p w14:paraId="4FB29836" w14:textId="77777777" w:rsidR="001E3EF1" w:rsidRPr="00D578E9" w:rsidRDefault="001E3EF1" w:rsidP="00D578E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578E9">
              <w:rPr>
                <w:sz w:val="20"/>
                <w:szCs w:val="20"/>
              </w:rPr>
              <w:t xml:space="preserve">100 </w:t>
            </w:r>
            <w:r w:rsidR="00D578E9" w:rsidRPr="00D578E9">
              <w:rPr>
                <w:sz w:val="20"/>
                <w:szCs w:val="20"/>
              </w:rPr>
              <w:t>µg</w:t>
            </w:r>
            <w:r w:rsidRPr="00D578E9">
              <w:rPr>
                <w:sz w:val="20"/>
                <w:szCs w:val="20"/>
              </w:rPr>
              <w:t xml:space="preserve"> and 200 </w:t>
            </w:r>
            <w:r w:rsidR="00D578E9" w:rsidRPr="00D578E9">
              <w:rPr>
                <w:sz w:val="20"/>
                <w:szCs w:val="20"/>
              </w:rPr>
              <w:t>µg</w:t>
            </w:r>
            <w:r w:rsidRPr="00D578E9">
              <w:rPr>
                <w:sz w:val="20"/>
                <w:szCs w:val="20"/>
              </w:rPr>
              <w:t xml:space="preserve"> tablets</w:t>
            </w:r>
          </w:p>
        </w:tc>
        <w:tc>
          <w:tcPr>
            <w:tcW w:w="1701" w:type="dxa"/>
          </w:tcPr>
          <w:p w14:paraId="1186305A" w14:textId="77777777" w:rsidR="001E3EF1" w:rsidRPr="00D578E9" w:rsidRDefault="00D578E9" w:rsidP="00D578E9">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CDI</w:t>
            </w:r>
            <w:r w:rsidR="006648C5">
              <w:rPr>
                <w:sz w:val="20"/>
                <w:szCs w:val="20"/>
              </w:rPr>
              <w:t xml:space="preserve">, </w:t>
            </w:r>
            <w:r w:rsidR="001E3EF1" w:rsidRPr="00D578E9">
              <w:rPr>
                <w:sz w:val="20"/>
                <w:szCs w:val="20"/>
              </w:rPr>
              <w:t>Nocturnal enuresis</w:t>
            </w:r>
            <w:r>
              <w:rPr>
                <w:sz w:val="20"/>
                <w:szCs w:val="20"/>
              </w:rPr>
              <w:t xml:space="preserve"> </w:t>
            </w:r>
            <w:r w:rsidRPr="00D578E9">
              <w:rPr>
                <w:sz w:val="20"/>
                <w:szCs w:val="20"/>
              </w:rPr>
              <w:t>6</w:t>
            </w:r>
            <w:r>
              <w:rPr>
                <w:sz w:val="20"/>
                <w:szCs w:val="20"/>
              </w:rPr>
              <w:t> + </w:t>
            </w:r>
            <w:r w:rsidRPr="00D578E9">
              <w:rPr>
                <w:sz w:val="20"/>
                <w:szCs w:val="20"/>
              </w:rPr>
              <w:t>years</w:t>
            </w:r>
            <w:r>
              <w:rPr>
                <w:sz w:val="20"/>
                <w:szCs w:val="20"/>
              </w:rPr>
              <w:t xml:space="preserve"> refractory to alarm or </w:t>
            </w:r>
            <w:r w:rsidR="001E3EF1" w:rsidRPr="00D578E9">
              <w:rPr>
                <w:sz w:val="20"/>
                <w:szCs w:val="20"/>
              </w:rPr>
              <w:t>alarm not suitable</w:t>
            </w:r>
          </w:p>
        </w:tc>
        <w:tc>
          <w:tcPr>
            <w:tcW w:w="1701" w:type="dxa"/>
          </w:tcPr>
          <w:p w14:paraId="63F9B347" w14:textId="77777777" w:rsidR="001E3EF1" w:rsidRPr="00D578E9" w:rsidRDefault="00D578E9" w:rsidP="00D578E9">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 to 200 </w:t>
            </w:r>
            <w:r w:rsidRPr="00D578E9">
              <w:rPr>
                <w:sz w:val="20"/>
                <w:szCs w:val="20"/>
              </w:rPr>
              <w:t>µg</w:t>
            </w:r>
            <w:r w:rsidR="001E3EF1" w:rsidRPr="00D578E9">
              <w:rPr>
                <w:sz w:val="20"/>
                <w:szCs w:val="20"/>
              </w:rPr>
              <w:t xml:space="preserve"> x</w:t>
            </w:r>
            <w:r>
              <w:rPr>
                <w:sz w:val="20"/>
                <w:szCs w:val="20"/>
              </w:rPr>
              <w:t xml:space="preserve"> </w:t>
            </w:r>
            <w:r w:rsidR="001E3EF1" w:rsidRPr="00D578E9">
              <w:rPr>
                <w:sz w:val="20"/>
                <w:szCs w:val="20"/>
              </w:rPr>
              <w:t>3 per day</w:t>
            </w:r>
          </w:p>
          <w:p w14:paraId="7D5F88AD" w14:textId="77777777" w:rsidR="001E3EF1" w:rsidRPr="00D578E9" w:rsidRDefault="00D578E9" w:rsidP="00D578E9">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200 to </w:t>
            </w:r>
            <w:r w:rsidR="001E3EF1" w:rsidRPr="00D578E9">
              <w:rPr>
                <w:sz w:val="20"/>
                <w:szCs w:val="20"/>
              </w:rPr>
              <w:t xml:space="preserve">400 </w:t>
            </w:r>
            <w:r w:rsidRPr="00D578E9">
              <w:rPr>
                <w:sz w:val="20"/>
                <w:szCs w:val="20"/>
              </w:rPr>
              <w:t>µg</w:t>
            </w:r>
            <w:r w:rsidR="001E3EF1" w:rsidRPr="00D578E9">
              <w:rPr>
                <w:sz w:val="20"/>
                <w:szCs w:val="20"/>
              </w:rPr>
              <w:t xml:space="preserve"> at night</w:t>
            </w:r>
          </w:p>
        </w:tc>
      </w:tr>
      <w:tr w:rsidR="001E3EF1" w:rsidRPr="00D578E9" w14:paraId="3502868B" w14:textId="77777777" w:rsidTr="001E3EF1">
        <w:tc>
          <w:tcPr>
            <w:cnfStyle w:val="001000000000" w:firstRow="0" w:lastRow="0" w:firstColumn="1" w:lastColumn="0" w:oddVBand="0" w:evenVBand="0" w:oddHBand="0" w:evenHBand="0" w:firstRowFirstColumn="0" w:firstRowLastColumn="0" w:lastRowFirstColumn="0" w:lastRowLastColumn="0"/>
            <w:tcW w:w="1446" w:type="dxa"/>
          </w:tcPr>
          <w:p w14:paraId="2C77A02B" w14:textId="77777777" w:rsidR="001E3EF1" w:rsidRPr="00D578E9" w:rsidRDefault="001E3EF1" w:rsidP="00D578E9">
            <w:pPr>
              <w:ind w:left="0" w:right="0"/>
              <w:rPr>
                <w:sz w:val="20"/>
                <w:szCs w:val="20"/>
              </w:rPr>
            </w:pPr>
            <w:r w:rsidRPr="00D578E9">
              <w:rPr>
                <w:sz w:val="20"/>
                <w:szCs w:val="20"/>
              </w:rPr>
              <w:t>Minirin melt</w:t>
            </w:r>
            <w:r w:rsidR="006648C5">
              <w:rPr>
                <w:sz w:val="20"/>
                <w:szCs w:val="20"/>
              </w:rPr>
              <w:t xml:space="preserve"> </w:t>
            </w:r>
            <w:r w:rsidRPr="00D578E9">
              <w:rPr>
                <w:sz w:val="20"/>
                <w:szCs w:val="20"/>
              </w:rPr>
              <w:t>(ODST)</w:t>
            </w:r>
          </w:p>
        </w:tc>
        <w:tc>
          <w:tcPr>
            <w:tcW w:w="916" w:type="dxa"/>
          </w:tcPr>
          <w:p w14:paraId="04484DB8" w14:textId="77777777" w:rsidR="001E3EF1" w:rsidRPr="00D578E9" w:rsidRDefault="001E3EF1" w:rsidP="00D578E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578E9">
              <w:rPr>
                <w:sz w:val="20"/>
                <w:szCs w:val="20"/>
              </w:rPr>
              <w:t>2007</w:t>
            </w:r>
          </w:p>
        </w:tc>
        <w:tc>
          <w:tcPr>
            <w:tcW w:w="2410" w:type="dxa"/>
          </w:tcPr>
          <w:p w14:paraId="64DA32E1" w14:textId="77777777" w:rsidR="001E3EF1" w:rsidRPr="00D578E9" w:rsidRDefault="001E3EF1" w:rsidP="00D578E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578E9">
              <w:rPr>
                <w:sz w:val="20"/>
                <w:szCs w:val="20"/>
              </w:rPr>
              <w:t>Sublingual wafer</w:t>
            </w:r>
            <w:r w:rsidR="006648C5">
              <w:rPr>
                <w:sz w:val="20"/>
                <w:szCs w:val="20"/>
              </w:rPr>
              <w:t xml:space="preserve"> </w:t>
            </w:r>
            <w:r w:rsidRPr="00D578E9">
              <w:rPr>
                <w:sz w:val="20"/>
                <w:szCs w:val="20"/>
              </w:rPr>
              <w:t xml:space="preserve">60 </w:t>
            </w:r>
            <w:r w:rsidR="00D578E9" w:rsidRPr="00D578E9">
              <w:rPr>
                <w:sz w:val="20"/>
                <w:szCs w:val="20"/>
              </w:rPr>
              <w:t>µg</w:t>
            </w:r>
            <w:r w:rsidR="00D578E9">
              <w:rPr>
                <w:sz w:val="20"/>
                <w:szCs w:val="20"/>
              </w:rPr>
              <w:t xml:space="preserve">, </w:t>
            </w:r>
            <w:r w:rsidRPr="00D578E9">
              <w:rPr>
                <w:sz w:val="20"/>
                <w:szCs w:val="20"/>
              </w:rPr>
              <w:t xml:space="preserve">120 </w:t>
            </w:r>
            <w:r w:rsidR="00D578E9" w:rsidRPr="00D578E9">
              <w:rPr>
                <w:sz w:val="20"/>
                <w:szCs w:val="20"/>
              </w:rPr>
              <w:t>µg</w:t>
            </w:r>
            <w:r w:rsidR="00D578E9">
              <w:rPr>
                <w:sz w:val="20"/>
                <w:szCs w:val="20"/>
              </w:rPr>
              <w:t xml:space="preserve"> and </w:t>
            </w:r>
            <w:r w:rsidRPr="00D578E9">
              <w:rPr>
                <w:sz w:val="20"/>
                <w:szCs w:val="20"/>
              </w:rPr>
              <w:t xml:space="preserve">240 </w:t>
            </w:r>
            <w:r w:rsidR="00D578E9" w:rsidRPr="00D578E9">
              <w:rPr>
                <w:sz w:val="20"/>
                <w:szCs w:val="20"/>
              </w:rPr>
              <w:t>µg</w:t>
            </w:r>
          </w:p>
        </w:tc>
        <w:tc>
          <w:tcPr>
            <w:tcW w:w="1701" w:type="dxa"/>
          </w:tcPr>
          <w:p w14:paraId="21DED3EE" w14:textId="77777777" w:rsidR="001E3EF1" w:rsidRPr="00D578E9" w:rsidRDefault="006648C5" w:rsidP="00D578E9">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CDI, </w:t>
            </w:r>
            <w:r w:rsidR="00D578E9" w:rsidRPr="00D578E9">
              <w:rPr>
                <w:sz w:val="20"/>
                <w:szCs w:val="20"/>
              </w:rPr>
              <w:t>Nocturnal enuresis</w:t>
            </w:r>
            <w:r w:rsidR="00D578E9">
              <w:rPr>
                <w:sz w:val="20"/>
                <w:szCs w:val="20"/>
              </w:rPr>
              <w:t xml:space="preserve"> </w:t>
            </w:r>
            <w:r w:rsidR="00D578E9" w:rsidRPr="00D578E9">
              <w:rPr>
                <w:sz w:val="20"/>
                <w:szCs w:val="20"/>
              </w:rPr>
              <w:t>6</w:t>
            </w:r>
            <w:r w:rsidR="00D578E9">
              <w:rPr>
                <w:sz w:val="20"/>
                <w:szCs w:val="20"/>
              </w:rPr>
              <w:t> + </w:t>
            </w:r>
            <w:r w:rsidR="00D578E9" w:rsidRPr="00D578E9">
              <w:rPr>
                <w:sz w:val="20"/>
                <w:szCs w:val="20"/>
              </w:rPr>
              <w:t>years</w:t>
            </w:r>
            <w:r w:rsidR="00D578E9">
              <w:rPr>
                <w:sz w:val="20"/>
                <w:szCs w:val="20"/>
              </w:rPr>
              <w:t xml:space="preserve"> refractory to alarm or </w:t>
            </w:r>
            <w:r w:rsidR="00D578E9" w:rsidRPr="00D578E9">
              <w:rPr>
                <w:sz w:val="20"/>
                <w:szCs w:val="20"/>
              </w:rPr>
              <w:t>alarm not suitable</w:t>
            </w:r>
          </w:p>
        </w:tc>
        <w:tc>
          <w:tcPr>
            <w:tcW w:w="1701" w:type="dxa"/>
          </w:tcPr>
          <w:p w14:paraId="7C752467" w14:textId="77777777" w:rsidR="001E3EF1" w:rsidRPr="00D578E9" w:rsidRDefault="00D578E9" w:rsidP="00D578E9">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120 to </w:t>
            </w:r>
            <w:r w:rsidR="001E3EF1" w:rsidRPr="00D578E9">
              <w:rPr>
                <w:sz w:val="20"/>
                <w:szCs w:val="20"/>
              </w:rPr>
              <w:t xml:space="preserve">720 </w:t>
            </w:r>
            <w:r w:rsidRPr="00D578E9">
              <w:rPr>
                <w:sz w:val="20"/>
                <w:szCs w:val="20"/>
              </w:rPr>
              <w:t>µg</w:t>
            </w:r>
            <w:r w:rsidR="001E3EF1" w:rsidRPr="00D578E9">
              <w:rPr>
                <w:sz w:val="20"/>
                <w:szCs w:val="20"/>
              </w:rPr>
              <w:t xml:space="preserve"> in 3 divided doses</w:t>
            </w:r>
            <w:r w:rsidR="006648C5">
              <w:rPr>
                <w:sz w:val="20"/>
                <w:szCs w:val="20"/>
              </w:rPr>
              <w:t xml:space="preserve"> </w:t>
            </w:r>
            <w:r w:rsidR="001E3EF1" w:rsidRPr="00D578E9">
              <w:rPr>
                <w:sz w:val="20"/>
                <w:szCs w:val="20"/>
              </w:rPr>
              <w:t xml:space="preserve">120 </w:t>
            </w:r>
            <w:r w:rsidRPr="00D578E9">
              <w:rPr>
                <w:sz w:val="20"/>
                <w:szCs w:val="20"/>
              </w:rPr>
              <w:t>µg</w:t>
            </w:r>
            <w:r w:rsidR="001E3EF1" w:rsidRPr="00D578E9">
              <w:rPr>
                <w:sz w:val="20"/>
                <w:szCs w:val="20"/>
              </w:rPr>
              <w:t xml:space="preserve"> at night</w:t>
            </w:r>
          </w:p>
        </w:tc>
      </w:tr>
    </w:tbl>
    <w:p w14:paraId="3CF0578A" w14:textId="428D60B0" w:rsidR="001E3EF1" w:rsidRPr="001E3EF1" w:rsidRDefault="001E3EF1" w:rsidP="00BD7D55">
      <w:r w:rsidRPr="001E3EF1">
        <w:t>In Australian clinical practice, the treatment of choice for children with primary nocturnal enuresis is the pad and bell alarm. Desmopressin is used mainly to avoid problems in short term (</w:t>
      </w:r>
      <w:r w:rsidR="00D578E9">
        <w:t xml:space="preserve">for example, camps, </w:t>
      </w:r>
      <w:proofErr w:type="gramStart"/>
      <w:r w:rsidR="00D578E9">
        <w:t>sleep</w:t>
      </w:r>
      <w:r w:rsidRPr="001E3EF1">
        <w:t>overs</w:t>
      </w:r>
      <w:proofErr w:type="gramEnd"/>
      <w:r w:rsidRPr="001E3EF1">
        <w:t>).</w:t>
      </w:r>
    </w:p>
    <w:p w14:paraId="6B5B2930" w14:textId="77777777" w:rsidR="001E3EF1" w:rsidRPr="001E3EF1" w:rsidRDefault="001E3EF1" w:rsidP="001E3EF1">
      <w:r w:rsidRPr="001E3EF1">
        <w:t xml:space="preserve">The Australian PIs for Minirin tablets and melt state that: </w:t>
      </w:r>
      <w:r w:rsidRPr="00D578E9">
        <w:rPr>
          <w:i/>
        </w:rPr>
        <w:t>“Initiation of treatment in patients over 65 years of age is not recommended. Should physicians decide to initiate Minirin treatment in these patients then serum sodium should be measured before beginning the treatment and 3 days after initiation or dosage increase, and at other times during treatment as deemed necessary by the treating physician.”</w:t>
      </w:r>
    </w:p>
    <w:p w14:paraId="23481166" w14:textId="77777777" w:rsidR="001E3EF1" w:rsidRPr="001E3EF1" w:rsidRDefault="001E3EF1" w:rsidP="00E40AD4">
      <w:pPr>
        <w:pStyle w:val="Heading3"/>
      </w:pPr>
      <w:bookmarkStart w:id="13" w:name="_Toc500838967"/>
      <w:r w:rsidRPr="001E3EF1">
        <w:t>Presentation/</w:t>
      </w:r>
      <w:r w:rsidRPr="00E40AD4">
        <w:t>formulation</w:t>
      </w:r>
      <w:bookmarkEnd w:id="13"/>
    </w:p>
    <w:p w14:paraId="1ED02C61" w14:textId="77777777" w:rsidR="001E3EF1" w:rsidRPr="001E3EF1" w:rsidRDefault="001E3EF1" w:rsidP="00E40AD4">
      <w:r w:rsidRPr="001E3EF1">
        <w:t>Nocdurna is an orally disintegrating sublingual tablet (ODST) or “melt” (also called oral lyophilisate), which dissolves immediately, without the need for water.</w:t>
      </w:r>
      <w:r w:rsidR="00D578E9">
        <w:t xml:space="preserve"> </w:t>
      </w:r>
      <w:r w:rsidRPr="001E3EF1">
        <w:t>A possible advantage of the ODST is enhanced compliance in elderly patients who may have difficulty swallowing conventional oral tablets.</w:t>
      </w:r>
    </w:p>
    <w:p w14:paraId="3343532A" w14:textId="77777777" w:rsidR="001E3EF1" w:rsidRPr="001E3EF1" w:rsidRDefault="001E3EF1" w:rsidP="00E40AD4">
      <w:r w:rsidRPr="001E3EF1">
        <w:t>All the excipients used in desmopressin ODST are in widespread use in the pharmaceutical industry; and at the concentrations used, are consider</w:t>
      </w:r>
      <w:r w:rsidR="00D578E9">
        <w:t>ed safe for oral use in humans.</w:t>
      </w:r>
    </w:p>
    <w:p w14:paraId="38DA4880" w14:textId="77777777" w:rsidR="001E3EF1" w:rsidRPr="001E3EF1" w:rsidRDefault="001E3EF1" w:rsidP="00E40AD4">
      <w:r w:rsidRPr="001E3EF1">
        <w:t xml:space="preserve">Study CS030 compared AUC for urine osmolality for the 60 </w:t>
      </w:r>
      <w:r w:rsidR="00D578E9">
        <w:t>µg</w:t>
      </w:r>
      <w:r w:rsidRPr="001E3EF1">
        <w:t xml:space="preserve"> ODST and the 100 </w:t>
      </w:r>
      <w:r w:rsidR="00D578E9">
        <w:t xml:space="preserve">µg tablet in 60 over </w:t>
      </w:r>
      <w:r w:rsidRPr="001E3EF1">
        <w:t xml:space="preserve">hydrated, healthy men and women. The geometric mean ratio was 0.94 (95% CI: 0.08, 1.11). The </w:t>
      </w:r>
      <w:r w:rsidR="006648C5">
        <w:t>sponsor</w:t>
      </w:r>
      <w:r w:rsidRPr="001E3EF1">
        <w:t xml:space="preserve"> states that this study establishes bioequivalence between the 60 </w:t>
      </w:r>
      <w:r w:rsidR="00D578E9">
        <w:t>µg</w:t>
      </w:r>
      <w:r w:rsidRPr="001E3EF1">
        <w:t xml:space="preserve"> ODST and the 100 </w:t>
      </w:r>
      <w:r w:rsidR="00D578E9">
        <w:t>µg</w:t>
      </w:r>
      <w:r w:rsidRPr="001E3EF1">
        <w:t xml:space="preserve"> tablet.</w:t>
      </w:r>
    </w:p>
    <w:p w14:paraId="291C32F7" w14:textId="77777777" w:rsidR="001E3EF1" w:rsidRPr="001E3EF1" w:rsidRDefault="001E3EF1" w:rsidP="00E40AD4">
      <w:pPr>
        <w:pStyle w:val="Heading3"/>
      </w:pPr>
      <w:bookmarkStart w:id="14" w:name="_Toc500838968"/>
      <w:proofErr w:type="spellStart"/>
      <w:r w:rsidRPr="00E40AD4">
        <w:t>Nocturia</w:t>
      </w:r>
      <w:bookmarkEnd w:id="14"/>
      <w:proofErr w:type="spellEnd"/>
    </w:p>
    <w:p w14:paraId="39DBE6C0" w14:textId="1D175627" w:rsidR="001E3EF1" w:rsidRPr="001E3EF1" w:rsidRDefault="001E3EF1" w:rsidP="00E40AD4">
      <w:r w:rsidRPr="001E3EF1">
        <w:t xml:space="preserve">The standard definition of nocturia is waking up </w:t>
      </w:r>
      <w:r w:rsidR="00E86169">
        <w:t>one</w:t>
      </w:r>
      <w:r w:rsidRPr="001E3EF1">
        <w:t xml:space="preserve"> or more times per night to void, where each voiding episode is</w:t>
      </w:r>
      <w:r w:rsidR="00D578E9">
        <w:t xml:space="preserve"> preceded and followed by sleep</w:t>
      </w:r>
      <w:r w:rsidR="005E3CBF">
        <w:t>.</w:t>
      </w:r>
      <w:r w:rsidR="005E3CBF" w:rsidRPr="005E3CBF">
        <w:t xml:space="preserve"> Treatment is not usually initiated until 2 or more voids per night, as this is where bother is increased. Two or more voids per night</w:t>
      </w:r>
      <w:r w:rsidR="00E40AD4">
        <w:t xml:space="preserve"> </w:t>
      </w:r>
      <w:proofErr w:type="gramStart"/>
      <w:r w:rsidRPr="001E3EF1">
        <w:t>was</w:t>
      </w:r>
      <w:proofErr w:type="gramEnd"/>
      <w:r w:rsidRPr="001E3EF1">
        <w:t xml:space="preserve"> the criterion used to select patients for entry into th</w:t>
      </w:r>
      <w:r w:rsidR="00D578E9">
        <w:t>e pivotal trials for Nocdurna.</w:t>
      </w:r>
    </w:p>
    <w:p w14:paraId="4430365B" w14:textId="77777777" w:rsidR="00D578E9" w:rsidRDefault="001E3EF1" w:rsidP="00B94882">
      <w:r w:rsidRPr="001E3EF1">
        <w:t>Nocturia is a symptom complex associated with several underlying causes and pathologies; it is common in the elderly (occurring in perhaps up to 50%</w:t>
      </w:r>
      <w:r w:rsidR="00D578E9">
        <w:t xml:space="preserve"> of men and women older than 75 </w:t>
      </w:r>
      <w:r w:rsidRPr="001E3EF1">
        <w:t xml:space="preserve">years); and it is one of the most common reasons for sleep disruption (other causes: physical </w:t>
      </w:r>
      <w:r w:rsidRPr="001E3EF1">
        <w:lastRenderedPageBreak/>
        <w:t>pain, heartburn, sl</w:t>
      </w:r>
      <w:r w:rsidR="00724227">
        <w:t>eep apnoea, anxiety, depression and</w:t>
      </w:r>
      <w:r w:rsidRPr="001E3EF1">
        <w:t xml:space="preserve"> </w:t>
      </w:r>
      <w:r w:rsidR="00D578E9">
        <w:t>etcetera)</w:t>
      </w:r>
      <w:r w:rsidRPr="001E3EF1">
        <w:t>. Waking up at night to void is said to be associated with a d</w:t>
      </w:r>
      <w:r w:rsidR="00D578E9">
        <w:t xml:space="preserve">ecrease in the quality of night time sleep, followed by day </w:t>
      </w:r>
      <w:r w:rsidRPr="001E3EF1">
        <w:t>time fatigue/sleepiness, an increased risk of mood disorders, and an increased risk of falls and fractures</w:t>
      </w:r>
      <w:r w:rsidR="00D578E9">
        <w:t>.</w:t>
      </w:r>
    </w:p>
    <w:p w14:paraId="08A21C66" w14:textId="77777777" w:rsidR="001E3EF1" w:rsidRPr="001E3EF1" w:rsidRDefault="001E3EF1" w:rsidP="00B94882">
      <w:r w:rsidRPr="001E3EF1">
        <w:t>Adult nocturia is a different condition from primary nocturnal enuresis seen in children and young adults.</w:t>
      </w:r>
    </w:p>
    <w:p w14:paraId="4E2838A4" w14:textId="77777777" w:rsidR="001E3EF1" w:rsidRPr="001E3EF1" w:rsidRDefault="001E3EF1" w:rsidP="00B94882">
      <w:r w:rsidRPr="001E3EF1">
        <w:t>Nocturia is associated with a variety of clinical syndromes and disorders (</w:t>
      </w:r>
      <w:r w:rsidR="00D578E9">
        <w:t>that is</w:t>
      </w:r>
      <w:r w:rsidRPr="001E3EF1">
        <w:t>, a symptom complex, as above). Broadly speaking, it can result from:</w:t>
      </w:r>
    </w:p>
    <w:p w14:paraId="7811BF45" w14:textId="77777777" w:rsidR="001E3EF1" w:rsidRPr="00B94882" w:rsidRDefault="001E3EF1" w:rsidP="00B94882">
      <w:pPr>
        <w:pStyle w:val="ListBullet"/>
      </w:pPr>
      <w:r w:rsidRPr="001E3EF1">
        <w:t>disorders that cause frequent low volume voids (</w:t>
      </w:r>
      <w:r w:rsidR="00D578E9">
        <w:t>for example</w:t>
      </w:r>
      <w:r w:rsidRPr="001E3EF1">
        <w:t xml:space="preserve">, overactive bladder, bladder </w:t>
      </w:r>
      <w:r w:rsidRPr="00B94882">
        <w:t>o</w:t>
      </w:r>
      <w:r w:rsidR="00D578E9" w:rsidRPr="00B94882">
        <w:t xml:space="preserve">utlet obstruction, stiffer/less compliant/functionally </w:t>
      </w:r>
      <w:r w:rsidRPr="00B94882">
        <w:t>smaller bl</w:t>
      </w:r>
      <w:r w:rsidR="00D578E9" w:rsidRPr="00B94882">
        <w:t>adder associated with aging) or</w:t>
      </w:r>
    </w:p>
    <w:p w14:paraId="5BE3B625" w14:textId="77777777" w:rsidR="001E3EF1" w:rsidRPr="00B94882" w:rsidRDefault="001E3EF1" w:rsidP="00B94882">
      <w:pPr>
        <w:pStyle w:val="ListBullet"/>
      </w:pPr>
      <w:r w:rsidRPr="00B94882">
        <w:t>frequent high volume voids (</w:t>
      </w:r>
      <w:r w:rsidR="00D578E9" w:rsidRPr="00B94882">
        <w:t>for example</w:t>
      </w:r>
      <w:r w:rsidRPr="00B94882">
        <w:t>, nocturnal polyuria, global polyuria [diab</w:t>
      </w:r>
      <w:r w:rsidR="00D578E9" w:rsidRPr="00B94882">
        <w:t>etes insipidus or mellitus]) or</w:t>
      </w:r>
    </w:p>
    <w:p w14:paraId="49CFA1DA" w14:textId="77777777" w:rsidR="001E3EF1" w:rsidRPr="001E3EF1" w:rsidRDefault="001E3EF1" w:rsidP="00B94882">
      <w:pPr>
        <w:pStyle w:val="ListBullet"/>
      </w:pPr>
      <w:proofErr w:type="gramStart"/>
      <w:r w:rsidRPr="00B94882">
        <w:t>a</w:t>
      </w:r>
      <w:proofErr w:type="gramEnd"/>
      <w:r w:rsidRPr="00B94882">
        <w:t xml:space="preserve"> combination of both (</w:t>
      </w:r>
      <w:r w:rsidRPr="001E3EF1">
        <w:t>this is common).</w:t>
      </w:r>
    </w:p>
    <w:p w14:paraId="3D80FE10" w14:textId="77777777" w:rsidR="001E3EF1" w:rsidRPr="001E3EF1" w:rsidRDefault="001E3EF1" w:rsidP="00B94882">
      <w:r w:rsidRPr="001E3EF1">
        <w:t>Patients with sleep disorders (sleep apnoea,</w:t>
      </w:r>
      <w:r w:rsidR="00724227">
        <w:t xml:space="preserve"> restless leg syndrome, anxiety and</w:t>
      </w:r>
      <w:r w:rsidRPr="001E3EF1">
        <w:t xml:space="preserve"> </w:t>
      </w:r>
      <w:r w:rsidR="00D578E9">
        <w:t>etcetera</w:t>
      </w:r>
      <w:r w:rsidRPr="001E3EF1">
        <w:t>) also complain of nocturia. It is often unclear whether these patients wake up because of a true need to void or because of an unrecognised sleep disturbance, which is falsely attributed to a need to void.</w:t>
      </w:r>
    </w:p>
    <w:p w14:paraId="189F8BCC" w14:textId="77777777" w:rsidR="00D578E9" w:rsidRDefault="001E3EF1" w:rsidP="00B94882">
      <w:r w:rsidRPr="001E3EF1">
        <w:t>As in the dot points above, nocturnal polyuria is a subset of nocturia defined as excessive volume of urine produced at night. The human body typically produces less urine while asleep. People with nocturnal polyuria produce larger volumes of urine when asleep, causing them to awaken multiple times in the night to void</w:t>
      </w:r>
      <w:r w:rsidR="00D578E9">
        <w:t>.</w:t>
      </w:r>
    </w:p>
    <w:p w14:paraId="3BC2DEBC" w14:textId="77777777" w:rsidR="001E3EF1" w:rsidRPr="00DB1E9F" w:rsidRDefault="001E3EF1" w:rsidP="00B94882">
      <w:r w:rsidRPr="00DB1E9F">
        <w:t>The diagnosis nocturnal polyuria is age dependent:</w:t>
      </w:r>
    </w:p>
    <w:p w14:paraId="3DE7B308" w14:textId="77777777" w:rsidR="001E3EF1" w:rsidRPr="00B94882" w:rsidRDefault="00604B45" w:rsidP="00B94882">
      <w:pPr>
        <w:pStyle w:val="ListBullet"/>
      </w:pPr>
      <w:r w:rsidRPr="00B94882">
        <w:t xml:space="preserve">&lt; </w:t>
      </w:r>
      <w:r w:rsidR="001E3EF1" w:rsidRPr="00B94882">
        <w:t xml:space="preserve">35 years: nocturnal urine volume </w:t>
      </w:r>
      <w:r w:rsidR="00D578E9" w:rsidRPr="00B94882">
        <w:t xml:space="preserve">exceeds 20% of total 24 </w:t>
      </w:r>
      <w:r w:rsidR="001E3EF1" w:rsidRPr="00B94882">
        <w:t>hour volume</w:t>
      </w:r>
    </w:p>
    <w:p w14:paraId="7CCC007C" w14:textId="77777777" w:rsidR="001E3EF1" w:rsidRPr="00DB1E9F" w:rsidRDefault="001E3EF1" w:rsidP="00B94882">
      <w:pPr>
        <w:pStyle w:val="ListBullet"/>
      </w:pPr>
      <w:r w:rsidRPr="00B94882">
        <w:t>65</w:t>
      </w:r>
      <w:r w:rsidR="00D578E9" w:rsidRPr="00B94882">
        <w:t xml:space="preserve"> +</w:t>
      </w:r>
      <w:r w:rsidRPr="00B94882">
        <w:t xml:space="preserve"> years: </w:t>
      </w:r>
      <w:r w:rsidR="006648C5" w:rsidRPr="00B94882">
        <w:t>nocturnal urine</w:t>
      </w:r>
      <w:r w:rsidR="006648C5" w:rsidRPr="00DB1E9F">
        <w:t xml:space="preserve"> volume </w:t>
      </w:r>
      <w:r w:rsidR="006648C5">
        <w:t xml:space="preserve">exceeds </w:t>
      </w:r>
      <w:r w:rsidRPr="00DB1E9F">
        <w:t>33%</w:t>
      </w:r>
      <w:r w:rsidR="006648C5">
        <w:t xml:space="preserve"> of total 24 </w:t>
      </w:r>
      <w:r w:rsidR="006648C5" w:rsidRPr="00DB1E9F">
        <w:t>hour volume</w:t>
      </w:r>
      <w:r w:rsidR="006648C5">
        <w:t>.</w:t>
      </w:r>
    </w:p>
    <w:p w14:paraId="393B994C" w14:textId="77777777" w:rsidR="001E3EF1" w:rsidRPr="00DB1E9F" w:rsidRDefault="001E3EF1" w:rsidP="00B94882">
      <w:r w:rsidRPr="00DB1E9F">
        <w:t>Nocturnal polyuria has been attributed to:</w:t>
      </w:r>
    </w:p>
    <w:p w14:paraId="3E74C303" w14:textId="77777777" w:rsidR="001E3EF1" w:rsidRPr="00B94882" w:rsidRDefault="001E3EF1" w:rsidP="00B94882">
      <w:pPr>
        <w:pStyle w:val="ListBullet"/>
      </w:pPr>
      <w:r w:rsidRPr="00B94882">
        <w:t>Abnormalities in diurnal variation in vasopressin secretion</w:t>
      </w:r>
    </w:p>
    <w:p w14:paraId="206A3218" w14:textId="77777777" w:rsidR="001E3EF1" w:rsidRPr="00B94882" w:rsidRDefault="001E3EF1" w:rsidP="00B94882">
      <w:pPr>
        <w:pStyle w:val="ListBullet"/>
      </w:pPr>
      <w:r w:rsidRPr="00B94882">
        <w:t>Abnormalities in the diuresis of solutes (</w:t>
      </w:r>
      <w:r w:rsidR="00D578E9" w:rsidRPr="00B94882">
        <w:t>for example</w:t>
      </w:r>
      <w:r w:rsidRPr="00B94882">
        <w:t>, urea, sodium, potassium)</w:t>
      </w:r>
    </w:p>
    <w:p w14:paraId="25107AB1" w14:textId="77777777" w:rsidR="001E3EF1" w:rsidRPr="00DB1E9F" w:rsidRDefault="001E3EF1" w:rsidP="00B94882">
      <w:pPr>
        <w:pStyle w:val="ListBullet"/>
      </w:pPr>
      <w:r w:rsidRPr="00B94882">
        <w:t>Night time mobilisation of oedematous fluid in conditions such as congestive heart failure, nephrotic syndrome, or venous</w:t>
      </w:r>
      <w:r w:rsidRPr="00DB1E9F">
        <w:t xml:space="preserve"> insufficiency.</w:t>
      </w:r>
    </w:p>
    <w:p w14:paraId="043FA615" w14:textId="77777777" w:rsidR="00DB1E9F" w:rsidRPr="00DB1E9F" w:rsidRDefault="00DB1E9F" w:rsidP="00B94882">
      <w:r w:rsidRPr="00DB1E9F">
        <w:t xml:space="preserve">However, as in the dot points above, often patients have more than one problem presenting as nocturia (or nocturnal polyuria); </w:t>
      </w:r>
      <w:r w:rsidR="00D578E9">
        <w:t>for example</w:t>
      </w:r>
      <w:r w:rsidRPr="00DB1E9F">
        <w:t>, high volume of urine at night in combination with low volume bladder (perhaps associated with ageing) and bladder outlet obstruction.</w:t>
      </w:r>
    </w:p>
    <w:p w14:paraId="18D31593" w14:textId="77777777" w:rsidR="00DB1E9F" w:rsidRPr="00DB1E9F" w:rsidRDefault="00DB1E9F" w:rsidP="00B94882">
      <w:r w:rsidRPr="00DB1E9F">
        <w:t xml:space="preserve">That is, the situation is complicated because patients can have nocturnal polyuria overlaid on problems associated with frequent, </w:t>
      </w:r>
      <w:r w:rsidR="00D578E9">
        <w:t>low volume</w:t>
      </w:r>
      <w:r w:rsidRPr="00DB1E9F">
        <w:t xml:space="preserve"> voids. These problems include:</w:t>
      </w:r>
    </w:p>
    <w:p w14:paraId="74EF66BD" w14:textId="77777777" w:rsidR="00DB1E9F" w:rsidRPr="00B94882" w:rsidRDefault="00DB1E9F" w:rsidP="00B94882">
      <w:pPr>
        <w:pStyle w:val="ListBullet"/>
      </w:pPr>
      <w:r w:rsidRPr="00B94882">
        <w:t>Stiffer/less compliant bladder associated with aging</w:t>
      </w:r>
    </w:p>
    <w:p w14:paraId="1F4565A9" w14:textId="77777777" w:rsidR="00DB1E9F" w:rsidRPr="00B94882" w:rsidRDefault="00DB1E9F" w:rsidP="00B94882">
      <w:pPr>
        <w:pStyle w:val="ListBullet"/>
      </w:pPr>
      <w:r w:rsidRPr="00B94882">
        <w:t>Overactive bladder (OAB)</w:t>
      </w:r>
    </w:p>
    <w:p w14:paraId="4459C7C1" w14:textId="77777777" w:rsidR="00DB1E9F" w:rsidRPr="00B94882" w:rsidRDefault="00DB1E9F" w:rsidP="00B94882">
      <w:pPr>
        <w:pStyle w:val="ListBullet"/>
      </w:pPr>
      <w:r w:rsidRPr="00B94882">
        <w:t>Benign prostatic hypertrophy (BPH)</w:t>
      </w:r>
    </w:p>
    <w:p w14:paraId="43511C44" w14:textId="77777777" w:rsidR="00DB1E9F" w:rsidRPr="00B94882" w:rsidRDefault="00DB1E9F" w:rsidP="00B94882">
      <w:pPr>
        <w:pStyle w:val="ListBullet"/>
      </w:pPr>
      <w:r w:rsidRPr="00B94882">
        <w:t>Hypotonic bladder</w:t>
      </w:r>
    </w:p>
    <w:p w14:paraId="19B63EC9" w14:textId="77777777" w:rsidR="00DB1E9F" w:rsidRPr="00B94882" w:rsidRDefault="00DB1E9F" w:rsidP="00B94882">
      <w:pPr>
        <w:pStyle w:val="ListBullet"/>
      </w:pPr>
      <w:r w:rsidRPr="00B94882">
        <w:t>Various neurological conditions</w:t>
      </w:r>
    </w:p>
    <w:p w14:paraId="7F9375F0" w14:textId="77777777" w:rsidR="00DB1E9F" w:rsidRPr="00B94882" w:rsidRDefault="00D578E9" w:rsidP="00B94882">
      <w:pPr>
        <w:pStyle w:val="ListBullet"/>
      </w:pPr>
      <w:r w:rsidRPr="00B94882">
        <w:t>Post-</w:t>
      </w:r>
      <w:r w:rsidR="00DB1E9F" w:rsidRPr="00B94882">
        <w:t>menopausal changes in women</w:t>
      </w:r>
    </w:p>
    <w:p w14:paraId="57207EFB" w14:textId="77777777" w:rsidR="00DB1E9F" w:rsidRPr="00DB1E9F" w:rsidRDefault="00DB1E9F" w:rsidP="00B94882">
      <w:pPr>
        <w:pStyle w:val="ListBullet"/>
      </w:pPr>
      <w:r w:rsidRPr="00B94882">
        <w:t>Pelvic organ prolapse in women</w:t>
      </w:r>
      <w:r w:rsidR="00D578E9">
        <w:t>.</w:t>
      </w:r>
    </w:p>
    <w:p w14:paraId="14B45AB2" w14:textId="77777777" w:rsidR="00DB1E9F" w:rsidRPr="00DB1E9F" w:rsidRDefault="00DB1E9F" w:rsidP="00B94882">
      <w:pPr>
        <w:pStyle w:val="Heading3"/>
      </w:pPr>
      <w:bookmarkStart w:id="15" w:name="_Toc500838969"/>
      <w:r w:rsidRPr="00B94882">
        <w:lastRenderedPageBreak/>
        <w:t>Hyponatraemia</w:t>
      </w:r>
      <w:bookmarkEnd w:id="15"/>
    </w:p>
    <w:p w14:paraId="66082DA3" w14:textId="77777777" w:rsidR="00DB1E9F" w:rsidRDefault="00DB1E9F" w:rsidP="00B94882">
      <w:r w:rsidRPr="00DB1E9F">
        <w:t>Hyponatraemia is the most important safety concern associated with desmopressin. It primarily manifests as neurological symptoms secondary to cerebral oedema</w:t>
      </w:r>
      <w:r w:rsidR="006648C5">
        <w:t>.</w:t>
      </w:r>
      <w:bookmarkStart w:id="16" w:name="_Ref492459743"/>
      <w:r w:rsidRPr="00D578E9">
        <w:rPr>
          <w:vertAlign w:val="superscript"/>
        </w:rPr>
        <w:footnoteReference w:id="1"/>
      </w:r>
      <w:bookmarkEnd w:id="16"/>
      <w:r w:rsidR="00D578E9">
        <w:t xml:space="preserve"> </w:t>
      </w:r>
      <w:r w:rsidRPr="00DB1E9F">
        <w:t>Symptoms are related to the degree of severity and the rate at which the sodium concentration changes (acute versus chr</w:t>
      </w:r>
      <w:r w:rsidR="0080062E">
        <w:t xml:space="preserve">onic). It is a potentially life </w:t>
      </w:r>
      <w:r w:rsidRPr="00DB1E9F">
        <w:t>threatening condition.</w:t>
      </w:r>
    </w:p>
    <w:p w14:paraId="62CBB149" w14:textId="77777777" w:rsidR="00D578E9" w:rsidRDefault="00D578E9" w:rsidP="00B94882">
      <w:pPr>
        <w:pStyle w:val="Tabletitle"/>
      </w:pPr>
      <w:r>
        <w:t xml:space="preserve">Table 2: </w:t>
      </w:r>
      <w:r w:rsidRPr="00B94882">
        <w:t>Classification</w:t>
      </w:r>
      <w:r>
        <w:t xml:space="preserve"> of hyponatraemia</w:t>
      </w:r>
    </w:p>
    <w:tbl>
      <w:tblPr>
        <w:tblStyle w:val="TableTGAblue"/>
        <w:tblW w:w="0" w:type="auto"/>
        <w:tblLook w:val="04A0" w:firstRow="1" w:lastRow="0" w:firstColumn="1" w:lastColumn="0" w:noHBand="0" w:noVBand="1"/>
      </w:tblPr>
      <w:tblGrid>
        <w:gridCol w:w="1700"/>
        <w:gridCol w:w="3015"/>
      </w:tblGrid>
      <w:tr w:rsidR="00DB1E9F" w:rsidRPr="00DB1E9F" w14:paraId="634C5A82" w14:textId="77777777" w:rsidTr="00DB1E9F">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700" w:type="dxa"/>
          </w:tcPr>
          <w:p w14:paraId="3B5D2D03" w14:textId="77777777" w:rsidR="00DB1E9F" w:rsidRPr="00DB1E9F" w:rsidRDefault="00DB1E9F" w:rsidP="00DB1E9F">
            <w:r w:rsidRPr="00DB1E9F">
              <w:t>Severity</w:t>
            </w:r>
          </w:p>
        </w:tc>
        <w:tc>
          <w:tcPr>
            <w:tcW w:w="3015" w:type="dxa"/>
          </w:tcPr>
          <w:p w14:paraId="0094B0B9" w14:textId="77777777" w:rsidR="00DB1E9F" w:rsidRPr="00DB1E9F" w:rsidRDefault="00DB1E9F" w:rsidP="00DB1E9F">
            <w:pPr>
              <w:cnfStyle w:val="100000000000" w:firstRow="1" w:lastRow="0" w:firstColumn="0" w:lastColumn="0" w:oddVBand="0" w:evenVBand="0" w:oddHBand="0" w:evenHBand="0" w:firstRowFirstColumn="0" w:firstRowLastColumn="0" w:lastRowFirstColumn="0" w:lastRowLastColumn="0"/>
            </w:pPr>
            <w:r w:rsidRPr="00DB1E9F">
              <w:t>Sodium levels</w:t>
            </w:r>
          </w:p>
        </w:tc>
      </w:tr>
      <w:tr w:rsidR="00DB1E9F" w:rsidRPr="00DB1E9F" w14:paraId="2963795B" w14:textId="77777777" w:rsidTr="00DB1E9F">
        <w:trPr>
          <w:trHeight w:val="328"/>
        </w:trPr>
        <w:tc>
          <w:tcPr>
            <w:cnfStyle w:val="001000000000" w:firstRow="0" w:lastRow="0" w:firstColumn="1" w:lastColumn="0" w:oddVBand="0" w:evenVBand="0" w:oddHBand="0" w:evenHBand="0" w:firstRowFirstColumn="0" w:firstRowLastColumn="0" w:lastRowFirstColumn="0" w:lastRowLastColumn="0"/>
            <w:tcW w:w="1700" w:type="dxa"/>
          </w:tcPr>
          <w:p w14:paraId="03391B00" w14:textId="77777777" w:rsidR="00DB1E9F" w:rsidRPr="00DB1E9F" w:rsidRDefault="00DB1E9F" w:rsidP="00DB1E9F">
            <w:r w:rsidRPr="00DB1E9F">
              <w:t>Normal</w:t>
            </w:r>
          </w:p>
        </w:tc>
        <w:tc>
          <w:tcPr>
            <w:tcW w:w="3015" w:type="dxa"/>
          </w:tcPr>
          <w:p w14:paraId="40CD91E9" w14:textId="77777777" w:rsidR="00DB1E9F" w:rsidRPr="00DB1E9F" w:rsidRDefault="00D578E9" w:rsidP="00DB1E9F">
            <w:pPr>
              <w:cnfStyle w:val="000000000000" w:firstRow="0" w:lastRow="0" w:firstColumn="0" w:lastColumn="0" w:oddVBand="0" w:evenVBand="0" w:oddHBand="0" w:evenHBand="0" w:firstRowFirstColumn="0" w:firstRowLastColumn="0" w:lastRowFirstColumn="0" w:lastRowLastColumn="0"/>
            </w:pPr>
            <w:r>
              <w:t xml:space="preserve">135 to </w:t>
            </w:r>
            <w:r w:rsidR="00DB1E9F" w:rsidRPr="00DB1E9F">
              <w:t xml:space="preserve">145 </w:t>
            </w:r>
            <w:proofErr w:type="spellStart"/>
            <w:r w:rsidR="00DB1E9F" w:rsidRPr="00DB1E9F">
              <w:t>mmol</w:t>
            </w:r>
            <w:proofErr w:type="spellEnd"/>
            <w:r w:rsidR="00DB1E9F" w:rsidRPr="00DB1E9F">
              <w:t>/L</w:t>
            </w:r>
          </w:p>
        </w:tc>
      </w:tr>
      <w:tr w:rsidR="00DB1E9F" w:rsidRPr="00DB1E9F" w14:paraId="47B934BF" w14:textId="77777777" w:rsidTr="00DB1E9F">
        <w:trPr>
          <w:trHeight w:val="328"/>
        </w:trPr>
        <w:tc>
          <w:tcPr>
            <w:cnfStyle w:val="001000000000" w:firstRow="0" w:lastRow="0" w:firstColumn="1" w:lastColumn="0" w:oddVBand="0" w:evenVBand="0" w:oddHBand="0" w:evenHBand="0" w:firstRowFirstColumn="0" w:firstRowLastColumn="0" w:lastRowFirstColumn="0" w:lastRowLastColumn="0"/>
            <w:tcW w:w="1700" w:type="dxa"/>
          </w:tcPr>
          <w:p w14:paraId="68335D24" w14:textId="77777777" w:rsidR="00DB1E9F" w:rsidRPr="00DB1E9F" w:rsidRDefault="00DB1E9F" w:rsidP="00DB1E9F">
            <w:r w:rsidRPr="00DB1E9F">
              <w:t>Mild</w:t>
            </w:r>
          </w:p>
        </w:tc>
        <w:tc>
          <w:tcPr>
            <w:tcW w:w="3015" w:type="dxa"/>
          </w:tcPr>
          <w:p w14:paraId="15891A0D" w14:textId="77777777" w:rsidR="00DB1E9F" w:rsidRPr="00DB1E9F" w:rsidRDefault="00DB1E9F" w:rsidP="00DB1E9F">
            <w:pPr>
              <w:cnfStyle w:val="000000000000" w:firstRow="0" w:lastRow="0" w:firstColumn="0" w:lastColumn="0" w:oddVBand="0" w:evenVBand="0" w:oddHBand="0" w:evenHBand="0" w:firstRowFirstColumn="0" w:firstRowLastColumn="0" w:lastRowFirstColumn="0" w:lastRowLastColumn="0"/>
            </w:pPr>
            <w:r w:rsidRPr="00DB1E9F">
              <w:t>130</w:t>
            </w:r>
            <w:r w:rsidR="00D578E9">
              <w:t xml:space="preserve"> to </w:t>
            </w:r>
            <w:r w:rsidRPr="00DB1E9F">
              <w:t xml:space="preserve">134 </w:t>
            </w:r>
            <w:proofErr w:type="spellStart"/>
            <w:r w:rsidRPr="00DB1E9F">
              <w:t>mmol</w:t>
            </w:r>
            <w:proofErr w:type="spellEnd"/>
            <w:r w:rsidRPr="00DB1E9F">
              <w:t>/L</w:t>
            </w:r>
          </w:p>
        </w:tc>
      </w:tr>
      <w:tr w:rsidR="00DB1E9F" w:rsidRPr="00DB1E9F" w14:paraId="164EE9DA" w14:textId="77777777" w:rsidTr="00DB1E9F">
        <w:trPr>
          <w:trHeight w:val="328"/>
        </w:trPr>
        <w:tc>
          <w:tcPr>
            <w:cnfStyle w:val="001000000000" w:firstRow="0" w:lastRow="0" w:firstColumn="1" w:lastColumn="0" w:oddVBand="0" w:evenVBand="0" w:oddHBand="0" w:evenHBand="0" w:firstRowFirstColumn="0" w:firstRowLastColumn="0" w:lastRowFirstColumn="0" w:lastRowLastColumn="0"/>
            <w:tcW w:w="1700" w:type="dxa"/>
          </w:tcPr>
          <w:p w14:paraId="27295CEE" w14:textId="77777777" w:rsidR="00DB1E9F" w:rsidRPr="00DB1E9F" w:rsidRDefault="00DB1E9F" w:rsidP="00DB1E9F">
            <w:r w:rsidRPr="00DB1E9F">
              <w:t>Moderate</w:t>
            </w:r>
          </w:p>
        </w:tc>
        <w:tc>
          <w:tcPr>
            <w:tcW w:w="3015" w:type="dxa"/>
          </w:tcPr>
          <w:p w14:paraId="78DECC42" w14:textId="77777777" w:rsidR="00DB1E9F" w:rsidRPr="00DB1E9F" w:rsidRDefault="00DB1E9F" w:rsidP="00DB1E9F">
            <w:pPr>
              <w:cnfStyle w:val="000000000000" w:firstRow="0" w:lastRow="0" w:firstColumn="0" w:lastColumn="0" w:oddVBand="0" w:evenVBand="0" w:oddHBand="0" w:evenHBand="0" w:firstRowFirstColumn="0" w:firstRowLastColumn="0" w:lastRowFirstColumn="0" w:lastRowLastColumn="0"/>
            </w:pPr>
            <w:r w:rsidRPr="00DB1E9F">
              <w:t>126</w:t>
            </w:r>
            <w:r w:rsidR="00D578E9">
              <w:t xml:space="preserve"> to </w:t>
            </w:r>
            <w:r w:rsidRPr="00DB1E9F">
              <w:t xml:space="preserve">130 </w:t>
            </w:r>
            <w:proofErr w:type="spellStart"/>
            <w:r w:rsidRPr="00DB1E9F">
              <w:t>mmol</w:t>
            </w:r>
            <w:proofErr w:type="spellEnd"/>
            <w:r w:rsidRPr="00DB1E9F">
              <w:t>/L</w:t>
            </w:r>
          </w:p>
        </w:tc>
      </w:tr>
      <w:tr w:rsidR="00DB1E9F" w:rsidRPr="00DB1E9F" w14:paraId="633739F7" w14:textId="77777777" w:rsidTr="00DB1E9F">
        <w:trPr>
          <w:trHeight w:val="328"/>
        </w:trPr>
        <w:tc>
          <w:tcPr>
            <w:cnfStyle w:val="001000000000" w:firstRow="0" w:lastRow="0" w:firstColumn="1" w:lastColumn="0" w:oddVBand="0" w:evenVBand="0" w:oddHBand="0" w:evenHBand="0" w:firstRowFirstColumn="0" w:firstRowLastColumn="0" w:lastRowFirstColumn="0" w:lastRowLastColumn="0"/>
            <w:tcW w:w="1700" w:type="dxa"/>
          </w:tcPr>
          <w:p w14:paraId="6C6E1CFF" w14:textId="77777777" w:rsidR="00DB1E9F" w:rsidRPr="00DB1E9F" w:rsidRDefault="00DB1E9F" w:rsidP="00DB1E9F">
            <w:r w:rsidRPr="00DB1E9F">
              <w:t>Severe</w:t>
            </w:r>
          </w:p>
        </w:tc>
        <w:tc>
          <w:tcPr>
            <w:tcW w:w="3015" w:type="dxa"/>
          </w:tcPr>
          <w:p w14:paraId="575B4371" w14:textId="77777777" w:rsidR="00DB1E9F" w:rsidRPr="00DB1E9F" w:rsidRDefault="0042290A" w:rsidP="00DB1E9F">
            <w:pPr>
              <w:cnfStyle w:val="000000000000" w:firstRow="0" w:lastRow="0" w:firstColumn="0" w:lastColumn="0" w:oddVBand="0" w:evenVBand="0" w:oddHBand="0" w:evenHBand="0" w:firstRowFirstColumn="0" w:firstRowLastColumn="0" w:lastRowFirstColumn="0" w:lastRowLastColumn="0"/>
            </w:pPr>
            <w:r>
              <w:t xml:space="preserve">≤ </w:t>
            </w:r>
            <w:r w:rsidR="00DB1E9F" w:rsidRPr="00DB1E9F">
              <w:t xml:space="preserve">125 </w:t>
            </w:r>
            <w:proofErr w:type="spellStart"/>
            <w:r w:rsidR="00DB1E9F" w:rsidRPr="00DB1E9F">
              <w:t>mmol</w:t>
            </w:r>
            <w:proofErr w:type="spellEnd"/>
            <w:r w:rsidR="00DB1E9F" w:rsidRPr="00DB1E9F">
              <w:t>/L</w:t>
            </w:r>
          </w:p>
        </w:tc>
      </w:tr>
    </w:tbl>
    <w:p w14:paraId="58B7927E" w14:textId="77777777" w:rsidR="00DB1E9F" w:rsidRPr="00DB1E9F" w:rsidRDefault="00DB1E9F" w:rsidP="00B94882">
      <w:r w:rsidRPr="00DB1E9F">
        <w:t>The first clinical manifestations of acute hyponatremia include nausea and malaise. Very severe hyponatremia (</w:t>
      </w:r>
      <w:r w:rsidR="00604B45">
        <w:t xml:space="preserve">&lt; </w:t>
      </w:r>
      <w:r w:rsidRPr="00DB1E9F">
        <w:t>120mmol/L) can lead to seizures, coma and respiratory arrest</w:t>
      </w:r>
      <w:r w:rsidR="00D578E9">
        <w:t>.</w:t>
      </w:r>
      <w:r w:rsidR="006648C5" w:rsidRPr="006648C5">
        <w:rPr>
          <w:vertAlign w:val="superscript"/>
        </w:rPr>
        <w:fldChar w:fldCharType="begin"/>
      </w:r>
      <w:r w:rsidR="006648C5" w:rsidRPr="006648C5">
        <w:rPr>
          <w:vertAlign w:val="superscript"/>
        </w:rPr>
        <w:instrText xml:space="preserve"> NOTEREF _Ref492459743 \h </w:instrText>
      </w:r>
      <w:r w:rsidR="006648C5">
        <w:rPr>
          <w:vertAlign w:val="superscript"/>
        </w:rPr>
        <w:instrText xml:space="preserve"> \* MERGEFORMAT </w:instrText>
      </w:r>
      <w:r w:rsidR="006648C5" w:rsidRPr="006648C5">
        <w:rPr>
          <w:vertAlign w:val="superscript"/>
        </w:rPr>
      </w:r>
      <w:r w:rsidR="006648C5" w:rsidRPr="006648C5">
        <w:rPr>
          <w:vertAlign w:val="superscript"/>
        </w:rPr>
        <w:fldChar w:fldCharType="separate"/>
      </w:r>
      <w:r w:rsidR="006648C5" w:rsidRPr="006648C5">
        <w:rPr>
          <w:vertAlign w:val="superscript"/>
        </w:rPr>
        <w:t>1</w:t>
      </w:r>
      <w:r w:rsidR="006648C5" w:rsidRPr="006648C5">
        <w:rPr>
          <w:vertAlign w:val="superscript"/>
        </w:rPr>
        <w:fldChar w:fldCharType="end"/>
      </w:r>
    </w:p>
    <w:p w14:paraId="157BDCD8" w14:textId="77777777" w:rsidR="00DB1E9F" w:rsidRPr="00DB1E9F" w:rsidRDefault="00DB1E9F" w:rsidP="00B94882">
      <w:r w:rsidRPr="00DB1E9F">
        <w:t>The clinical manifestations of chronic hyponatremia tend to be less severe than those of acute hyponatremia due to cerebral adaption, which can occur over several days.</w:t>
      </w:r>
      <w:r w:rsidR="00604B45">
        <w:t xml:space="preserve"> </w:t>
      </w:r>
      <w:r w:rsidRPr="00DB1E9F">
        <w:t xml:space="preserve">Due to this adaption process, some patients can remain asymptomatic despite sodium levels of </w:t>
      </w:r>
      <w:r w:rsidR="00604B45">
        <w:t xml:space="preserve">&lt; </w:t>
      </w:r>
      <w:r w:rsidRPr="00DB1E9F">
        <w:t xml:space="preserve">120 </w:t>
      </w:r>
      <w:proofErr w:type="spellStart"/>
      <w:r w:rsidRPr="00DB1E9F">
        <w:t>mmol</w:t>
      </w:r>
      <w:proofErr w:type="spellEnd"/>
      <w:r w:rsidRPr="00DB1E9F">
        <w:t>/L.</w:t>
      </w:r>
      <w:r w:rsidR="00D578E9">
        <w:t xml:space="preserve"> </w:t>
      </w:r>
      <w:r w:rsidRPr="00DB1E9F">
        <w:t>Symptoms that may occur include fatigue, nausea, gait disturbance, confusion and forgetfulness</w:t>
      </w:r>
      <w:r w:rsidR="006648C5">
        <w:t>.</w:t>
      </w:r>
      <w:r w:rsidR="006648C5" w:rsidRPr="006648C5">
        <w:rPr>
          <w:vertAlign w:val="superscript"/>
        </w:rPr>
        <w:fldChar w:fldCharType="begin"/>
      </w:r>
      <w:r w:rsidR="006648C5" w:rsidRPr="006648C5">
        <w:rPr>
          <w:vertAlign w:val="superscript"/>
        </w:rPr>
        <w:instrText xml:space="preserve"> NOTEREF _Ref492459743 \h </w:instrText>
      </w:r>
      <w:r w:rsidR="006648C5">
        <w:rPr>
          <w:vertAlign w:val="superscript"/>
        </w:rPr>
        <w:instrText xml:space="preserve"> \* MERGEFORMAT </w:instrText>
      </w:r>
      <w:r w:rsidR="006648C5" w:rsidRPr="006648C5">
        <w:rPr>
          <w:vertAlign w:val="superscript"/>
        </w:rPr>
      </w:r>
      <w:r w:rsidR="006648C5" w:rsidRPr="006648C5">
        <w:rPr>
          <w:vertAlign w:val="superscript"/>
        </w:rPr>
        <w:fldChar w:fldCharType="separate"/>
      </w:r>
      <w:r w:rsidR="006648C5" w:rsidRPr="006648C5">
        <w:rPr>
          <w:vertAlign w:val="superscript"/>
        </w:rPr>
        <w:t>1</w:t>
      </w:r>
      <w:r w:rsidR="006648C5" w:rsidRPr="006648C5">
        <w:rPr>
          <w:vertAlign w:val="superscript"/>
        </w:rPr>
        <w:fldChar w:fldCharType="end"/>
      </w:r>
      <w:r w:rsidR="00D578E9">
        <w:t xml:space="preserve"> </w:t>
      </w:r>
      <w:r w:rsidRPr="00DB1E9F">
        <w:t>Of note, even mild, chronic hyponatremia can lead to cognitive impairment, falls and fractures</w:t>
      </w:r>
      <w:r w:rsidR="006648C5">
        <w:t>.</w:t>
      </w:r>
      <w:bookmarkStart w:id="17" w:name="_Ref492459828"/>
      <w:r w:rsidRPr="006648C5">
        <w:rPr>
          <w:vertAlign w:val="superscript"/>
        </w:rPr>
        <w:footnoteReference w:id="2"/>
      </w:r>
      <w:bookmarkEnd w:id="17"/>
      <w:r w:rsidR="00D578E9">
        <w:t xml:space="preserve"> </w:t>
      </w:r>
      <w:r w:rsidRPr="00DB1E9F">
        <w:t>The increased rate of fractures is thought to be related not only to the increase risk of falls but also due to a direct impact on either bone mineral density or bone quality, although this is yet to be definitely proven</w:t>
      </w:r>
      <w:r w:rsidR="006648C5">
        <w:t>.</w:t>
      </w:r>
      <w:r w:rsidR="006648C5" w:rsidRPr="006648C5">
        <w:rPr>
          <w:vertAlign w:val="superscript"/>
        </w:rPr>
        <w:fldChar w:fldCharType="begin"/>
      </w:r>
      <w:r w:rsidR="006648C5" w:rsidRPr="006648C5">
        <w:rPr>
          <w:vertAlign w:val="superscript"/>
        </w:rPr>
        <w:instrText xml:space="preserve"> NOTEREF _Ref492459828 \h </w:instrText>
      </w:r>
      <w:r w:rsidR="006648C5">
        <w:rPr>
          <w:vertAlign w:val="superscript"/>
        </w:rPr>
        <w:instrText xml:space="preserve"> \* MERGEFORMAT </w:instrText>
      </w:r>
      <w:r w:rsidR="006648C5" w:rsidRPr="006648C5">
        <w:rPr>
          <w:vertAlign w:val="superscript"/>
        </w:rPr>
      </w:r>
      <w:r w:rsidR="006648C5" w:rsidRPr="006648C5">
        <w:rPr>
          <w:vertAlign w:val="superscript"/>
        </w:rPr>
        <w:fldChar w:fldCharType="separate"/>
      </w:r>
      <w:r w:rsidR="006648C5" w:rsidRPr="006648C5">
        <w:rPr>
          <w:vertAlign w:val="superscript"/>
        </w:rPr>
        <w:t>2</w:t>
      </w:r>
      <w:r w:rsidR="006648C5" w:rsidRPr="006648C5">
        <w:rPr>
          <w:vertAlign w:val="superscript"/>
        </w:rPr>
        <w:fldChar w:fldCharType="end"/>
      </w:r>
    </w:p>
    <w:p w14:paraId="4BD4019E" w14:textId="049702F1" w:rsidR="00DB1E9F" w:rsidRPr="00DB1E9F" w:rsidRDefault="00DB1E9F" w:rsidP="00B94882">
      <w:r w:rsidRPr="00DB1E9F">
        <w:t>Conditions that can lead to hyponatraemia include</w:t>
      </w:r>
      <w:proofErr w:type="gramStart"/>
      <w:r w:rsidR="006648C5">
        <w:t>:</w:t>
      </w:r>
      <w:proofErr w:type="gramEnd"/>
      <w:r w:rsidR="006648C5" w:rsidRPr="006648C5">
        <w:rPr>
          <w:vertAlign w:val="superscript"/>
        </w:rPr>
        <w:fldChar w:fldCharType="begin"/>
      </w:r>
      <w:r w:rsidR="006648C5" w:rsidRPr="006648C5">
        <w:rPr>
          <w:vertAlign w:val="superscript"/>
        </w:rPr>
        <w:instrText xml:space="preserve"> NOTEREF _Ref492459743 \h </w:instrText>
      </w:r>
      <w:r w:rsidR="006648C5">
        <w:rPr>
          <w:vertAlign w:val="superscript"/>
        </w:rPr>
        <w:instrText xml:space="preserve"> \* MERGEFORMAT </w:instrText>
      </w:r>
      <w:r w:rsidR="006648C5" w:rsidRPr="006648C5">
        <w:rPr>
          <w:vertAlign w:val="superscript"/>
        </w:rPr>
      </w:r>
      <w:r w:rsidR="006648C5" w:rsidRPr="006648C5">
        <w:rPr>
          <w:vertAlign w:val="superscript"/>
        </w:rPr>
        <w:fldChar w:fldCharType="separate"/>
      </w:r>
      <w:r w:rsidR="006648C5" w:rsidRPr="006648C5">
        <w:rPr>
          <w:vertAlign w:val="superscript"/>
        </w:rPr>
        <w:t>1</w:t>
      </w:r>
      <w:r w:rsidR="006648C5" w:rsidRPr="006648C5">
        <w:rPr>
          <w:vertAlign w:val="superscript"/>
        </w:rPr>
        <w:fldChar w:fldCharType="end"/>
      </w:r>
      <w:r w:rsidR="00B94882">
        <w:rPr>
          <w:vertAlign w:val="superscript"/>
        </w:rPr>
        <w:t>,</w:t>
      </w:r>
      <w:r w:rsidR="006648C5" w:rsidRPr="006648C5">
        <w:rPr>
          <w:vertAlign w:val="superscript"/>
        </w:rPr>
        <w:fldChar w:fldCharType="begin"/>
      </w:r>
      <w:r w:rsidR="006648C5" w:rsidRPr="006648C5">
        <w:rPr>
          <w:vertAlign w:val="superscript"/>
        </w:rPr>
        <w:instrText xml:space="preserve"> NOTEREF _Ref492459828 \h </w:instrText>
      </w:r>
      <w:r w:rsidR="006648C5">
        <w:rPr>
          <w:vertAlign w:val="superscript"/>
        </w:rPr>
        <w:instrText xml:space="preserve"> \* MERGEFORMAT </w:instrText>
      </w:r>
      <w:r w:rsidR="006648C5" w:rsidRPr="006648C5">
        <w:rPr>
          <w:vertAlign w:val="superscript"/>
        </w:rPr>
      </w:r>
      <w:r w:rsidR="006648C5" w:rsidRPr="006648C5">
        <w:rPr>
          <w:vertAlign w:val="superscript"/>
        </w:rPr>
        <w:fldChar w:fldCharType="separate"/>
      </w:r>
      <w:r w:rsidR="006648C5" w:rsidRPr="006648C5">
        <w:rPr>
          <w:vertAlign w:val="superscript"/>
        </w:rPr>
        <w:t>2</w:t>
      </w:r>
      <w:r w:rsidR="006648C5" w:rsidRPr="006648C5">
        <w:rPr>
          <w:vertAlign w:val="superscript"/>
        </w:rPr>
        <w:fldChar w:fldCharType="end"/>
      </w:r>
    </w:p>
    <w:p w14:paraId="1F4ED840" w14:textId="77777777" w:rsidR="00DB1E9F" w:rsidRPr="00B94882" w:rsidRDefault="00DB1E9F" w:rsidP="00B94882">
      <w:pPr>
        <w:pStyle w:val="ListBullet"/>
      </w:pPr>
      <w:r w:rsidRPr="00B94882">
        <w:t>Inappropriate fluid replacement</w:t>
      </w:r>
    </w:p>
    <w:p w14:paraId="2ECADE87" w14:textId="77777777" w:rsidR="00DB1E9F" w:rsidRPr="00B94882" w:rsidRDefault="00DB1E9F" w:rsidP="00B94882">
      <w:pPr>
        <w:pStyle w:val="ListBullet"/>
      </w:pPr>
      <w:r w:rsidRPr="00B94882">
        <w:t>Diarrhoea and vomiting</w:t>
      </w:r>
    </w:p>
    <w:p w14:paraId="37C79B43" w14:textId="77777777" w:rsidR="00DB1E9F" w:rsidRPr="00B94882" w:rsidRDefault="006648C5" w:rsidP="00B94882">
      <w:pPr>
        <w:pStyle w:val="ListBullet"/>
      </w:pPr>
      <w:r w:rsidRPr="00B94882">
        <w:t>Heart failure</w:t>
      </w:r>
    </w:p>
    <w:p w14:paraId="7F9C3858" w14:textId="77777777" w:rsidR="00DB1E9F" w:rsidRPr="00B94882" w:rsidRDefault="00DB1E9F" w:rsidP="00B94882">
      <w:pPr>
        <w:pStyle w:val="ListBullet"/>
      </w:pPr>
      <w:r w:rsidRPr="00B94882">
        <w:t>Hepatic impairment</w:t>
      </w:r>
    </w:p>
    <w:p w14:paraId="272A9476" w14:textId="77777777" w:rsidR="00DB1E9F" w:rsidRPr="00B94882" w:rsidRDefault="00DB1E9F" w:rsidP="00B94882">
      <w:pPr>
        <w:pStyle w:val="ListBullet"/>
      </w:pPr>
      <w:r w:rsidRPr="00B94882">
        <w:t>Renal insufficiency</w:t>
      </w:r>
    </w:p>
    <w:p w14:paraId="278E3C86" w14:textId="77777777" w:rsidR="00DB1E9F" w:rsidRPr="00B94882" w:rsidRDefault="00DB1E9F" w:rsidP="00B94882">
      <w:pPr>
        <w:pStyle w:val="ListBullet"/>
      </w:pPr>
      <w:r w:rsidRPr="00B94882">
        <w:t>Small cell lung cancer (due to the ectopic excretion of atrial natriuretic peptide)</w:t>
      </w:r>
    </w:p>
    <w:p w14:paraId="16B4A95D" w14:textId="77777777" w:rsidR="00DB1E9F" w:rsidRPr="00B94882" w:rsidRDefault="00DB1E9F" w:rsidP="00B94882">
      <w:pPr>
        <w:pStyle w:val="ListBullet"/>
      </w:pPr>
      <w:r w:rsidRPr="00B94882">
        <w:t>Hypothyroidism</w:t>
      </w:r>
    </w:p>
    <w:p w14:paraId="2BD20F9B" w14:textId="77777777" w:rsidR="00DB1E9F" w:rsidRPr="00B94882" w:rsidRDefault="006648C5" w:rsidP="00B94882">
      <w:pPr>
        <w:pStyle w:val="ListBullet"/>
      </w:pPr>
      <w:r w:rsidRPr="00B94882">
        <w:t>Pregnancy</w:t>
      </w:r>
    </w:p>
    <w:p w14:paraId="34AD7757" w14:textId="77777777" w:rsidR="00DB1E9F" w:rsidRPr="00B94882" w:rsidRDefault="006648C5" w:rsidP="00B94882">
      <w:pPr>
        <w:pStyle w:val="ListBullet"/>
      </w:pPr>
      <w:r w:rsidRPr="00B94882">
        <w:t>Adrenal insufficiency</w:t>
      </w:r>
    </w:p>
    <w:p w14:paraId="7DC809C3" w14:textId="77777777" w:rsidR="00DB1E9F" w:rsidRPr="00B94882" w:rsidRDefault="00DB1E9F" w:rsidP="00B94882">
      <w:pPr>
        <w:pStyle w:val="ListBullet"/>
      </w:pPr>
      <w:r w:rsidRPr="00B94882">
        <w:t>Syndrome of inappropriate Anti-Diu</w:t>
      </w:r>
      <w:r w:rsidR="006648C5" w:rsidRPr="00B94882">
        <w:t>retic Hormone secretion (SIADH)</w:t>
      </w:r>
    </w:p>
    <w:p w14:paraId="7E2B70C7" w14:textId="77777777" w:rsidR="00DB1E9F" w:rsidRPr="00B94882" w:rsidRDefault="006648C5" w:rsidP="00B94882">
      <w:pPr>
        <w:pStyle w:val="ListBullet"/>
      </w:pPr>
      <w:r w:rsidRPr="00B94882">
        <w:t>Primary polydipsia</w:t>
      </w:r>
    </w:p>
    <w:p w14:paraId="639274B5" w14:textId="77777777" w:rsidR="00DB1E9F" w:rsidRDefault="00DB1E9F" w:rsidP="00B94882">
      <w:pPr>
        <w:pStyle w:val="ListBullet"/>
      </w:pPr>
      <w:r w:rsidRPr="00B94882">
        <w:t>Marked hyperglycaemia</w:t>
      </w:r>
    </w:p>
    <w:p w14:paraId="04942BAF" w14:textId="77777777" w:rsidR="00DB1E9F" w:rsidRPr="00DB1E9F" w:rsidRDefault="00DB1E9F" w:rsidP="00530CF5">
      <w:r w:rsidRPr="00DB1E9F">
        <w:lastRenderedPageBreak/>
        <w:t>Drugs that cause hyponatraemia include</w:t>
      </w:r>
      <w:r w:rsidR="006648C5">
        <w:t>:</w:t>
      </w:r>
      <w:r w:rsidRPr="006648C5">
        <w:rPr>
          <w:vertAlign w:val="superscript"/>
        </w:rPr>
        <w:footnoteReference w:id="3"/>
      </w:r>
    </w:p>
    <w:p w14:paraId="435C8994" w14:textId="77777777" w:rsidR="00DB1E9F" w:rsidRPr="00530CF5" w:rsidRDefault="00DB1E9F" w:rsidP="00530CF5">
      <w:pPr>
        <w:pStyle w:val="ListBullet"/>
      </w:pPr>
      <w:r w:rsidRPr="00530CF5">
        <w:t xml:space="preserve">Diuretics including thiazide, </w:t>
      </w:r>
      <w:proofErr w:type="spellStart"/>
      <w:r w:rsidRPr="00530CF5">
        <w:t>indapamide</w:t>
      </w:r>
      <w:proofErr w:type="spellEnd"/>
      <w:r w:rsidRPr="00530CF5">
        <w:t xml:space="preserve">, </w:t>
      </w:r>
      <w:proofErr w:type="spellStart"/>
      <w:r w:rsidRPr="00530CF5">
        <w:t>amiloride</w:t>
      </w:r>
      <w:proofErr w:type="spellEnd"/>
      <w:r w:rsidRPr="00530CF5">
        <w:t xml:space="preserve"> and loop diuretics</w:t>
      </w:r>
    </w:p>
    <w:p w14:paraId="5016C4A9" w14:textId="77777777" w:rsidR="00DB1E9F" w:rsidRPr="00530CF5" w:rsidRDefault="0080062E" w:rsidP="00530CF5">
      <w:pPr>
        <w:pStyle w:val="ListBullet"/>
      </w:pPr>
      <w:r w:rsidRPr="00530CF5">
        <w:t>Antidepressants;</w:t>
      </w:r>
      <w:r w:rsidR="00DB1E9F" w:rsidRPr="00530CF5">
        <w:t xml:space="preserve"> Selective Serotonin Reuptake Inhibitors (SSRIs), tricyclic antidepressants</w:t>
      </w:r>
      <w:r w:rsidR="00D578E9" w:rsidRPr="00530CF5">
        <w:t xml:space="preserve"> </w:t>
      </w:r>
      <w:r w:rsidR="00DB1E9F" w:rsidRPr="00530CF5">
        <w:t>and monoamine oxidase inhibitor (MAOI)</w:t>
      </w:r>
    </w:p>
    <w:p w14:paraId="148375B1" w14:textId="77777777" w:rsidR="00DB1E9F" w:rsidRPr="00530CF5" w:rsidRDefault="00DB1E9F" w:rsidP="00530CF5">
      <w:pPr>
        <w:pStyle w:val="ListBullet"/>
      </w:pPr>
      <w:r w:rsidRPr="00530CF5">
        <w:t>A</w:t>
      </w:r>
      <w:r w:rsidR="006648C5" w:rsidRPr="00530CF5">
        <w:t>CE inhibitors</w:t>
      </w:r>
    </w:p>
    <w:p w14:paraId="1246C92A" w14:textId="77777777" w:rsidR="00DB1E9F" w:rsidRPr="00530CF5" w:rsidRDefault="006648C5" w:rsidP="00530CF5">
      <w:pPr>
        <w:pStyle w:val="ListBullet"/>
      </w:pPr>
      <w:r w:rsidRPr="00530CF5">
        <w:t>Proton pump inhibitors</w:t>
      </w:r>
    </w:p>
    <w:p w14:paraId="40A01D22" w14:textId="77777777" w:rsidR="00DB1E9F" w:rsidRPr="00530CF5" w:rsidRDefault="006648C5" w:rsidP="00530CF5">
      <w:pPr>
        <w:pStyle w:val="ListBullet"/>
      </w:pPr>
      <w:r w:rsidRPr="00530CF5">
        <w:t>Antidiabetic drugs;</w:t>
      </w:r>
      <w:r w:rsidR="00DB1E9F" w:rsidRPr="00530CF5">
        <w:t xml:space="preserve"> </w:t>
      </w:r>
      <w:proofErr w:type="spellStart"/>
      <w:r w:rsidR="00DB1E9F" w:rsidRPr="00530CF5">
        <w:t>chlorpropamide</w:t>
      </w:r>
      <w:proofErr w:type="spellEnd"/>
      <w:r w:rsidR="00DB1E9F" w:rsidRPr="00530CF5">
        <w:t xml:space="preserve">, </w:t>
      </w:r>
      <w:proofErr w:type="spellStart"/>
      <w:r w:rsidR="00DB1E9F" w:rsidRPr="00530CF5">
        <w:t>tolbutamide</w:t>
      </w:r>
      <w:proofErr w:type="spellEnd"/>
    </w:p>
    <w:p w14:paraId="598A8920" w14:textId="77777777" w:rsidR="00DB1E9F" w:rsidRPr="00530CF5" w:rsidRDefault="00DB1E9F" w:rsidP="00530CF5">
      <w:pPr>
        <w:pStyle w:val="ListBullet"/>
      </w:pPr>
      <w:r w:rsidRPr="00530CF5">
        <w:t>Non-Steroidal anti-inflammatory drugs (NSAID)</w:t>
      </w:r>
    </w:p>
    <w:p w14:paraId="32BB806B" w14:textId="77777777" w:rsidR="00DB1E9F" w:rsidRPr="00530CF5" w:rsidRDefault="006648C5" w:rsidP="00530CF5">
      <w:pPr>
        <w:pStyle w:val="ListBullet"/>
      </w:pPr>
      <w:r w:rsidRPr="00530CF5">
        <w:t>Antipsychotic;</w:t>
      </w:r>
      <w:r w:rsidR="00DB1E9F" w:rsidRPr="00530CF5">
        <w:t xml:space="preserve"> </w:t>
      </w:r>
      <w:proofErr w:type="spellStart"/>
      <w:r w:rsidR="00DB1E9F" w:rsidRPr="00530CF5">
        <w:t>phenothiazines</w:t>
      </w:r>
      <w:proofErr w:type="spellEnd"/>
      <w:r w:rsidR="00DB1E9F" w:rsidRPr="00530CF5">
        <w:t xml:space="preserve"> and </w:t>
      </w:r>
      <w:proofErr w:type="spellStart"/>
      <w:r w:rsidR="00DB1E9F" w:rsidRPr="00530CF5">
        <w:t>butyrophenones</w:t>
      </w:r>
      <w:proofErr w:type="spellEnd"/>
    </w:p>
    <w:p w14:paraId="5E3A6302" w14:textId="77777777" w:rsidR="00DB1E9F" w:rsidRPr="00530CF5" w:rsidRDefault="006648C5" w:rsidP="00530CF5">
      <w:pPr>
        <w:pStyle w:val="ListBullet"/>
      </w:pPr>
      <w:r w:rsidRPr="00530CF5">
        <w:t>Anticonvulsant;</w:t>
      </w:r>
      <w:r w:rsidR="00DB1E9F" w:rsidRPr="00530CF5">
        <w:t xml:space="preserve"> Carbamazepine, sodium valproate and oxcarbazepine</w:t>
      </w:r>
    </w:p>
    <w:p w14:paraId="00F53147" w14:textId="77777777" w:rsidR="00DB1E9F" w:rsidRDefault="0080062E" w:rsidP="00530CF5">
      <w:pPr>
        <w:pStyle w:val="ListBullet"/>
      </w:pPr>
      <w:r w:rsidRPr="00530CF5">
        <w:t>Chemotherapy;</w:t>
      </w:r>
      <w:r w:rsidR="00D578E9" w:rsidRPr="00530CF5">
        <w:t xml:space="preserve"> </w:t>
      </w:r>
      <w:r w:rsidR="00DB1E9F" w:rsidRPr="00530CF5">
        <w:t>many including</w:t>
      </w:r>
      <w:r w:rsidR="00DB1E9F" w:rsidRPr="00DB1E9F">
        <w:t xml:space="preserve"> platinum compounds and </w:t>
      </w:r>
      <w:proofErr w:type="spellStart"/>
      <w:r w:rsidR="00DB1E9F" w:rsidRPr="00DB1E9F">
        <w:t>vinca</w:t>
      </w:r>
      <w:proofErr w:type="spellEnd"/>
      <w:r w:rsidR="00DB1E9F" w:rsidRPr="00DB1E9F">
        <w:t xml:space="preserve"> alkaloids and more</w:t>
      </w:r>
      <w:r w:rsidR="006648C5">
        <w:t>.</w:t>
      </w:r>
    </w:p>
    <w:p w14:paraId="59701355" w14:textId="77777777" w:rsidR="00DB1E9F" w:rsidRPr="00DB1E9F" w:rsidRDefault="00DB1E9F" w:rsidP="00530CF5">
      <w:r w:rsidRPr="00DB1E9F">
        <w:t>Older patients are at greater risk of hyponatremia due to declining physiological processes and the frequent presence of multiple co-morbidities and concomitant medications</w:t>
      </w:r>
      <w:r w:rsidR="006648C5">
        <w:t>.</w:t>
      </w:r>
      <w:r w:rsidR="006648C5" w:rsidRPr="006648C5">
        <w:rPr>
          <w:vertAlign w:val="superscript"/>
        </w:rPr>
        <w:fldChar w:fldCharType="begin"/>
      </w:r>
      <w:r w:rsidR="006648C5" w:rsidRPr="006648C5">
        <w:rPr>
          <w:vertAlign w:val="superscript"/>
        </w:rPr>
        <w:instrText xml:space="preserve"> NOTEREF _Ref492459828 \h </w:instrText>
      </w:r>
      <w:r w:rsidR="006648C5">
        <w:rPr>
          <w:vertAlign w:val="superscript"/>
        </w:rPr>
        <w:instrText xml:space="preserve"> \* MERGEFORMAT </w:instrText>
      </w:r>
      <w:r w:rsidR="006648C5" w:rsidRPr="006648C5">
        <w:rPr>
          <w:vertAlign w:val="superscript"/>
        </w:rPr>
      </w:r>
      <w:r w:rsidR="006648C5" w:rsidRPr="006648C5">
        <w:rPr>
          <w:vertAlign w:val="superscript"/>
        </w:rPr>
        <w:fldChar w:fldCharType="separate"/>
      </w:r>
      <w:r w:rsidR="006648C5" w:rsidRPr="006648C5">
        <w:rPr>
          <w:vertAlign w:val="superscript"/>
        </w:rPr>
        <w:t>2</w:t>
      </w:r>
      <w:r w:rsidR="006648C5" w:rsidRPr="006648C5">
        <w:rPr>
          <w:vertAlign w:val="superscript"/>
        </w:rPr>
        <w:fldChar w:fldCharType="end"/>
      </w:r>
      <w:r w:rsidRPr="00DB1E9F">
        <w:t>Hyponatraemia is a common disorder amongst older patients (65</w:t>
      </w:r>
      <w:r w:rsidR="006648C5">
        <w:t xml:space="preserve"> + years);</w:t>
      </w:r>
      <w:r w:rsidRPr="00DB1E9F">
        <w:t xml:space="preserve"> estimated to be about 5% in an outpatient setting and up to 20% in a hospital setting</w:t>
      </w:r>
      <w:r w:rsidR="006648C5">
        <w:t>.</w:t>
      </w:r>
      <w:r w:rsidRPr="006648C5">
        <w:rPr>
          <w:vertAlign w:val="superscript"/>
        </w:rPr>
        <w:footnoteReference w:id="4"/>
      </w:r>
      <w:r w:rsidRPr="00DB1E9F">
        <w:t xml:space="preserve"> This is particularly important in the context of the application of Nocdurna, given that nocturnal polyuria is also more common in people as they age.</w:t>
      </w:r>
    </w:p>
    <w:p w14:paraId="3BA299F8" w14:textId="77777777" w:rsidR="00DB1E9F" w:rsidRPr="00DB1E9F" w:rsidRDefault="00DB1E9F" w:rsidP="00530CF5">
      <w:pPr>
        <w:pStyle w:val="Heading3"/>
      </w:pPr>
      <w:bookmarkStart w:id="18" w:name="_Toc500838970"/>
      <w:r w:rsidRPr="00DB1E9F">
        <w:t xml:space="preserve">Regulatory action for the risk of hyponatraemia associated with </w:t>
      </w:r>
      <w:r w:rsidRPr="00530CF5">
        <w:t>desmopressin</w:t>
      </w:r>
      <w:bookmarkEnd w:id="18"/>
    </w:p>
    <w:p w14:paraId="67F98839" w14:textId="77777777" w:rsidR="00DB1E9F" w:rsidRPr="00DB1E9F" w:rsidRDefault="00DB1E9F" w:rsidP="00530CF5">
      <w:pPr>
        <w:pStyle w:val="Heading4"/>
      </w:pPr>
      <w:r w:rsidRPr="00DB1E9F">
        <w:t xml:space="preserve">United </w:t>
      </w:r>
      <w:r w:rsidRPr="00530CF5">
        <w:t>States</w:t>
      </w:r>
    </w:p>
    <w:p w14:paraId="6AEBD755" w14:textId="77777777" w:rsidR="00DB1E9F" w:rsidRPr="00DB1E9F" w:rsidRDefault="00DB1E9F" w:rsidP="00530CF5">
      <w:r w:rsidRPr="00DB1E9F">
        <w:t>In 2007 the FDA issued an alert requesting all desmopressin manufacturers remove the indication for primary nocturnal enuresis for the nasal formulations. The FDA also requested an update to the PIs to include information about severe hyponatraemia and seizures.</w:t>
      </w:r>
    </w:p>
    <w:p w14:paraId="74B0D5E8" w14:textId="77777777" w:rsidR="00DB1E9F" w:rsidRPr="00DB1E9F" w:rsidRDefault="00DB1E9F" w:rsidP="00530CF5">
      <w:pPr>
        <w:pStyle w:val="Heading4"/>
      </w:pPr>
      <w:r w:rsidRPr="00530CF5">
        <w:t>EU</w:t>
      </w:r>
    </w:p>
    <w:p w14:paraId="3F0B1334" w14:textId="77777777" w:rsidR="00DB1E9F" w:rsidRPr="00DB1E9F" w:rsidRDefault="00DB1E9F" w:rsidP="00530CF5">
      <w:r w:rsidRPr="00DB1E9F">
        <w:t>In 2006 the EMA’s Pharmacovigilance Working Party recommended withdrawal of the indication for primary nocturnal enuresis for the nasal formulations. They also recommended the addition of a warning about the possible risk of severe hyponatraemia when the nasal spray is used in patients with central diabetes insipidus.</w:t>
      </w:r>
    </w:p>
    <w:p w14:paraId="26EC775A" w14:textId="77777777" w:rsidR="00DB1E9F" w:rsidRPr="00DB1E9F" w:rsidRDefault="00DB1E9F" w:rsidP="00530CF5">
      <w:pPr>
        <w:pStyle w:val="Heading4"/>
      </w:pPr>
      <w:r w:rsidRPr="00530CF5">
        <w:t>UK</w:t>
      </w:r>
    </w:p>
    <w:p w14:paraId="58AB79C8" w14:textId="77777777" w:rsidR="00DB1E9F" w:rsidRPr="00DB1E9F" w:rsidRDefault="00DB1E9F" w:rsidP="00530CF5">
      <w:r w:rsidRPr="00DB1E9F">
        <w:t>In 2008 the MHRA added a black triangle to the desmopressin melt products to expedite all reports of hyponatraemia or associated prodromal symptoms. The black triangle was removed in 2011.</w:t>
      </w:r>
    </w:p>
    <w:p w14:paraId="456BCF70" w14:textId="77777777" w:rsidR="00DB1E9F" w:rsidRPr="00DB1E9F" w:rsidRDefault="00DB1E9F" w:rsidP="00530CF5">
      <w:pPr>
        <w:pStyle w:val="Heading3"/>
      </w:pPr>
      <w:bookmarkStart w:id="19" w:name="_Toc500838971"/>
      <w:r w:rsidRPr="00DB1E9F">
        <w:lastRenderedPageBreak/>
        <w:t>Overseas regulatory status</w:t>
      </w:r>
      <w:bookmarkEnd w:id="19"/>
    </w:p>
    <w:p w14:paraId="5401D719" w14:textId="77777777" w:rsidR="00DB1E9F" w:rsidRPr="00DB1E9F" w:rsidRDefault="00DB1E9F" w:rsidP="00530CF5">
      <w:pPr>
        <w:pStyle w:val="Heading4"/>
      </w:pPr>
      <w:r w:rsidRPr="00530CF5">
        <w:t>Canada</w:t>
      </w:r>
    </w:p>
    <w:p w14:paraId="65A5CAFF" w14:textId="77777777" w:rsidR="00D578E9" w:rsidRDefault="00DB1E9F" w:rsidP="00530CF5">
      <w:pPr>
        <w:pStyle w:val="ListBullet"/>
      </w:pPr>
      <w:r w:rsidRPr="00DB1E9F">
        <w:t xml:space="preserve">An initial application was submitted to Health Canada in </w:t>
      </w:r>
      <w:r w:rsidR="00176924">
        <w:t>December</w:t>
      </w:r>
      <w:r w:rsidRPr="00DB1E9F">
        <w:t xml:space="preserve"> 2011 and registered in </w:t>
      </w:r>
      <w:r w:rsidR="00176924">
        <w:t>December</w:t>
      </w:r>
      <w:r w:rsidRPr="00DB1E9F">
        <w:t xml:space="preserve"> 2012. </w:t>
      </w:r>
      <w:r w:rsidRPr="00530CF5">
        <w:t>This</w:t>
      </w:r>
      <w:r w:rsidRPr="00DB1E9F">
        <w:t xml:space="preserve"> registration was based on CS29 and its </w:t>
      </w:r>
      <w:r w:rsidR="0080062E">
        <w:t>long term</w:t>
      </w:r>
      <w:r w:rsidRPr="00DB1E9F">
        <w:t xml:space="preserve"> extension study CS31. Indication: </w:t>
      </w:r>
      <w:r w:rsidRPr="00176924">
        <w:rPr>
          <w:i/>
        </w:rPr>
        <w:t>“… treatment of nocturia in adults with four or less nocturnal voids</w:t>
      </w:r>
      <w:r w:rsidRPr="00DB1E9F">
        <w:t>”</w:t>
      </w:r>
      <w:r w:rsidR="00D578E9">
        <w:t>.</w:t>
      </w:r>
    </w:p>
    <w:p w14:paraId="24698E93" w14:textId="77777777" w:rsidR="00D578E9" w:rsidRDefault="00DB1E9F" w:rsidP="00DB1E9F">
      <w:pPr>
        <w:pStyle w:val="ListBullet"/>
      </w:pPr>
      <w:r w:rsidRPr="00DB1E9F">
        <w:t xml:space="preserve">A supplemental new drug application was submitted in August 2013 for a change to the dosing information, from men, in the product monograph from 100 </w:t>
      </w:r>
      <w:r w:rsidR="00D578E9">
        <w:t>µg</w:t>
      </w:r>
      <w:r w:rsidRPr="00DB1E9F">
        <w:t xml:space="preserve"> daily to 50 </w:t>
      </w:r>
      <w:r w:rsidR="00D578E9">
        <w:t>µg</w:t>
      </w:r>
      <w:r w:rsidRPr="00DB1E9F">
        <w:t xml:space="preserve"> daily, based </w:t>
      </w:r>
      <w:r w:rsidRPr="00530CF5">
        <w:t xml:space="preserve">on CS41 (dosing change approved </w:t>
      </w:r>
      <w:r w:rsidR="00176924" w:rsidRPr="00530CF5">
        <w:t>September</w:t>
      </w:r>
      <w:r w:rsidRPr="00530CF5">
        <w:t xml:space="preserve"> 2014). Dosing for women </w:t>
      </w:r>
      <w:proofErr w:type="gramStart"/>
      <w:r w:rsidRPr="00530CF5">
        <w:t xml:space="preserve">at 25 </w:t>
      </w:r>
      <w:r w:rsidR="00D578E9" w:rsidRPr="00530CF5">
        <w:t>µg</w:t>
      </w:r>
      <w:r w:rsidRPr="00530CF5">
        <w:t>/day</w:t>
      </w:r>
      <w:proofErr w:type="gramEnd"/>
      <w:r w:rsidRPr="00530CF5">
        <w:t xml:space="preserve"> had alrea</w:t>
      </w:r>
      <w:r w:rsidRPr="00DB1E9F">
        <w:t>dy been approved in the original application, so CS40 was not submitted</w:t>
      </w:r>
      <w:r w:rsidR="00D578E9">
        <w:t>.</w:t>
      </w:r>
    </w:p>
    <w:p w14:paraId="2A0E457D" w14:textId="7279547A" w:rsidR="00283829" w:rsidRDefault="00283829" w:rsidP="00530CF5">
      <w:r w:rsidRPr="00865DF4">
        <w:t>The short and long term efficacy of N</w:t>
      </w:r>
      <w:r w:rsidR="00865DF4" w:rsidRPr="00865DF4">
        <w:t>ocdurna</w:t>
      </w:r>
      <w:r w:rsidRPr="00865DF4">
        <w:t xml:space="preserve"> </w:t>
      </w:r>
      <w:r w:rsidR="00865DF4" w:rsidRPr="00865DF4">
        <w:t>w</w:t>
      </w:r>
      <w:r w:rsidR="00865DF4">
        <w:t>as</w:t>
      </w:r>
      <w:r w:rsidR="00865DF4" w:rsidRPr="00865DF4">
        <w:t xml:space="preserve"> </w:t>
      </w:r>
      <w:r w:rsidRPr="00865DF4">
        <w:t xml:space="preserve">evaluated and Health Canada concluded that the benefit of </w:t>
      </w:r>
      <w:r w:rsidR="00865DF4" w:rsidRPr="00865DF4">
        <w:t>Nocdurn</w:t>
      </w:r>
      <w:r w:rsidR="00865DF4">
        <w:t>a</w:t>
      </w:r>
      <w:r w:rsidR="00865DF4" w:rsidRPr="00865DF4">
        <w:t xml:space="preserve"> </w:t>
      </w:r>
      <w:r w:rsidRPr="00865DF4">
        <w:t>in the treatment for the proposed indication outweighs the risk.</w:t>
      </w:r>
    </w:p>
    <w:p w14:paraId="0320DE5E" w14:textId="3682EB90" w:rsidR="00DB1E9F" w:rsidRPr="00DB1E9F" w:rsidRDefault="00DB1E9F" w:rsidP="00530CF5">
      <w:pPr>
        <w:pStyle w:val="Heading4"/>
      </w:pPr>
      <w:r w:rsidRPr="00530CF5">
        <w:t>EU</w:t>
      </w:r>
    </w:p>
    <w:p w14:paraId="1EFF67C2" w14:textId="77777777" w:rsidR="00DB1E9F" w:rsidRPr="00DB1E9F" w:rsidRDefault="00DB1E9F" w:rsidP="00530CF5">
      <w:r w:rsidRPr="00DB1E9F">
        <w:t>The application was made in April 2015 via a decentralised procedure (DCP). The reference member state (RMS) is Sweden. The concerned member states (CMS) are: Austria, Belgium, Bulgaria, Cyprus, Czech Republic, Germany, Denmark, Estonia, Greece, Spain, Finland, France, Croatia, Hungary, Iceland, Ireland, Italy, Latvia, Liechtenstein, Lithuania, Luxembourg, Malta, Netherlands, Norway, Poland, Portugal, Romania, Slovak Republic, Slovenia, and the United Kingdom.</w:t>
      </w:r>
    </w:p>
    <w:p w14:paraId="473C4C61" w14:textId="1983017A" w:rsidR="00DB1E9F" w:rsidRPr="00DB1E9F" w:rsidRDefault="00176924" w:rsidP="00530CF5">
      <w:r>
        <w:t xml:space="preserve">The sponsor has provided the Day </w:t>
      </w:r>
      <w:r w:rsidR="00DB1E9F" w:rsidRPr="00DB1E9F">
        <w:t>70 preliminary assessment reports (</w:t>
      </w:r>
      <w:proofErr w:type="spellStart"/>
      <w:r w:rsidR="00DB1E9F" w:rsidRPr="00DB1E9F">
        <w:t>P</w:t>
      </w:r>
      <w:r w:rsidR="00064917">
        <w:t>r</w:t>
      </w:r>
      <w:r w:rsidR="00DB1E9F" w:rsidRPr="00DB1E9F">
        <w:t>ARs</w:t>
      </w:r>
      <w:proofErr w:type="spellEnd"/>
      <w:r w:rsidR="00DB1E9F" w:rsidRPr="00DB1E9F">
        <w:t>) to the TGA, which have been used as references in this Australian evaluation.</w:t>
      </w:r>
    </w:p>
    <w:p w14:paraId="71B551A3" w14:textId="5262B7F5" w:rsidR="00283829" w:rsidRDefault="00283829" w:rsidP="00530CF5">
      <w:r w:rsidRPr="00865DF4">
        <w:t xml:space="preserve">The EU CHMP concluded that long-term clinical efficacy of NOCDURNA was adequately demonstrated by the studies conducted. Hyponatraemia was noted as a major risk, for which </w:t>
      </w:r>
      <w:r w:rsidR="00E938F0" w:rsidRPr="00865DF4">
        <w:t xml:space="preserve">the specific </w:t>
      </w:r>
      <w:r w:rsidRPr="00865DF4">
        <w:t xml:space="preserve">precautionary </w:t>
      </w:r>
      <w:r w:rsidR="00E938F0" w:rsidRPr="00865DF4">
        <w:t>statements included in the PI were considered as an adequate risk-mitigation strategy.</w:t>
      </w:r>
    </w:p>
    <w:p w14:paraId="05097D7F" w14:textId="77777777" w:rsidR="00DB1E9F" w:rsidRPr="00DB1E9F" w:rsidRDefault="00DB1E9F" w:rsidP="00530CF5">
      <w:pPr>
        <w:pStyle w:val="Heading4"/>
      </w:pPr>
      <w:r w:rsidRPr="00DB1E9F">
        <w:t>United States</w:t>
      </w:r>
    </w:p>
    <w:p w14:paraId="582034CC" w14:textId="45831F64" w:rsidR="00DB1E9F" w:rsidRPr="00DB1E9F" w:rsidRDefault="00DB1E9F" w:rsidP="00530CF5">
      <w:r w:rsidRPr="00DB1E9F">
        <w:t xml:space="preserve">The sponsor explained, at the pre-submission meeting with the TGA, that “the FDA was not satisfied </w:t>
      </w:r>
      <w:r w:rsidR="0080062E">
        <w:t>with the outcomes of the Phase III</w:t>
      </w:r>
      <w:r w:rsidR="00530CF5">
        <w:t xml:space="preserve"> studies CS40 and CS41.”</w:t>
      </w:r>
    </w:p>
    <w:p w14:paraId="669650C5" w14:textId="77777777" w:rsidR="00D578E9" w:rsidRDefault="00DB1E9F" w:rsidP="00530CF5">
      <w:r w:rsidRPr="00DB1E9F">
        <w:t xml:space="preserve">Nocdurna has a long history with the FDA (see </w:t>
      </w:r>
      <w:r w:rsidRPr="00176924">
        <w:t>http://www.fda.gov/AdvisoryCommittees/ucm426272.htm</w:t>
      </w:r>
      <w:r w:rsidRPr="00DB1E9F">
        <w:t>)</w:t>
      </w:r>
      <w:r w:rsidR="00D578E9">
        <w:t>.</w:t>
      </w:r>
    </w:p>
    <w:p w14:paraId="2FA58D87" w14:textId="77777777" w:rsidR="00DB1E9F" w:rsidRPr="00DB1E9F" w:rsidRDefault="00176924" w:rsidP="00530CF5">
      <w:r>
        <w:t xml:space="preserve">Studies CS29 and </w:t>
      </w:r>
      <w:r w:rsidR="00DB1E9F" w:rsidRPr="00DB1E9F">
        <w:t xml:space="preserve">CS31 were submitted to the FDA in 2009. Based on the results of CS29, the FDA was concerned that the benefits of reducing the frequency of nocturnal voids might be outweighed by the harms of hyponatraemia. The FDA recommended a </w:t>
      </w:r>
      <w:r>
        <w:t xml:space="preserve">longer trial (3 months versus 1 </w:t>
      </w:r>
      <w:r w:rsidR="00DB1E9F" w:rsidRPr="00DB1E9F">
        <w:t xml:space="preserve">month) concentrating on the lower doses (women: 25 </w:t>
      </w:r>
      <w:r w:rsidR="00D578E9">
        <w:t>µg</w:t>
      </w:r>
      <w:r w:rsidR="00DB1E9F" w:rsidRPr="00DB1E9F">
        <w:t xml:space="preserve">; men: 50/75 </w:t>
      </w:r>
      <w:r w:rsidR="00D578E9">
        <w:t>µg</w:t>
      </w:r>
      <w:r w:rsidR="00DB1E9F" w:rsidRPr="00DB1E9F">
        <w:t xml:space="preserve">). The </w:t>
      </w:r>
      <w:r w:rsidR="006648C5">
        <w:t>sponsor</w:t>
      </w:r>
      <w:r>
        <w:t xml:space="preserve"> submitted these studies (CS40 and </w:t>
      </w:r>
      <w:r w:rsidR="00DB1E9F" w:rsidRPr="00DB1E9F">
        <w:t>CS41) in 2012.</w:t>
      </w:r>
    </w:p>
    <w:p w14:paraId="7D334676" w14:textId="77777777" w:rsidR="00DB1E9F" w:rsidRPr="00DB1E9F" w:rsidRDefault="00DB1E9F" w:rsidP="00530CF5">
      <w:r w:rsidRPr="00DB1E9F">
        <w:t>At this point in time, the most recent information that the TGA has is that the FDA Endocrine and Metabolic Advisory Committee (EMDAC) voted 10 to 5 with 2 abstentions to recommend the FDA not approve the medicine (</w:t>
      </w:r>
      <w:r w:rsidR="00176924">
        <w:t>January</w:t>
      </w:r>
      <w:r w:rsidRPr="00DB1E9F">
        <w:t>/</w:t>
      </w:r>
      <w:r w:rsidR="00176924">
        <w:t>February</w:t>
      </w:r>
      <w:r w:rsidRPr="00DB1E9F">
        <w:t xml:space="preserve"> 2015). The FDA is not required to follow the EMDAC advice, although the agency carefully considers the recommendations when making a decision. It is unclear whether the FDA has made a final decision. The </w:t>
      </w:r>
      <w:r w:rsidR="006648C5">
        <w:t>sponsor</w:t>
      </w:r>
      <w:r w:rsidR="00176924">
        <w:t xml:space="preserve"> was asked to clarify (TGA request for information)</w:t>
      </w:r>
      <w:r w:rsidRPr="00DB1E9F">
        <w:t>.</w:t>
      </w:r>
    </w:p>
    <w:p w14:paraId="33231594" w14:textId="77777777" w:rsidR="00DB1E9F" w:rsidRPr="00DB1E9F" w:rsidRDefault="00DB1E9F" w:rsidP="00530CF5">
      <w:r w:rsidRPr="00DB1E9F">
        <w:t>Some members of EMDAC were not convinced that fewer nocturnal voids necessarily meant better sleep, ha</w:t>
      </w:r>
      <w:r w:rsidR="00176924">
        <w:t xml:space="preserve">ppier, better rested and better </w:t>
      </w:r>
      <w:r w:rsidRPr="00DB1E9F">
        <w:t xml:space="preserve">functioning patients, and fewer falls and fractures. Part of the rationale behind developing a medicine for nocturnal polyuria is that nocturia has been associated with a reduction in </w:t>
      </w:r>
      <w:r w:rsidR="0080062E">
        <w:t>quality of life</w:t>
      </w:r>
      <w:r w:rsidRPr="00DB1E9F">
        <w:t xml:space="preserve"> and a potential increased risk of facture. However, hyponatraemia is associated with metabolic bone loss, osteoporosis, gait instability, and consequently a potential increased risk of fracture.</w:t>
      </w:r>
    </w:p>
    <w:p w14:paraId="63FF9A37" w14:textId="77777777" w:rsidR="00DB1E9F" w:rsidRPr="00DB1E9F" w:rsidRDefault="00DB1E9F" w:rsidP="00530CF5">
      <w:r w:rsidRPr="00DB1E9F">
        <w:lastRenderedPageBreak/>
        <w:t>A further issue was the strong placebo effect, possibly due to life style changes and behavioural modification. Life style changes carry less risk than desmopressin.</w:t>
      </w:r>
    </w:p>
    <w:p w14:paraId="5FCC2CCF" w14:textId="77777777" w:rsidR="00D578E9" w:rsidRDefault="00DB1E9F" w:rsidP="00530CF5">
      <w:r w:rsidRPr="00DB1E9F">
        <w:t xml:space="preserve">The FDA considered that the proposed patient relevant outcome (PRO) of Nocturia </w:t>
      </w:r>
      <w:r w:rsidR="0080062E">
        <w:t>Quality of life</w:t>
      </w:r>
      <w:r w:rsidRPr="00DB1E9F">
        <w:t xml:space="preserve"> was still under development. Also, the FDA did not consider that the results from the various sleep indices were compelling</w:t>
      </w:r>
      <w:r w:rsidR="00D578E9">
        <w:t>.</w:t>
      </w:r>
    </w:p>
    <w:p w14:paraId="36DFF291" w14:textId="77777777" w:rsidR="00D578E9" w:rsidRDefault="00176924" w:rsidP="00530CF5">
      <w:r>
        <w:t xml:space="preserve">The data from CS40 and </w:t>
      </w:r>
      <w:r w:rsidR="00DB1E9F" w:rsidRPr="00DB1E9F">
        <w:t xml:space="preserve">CS41 showed a lower risk of hyponatraemia, when certain measures are taken. But, EMDAC </w:t>
      </w:r>
      <w:r>
        <w:t xml:space="preserve">questioned whether, in the real </w:t>
      </w:r>
      <w:r w:rsidR="00DB1E9F" w:rsidRPr="00DB1E9F">
        <w:t xml:space="preserve">world of everyday clinical practice, patients would be appropriately vetted and monitored. That is, the risks of hyponatraemia were </w:t>
      </w:r>
      <w:r>
        <w:t xml:space="preserve">likely to be higher in the real </w:t>
      </w:r>
      <w:r w:rsidR="00DB1E9F" w:rsidRPr="00DB1E9F">
        <w:t>world of everyday clinical practice than in the clinical trials. Also, certain subgroups of patients (</w:t>
      </w:r>
      <w:r w:rsidR="00D578E9">
        <w:t>for example</w:t>
      </w:r>
      <w:r w:rsidR="00DB1E9F" w:rsidRPr="00DB1E9F">
        <w:t>, the elderly with cognitive decline) might not understand either the risk behaviours for hyponatraemia or the need for monitoring</w:t>
      </w:r>
      <w:r w:rsidR="00D578E9">
        <w:t>.</w:t>
      </w:r>
    </w:p>
    <w:p w14:paraId="486977B2" w14:textId="77777777" w:rsidR="00DB1E9F" w:rsidRPr="00DB1E9F" w:rsidRDefault="00DB1E9F" w:rsidP="00530CF5">
      <w:r w:rsidRPr="00DB1E9F">
        <w:t>EMDAC advised that more data were needed in patients aged 65</w:t>
      </w:r>
      <w:r w:rsidR="00176924">
        <w:t xml:space="preserve"> </w:t>
      </w:r>
      <w:r w:rsidRPr="00DB1E9F">
        <w:t>+ years, who are at greatest risk of hyponatraemia and who would use the drug continuously over the long term.</w:t>
      </w:r>
    </w:p>
    <w:p w14:paraId="1121CB66" w14:textId="77777777" w:rsidR="00DB1E9F" w:rsidRPr="00DB1E9F" w:rsidRDefault="00DB1E9F" w:rsidP="00530CF5">
      <w:r w:rsidRPr="00DB1E9F">
        <w:t xml:space="preserve">At End of Review and Formal Dispute Resolution Request meetings with the FDA, the </w:t>
      </w:r>
      <w:r w:rsidR="006648C5">
        <w:t>sponsor</w:t>
      </w:r>
      <w:r w:rsidRPr="00DB1E9F">
        <w:t xml:space="preserve"> stated that:</w:t>
      </w:r>
    </w:p>
    <w:p w14:paraId="5884B277" w14:textId="77777777" w:rsidR="00DB1E9F" w:rsidRPr="00530CF5" w:rsidRDefault="00DB1E9F" w:rsidP="00530CF5">
      <w:pPr>
        <w:pStyle w:val="ListBullet"/>
      </w:pPr>
      <w:r w:rsidRPr="00530CF5">
        <w:t>The 33% responder rate was a measure of clinical significance</w:t>
      </w:r>
    </w:p>
    <w:p w14:paraId="75BF51B9" w14:textId="77777777" w:rsidR="00DB1E9F" w:rsidRPr="00530CF5" w:rsidRDefault="00DB1E9F" w:rsidP="00530CF5">
      <w:pPr>
        <w:pStyle w:val="ListBullet"/>
      </w:pPr>
      <w:r w:rsidRPr="00530CF5">
        <w:t>The 50% responder rate was also statistically significant</w:t>
      </w:r>
    </w:p>
    <w:p w14:paraId="47AF25E2" w14:textId="77777777" w:rsidR="00DB1E9F" w:rsidRPr="00530CF5" w:rsidRDefault="00DB1E9F" w:rsidP="00530CF5">
      <w:pPr>
        <w:pStyle w:val="ListBullet"/>
      </w:pPr>
      <w:r w:rsidRPr="00530CF5">
        <w:t>The increased time to first void was a measure of clinical significance</w:t>
      </w:r>
    </w:p>
    <w:p w14:paraId="254D3CB9" w14:textId="77777777" w:rsidR="00DB1E9F" w:rsidRPr="00DB1E9F" w:rsidRDefault="00DB1E9F" w:rsidP="00530CF5">
      <w:pPr>
        <w:pStyle w:val="ListBullet"/>
      </w:pPr>
      <w:r w:rsidRPr="00530CF5">
        <w:t xml:space="preserve">Analysis of </w:t>
      </w:r>
      <w:proofErr w:type="spellStart"/>
      <w:r w:rsidRPr="00530CF5">
        <w:t>NQoL</w:t>
      </w:r>
      <w:proofErr w:type="spellEnd"/>
      <w:r w:rsidRPr="00530CF5">
        <w:t xml:space="preserve"> also suggested</w:t>
      </w:r>
      <w:r w:rsidRPr="00DB1E9F">
        <w:t xml:space="preserve"> clinical benefit</w:t>
      </w:r>
    </w:p>
    <w:p w14:paraId="1F1F5515" w14:textId="77777777" w:rsidR="00DB1E9F" w:rsidRPr="00DB1E9F" w:rsidRDefault="00DB1E9F" w:rsidP="00530CF5">
      <w:r w:rsidRPr="00DB1E9F">
        <w:t xml:space="preserve">Before the EMDAC meeting in 2015, the </w:t>
      </w:r>
      <w:r w:rsidR="006648C5">
        <w:t>sponsor</w:t>
      </w:r>
    </w:p>
    <w:p w14:paraId="100FD23C" w14:textId="77777777" w:rsidR="00DB1E9F" w:rsidRPr="00530CF5" w:rsidRDefault="00DB1E9F" w:rsidP="00530CF5">
      <w:pPr>
        <w:pStyle w:val="ListBullet"/>
      </w:pPr>
      <w:r w:rsidRPr="00530CF5">
        <w:t>Revised the indications to only include patients with nocturnal polyuria who failed lifestyle interventions.</w:t>
      </w:r>
    </w:p>
    <w:p w14:paraId="4A0105D6" w14:textId="77777777" w:rsidR="00DB1E9F" w:rsidRPr="00530CF5" w:rsidRDefault="00DB1E9F" w:rsidP="00530CF5">
      <w:pPr>
        <w:pStyle w:val="ListBullet"/>
      </w:pPr>
      <w:r w:rsidRPr="00530CF5">
        <w:t>Added additional conditions to the sodium monitoring scheme (all patients 65 years or older, and all patients on a medication associated with hyponatraemia, regardless of age).</w:t>
      </w:r>
    </w:p>
    <w:p w14:paraId="2449CBDE" w14:textId="77777777" w:rsidR="00DB1E9F" w:rsidRPr="00530CF5" w:rsidRDefault="00DB1E9F" w:rsidP="00530CF5">
      <w:pPr>
        <w:pStyle w:val="ListBullet"/>
      </w:pPr>
      <w:r w:rsidRPr="00530CF5">
        <w:t>Increased the serum sodium cut-off for discontinuation to the lower limit of normal.</w:t>
      </w:r>
    </w:p>
    <w:p w14:paraId="3E1ED76B" w14:textId="77777777" w:rsidR="00DB1E9F" w:rsidRPr="00530CF5" w:rsidRDefault="00DB1E9F" w:rsidP="00530CF5">
      <w:pPr>
        <w:pStyle w:val="ListBullet"/>
      </w:pPr>
      <w:r w:rsidRPr="00530CF5">
        <w:t>Proposed new initial packaging of 8 tablets, to support compliance with serum sodium level monitoring in the first week of treatment for patients at risk of hyponatraemia.</w:t>
      </w:r>
    </w:p>
    <w:p w14:paraId="403B008F" w14:textId="77777777" w:rsidR="00DB1E9F" w:rsidRPr="00530CF5" w:rsidRDefault="00DB1E9F" w:rsidP="00530CF5">
      <w:pPr>
        <w:pStyle w:val="ListBullet"/>
      </w:pPr>
      <w:r w:rsidRPr="00530CF5">
        <w:t>Proposed a new medication guide and an education guide to identify appropriate patients and maximise lifestyle changes; and describe the risk of hyponatraemia and the rationale behind the sodium monitoring scheme.</w:t>
      </w:r>
    </w:p>
    <w:p w14:paraId="32913BE0" w14:textId="77777777" w:rsidR="00DB1E9F" w:rsidRPr="00DB1E9F" w:rsidRDefault="00176924" w:rsidP="00530CF5">
      <w:pPr>
        <w:pStyle w:val="ListBullet"/>
      </w:pPr>
      <w:r w:rsidRPr="00530CF5">
        <w:t xml:space="preserve">Proposed a post approval claims </w:t>
      </w:r>
      <w:r w:rsidR="00DB1E9F" w:rsidRPr="00530CF5">
        <w:t>based study to better characterise the risk of hyponatraemia in the real worl</w:t>
      </w:r>
      <w:r w:rsidR="00835738" w:rsidRPr="00530CF5">
        <w:t>d</w:t>
      </w:r>
      <w:r w:rsidR="00835738">
        <w:t xml:space="preserve"> (</w:t>
      </w:r>
      <w:r w:rsidR="00D578E9">
        <w:t>that is</w:t>
      </w:r>
      <w:r w:rsidR="00835738">
        <w:t>, outside of the trial).</w:t>
      </w:r>
    </w:p>
    <w:p w14:paraId="08B2D69F" w14:textId="77777777" w:rsidR="00DB1E9F" w:rsidRPr="00DB1E9F" w:rsidRDefault="00DB1E9F" w:rsidP="00DB1E9F">
      <w:r w:rsidRPr="00DB1E9F">
        <w:t xml:space="preserve">The FDA stated that “… </w:t>
      </w:r>
      <w:r w:rsidRPr="00176924">
        <w:rPr>
          <w:i/>
        </w:rPr>
        <w:t>while some of these changes might be helpful in minimising the risk of hyponatraemia, and thereby improving the benefit-risk calculus, the Agency is still seeking cl</w:t>
      </w:r>
      <w:r w:rsidR="00835738" w:rsidRPr="00176924">
        <w:rPr>
          <w:i/>
        </w:rPr>
        <w:t>arity on the clinical benefit.</w:t>
      </w:r>
      <w:r w:rsidR="00835738">
        <w:t>”</w:t>
      </w:r>
    </w:p>
    <w:p w14:paraId="4FE047DC" w14:textId="77777777" w:rsidR="00DB1E9F" w:rsidRPr="00DB1E9F" w:rsidRDefault="00DB1E9F" w:rsidP="00530CF5">
      <w:pPr>
        <w:pStyle w:val="Heading3"/>
      </w:pPr>
      <w:bookmarkStart w:id="20" w:name="_Toc500838972"/>
      <w:r w:rsidRPr="00DB1E9F">
        <w:t xml:space="preserve">Data </w:t>
      </w:r>
      <w:r w:rsidRPr="00530CF5">
        <w:t>set</w:t>
      </w:r>
      <w:r w:rsidRPr="00DB1E9F">
        <w:t xml:space="preserve"> similarities</w:t>
      </w:r>
      <w:bookmarkEnd w:id="20"/>
    </w:p>
    <w:p w14:paraId="6A31A24E" w14:textId="77777777" w:rsidR="00DB1E9F" w:rsidRPr="00DB1E9F" w:rsidRDefault="00DB1E9F" w:rsidP="00530CF5">
      <w:r w:rsidRPr="00DB1E9F">
        <w:t>The sponsor has advised the TGA that the dossiers submitted in the EU and Australia regulators are essentially the same.</w:t>
      </w:r>
    </w:p>
    <w:p w14:paraId="0D2C6CF2" w14:textId="77777777" w:rsidR="00586F98" w:rsidRDefault="00586F98" w:rsidP="00530CF5">
      <w:pPr>
        <w:pStyle w:val="Heading2"/>
        <w:rPr>
          <w:lang w:eastAsia="en-AU"/>
        </w:rPr>
      </w:pPr>
      <w:bookmarkStart w:id="21" w:name="_Toc500838973"/>
      <w:r w:rsidRPr="00530CF5">
        <w:lastRenderedPageBreak/>
        <w:t>Contents</w:t>
      </w:r>
      <w:r>
        <w:rPr>
          <w:lang w:eastAsia="en-AU"/>
        </w:rPr>
        <w:t xml:space="preserve"> of the clinical dossier</w:t>
      </w:r>
      <w:bookmarkEnd w:id="8"/>
      <w:bookmarkEnd w:id="9"/>
      <w:bookmarkEnd w:id="21"/>
    </w:p>
    <w:p w14:paraId="7C5C34E3" w14:textId="77777777" w:rsidR="00586F98" w:rsidRDefault="00586F98" w:rsidP="00530CF5">
      <w:pPr>
        <w:pStyle w:val="Heading3"/>
      </w:pPr>
      <w:bookmarkStart w:id="22" w:name="_Toc500838974"/>
      <w:r>
        <w:t xml:space="preserve">Scope of </w:t>
      </w:r>
      <w:r w:rsidRPr="00530CF5">
        <w:t>the</w:t>
      </w:r>
      <w:r>
        <w:t xml:space="preserve"> clinical dossier</w:t>
      </w:r>
      <w:bookmarkEnd w:id="22"/>
    </w:p>
    <w:p w14:paraId="7865D269" w14:textId="77777777" w:rsidR="00724227" w:rsidRDefault="00724227" w:rsidP="00530CF5">
      <w:pPr>
        <w:rPr>
          <w:lang w:eastAsia="ja-JP"/>
        </w:rPr>
      </w:pPr>
      <w:r>
        <w:rPr>
          <w:lang w:eastAsia="ja-JP"/>
        </w:rPr>
        <w:t>The evaluator based his evaluation on overseas reports.</w:t>
      </w:r>
    </w:p>
    <w:p w14:paraId="7546005A" w14:textId="77777777" w:rsidR="00724227" w:rsidRPr="001E3EF1" w:rsidRDefault="00724227" w:rsidP="00530CF5">
      <w:r w:rsidRPr="001E3EF1">
        <w:t xml:space="preserve">The </w:t>
      </w:r>
      <w:r>
        <w:t>evaluator states that the sponsor</w:t>
      </w:r>
      <w:r w:rsidRPr="001E3EF1">
        <w:t xml:space="preserve"> provided the</w:t>
      </w:r>
      <w:r>
        <w:t xml:space="preserve"> following</w:t>
      </w:r>
      <w:r w:rsidRPr="001E3EF1">
        <w:t>:</w:t>
      </w:r>
    </w:p>
    <w:p w14:paraId="1988606D" w14:textId="77777777" w:rsidR="00724227" w:rsidRPr="00530CF5" w:rsidRDefault="00724227" w:rsidP="00530CF5">
      <w:pPr>
        <w:pStyle w:val="ListBullet"/>
      </w:pPr>
      <w:r w:rsidRPr="00724227">
        <w:t xml:space="preserve">Day 70 </w:t>
      </w:r>
      <w:r w:rsidRPr="00530CF5">
        <w:t xml:space="preserve">preliminary assessment reports (PAR) from EU; Sweden is the reference member state (RMS); the evaluation </w:t>
      </w:r>
      <w:proofErr w:type="gramStart"/>
      <w:r w:rsidRPr="00530CF5">
        <w:t>was  still</w:t>
      </w:r>
      <w:proofErr w:type="gramEnd"/>
      <w:r w:rsidRPr="00530CF5">
        <w:t xml:space="preserve"> in progress at the time of the clinical overview.</w:t>
      </w:r>
    </w:p>
    <w:p w14:paraId="1FE80673" w14:textId="77777777" w:rsidR="00724227" w:rsidRPr="00724227" w:rsidRDefault="00724227" w:rsidP="00530CF5">
      <w:pPr>
        <w:pStyle w:val="ListBullet"/>
      </w:pPr>
      <w:r w:rsidRPr="00530CF5">
        <w:t>Health Canada evaluation report (2012: initially registered, based on CS29/CS31 [women: 25 µg, men: 100 µg]. 2013: change to dosing for</w:t>
      </w:r>
      <w:r w:rsidRPr="00724227">
        <w:t xml:space="preserve"> men from 100 µg to 50 µg, based on CS41.)</w:t>
      </w:r>
    </w:p>
    <w:p w14:paraId="234C1CE1" w14:textId="77777777" w:rsidR="00724227" w:rsidRDefault="00724227" w:rsidP="00530CF5">
      <w:r>
        <w:t xml:space="preserve">The </w:t>
      </w:r>
      <w:r w:rsidRPr="001E3EF1">
        <w:t xml:space="preserve">FDA briefing papers from </w:t>
      </w:r>
      <w:r>
        <w:t>January</w:t>
      </w:r>
      <w:r w:rsidRPr="001E3EF1">
        <w:t xml:space="preserve"> 2015 </w:t>
      </w:r>
      <w:r>
        <w:t>we</w:t>
      </w:r>
      <w:r w:rsidRPr="001E3EF1">
        <w:t xml:space="preserve">re publicly available: </w:t>
      </w:r>
      <w:r w:rsidRPr="006648C5">
        <w:t>http://www.fda.gov/AdvisoryCommittees/ucm426272.htm</w:t>
      </w:r>
    </w:p>
    <w:p w14:paraId="39FCB8EF" w14:textId="77777777" w:rsidR="00724227" w:rsidRPr="001E3EF1" w:rsidRDefault="00724227" w:rsidP="00530CF5">
      <w:r w:rsidRPr="001E3EF1">
        <w:t xml:space="preserve">The </w:t>
      </w:r>
      <w:r>
        <w:t xml:space="preserve">sponsor </w:t>
      </w:r>
      <w:r w:rsidRPr="001E3EF1">
        <w:t>advised the TGA that the dossier submitted in Australia is essentially the same as that submitted in EU (reference member state [RMS]: Sweden). The pivotal/confirmatory trials are the same as those that went to the FDA’s Endocrinologic and Metabolic Drug Advisory Committee (EMDAC) in January 2015; and, as above, Nocdurna was initially registered in Canada based on CS29/CS31; with a subsequent dose change for men, based on CS41 (these studies are in the Australian dossier).</w:t>
      </w:r>
    </w:p>
    <w:p w14:paraId="2F4F7075" w14:textId="77777777" w:rsidR="00724227" w:rsidRDefault="00724227" w:rsidP="00530CF5">
      <w:r w:rsidRPr="001E3EF1">
        <w:t>This means that the evidence submitted in the Australian dossier has been thoroughly evaluated by trusted major</w:t>
      </w:r>
      <w:r>
        <w:t xml:space="preserve"> regulators (FDA, Health Canada and</w:t>
      </w:r>
      <w:r w:rsidRPr="001E3EF1">
        <w:t xml:space="preserve"> Sweden’s Medicines Regulator). Consequently, to avoid needless and unhelpful duplication, this Australian evaluation report builds on the overseas reports; either provided by the </w:t>
      </w:r>
      <w:r>
        <w:t>sponsor</w:t>
      </w:r>
      <w:r w:rsidRPr="001E3EF1">
        <w:t xml:space="preserve"> (Canada, EU) or in the public domain (US). However, this remains very much an independent Australian evaluation</w:t>
      </w:r>
      <w:r>
        <w:t>.</w:t>
      </w:r>
    </w:p>
    <w:p w14:paraId="159A04DC" w14:textId="77777777" w:rsidR="00835738" w:rsidRPr="00835738" w:rsidRDefault="00724227" w:rsidP="00530CF5">
      <w:r w:rsidRPr="001E3EF1">
        <w:t xml:space="preserve">The aim of this Australian evaluation report is to crystallise any issues around the regulatory decision in Australia and allow the </w:t>
      </w:r>
      <w:r>
        <w:t>sponsor</w:t>
      </w:r>
      <w:r w:rsidRPr="001E3EF1">
        <w:t xml:space="preserve"> the maximum opportunity to respond to them.</w:t>
      </w:r>
    </w:p>
    <w:p w14:paraId="50B922EB" w14:textId="77777777" w:rsidR="00586F98" w:rsidRDefault="00586F98" w:rsidP="00530CF5">
      <w:pPr>
        <w:pStyle w:val="Heading3"/>
      </w:pPr>
      <w:bookmarkStart w:id="23" w:name="_Toc500838975"/>
      <w:r w:rsidRPr="00530CF5">
        <w:t>Paediatric</w:t>
      </w:r>
      <w:r>
        <w:t xml:space="preserve"> data</w:t>
      </w:r>
      <w:bookmarkEnd w:id="23"/>
    </w:p>
    <w:p w14:paraId="697D77A5" w14:textId="77777777" w:rsidR="00586F98" w:rsidRPr="0094614A" w:rsidRDefault="00176924" w:rsidP="00530CF5">
      <w:pPr>
        <w:rPr>
          <w:lang w:eastAsia="ja-JP"/>
        </w:rPr>
      </w:pPr>
      <w:r>
        <w:rPr>
          <w:lang w:eastAsia="ja-JP"/>
        </w:rPr>
        <w:t>(Not described by the clinical evaluator.)</w:t>
      </w:r>
    </w:p>
    <w:p w14:paraId="0D63F2D3" w14:textId="77777777" w:rsidR="00586F98" w:rsidRDefault="00586F98" w:rsidP="00530CF5">
      <w:pPr>
        <w:pStyle w:val="Heading3"/>
      </w:pPr>
      <w:bookmarkStart w:id="24" w:name="_Toc500838976"/>
      <w:r>
        <w:t xml:space="preserve">Good </w:t>
      </w:r>
      <w:r w:rsidRPr="00530CF5">
        <w:t>clinical</w:t>
      </w:r>
      <w:r>
        <w:t xml:space="preserve"> practice</w:t>
      </w:r>
      <w:bookmarkEnd w:id="24"/>
    </w:p>
    <w:p w14:paraId="4E67421F" w14:textId="77777777" w:rsidR="00586F98" w:rsidRPr="0094614A" w:rsidRDefault="00176924" w:rsidP="00530CF5">
      <w:pPr>
        <w:rPr>
          <w:lang w:eastAsia="ja-JP"/>
        </w:rPr>
      </w:pPr>
      <w:r>
        <w:rPr>
          <w:lang w:eastAsia="ja-JP"/>
        </w:rPr>
        <w:t>(Not described by the clinical evaluator.)</w:t>
      </w:r>
    </w:p>
    <w:p w14:paraId="6A608550" w14:textId="77777777" w:rsidR="00586F98" w:rsidRDefault="00586F98" w:rsidP="00530CF5">
      <w:pPr>
        <w:pStyle w:val="Heading2"/>
      </w:pPr>
      <w:bookmarkStart w:id="25" w:name="_Toc355338639"/>
      <w:bookmarkStart w:id="26" w:name="_Toc500838977"/>
      <w:r w:rsidRPr="00530CF5">
        <w:t>Pharmacokinetics</w:t>
      </w:r>
      <w:bookmarkEnd w:id="25"/>
      <w:bookmarkEnd w:id="26"/>
    </w:p>
    <w:p w14:paraId="13E7370A" w14:textId="77777777" w:rsidR="00313252" w:rsidRPr="00313252" w:rsidRDefault="00313252" w:rsidP="00530CF5">
      <w:pPr>
        <w:pStyle w:val="Heading3"/>
      </w:pPr>
      <w:bookmarkStart w:id="27" w:name="_Toc500838978"/>
      <w:r w:rsidRPr="00716E48">
        <w:t>PK/PD</w:t>
      </w:r>
      <w:r>
        <w:t xml:space="preserve"> Clinical pharmacology</w:t>
      </w:r>
      <w:bookmarkEnd w:id="27"/>
    </w:p>
    <w:p w14:paraId="28374078" w14:textId="77777777" w:rsidR="00D578E9" w:rsidRDefault="00835738" w:rsidP="00530CF5">
      <w:r w:rsidRPr="00835738">
        <w:t>The clinical pharmacology of desmopressin is well characterised. Brief details relevant to this submission are given below</w:t>
      </w:r>
      <w:r w:rsidR="00D578E9">
        <w:t>.</w:t>
      </w:r>
    </w:p>
    <w:p w14:paraId="6AB0FA28" w14:textId="77777777" w:rsidR="00D578E9" w:rsidRDefault="00835738" w:rsidP="00530CF5">
      <w:r w:rsidRPr="00835738">
        <w:t xml:space="preserve">Study CS30 showed that desmopressin 100 </w:t>
      </w:r>
      <w:r w:rsidR="00D578E9">
        <w:t>µg</w:t>
      </w:r>
      <w:r w:rsidRPr="00835738">
        <w:t xml:space="preserve"> oral tablet form</w:t>
      </w:r>
      <w:r w:rsidR="00176924">
        <w:t>ulation was bioequivalent to 60 </w:t>
      </w:r>
      <w:r w:rsidR="00D578E9">
        <w:t>µg</w:t>
      </w:r>
      <w:r w:rsidRPr="00835738">
        <w:t xml:space="preserve"> of the ODST for urine osmolality and urine production</w:t>
      </w:r>
      <w:r w:rsidR="00D578E9">
        <w:t>.</w:t>
      </w:r>
    </w:p>
    <w:p w14:paraId="2279C413" w14:textId="77777777" w:rsidR="00D578E9" w:rsidRDefault="00835738" w:rsidP="00530CF5">
      <w:r w:rsidRPr="00835738">
        <w:lastRenderedPageBreak/>
        <w:t>Study CS36 [</w:t>
      </w:r>
      <w:r w:rsidRPr="00313252">
        <w:t>Yamaguchi, BJU Int. 2013 Mar;</w:t>
      </w:r>
      <w:r w:rsidR="00313252">
        <w:t xml:space="preserve"> </w:t>
      </w:r>
      <w:r w:rsidRPr="00313252">
        <w:t>111(3):474-484]</w:t>
      </w:r>
      <w:r w:rsidR="00313252">
        <w:rPr>
          <w:rStyle w:val="FootnoteReference"/>
        </w:rPr>
        <w:footnoteReference w:id="5"/>
      </w:r>
      <w:r w:rsidRPr="00835738">
        <w:t xml:space="preserve"> investigated low doses of Nocdurna in </w:t>
      </w:r>
      <w:r w:rsidR="0080062E">
        <w:t>water loaded</w:t>
      </w:r>
      <w:r w:rsidRPr="00835738">
        <w:t xml:space="preserve"> Japanese nocturia patients, aged 55 to 74. The doses were: 10, 25, 50, </w:t>
      </w:r>
      <w:r w:rsidR="00313252">
        <w:t xml:space="preserve">and </w:t>
      </w:r>
      <w:r w:rsidRPr="00835738">
        <w:t xml:space="preserve">100 </w:t>
      </w:r>
      <w:r w:rsidR="00D578E9">
        <w:t>µg</w:t>
      </w:r>
      <w:r w:rsidRPr="00835738">
        <w:t>. The antidiuretic effect was seen at 15</w:t>
      </w:r>
      <w:r w:rsidR="00D578E9">
        <w:t xml:space="preserve"> to </w:t>
      </w:r>
      <w:r w:rsidRPr="00835738">
        <w:t xml:space="preserve">30 minutes after administration of Nocdurna, reached a maximum effect (defined as the time urine osmolality was </w:t>
      </w:r>
      <w:r w:rsidR="00604B45">
        <w:t>&gt;</w:t>
      </w:r>
      <w:r w:rsidR="00094728">
        <w:t xml:space="preserve"> </w:t>
      </w:r>
      <w:r w:rsidRPr="00835738">
        <w:t xml:space="preserve">200 </w:t>
      </w:r>
      <w:proofErr w:type="spellStart"/>
      <w:r w:rsidRPr="00835738">
        <w:t>mOsm</w:t>
      </w:r>
      <w:proofErr w:type="spellEnd"/>
      <w:r w:rsidRPr="00835738">
        <w:t>/kg in water loaded participants) after 60</w:t>
      </w:r>
      <w:r w:rsidR="00D578E9">
        <w:t xml:space="preserve"> to </w:t>
      </w:r>
      <w:r w:rsidRPr="00835738">
        <w:t xml:space="preserve">120 minutes, and had an average duration of </w:t>
      </w:r>
      <w:r w:rsidR="00724227">
        <w:t>anti</w:t>
      </w:r>
      <w:r w:rsidR="00724227">
        <w:noBreakHyphen/>
      </w:r>
      <w:r w:rsidRPr="00835738">
        <w:t>diuretic action of 3</w:t>
      </w:r>
      <w:r w:rsidR="00D578E9">
        <w:t xml:space="preserve"> to </w:t>
      </w:r>
      <w:r w:rsidRPr="00835738">
        <w:t>5 hours</w:t>
      </w:r>
      <w:r w:rsidR="00D578E9">
        <w:t>.</w:t>
      </w:r>
    </w:p>
    <w:p w14:paraId="3463C3D3" w14:textId="77777777" w:rsidR="00D578E9" w:rsidRDefault="00835738" w:rsidP="00530CF5">
      <w:r w:rsidRPr="00835738">
        <w:t xml:space="preserve">That is, Nocdurna doses of 25 </w:t>
      </w:r>
      <w:r w:rsidR="00D578E9">
        <w:t>µg</w:t>
      </w:r>
      <w:r w:rsidRPr="00835738">
        <w:t xml:space="preserve"> (women) and 50 </w:t>
      </w:r>
      <w:r w:rsidR="00D578E9">
        <w:t>µg</w:t>
      </w:r>
      <w:r w:rsidRPr="00835738">
        <w:t xml:space="preserve"> (men) have a mean duration of antidiuretic effect in the range of 3</w:t>
      </w:r>
      <w:r w:rsidR="00D578E9">
        <w:t xml:space="preserve"> to </w:t>
      </w:r>
      <w:r w:rsidRPr="00835738">
        <w:t>5 hours. This is shorter than the duration of diuretic effect of 7</w:t>
      </w:r>
      <w:r w:rsidR="00D578E9">
        <w:t xml:space="preserve"> to </w:t>
      </w:r>
      <w:r w:rsidRPr="00835738">
        <w:t>11 hours for higher doses of 100</w:t>
      </w:r>
      <w:r w:rsidR="00D578E9">
        <w:t xml:space="preserve"> to </w:t>
      </w:r>
      <w:r w:rsidRPr="00835738">
        <w:t xml:space="preserve">400 </w:t>
      </w:r>
      <w:r w:rsidR="00D578E9">
        <w:t>µg</w:t>
      </w:r>
      <w:r w:rsidRPr="00835738">
        <w:t xml:space="preserve"> for the tablets in primary nocturnal enuresis in children</w:t>
      </w:r>
      <w:r w:rsidR="00D578E9">
        <w:t>.</w:t>
      </w:r>
    </w:p>
    <w:p w14:paraId="725C54F5" w14:textId="77777777" w:rsidR="00D578E9" w:rsidRDefault="00835738" w:rsidP="00530CF5">
      <w:r w:rsidRPr="00835738">
        <w:t xml:space="preserve">Study CS29 confirmed the sex difference in the PD effect of desmopressin on nocturnal urine volume. In women, desmopressin had a lower </w:t>
      </w:r>
      <w:r w:rsidR="00313252" w:rsidRPr="00835738">
        <w:t>ED</w:t>
      </w:r>
      <w:r w:rsidR="00313252" w:rsidRPr="00313252">
        <w:rPr>
          <w:vertAlign w:val="subscript"/>
        </w:rPr>
        <w:t>50</w:t>
      </w:r>
      <w:r w:rsidRPr="00835738">
        <w:t xml:space="preserve"> (dose giving 50% of maximal effect) in the ability to decrease the average nocturnal urine volume than in men. For women, the minimal effect dose was 25 </w:t>
      </w:r>
      <w:r w:rsidR="00D578E9">
        <w:t>µg</w:t>
      </w:r>
      <w:r w:rsidRPr="00835738">
        <w:t>, with adverse events increasing with higher doses. Additional PK/PD modelling found that the weight corrected concentration at 50% of the maximal effect (EC</w:t>
      </w:r>
      <w:r w:rsidRPr="00313252">
        <w:rPr>
          <w:vertAlign w:val="subscript"/>
        </w:rPr>
        <w:t>50</w:t>
      </w:r>
      <w:r w:rsidRPr="00835738">
        <w:t>) for decrease in urine volume was 2.7 (95% CI: 1.3, 8.1) times higher in men than women</w:t>
      </w:r>
      <w:r w:rsidR="00D578E9">
        <w:t>.</w:t>
      </w:r>
    </w:p>
    <w:p w14:paraId="5B343D01" w14:textId="77777777" w:rsidR="00835738" w:rsidRPr="00835738" w:rsidRDefault="00835738" w:rsidP="00530CF5">
      <w:r w:rsidRPr="00835738">
        <w:t>That is, women are more sensitive to desmopressin than men; however, it is unclear whether this is simply because women have a smaller body size than men.</w:t>
      </w:r>
    </w:p>
    <w:p w14:paraId="7E152EE5" w14:textId="77777777" w:rsidR="00835738" w:rsidRPr="00835738" w:rsidRDefault="00835738" w:rsidP="00530CF5">
      <w:pPr>
        <w:pStyle w:val="Heading4"/>
      </w:pPr>
      <w:r w:rsidRPr="00835738">
        <w:t xml:space="preserve">Hepatic </w:t>
      </w:r>
      <w:r w:rsidRPr="00530CF5">
        <w:t>impairment</w:t>
      </w:r>
    </w:p>
    <w:p w14:paraId="0DB4F7BD" w14:textId="77777777" w:rsidR="00D578E9" w:rsidRDefault="00835738" w:rsidP="00835738">
      <w:r w:rsidRPr="00835738">
        <w:t>There is limited experience in patients with hepatic impairment. Routine pharmacovigilance of other medicines containing desmopressin has not identified any major safety concerns</w:t>
      </w:r>
      <w:r w:rsidR="00D578E9">
        <w:t>.</w:t>
      </w:r>
    </w:p>
    <w:p w14:paraId="7290BA8A" w14:textId="77777777" w:rsidR="00835738" w:rsidRPr="00835738" w:rsidRDefault="00835738" w:rsidP="00835738">
      <w:r w:rsidRPr="00835738">
        <w:t>The proposed PI states, “No studies have been performed in this population.”</w:t>
      </w:r>
    </w:p>
    <w:p w14:paraId="355138C5" w14:textId="6FE141DB" w:rsidR="00835738" w:rsidRPr="00835738" w:rsidRDefault="00530CF5" w:rsidP="00530CF5">
      <w:pPr>
        <w:pStyle w:val="Heading4"/>
      </w:pPr>
      <w:r>
        <w:t xml:space="preserve">Renal </w:t>
      </w:r>
      <w:r w:rsidRPr="00530CF5">
        <w:t>i</w:t>
      </w:r>
      <w:r w:rsidR="00835738" w:rsidRPr="00530CF5">
        <w:t>mpairment</w:t>
      </w:r>
    </w:p>
    <w:p w14:paraId="07FBA221" w14:textId="77777777" w:rsidR="00D578E9" w:rsidRDefault="00835738" w:rsidP="00530CF5">
      <w:r w:rsidRPr="00835738">
        <w:t xml:space="preserve">Desmopressin is mainly eliminated by enzymatic degradation in the circulation and excreted renally in the urine. The terminal half-life in patients with renal impairment is increased and this could increase the </w:t>
      </w:r>
      <w:r w:rsidR="0080062E">
        <w:t>duration of action</w:t>
      </w:r>
      <w:r w:rsidRPr="00835738">
        <w:t>, which could increase the risk of hyponatraemia</w:t>
      </w:r>
      <w:r w:rsidR="00D578E9">
        <w:t>.</w:t>
      </w:r>
    </w:p>
    <w:p w14:paraId="5B87872E" w14:textId="77777777" w:rsidR="00835738" w:rsidRPr="00835738" w:rsidRDefault="00835738" w:rsidP="00530CF5">
      <w:r w:rsidRPr="00835738">
        <w:t xml:space="preserve">The proposed PI states: “Depending on the degree of renal impairment the AUC and half-life are increased with the severity of the renal impairment. Desmopressin is contraindicated in patients with moderate and severe renal impairment (creatinine clearance below 50 mL/min).” The </w:t>
      </w:r>
      <w:r w:rsidR="006648C5">
        <w:t>sponsor</w:t>
      </w:r>
      <w:r w:rsidRPr="00835738">
        <w:t xml:space="preserve"> should amend the PI to refer to </w:t>
      </w:r>
      <w:proofErr w:type="spellStart"/>
      <w:r w:rsidRPr="00835738">
        <w:t>eGFR</w:t>
      </w:r>
      <w:proofErr w:type="spellEnd"/>
      <w:r w:rsidRPr="00835738">
        <w:t xml:space="preserve"> not </w:t>
      </w:r>
      <w:proofErr w:type="spellStart"/>
      <w:r w:rsidR="00724227">
        <w:t>CrCl</w:t>
      </w:r>
      <w:proofErr w:type="spellEnd"/>
      <w:r w:rsidRPr="00835738">
        <w:t>. Given the modest efficacy of Nocdurna, it could be argued that any degree of renal impairment would mean that use should be contraindicated. Further, efficacy could be compromised with impaired kidney function.</w:t>
      </w:r>
    </w:p>
    <w:p w14:paraId="7959DC94" w14:textId="77777777" w:rsidR="00586F98" w:rsidRDefault="00586F98" w:rsidP="00530CF5">
      <w:pPr>
        <w:pStyle w:val="Heading2"/>
      </w:pPr>
      <w:bookmarkStart w:id="28" w:name="_Toc500838979"/>
      <w:r w:rsidRPr="00530CF5">
        <w:t>Pharmacodynamics</w:t>
      </w:r>
      <w:bookmarkEnd w:id="28"/>
    </w:p>
    <w:p w14:paraId="0770170D" w14:textId="77777777" w:rsidR="00C22678" w:rsidRPr="00586F98" w:rsidRDefault="00604B45" w:rsidP="00530CF5">
      <w:pPr>
        <w:rPr>
          <w:lang w:eastAsia="ja-JP"/>
        </w:rPr>
      </w:pPr>
      <w:r>
        <w:rPr>
          <w:lang w:eastAsia="ja-JP"/>
        </w:rPr>
        <w:t>See above</w:t>
      </w:r>
      <w:r w:rsidR="000A2CDC">
        <w:rPr>
          <w:lang w:eastAsia="ja-JP"/>
        </w:rPr>
        <w:t>.</w:t>
      </w:r>
    </w:p>
    <w:p w14:paraId="7230F5CE" w14:textId="77777777" w:rsidR="00586F98" w:rsidRDefault="00C22678" w:rsidP="00530CF5">
      <w:pPr>
        <w:pStyle w:val="Heading2"/>
      </w:pPr>
      <w:bookmarkStart w:id="29" w:name="_Toc500838980"/>
      <w:r>
        <w:t xml:space="preserve">Dosage </w:t>
      </w:r>
      <w:r w:rsidRPr="00530CF5">
        <w:t>selection</w:t>
      </w:r>
      <w:r>
        <w:t xml:space="preserve"> for the pivotal studies</w:t>
      </w:r>
      <w:bookmarkEnd w:id="29"/>
    </w:p>
    <w:p w14:paraId="5B52E6DB" w14:textId="77777777" w:rsidR="00D578E9" w:rsidRDefault="00835738" w:rsidP="00530CF5">
      <w:r w:rsidRPr="00835738">
        <w:t xml:space="preserve">In the Australian dossier, the </w:t>
      </w:r>
      <w:r w:rsidR="006648C5">
        <w:t>sponsor</w:t>
      </w:r>
      <w:r w:rsidRPr="00835738">
        <w:t xml:space="preserve"> stated that the Nocdurn</w:t>
      </w:r>
      <w:r w:rsidR="0080062E">
        <w:t xml:space="preserve">a program commenced with the 28 day dose </w:t>
      </w:r>
      <w:r w:rsidRPr="00835738">
        <w:t>finding study CS29 (placebo versus 1 of 4 dos</w:t>
      </w:r>
      <w:r w:rsidR="00EA2517">
        <w:t xml:space="preserve">es of desmopressin: 10, 25, 50, and </w:t>
      </w:r>
      <w:r w:rsidRPr="00835738">
        <w:t xml:space="preserve">100 </w:t>
      </w:r>
      <w:r w:rsidR="00D578E9">
        <w:t>µg</w:t>
      </w:r>
      <w:r w:rsidRPr="00835738">
        <w:t xml:space="preserve">). CS31 was the </w:t>
      </w:r>
      <w:r w:rsidR="00EA2517">
        <w:t>open label</w:t>
      </w:r>
      <w:r w:rsidRPr="00835738">
        <w:t xml:space="preserve"> extension study of CS29</w:t>
      </w:r>
      <w:r w:rsidR="00D578E9">
        <w:t>.</w:t>
      </w:r>
    </w:p>
    <w:p w14:paraId="166F45B0" w14:textId="77777777" w:rsidR="00835738" w:rsidRPr="00835738" w:rsidRDefault="00835738" w:rsidP="00530CF5">
      <w:r w:rsidRPr="00835738">
        <w:lastRenderedPageBreak/>
        <w:t xml:space="preserve">The </w:t>
      </w:r>
      <w:r w:rsidR="006648C5">
        <w:t>sponsor</w:t>
      </w:r>
      <w:r w:rsidRPr="00835738">
        <w:t xml:space="preserve"> then stated that, based on the results of CS29/CS31, two confirmatory studies were conducted:</w:t>
      </w:r>
    </w:p>
    <w:p w14:paraId="45D13A84" w14:textId="77777777" w:rsidR="00835738" w:rsidRPr="00530CF5" w:rsidRDefault="00835738" w:rsidP="00530CF5">
      <w:pPr>
        <w:pStyle w:val="ListBullet"/>
      </w:pPr>
      <w:r w:rsidRPr="00835738">
        <w:t xml:space="preserve">CS40 in </w:t>
      </w:r>
      <w:r w:rsidRPr="00530CF5">
        <w:t xml:space="preserve">women testing the 25 </w:t>
      </w:r>
      <w:r w:rsidR="00D578E9" w:rsidRPr="00530CF5">
        <w:t>µg</w:t>
      </w:r>
      <w:r w:rsidRPr="00530CF5">
        <w:t xml:space="preserve"> dose</w:t>
      </w:r>
      <w:r w:rsidR="000A2CDC" w:rsidRPr="00530CF5">
        <w:t>.</w:t>
      </w:r>
    </w:p>
    <w:p w14:paraId="06BEC208" w14:textId="77777777" w:rsidR="00835738" w:rsidRPr="00835738" w:rsidRDefault="00835738" w:rsidP="00530CF5">
      <w:pPr>
        <w:pStyle w:val="ListBullet"/>
      </w:pPr>
      <w:r w:rsidRPr="00530CF5">
        <w:t>CS41 in men testing</w:t>
      </w:r>
      <w:r w:rsidRPr="00835738">
        <w:t xml:space="preserve"> the 50 </w:t>
      </w:r>
      <w:r w:rsidR="00D578E9">
        <w:t>µg</w:t>
      </w:r>
      <w:r w:rsidRPr="00835738">
        <w:t xml:space="preserve"> and 75 </w:t>
      </w:r>
      <w:r w:rsidR="00D578E9">
        <w:t>µg</w:t>
      </w:r>
      <w:r w:rsidRPr="00835738">
        <w:t xml:space="preserve"> doses</w:t>
      </w:r>
      <w:r w:rsidR="000A2CDC">
        <w:t>.</w:t>
      </w:r>
    </w:p>
    <w:p w14:paraId="5F266BD8" w14:textId="77777777" w:rsidR="00C22678" w:rsidRDefault="00C22678" w:rsidP="00530CF5">
      <w:pPr>
        <w:pStyle w:val="Heading2"/>
      </w:pPr>
      <w:bookmarkStart w:id="30" w:name="_Toc500838981"/>
      <w:r>
        <w:t xml:space="preserve">Clinical </w:t>
      </w:r>
      <w:r w:rsidRPr="00530CF5">
        <w:t>efficacy</w:t>
      </w:r>
      <w:bookmarkEnd w:id="30"/>
    </w:p>
    <w:p w14:paraId="60042D7C" w14:textId="77777777" w:rsidR="00835738" w:rsidRDefault="00835738" w:rsidP="00530CF5">
      <w:pPr>
        <w:pStyle w:val="Heading3"/>
      </w:pPr>
      <w:bookmarkStart w:id="31" w:name="_Toc500838982"/>
      <w:r w:rsidRPr="00835738">
        <w:t xml:space="preserve">Clinical </w:t>
      </w:r>
      <w:r w:rsidRPr="00530CF5">
        <w:t>trials</w:t>
      </w:r>
      <w:bookmarkEnd w:id="31"/>
    </w:p>
    <w:p w14:paraId="1B51DD18" w14:textId="77777777" w:rsidR="00EA2517" w:rsidRDefault="00EA2517" w:rsidP="00530CF5">
      <w:pPr>
        <w:pStyle w:val="Tabletitle"/>
        <w:rPr>
          <w:lang w:eastAsia="ja-JP"/>
        </w:rPr>
      </w:pPr>
      <w:r>
        <w:rPr>
          <w:lang w:eastAsia="ja-JP"/>
        </w:rPr>
        <w:t xml:space="preserve">Table 3: </w:t>
      </w:r>
      <w:r w:rsidRPr="00530CF5">
        <w:t>Clinical</w:t>
      </w:r>
      <w:r>
        <w:rPr>
          <w:lang w:eastAsia="ja-JP"/>
        </w:rPr>
        <w:t xml:space="preserve"> trails</w:t>
      </w:r>
    </w:p>
    <w:p w14:paraId="2E9B9C8A" w14:textId="77777777" w:rsidR="00EA2517" w:rsidRPr="00EA2517" w:rsidRDefault="00384F3E" w:rsidP="00EA2517">
      <w:pPr>
        <w:rPr>
          <w:lang w:eastAsia="ja-JP"/>
        </w:rPr>
      </w:pPr>
      <w:r>
        <w:rPr>
          <w:noProof/>
          <w:lang w:eastAsia="en-AU"/>
        </w:rPr>
        <w:drawing>
          <wp:inline distT="0" distB="0" distL="0" distR="0" wp14:anchorId="4B8D0604" wp14:editId="0273C14E">
            <wp:extent cx="5731510" cy="1253462"/>
            <wp:effectExtent l="0" t="0" r="2540" b="4445"/>
            <wp:docPr id="57" name="Picture 57" descr="Table 3: Clinical 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1253462"/>
                    </a:xfrm>
                    <a:prstGeom prst="rect">
                      <a:avLst/>
                    </a:prstGeom>
                  </pic:spPr>
                </pic:pic>
              </a:graphicData>
            </a:graphic>
          </wp:inline>
        </w:drawing>
      </w:r>
    </w:p>
    <w:p w14:paraId="22D1242A" w14:textId="77777777" w:rsidR="00835738" w:rsidRPr="00835738" w:rsidRDefault="00835738" w:rsidP="00530CF5">
      <w:r w:rsidRPr="00835738">
        <w:t xml:space="preserve">Based on the publicly available information at </w:t>
      </w:r>
      <w:r w:rsidRPr="00EA2517">
        <w:t>http://www.fda.gov/AdvisoryCommittees/ucm426272.htm</w:t>
      </w:r>
    </w:p>
    <w:p w14:paraId="4C65246B" w14:textId="77777777" w:rsidR="00835738" w:rsidRPr="00835738" w:rsidRDefault="00835738" w:rsidP="00530CF5">
      <w:r w:rsidRPr="00835738">
        <w:t>Study CS29 and its open label extension CS31 were designed as the pivotal studies to support registration for adult nocturia in the dossier submit</w:t>
      </w:r>
      <w:r w:rsidR="00EA2517">
        <w:t>ted to the FDA in 2009</w:t>
      </w:r>
      <w:r w:rsidRPr="00835738">
        <w:t>.</w:t>
      </w:r>
    </w:p>
    <w:p w14:paraId="5F32E972" w14:textId="30380374" w:rsidR="00D578E9" w:rsidRDefault="00835738" w:rsidP="00530CF5">
      <w:r w:rsidRPr="00835738">
        <w:t>In the “Complete Response” letter (</w:t>
      </w:r>
      <w:r w:rsidR="00EA2517">
        <w:t>April</w:t>
      </w:r>
      <w:r w:rsidRPr="00835738">
        <w:t xml:space="preserve"> 2010), the FDA expressed concern that the benefits on reducing the frequency of nocturnal voids might be outweighed by the risk of hyponatraemia. The FDA recommended a further clinical trial of 3 months duration, to establish that a lower dose is safe and effective</w:t>
      </w:r>
      <w:r w:rsidR="00D578E9">
        <w:t>.</w:t>
      </w:r>
    </w:p>
    <w:p w14:paraId="3F32ACAE" w14:textId="77777777" w:rsidR="00835738" w:rsidRPr="00835738" w:rsidRDefault="00835738" w:rsidP="00530CF5">
      <w:r w:rsidRPr="00835738">
        <w:t>In response, the sponsor conducted two separate studies:</w:t>
      </w:r>
    </w:p>
    <w:p w14:paraId="16176921" w14:textId="77777777" w:rsidR="00835738" w:rsidRPr="00530CF5" w:rsidRDefault="00835738" w:rsidP="00530CF5">
      <w:pPr>
        <w:pStyle w:val="ListBullet"/>
      </w:pPr>
      <w:r w:rsidRPr="00835738">
        <w:t xml:space="preserve">CS40: </w:t>
      </w:r>
      <w:r w:rsidRPr="00530CF5">
        <w:t xml:space="preserve">25 </w:t>
      </w:r>
      <w:r w:rsidR="00D578E9" w:rsidRPr="00530CF5">
        <w:t>µg</w:t>
      </w:r>
      <w:r w:rsidRPr="00530CF5">
        <w:t>, women</w:t>
      </w:r>
    </w:p>
    <w:p w14:paraId="1B28C945" w14:textId="77777777" w:rsidR="00835738" w:rsidRPr="00530CF5" w:rsidRDefault="00835738" w:rsidP="00530CF5">
      <w:pPr>
        <w:pStyle w:val="ListBullet"/>
      </w:pPr>
      <w:r w:rsidRPr="00530CF5">
        <w:t xml:space="preserve">CS41: 50, 75 </w:t>
      </w:r>
      <w:r w:rsidR="00D578E9" w:rsidRPr="00530CF5">
        <w:t>µg</w:t>
      </w:r>
      <w:r w:rsidRPr="00530CF5">
        <w:t>, men</w:t>
      </w:r>
      <w:r w:rsidR="00EA2517" w:rsidRPr="00530CF5">
        <w:t>.</w:t>
      </w:r>
    </w:p>
    <w:p w14:paraId="06BE0AFA" w14:textId="77777777" w:rsidR="00835738" w:rsidRPr="00835738" w:rsidRDefault="00604B45" w:rsidP="00835738">
      <w:pPr>
        <w:pStyle w:val="Heading4"/>
      </w:pPr>
      <w:r>
        <w:t xml:space="preserve">Study </w:t>
      </w:r>
      <w:r w:rsidR="00835738" w:rsidRPr="00835738">
        <w:t>CS29</w:t>
      </w:r>
    </w:p>
    <w:p w14:paraId="43B7C10F" w14:textId="77777777" w:rsidR="00835738" w:rsidRPr="00835738" w:rsidRDefault="00835738" w:rsidP="00530CF5">
      <w:pPr>
        <w:pStyle w:val="Heading5"/>
      </w:pPr>
      <w:r w:rsidRPr="00530CF5">
        <w:t>Study</w:t>
      </w:r>
      <w:r w:rsidRPr="00835738">
        <w:t xml:space="preserve"> design</w:t>
      </w:r>
    </w:p>
    <w:p w14:paraId="7B7624AD" w14:textId="77777777" w:rsidR="00835738" w:rsidRPr="00835738" w:rsidRDefault="00835738" w:rsidP="00530CF5">
      <w:r w:rsidRPr="00835738">
        <w:t xml:space="preserve">Randomised, </w:t>
      </w:r>
      <w:r w:rsidR="00EA2517">
        <w:t>double blind</w:t>
      </w:r>
      <w:r w:rsidRPr="00835738">
        <w:t xml:space="preserve">, </w:t>
      </w:r>
      <w:r w:rsidR="00EA2517">
        <w:t>placebo controlled</w:t>
      </w:r>
      <w:r w:rsidRPr="00835738">
        <w:t xml:space="preserve">, </w:t>
      </w:r>
      <w:r w:rsidR="00EA2517">
        <w:t>parallel group, multi</w:t>
      </w:r>
      <w:r w:rsidRPr="00835738">
        <w:t>centre</w:t>
      </w:r>
    </w:p>
    <w:p w14:paraId="7E6A04F1" w14:textId="77777777" w:rsidR="00835738" w:rsidRPr="00835738" w:rsidRDefault="00835738" w:rsidP="00530CF5">
      <w:pPr>
        <w:pStyle w:val="Heading5"/>
      </w:pPr>
      <w:r w:rsidRPr="00835738">
        <w:t xml:space="preserve">Inclusion </w:t>
      </w:r>
      <w:r w:rsidRPr="00530CF5">
        <w:t>and</w:t>
      </w:r>
      <w:r>
        <w:t xml:space="preserve"> exclusion </w:t>
      </w:r>
      <w:r w:rsidRPr="00835738">
        <w:t>criteria</w:t>
      </w:r>
    </w:p>
    <w:p w14:paraId="444C9ABF" w14:textId="77777777" w:rsidR="00835738" w:rsidRDefault="00835738" w:rsidP="00530CF5">
      <w:pPr>
        <w:pStyle w:val="Heading6"/>
      </w:pPr>
      <w:r>
        <w:t>Inclusion</w:t>
      </w:r>
      <w:r w:rsidR="00EA2517">
        <w:t xml:space="preserve"> </w:t>
      </w:r>
      <w:r w:rsidR="00604B45" w:rsidRPr="00530CF5">
        <w:t>criteria</w:t>
      </w:r>
    </w:p>
    <w:p w14:paraId="49D95B57" w14:textId="77777777" w:rsidR="00835738" w:rsidRPr="00530CF5" w:rsidRDefault="00835738" w:rsidP="00530CF5">
      <w:pPr>
        <w:pStyle w:val="ListBullet"/>
      </w:pPr>
      <w:r w:rsidRPr="00530CF5">
        <w:t>Men and women</w:t>
      </w:r>
    </w:p>
    <w:p w14:paraId="3291FD29" w14:textId="77777777" w:rsidR="00835738" w:rsidRPr="00530CF5" w:rsidRDefault="00835738" w:rsidP="00530CF5">
      <w:pPr>
        <w:pStyle w:val="ListBullet"/>
      </w:pPr>
      <w:r w:rsidRPr="00530CF5">
        <w:t>18</w:t>
      </w:r>
      <w:r w:rsidR="00EA2517" w:rsidRPr="00530CF5">
        <w:t xml:space="preserve"> </w:t>
      </w:r>
      <w:r w:rsidRPr="00530CF5">
        <w:t>+ years</w:t>
      </w:r>
    </w:p>
    <w:p w14:paraId="25A9DE98" w14:textId="77777777" w:rsidR="00835738" w:rsidRPr="00835738" w:rsidRDefault="00835738" w:rsidP="00530CF5">
      <w:pPr>
        <w:pStyle w:val="ListBullet"/>
      </w:pPr>
      <w:r w:rsidRPr="00530CF5">
        <w:t>Average of 2</w:t>
      </w:r>
      <w:r w:rsidR="00EA2517" w:rsidRPr="00530CF5">
        <w:t xml:space="preserve"> + nocturnal</w:t>
      </w:r>
      <w:r w:rsidR="00EA2517">
        <w:t xml:space="preserve"> voids (on a 3 </w:t>
      </w:r>
      <w:r w:rsidRPr="00835738">
        <w:t>day voiding diary)</w:t>
      </w:r>
    </w:p>
    <w:p w14:paraId="00CD38C0" w14:textId="77777777" w:rsidR="00835738" w:rsidRPr="00835738" w:rsidRDefault="00835738" w:rsidP="00835738">
      <w:pPr>
        <w:pStyle w:val="Heading6"/>
      </w:pPr>
      <w:r w:rsidRPr="00835738">
        <w:t>Exclusions</w:t>
      </w:r>
    </w:p>
    <w:p w14:paraId="5C06D4D2" w14:textId="77777777" w:rsidR="00835738" w:rsidRPr="00530CF5" w:rsidRDefault="00835738" w:rsidP="00530CF5">
      <w:pPr>
        <w:pStyle w:val="ListBullet"/>
      </w:pPr>
      <w:r w:rsidRPr="00835738">
        <w:t xml:space="preserve">Renal </w:t>
      </w:r>
      <w:r w:rsidRPr="00530CF5">
        <w:t>insufficiency</w:t>
      </w:r>
    </w:p>
    <w:p w14:paraId="0D1F698A" w14:textId="77777777" w:rsidR="00835738" w:rsidRPr="00530CF5" w:rsidRDefault="00835738" w:rsidP="00530CF5">
      <w:pPr>
        <w:pStyle w:val="ListBullet"/>
      </w:pPr>
      <w:r w:rsidRPr="00530CF5">
        <w:t>Hyponatraemia</w:t>
      </w:r>
    </w:p>
    <w:p w14:paraId="09208BA2" w14:textId="77777777" w:rsidR="00835738" w:rsidRPr="00530CF5" w:rsidRDefault="00835738" w:rsidP="00530CF5">
      <w:pPr>
        <w:pStyle w:val="ListBullet"/>
      </w:pPr>
      <w:r w:rsidRPr="00530CF5">
        <w:t>Diabetes insipidus</w:t>
      </w:r>
    </w:p>
    <w:p w14:paraId="409977AE" w14:textId="77777777" w:rsidR="00835738" w:rsidRPr="00530CF5" w:rsidRDefault="00835738" w:rsidP="00530CF5">
      <w:pPr>
        <w:pStyle w:val="ListBullet"/>
      </w:pPr>
      <w:r w:rsidRPr="00530CF5">
        <w:lastRenderedPageBreak/>
        <w:t xml:space="preserve">Clinical suspicion of urinary retention </w:t>
      </w:r>
      <w:r w:rsidR="00EA2517" w:rsidRPr="00530CF5">
        <w:t>and</w:t>
      </w:r>
      <w:r w:rsidR="0080062E" w:rsidRPr="00530CF5">
        <w:t xml:space="preserve">/or post </w:t>
      </w:r>
      <w:r w:rsidRPr="00530CF5">
        <w:t xml:space="preserve">void volume </w:t>
      </w:r>
      <w:r w:rsidR="00604B45" w:rsidRPr="00530CF5">
        <w:t>&gt;</w:t>
      </w:r>
      <w:r w:rsidR="00094728" w:rsidRPr="00530CF5">
        <w:t xml:space="preserve"> </w:t>
      </w:r>
      <w:r w:rsidRPr="00530CF5">
        <w:t>150 mL</w:t>
      </w:r>
    </w:p>
    <w:p w14:paraId="5A912008" w14:textId="77777777" w:rsidR="00835738" w:rsidRPr="00530CF5" w:rsidRDefault="00835738" w:rsidP="00530CF5">
      <w:pPr>
        <w:pStyle w:val="ListBullet"/>
      </w:pPr>
      <w:r w:rsidRPr="00530CF5">
        <w:t>History of urological malignancy</w:t>
      </w:r>
    </w:p>
    <w:p w14:paraId="0C86BA3C" w14:textId="77777777" w:rsidR="00835738" w:rsidRPr="00530CF5" w:rsidRDefault="00835738" w:rsidP="00530CF5">
      <w:pPr>
        <w:pStyle w:val="ListBullet"/>
      </w:pPr>
      <w:r w:rsidRPr="00530CF5">
        <w:t>Any genitourinary tract pathology or neurogenic detrusor activity</w:t>
      </w:r>
    </w:p>
    <w:p w14:paraId="27A355C8" w14:textId="77777777" w:rsidR="00835738" w:rsidRPr="00530CF5" w:rsidRDefault="00835738" w:rsidP="00530CF5">
      <w:pPr>
        <w:pStyle w:val="ListBullet"/>
      </w:pPr>
      <w:r w:rsidRPr="00530CF5">
        <w:t>Obstructive sleep apnoea requiring treatment</w:t>
      </w:r>
    </w:p>
    <w:p w14:paraId="401EA629" w14:textId="77777777" w:rsidR="00C22678" w:rsidRPr="00835738" w:rsidRDefault="00835738" w:rsidP="00530CF5">
      <w:pPr>
        <w:pStyle w:val="ListBullet"/>
      </w:pPr>
      <w:r w:rsidRPr="00530CF5">
        <w:t>Use of loop diuretics (furosemi</w:t>
      </w:r>
      <w:r w:rsidRPr="00835738">
        <w:t xml:space="preserve">de, </w:t>
      </w:r>
      <w:proofErr w:type="spellStart"/>
      <w:r w:rsidRPr="00835738">
        <w:t>torsemide</w:t>
      </w:r>
      <w:proofErr w:type="spellEnd"/>
      <w:r w:rsidRPr="00835738">
        <w:t>, ethacrynic acid)</w:t>
      </w:r>
    </w:p>
    <w:p w14:paraId="72D937D3" w14:textId="77777777" w:rsidR="00835738" w:rsidRPr="00835738" w:rsidRDefault="00835738" w:rsidP="00835738">
      <w:pPr>
        <w:pStyle w:val="Heading5"/>
      </w:pPr>
      <w:r w:rsidRPr="00835738">
        <w:t>Intervention</w:t>
      </w:r>
    </w:p>
    <w:p w14:paraId="123F9E0E" w14:textId="77777777" w:rsidR="00835738" w:rsidRPr="00835738" w:rsidRDefault="00835738" w:rsidP="00530CF5">
      <w:proofErr w:type="gramStart"/>
      <w:r w:rsidRPr="00835738">
        <w:t xml:space="preserve">Desmopressin ODST, 10, 25, 50, </w:t>
      </w:r>
      <w:r w:rsidR="00EA2517">
        <w:t xml:space="preserve">and </w:t>
      </w:r>
      <w:r w:rsidRPr="00835738">
        <w:t xml:space="preserve">100 </w:t>
      </w:r>
      <w:r w:rsidR="00D578E9">
        <w:t>µg</w:t>
      </w:r>
      <w:r w:rsidR="00EA2517">
        <w:t>.</w:t>
      </w:r>
      <w:proofErr w:type="gramEnd"/>
    </w:p>
    <w:p w14:paraId="2D9F3111" w14:textId="77777777" w:rsidR="00835738" w:rsidRPr="002E1AE7" w:rsidRDefault="002E1AE7" w:rsidP="00530CF5">
      <w:proofErr w:type="gramStart"/>
      <w:r w:rsidRPr="002E1AE7">
        <w:t>Comparator</w:t>
      </w:r>
      <w:r>
        <w:t>;</w:t>
      </w:r>
      <w:r w:rsidRPr="002E1AE7">
        <w:t xml:space="preserve"> placebo</w:t>
      </w:r>
      <w:r w:rsidR="00EA2517">
        <w:t>.</w:t>
      </w:r>
      <w:proofErr w:type="gramEnd"/>
    </w:p>
    <w:p w14:paraId="4F2A1292" w14:textId="77777777" w:rsidR="00835738" w:rsidRDefault="002E1AE7" w:rsidP="002E1AE7">
      <w:pPr>
        <w:pStyle w:val="Heading5"/>
      </w:pPr>
      <w:r w:rsidRPr="002E1AE7">
        <w:t>Endpoints</w:t>
      </w:r>
    </w:p>
    <w:p w14:paraId="1C174A20" w14:textId="77777777" w:rsidR="002E1AE7" w:rsidRPr="002E1AE7" w:rsidRDefault="002E1AE7" w:rsidP="00530CF5">
      <w:pPr>
        <w:pStyle w:val="Heading6"/>
      </w:pPr>
      <w:r w:rsidRPr="002E1AE7">
        <w:t>Co-</w:t>
      </w:r>
      <w:r w:rsidRPr="00530CF5">
        <w:t>primary</w:t>
      </w:r>
    </w:p>
    <w:p w14:paraId="4483745B" w14:textId="77777777" w:rsidR="002E1AE7" w:rsidRPr="00530CF5" w:rsidRDefault="002E1AE7" w:rsidP="00530CF5">
      <w:pPr>
        <w:pStyle w:val="ListBullet"/>
      </w:pPr>
      <w:r w:rsidRPr="00530CF5">
        <w:t>Change in mean number of nocturnal voids from baseline to final visit (</w:t>
      </w:r>
      <w:r w:rsidR="00EA2517" w:rsidRPr="00530CF5">
        <w:t>Day 28</w:t>
      </w:r>
      <w:r w:rsidRPr="00530CF5">
        <w:t>)</w:t>
      </w:r>
    </w:p>
    <w:p w14:paraId="0213B2E2" w14:textId="77777777" w:rsidR="002E1AE7" w:rsidRPr="00530CF5" w:rsidRDefault="002E1AE7" w:rsidP="00530CF5">
      <w:pPr>
        <w:pStyle w:val="ListBullet"/>
      </w:pPr>
      <w:r w:rsidRPr="00530CF5">
        <w:t>Proportion of patients with 33%+ decrease in mean number of voids from baseline to final visit (</w:t>
      </w:r>
      <w:r w:rsidR="00EA2517" w:rsidRPr="00530CF5">
        <w:t>Day 28</w:t>
      </w:r>
      <w:r w:rsidRPr="00530CF5">
        <w:t>)</w:t>
      </w:r>
    </w:p>
    <w:p w14:paraId="48C24A30" w14:textId="77777777" w:rsidR="002E1AE7" w:rsidRPr="002E1AE7" w:rsidRDefault="002E1AE7" w:rsidP="00530CF5">
      <w:r w:rsidRPr="002E1AE7">
        <w:t>Co-primary endpoint of % responders was intended to overcome the potential problem that the “arithmetic mean” might be influenced by a few outlier values. Because it was unclear from the literature as to what percentage reduction defines a clinical benefit for an individual, it was decided to use a 33% reduction (</w:t>
      </w:r>
      <w:r w:rsidR="00D578E9">
        <w:t>for example</w:t>
      </w:r>
      <w:r w:rsidRPr="002E1AE7">
        <w:t>, from 3 voids to 2 voids). Exploratory analyses were also performed on cut-points of 50% and 75%.</w:t>
      </w:r>
    </w:p>
    <w:p w14:paraId="60A4F538" w14:textId="77777777" w:rsidR="002E1AE7" w:rsidRPr="002E1AE7" w:rsidRDefault="002E1AE7" w:rsidP="002E1AE7">
      <w:pPr>
        <w:pStyle w:val="Heading6"/>
      </w:pPr>
      <w:r w:rsidRPr="002E1AE7">
        <w:t>Secondary</w:t>
      </w:r>
    </w:p>
    <w:p w14:paraId="336057C3" w14:textId="77777777" w:rsidR="002E1AE7" w:rsidRPr="00530CF5" w:rsidRDefault="002E1AE7" w:rsidP="00530CF5">
      <w:pPr>
        <w:pStyle w:val="ListBullet"/>
      </w:pPr>
      <w:r w:rsidRPr="00530CF5">
        <w:t>Initial period of undisturbed sleep</w:t>
      </w:r>
    </w:p>
    <w:p w14:paraId="12139555" w14:textId="77777777" w:rsidR="002E1AE7" w:rsidRPr="00530CF5" w:rsidRDefault="002E1AE7" w:rsidP="00530CF5">
      <w:pPr>
        <w:pStyle w:val="ListBullet"/>
      </w:pPr>
      <w:r w:rsidRPr="00530CF5">
        <w:t>Total sleep time</w:t>
      </w:r>
    </w:p>
    <w:p w14:paraId="145487EB" w14:textId="77777777" w:rsidR="002E1AE7" w:rsidRPr="00530CF5" w:rsidRDefault="002E1AE7" w:rsidP="00530CF5">
      <w:pPr>
        <w:pStyle w:val="ListBullet"/>
      </w:pPr>
      <w:r w:rsidRPr="00530CF5">
        <w:t>N-</w:t>
      </w:r>
      <w:proofErr w:type="spellStart"/>
      <w:r w:rsidRPr="00530CF5">
        <w:t>QoL</w:t>
      </w:r>
      <w:proofErr w:type="spellEnd"/>
      <w:r w:rsidRPr="00530CF5">
        <w:t xml:space="preserve">; </w:t>
      </w:r>
      <w:proofErr w:type="spellStart"/>
      <w:r w:rsidRPr="00530CF5">
        <w:t>Nocturi</w:t>
      </w:r>
      <w:r w:rsidR="00EA2517" w:rsidRPr="00530CF5">
        <w:t>a</w:t>
      </w:r>
      <w:proofErr w:type="spellEnd"/>
      <w:r w:rsidR="00EA2517" w:rsidRPr="00530CF5">
        <w:t xml:space="preserve"> Quality of Life questionnaire</w:t>
      </w:r>
    </w:p>
    <w:p w14:paraId="09EEF207" w14:textId="77777777" w:rsidR="002E1AE7" w:rsidRDefault="002E1AE7" w:rsidP="00530CF5">
      <w:pPr>
        <w:pStyle w:val="ListBullet"/>
      </w:pPr>
      <w:r w:rsidRPr="00530CF5">
        <w:t>Nocturnal urinary volume</w:t>
      </w:r>
      <w:r w:rsidR="00EA2517">
        <w:t>.</w:t>
      </w:r>
    </w:p>
    <w:p w14:paraId="2EC7BE1A" w14:textId="77777777" w:rsidR="002E1AE7" w:rsidRPr="002E1AE7" w:rsidRDefault="002E1AE7" w:rsidP="002E1AE7">
      <w:pPr>
        <w:pStyle w:val="Heading5"/>
      </w:pPr>
      <w:r w:rsidRPr="002E1AE7">
        <w:t>Phases</w:t>
      </w:r>
    </w:p>
    <w:p w14:paraId="3FD4B0D4" w14:textId="77777777" w:rsidR="002E1AE7" w:rsidRPr="002E1AE7" w:rsidRDefault="002E1AE7" w:rsidP="002E1AE7">
      <w:pPr>
        <w:pStyle w:val="Heading6"/>
      </w:pPr>
      <w:r w:rsidRPr="002E1AE7">
        <w:t>Phase 1</w:t>
      </w:r>
    </w:p>
    <w:p w14:paraId="5D90967F" w14:textId="77777777" w:rsidR="002E1AE7" w:rsidRPr="002E1AE7" w:rsidRDefault="002E1AE7" w:rsidP="00530CF5">
      <w:r w:rsidRPr="002E1AE7">
        <w:t>28 days</w:t>
      </w:r>
    </w:p>
    <w:p w14:paraId="0EEA6C0B" w14:textId="77777777" w:rsidR="002E1AE7" w:rsidRPr="002E1AE7" w:rsidRDefault="002E1AE7" w:rsidP="002E1AE7">
      <w:pPr>
        <w:pStyle w:val="Heading6"/>
      </w:pPr>
      <w:r w:rsidRPr="002E1AE7">
        <w:t>Phase 2</w:t>
      </w:r>
    </w:p>
    <w:p w14:paraId="523F96AB" w14:textId="77777777" w:rsidR="002E1AE7" w:rsidRPr="00530CF5" w:rsidRDefault="00EA2517" w:rsidP="00530CF5">
      <w:pPr>
        <w:pStyle w:val="ListBullet"/>
      </w:pPr>
      <w:r>
        <w:t xml:space="preserve">6 </w:t>
      </w:r>
      <w:r w:rsidR="002E1AE7" w:rsidRPr="00530CF5">
        <w:t>month extension (</w:t>
      </w:r>
      <w:r w:rsidRPr="00530CF5">
        <w:t>double blind</w:t>
      </w:r>
      <w:r w:rsidR="002E1AE7" w:rsidRPr="00530CF5">
        <w:t>)</w:t>
      </w:r>
    </w:p>
    <w:p w14:paraId="6C84128F" w14:textId="77777777" w:rsidR="002E1AE7" w:rsidRPr="00530CF5" w:rsidRDefault="002E1AE7" w:rsidP="00530CF5">
      <w:pPr>
        <w:pStyle w:val="ListBullet"/>
      </w:pPr>
      <w:r w:rsidRPr="00530CF5">
        <w:t>Patients on active treatment continued on same treatment</w:t>
      </w:r>
    </w:p>
    <w:p w14:paraId="21C8DC21" w14:textId="77777777" w:rsidR="002E1AE7" w:rsidRPr="002E1AE7" w:rsidRDefault="002E1AE7" w:rsidP="00530CF5">
      <w:pPr>
        <w:pStyle w:val="ListBullet"/>
      </w:pPr>
      <w:r w:rsidRPr="00530CF5">
        <w:t>Patients on placebo were re-ra</w:t>
      </w:r>
      <w:r w:rsidR="00EA2517" w:rsidRPr="00530CF5">
        <w:t>n</w:t>
      </w:r>
      <w:r w:rsidR="00EA2517">
        <w:t xml:space="preserve">domised to one of the 4 active </w:t>
      </w:r>
      <w:r w:rsidRPr="002E1AE7">
        <w:t>treatment groups</w:t>
      </w:r>
    </w:p>
    <w:p w14:paraId="31B1B249" w14:textId="77777777" w:rsidR="002E1AE7" w:rsidRPr="002E1AE7" w:rsidRDefault="002E1AE7" w:rsidP="002E1AE7">
      <w:r w:rsidRPr="002E1AE7">
        <w:t xml:space="preserve">CS31 was an </w:t>
      </w:r>
      <w:r w:rsidR="00EA2517">
        <w:t xml:space="preserve">open label extension of Part </w:t>
      </w:r>
      <w:r w:rsidRPr="002E1AE7">
        <w:t xml:space="preserve">2 of CS29. Patients on 10 </w:t>
      </w:r>
      <w:r w:rsidR="00D578E9">
        <w:t>µg</w:t>
      </w:r>
      <w:r w:rsidRPr="002E1AE7">
        <w:t xml:space="preserve"> were re-randomised</w:t>
      </w:r>
    </w:p>
    <w:p w14:paraId="09115B43" w14:textId="77777777" w:rsidR="002E1AE7" w:rsidRPr="002E1AE7" w:rsidRDefault="002E1AE7" w:rsidP="002E1AE7">
      <w:pPr>
        <w:pStyle w:val="Heading5"/>
      </w:pPr>
      <w:r w:rsidRPr="002E1AE7">
        <w:t>Measurement of primary endpoint (nocturnal voids)</w:t>
      </w:r>
    </w:p>
    <w:p w14:paraId="79E6CA6A" w14:textId="77777777" w:rsidR="00D578E9" w:rsidRDefault="00604B45" w:rsidP="002E1AE7">
      <w:r>
        <w:t>Nocturnal voids</w:t>
      </w:r>
      <w:r w:rsidR="002E1AE7" w:rsidRPr="002E1AE7">
        <w:t xml:space="preserve"> were recorded in a diary on 3 consecutive </w:t>
      </w:r>
      <w:r w:rsidR="00EA2517">
        <w:t>24 hour</w:t>
      </w:r>
      <w:r w:rsidR="002E1AE7" w:rsidRPr="002E1AE7">
        <w:t xml:space="preserve"> periods at baseline and during the first four weeks of the study (</w:t>
      </w:r>
      <w:r w:rsidR="00EA2517">
        <w:t>Day</w:t>
      </w:r>
      <w:r w:rsidR="002E1AE7" w:rsidRPr="002E1AE7">
        <w:t>s 8, 15, 22, 28). The pre-specified time point was 28 days</w:t>
      </w:r>
      <w:r w:rsidR="00D578E9">
        <w:t>.</w:t>
      </w:r>
    </w:p>
    <w:p w14:paraId="25F043BD" w14:textId="77777777" w:rsidR="002E1AE7" w:rsidRDefault="002E1AE7" w:rsidP="002E1AE7">
      <w:pPr>
        <w:pStyle w:val="Heading5"/>
      </w:pPr>
      <w:r w:rsidRPr="002E1AE7">
        <w:lastRenderedPageBreak/>
        <w:t>Results</w:t>
      </w:r>
    </w:p>
    <w:p w14:paraId="0D636DA0" w14:textId="77777777" w:rsidR="00604B45" w:rsidRPr="00604B45" w:rsidRDefault="00604B45" w:rsidP="00604B45">
      <w:pPr>
        <w:pStyle w:val="Tabletitle"/>
      </w:pPr>
      <w:r>
        <w:t xml:space="preserve">Table 4: Results Study </w:t>
      </w:r>
      <w:r w:rsidRPr="00835738">
        <w:t>CS29</w:t>
      </w:r>
      <w:r>
        <w:t>; Nocturnal voids</w:t>
      </w:r>
    </w:p>
    <w:tbl>
      <w:tblPr>
        <w:tblStyle w:val="TableTGAblue"/>
        <w:tblW w:w="0" w:type="auto"/>
        <w:tblLook w:val="04A0" w:firstRow="1" w:lastRow="0" w:firstColumn="1" w:lastColumn="0" w:noHBand="0" w:noVBand="1"/>
      </w:tblPr>
      <w:tblGrid>
        <w:gridCol w:w="1809"/>
        <w:gridCol w:w="1418"/>
        <w:gridCol w:w="1393"/>
        <w:gridCol w:w="1540"/>
        <w:gridCol w:w="1541"/>
        <w:gridCol w:w="1541"/>
      </w:tblGrid>
      <w:tr w:rsidR="002E1AE7" w:rsidRPr="002E1AE7" w14:paraId="382B48AE" w14:textId="77777777" w:rsidTr="00604B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3A713CF0" w14:textId="77777777" w:rsidR="002E1AE7" w:rsidRPr="002E1AE7" w:rsidRDefault="002E1AE7" w:rsidP="002E1AE7">
            <w:pPr>
              <w:ind w:left="0"/>
            </w:pPr>
            <w:r w:rsidRPr="002E1AE7">
              <w:t>Nocturnal voids</w:t>
            </w:r>
          </w:p>
        </w:tc>
        <w:tc>
          <w:tcPr>
            <w:tcW w:w="1418" w:type="dxa"/>
          </w:tcPr>
          <w:p w14:paraId="253B844D" w14:textId="77777777" w:rsidR="002E1AE7" w:rsidRPr="002E1AE7" w:rsidRDefault="002E1AE7" w:rsidP="002E1AE7">
            <w:pPr>
              <w:ind w:left="0"/>
              <w:cnfStyle w:val="100000000000" w:firstRow="1" w:lastRow="0" w:firstColumn="0" w:lastColumn="0" w:oddVBand="0" w:evenVBand="0" w:oddHBand="0" w:evenHBand="0" w:firstRowFirstColumn="0" w:firstRowLastColumn="0" w:lastRowFirstColumn="0" w:lastRowLastColumn="0"/>
            </w:pPr>
            <w:r w:rsidRPr="002E1AE7">
              <w:t>Placebo</w:t>
            </w:r>
          </w:p>
          <w:p w14:paraId="774F51E4" w14:textId="77777777" w:rsidR="002E1AE7" w:rsidRPr="002E1AE7" w:rsidRDefault="002E1AE7" w:rsidP="002E1AE7">
            <w:pPr>
              <w:ind w:left="0"/>
              <w:cnfStyle w:val="100000000000" w:firstRow="1" w:lastRow="0" w:firstColumn="0" w:lastColumn="0" w:oddVBand="0" w:evenVBand="0" w:oddHBand="0" w:evenHBand="0" w:firstRowFirstColumn="0" w:firstRowLastColumn="0" w:lastRowFirstColumn="0" w:lastRowLastColumn="0"/>
            </w:pPr>
            <w:r w:rsidRPr="002E1AE7">
              <w:t>(n</w:t>
            </w:r>
            <w:r w:rsidR="00604B45">
              <w:t xml:space="preserve"> </w:t>
            </w:r>
            <w:r w:rsidRPr="002E1AE7">
              <w:t>=</w:t>
            </w:r>
            <w:r w:rsidR="00604B45">
              <w:t xml:space="preserve"> </w:t>
            </w:r>
            <w:r w:rsidRPr="002E1AE7">
              <w:t>156)</w:t>
            </w:r>
          </w:p>
        </w:tc>
        <w:tc>
          <w:tcPr>
            <w:tcW w:w="1393" w:type="dxa"/>
          </w:tcPr>
          <w:p w14:paraId="39058274" w14:textId="77777777" w:rsidR="002E1AE7" w:rsidRPr="002E1AE7" w:rsidRDefault="002E1AE7" w:rsidP="002E1AE7">
            <w:pPr>
              <w:ind w:left="0"/>
              <w:cnfStyle w:val="100000000000" w:firstRow="1" w:lastRow="0" w:firstColumn="0" w:lastColumn="0" w:oddVBand="0" w:evenVBand="0" w:oddHBand="0" w:evenHBand="0" w:firstRowFirstColumn="0" w:firstRowLastColumn="0" w:lastRowFirstColumn="0" w:lastRowLastColumn="0"/>
            </w:pPr>
            <w:r w:rsidRPr="002E1AE7">
              <w:t xml:space="preserve">10 </w:t>
            </w:r>
            <w:r w:rsidR="00D578E9">
              <w:t>µg</w:t>
            </w:r>
          </w:p>
          <w:p w14:paraId="236A61E7" w14:textId="77777777" w:rsidR="002E1AE7" w:rsidRPr="002E1AE7" w:rsidRDefault="002E1AE7" w:rsidP="002E1AE7">
            <w:pPr>
              <w:ind w:left="0"/>
              <w:cnfStyle w:val="100000000000" w:firstRow="1" w:lastRow="0" w:firstColumn="0" w:lastColumn="0" w:oddVBand="0" w:evenVBand="0" w:oddHBand="0" w:evenHBand="0" w:firstRowFirstColumn="0" w:firstRowLastColumn="0" w:lastRowFirstColumn="0" w:lastRowLastColumn="0"/>
            </w:pPr>
            <w:r w:rsidRPr="002E1AE7">
              <w:t>(n</w:t>
            </w:r>
            <w:r w:rsidR="00604B45">
              <w:t xml:space="preserve"> </w:t>
            </w:r>
            <w:r w:rsidRPr="002E1AE7">
              <w:t>=</w:t>
            </w:r>
            <w:r w:rsidR="00604B45">
              <w:t xml:space="preserve"> </w:t>
            </w:r>
            <w:r w:rsidRPr="002E1AE7">
              <w:t>155)</w:t>
            </w:r>
          </w:p>
        </w:tc>
        <w:tc>
          <w:tcPr>
            <w:tcW w:w="1540" w:type="dxa"/>
          </w:tcPr>
          <w:p w14:paraId="433A9284" w14:textId="77777777" w:rsidR="002E1AE7" w:rsidRPr="002E1AE7" w:rsidRDefault="002E1AE7" w:rsidP="002E1AE7">
            <w:pPr>
              <w:ind w:left="0"/>
              <w:cnfStyle w:val="100000000000" w:firstRow="1" w:lastRow="0" w:firstColumn="0" w:lastColumn="0" w:oddVBand="0" w:evenVBand="0" w:oddHBand="0" w:evenHBand="0" w:firstRowFirstColumn="0" w:firstRowLastColumn="0" w:lastRowFirstColumn="0" w:lastRowLastColumn="0"/>
            </w:pPr>
            <w:r w:rsidRPr="002E1AE7">
              <w:t xml:space="preserve">25 </w:t>
            </w:r>
            <w:r w:rsidR="00D578E9">
              <w:t>µg</w:t>
            </w:r>
          </w:p>
          <w:p w14:paraId="3913A340" w14:textId="77777777" w:rsidR="002E1AE7" w:rsidRPr="002E1AE7" w:rsidRDefault="002E1AE7" w:rsidP="002E1AE7">
            <w:pPr>
              <w:ind w:left="0"/>
              <w:cnfStyle w:val="100000000000" w:firstRow="1" w:lastRow="0" w:firstColumn="0" w:lastColumn="0" w:oddVBand="0" w:evenVBand="0" w:oddHBand="0" w:evenHBand="0" w:firstRowFirstColumn="0" w:firstRowLastColumn="0" w:lastRowFirstColumn="0" w:lastRowLastColumn="0"/>
            </w:pPr>
            <w:r w:rsidRPr="002E1AE7">
              <w:t>(n</w:t>
            </w:r>
            <w:r w:rsidR="00604B45">
              <w:t xml:space="preserve"> </w:t>
            </w:r>
            <w:r w:rsidRPr="002E1AE7">
              <w:t>=</w:t>
            </w:r>
            <w:r w:rsidR="00604B45">
              <w:t xml:space="preserve"> </w:t>
            </w:r>
            <w:r w:rsidRPr="002E1AE7">
              <w:t>152)</w:t>
            </w:r>
          </w:p>
        </w:tc>
        <w:tc>
          <w:tcPr>
            <w:tcW w:w="1541" w:type="dxa"/>
          </w:tcPr>
          <w:p w14:paraId="416AAB29" w14:textId="77777777" w:rsidR="002E1AE7" w:rsidRPr="002E1AE7" w:rsidRDefault="002E1AE7" w:rsidP="002E1AE7">
            <w:pPr>
              <w:ind w:left="0"/>
              <w:cnfStyle w:val="100000000000" w:firstRow="1" w:lastRow="0" w:firstColumn="0" w:lastColumn="0" w:oddVBand="0" w:evenVBand="0" w:oddHBand="0" w:evenHBand="0" w:firstRowFirstColumn="0" w:firstRowLastColumn="0" w:lastRowFirstColumn="0" w:lastRowLastColumn="0"/>
            </w:pPr>
            <w:r w:rsidRPr="002E1AE7">
              <w:t xml:space="preserve">50 </w:t>
            </w:r>
            <w:r w:rsidR="00D578E9">
              <w:t>µg</w:t>
            </w:r>
          </w:p>
          <w:p w14:paraId="343526BA" w14:textId="77777777" w:rsidR="002E1AE7" w:rsidRPr="002E1AE7" w:rsidRDefault="002E1AE7" w:rsidP="002E1AE7">
            <w:pPr>
              <w:ind w:left="0"/>
              <w:cnfStyle w:val="100000000000" w:firstRow="1" w:lastRow="0" w:firstColumn="0" w:lastColumn="0" w:oddVBand="0" w:evenVBand="0" w:oddHBand="0" w:evenHBand="0" w:firstRowFirstColumn="0" w:firstRowLastColumn="0" w:lastRowFirstColumn="0" w:lastRowLastColumn="0"/>
            </w:pPr>
            <w:r w:rsidRPr="002E1AE7">
              <w:t>(n</w:t>
            </w:r>
            <w:r w:rsidR="00604B45">
              <w:t xml:space="preserve"> </w:t>
            </w:r>
            <w:r w:rsidRPr="002E1AE7">
              <w:t>=</w:t>
            </w:r>
            <w:r w:rsidR="00604B45">
              <w:t xml:space="preserve"> </w:t>
            </w:r>
            <w:r w:rsidRPr="002E1AE7">
              <w:t>148)</w:t>
            </w:r>
          </w:p>
        </w:tc>
        <w:tc>
          <w:tcPr>
            <w:tcW w:w="1541" w:type="dxa"/>
          </w:tcPr>
          <w:p w14:paraId="761B7772" w14:textId="77777777" w:rsidR="002E1AE7" w:rsidRPr="002E1AE7" w:rsidRDefault="002E1AE7" w:rsidP="002E1AE7">
            <w:pPr>
              <w:ind w:left="0"/>
              <w:cnfStyle w:val="100000000000" w:firstRow="1" w:lastRow="0" w:firstColumn="0" w:lastColumn="0" w:oddVBand="0" w:evenVBand="0" w:oddHBand="0" w:evenHBand="0" w:firstRowFirstColumn="0" w:firstRowLastColumn="0" w:lastRowFirstColumn="0" w:lastRowLastColumn="0"/>
            </w:pPr>
            <w:r w:rsidRPr="002E1AE7">
              <w:t xml:space="preserve">100 </w:t>
            </w:r>
            <w:r w:rsidR="00D578E9">
              <w:t>µg</w:t>
            </w:r>
          </w:p>
          <w:p w14:paraId="16C2545E" w14:textId="77777777" w:rsidR="002E1AE7" w:rsidRPr="002E1AE7" w:rsidRDefault="002E1AE7" w:rsidP="002E1AE7">
            <w:pPr>
              <w:ind w:left="0"/>
              <w:cnfStyle w:val="100000000000" w:firstRow="1" w:lastRow="0" w:firstColumn="0" w:lastColumn="0" w:oddVBand="0" w:evenVBand="0" w:oddHBand="0" w:evenHBand="0" w:firstRowFirstColumn="0" w:firstRowLastColumn="0" w:lastRowFirstColumn="0" w:lastRowLastColumn="0"/>
            </w:pPr>
            <w:r w:rsidRPr="002E1AE7">
              <w:t>(n</w:t>
            </w:r>
            <w:r w:rsidR="00604B45">
              <w:t xml:space="preserve"> </w:t>
            </w:r>
            <w:r w:rsidRPr="002E1AE7">
              <w:t>=</w:t>
            </w:r>
            <w:r w:rsidR="00604B45">
              <w:t xml:space="preserve"> </w:t>
            </w:r>
            <w:r w:rsidRPr="002E1AE7">
              <w:t>146)</w:t>
            </w:r>
          </w:p>
        </w:tc>
      </w:tr>
      <w:tr w:rsidR="002E1AE7" w:rsidRPr="002E1AE7" w14:paraId="6F082DF9" w14:textId="77777777" w:rsidTr="002E1AE7">
        <w:tc>
          <w:tcPr>
            <w:cnfStyle w:val="001000000000" w:firstRow="0" w:lastRow="0" w:firstColumn="1" w:lastColumn="0" w:oddVBand="0" w:evenVBand="0" w:oddHBand="0" w:evenHBand="0" w:firstRowFirstColumn="0" w:firstRowLastColumn="0" w:lastRowFirstColumn="0" w:lastRowLastColumn="0"/>
            <w:tcW w:w="1809" w:type="dxa"/>
          </w:tcPr>
          <w:p w14:paraId="6F900D54" w14:textId="77777777" w:rsidR="002E1AE7" w:rsidRPr="002E1AE7" w:rsidRDefault="002E1AE7" w:rsidP="002E1AE7">
            <w:pPr>
              <w:ind w:left="0"/>
            </w:pPr>
            <w:r w:rsidRPr="002E1AE7">
              <w:t>Baseline (mean)</w:t>
            </w:r>
          </w:p>
        </w:tc>
        <w:tc>
          <w:tcPr>
            <w:tcW w:w="1418" w:type="dxa"/>
          </w:tcPr>
          <w:p w14:paraId="045C52B8"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3.3</w:t>
            </w:r>
          </w:p>
        </w:tc>
        <w:tc>
          <w:tcPr>
            <w:tcW w:w="1393" w:type="dxa"/>
          </w:tcPr>
          <w:p w14:paraId="64DE126A"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3.2</w:t>
            </w:r>
          </w:p>
        </w:tc>
        <w:tc>
          <w:tcPr>
            <w:tcW w:w="1540" w:type="dxa"/>
          </w:tcPr>
          <w:p w14:paraId="367567D7"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3.4</w:t>
            </w:r>
          </w:p>
        </w:tc>
        <w:tc>
          <w:tcPr>
            <w:tcW w:w="1541" w:type="dxa"/>
          </w:tcPr>
          <w:p w14:paraId="511D7C32"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3.4</w:t>
            </w:r>
          </w:p>
        </w:tc>
        <w:tc>
          <w:tcPr>
            <w:tcW w:w="1541" w:type="dxa"/>
          </w:tcPr>
          <w:p w14:paraId="733262E0"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3.2</w:t>
            </w:r>
          </w:p>
        </w:tc>
      </w:tr>
      <w:tr w:rsidR="002E1AE7" w:rsidRPr="002E1AE7" w14:paraId="283B442B" w14:textId="77777777" w:rsidTr="002E1AE7">
        <w:tc>
          <w:tcPr>
            <w:cnfStyle w:val="001000000000" w:firstRow="0" w:lastRow="0" w:firstColumn="1" w:lastColumn="0" w:oddVBand="0" w:evenVBand="0" w:oddHBand="0" w:evenHBand="0" w:firstRowFirstColumn="0" w:firstRowLastColumn="0" w:lastRowFirstColumn="0" w:lastRowLastColumn="0"/>
            <w:tcW w:w="1809" w:type="dxa"/>
          </w:tcPr>
          <w:p w14:paraId="27D89A60" w14:textId="77777777" w:rsidR="002E1AE7" w:rsidRPr="002E1AE7" w:rsidRDefault="00EA2517" w:rsidP="002E1AE7">
            <w:pPr>
              <w:ind w:left="0"/>
            </w:pPr>
            <w:r>
              <w:t>Day 28</w:t>
            </w:r>
            <w:r w:rsidR="002E1AE7" w:rsidRPr="002E1AE7">
              <w:t xml:space="preserve"> (mean)</w:t>
            </w:r>
          </w:p>
          <w:p w14:paraId="3BA72486" w14:textId="77777777" w:rsidR="002E1AE7" w:rsidRPr="002E1AE7" w:rsidRDefault="002E1AE7" w:rsidP="002E1AE7">
            <w:pPr>
              <w:ind w:left="0"/>
            </w:pPr>
            <w:r w:rsidRPr="002E1AE7">
              <w:t>Diff (mean)</w:t>
            </w:r>
          </w:p>
          <w:p w14:paraId="163105BE" w14:textId="77777777" w:rsidR="002E1AE7" w:rsidRPr="002E1AE7" w:rsidRDefault="00206542" w:rsidP="002E1AE7">
            <w:pPr>
              <w:ind w:left="0"/>
            </w:pPr>
            <w:r>
              <w:t>p value</w:t>
            </w:r>
            <w:r w:rsidR="002E1AE7" w:rsidRPr="002E1AE7">
              <w:t xml:space="preserve"> versus plac</w:t>
            </w:r>
            <w:r w:rsidR="00604B45">
              <w:t>ebo</w:t>
            </w:r>
          </w:p>
        </w:tc>
        <w:tc>
          <w:tcPr>
            <w:tcW w:w="1418" w:type="dxa"/>
          </w:tcPr>
          <w:p w14:paraId="71B6146D"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2.4</w:t>
            </w:r>
          </w:p>
          <w:p w14:paraId="713A8198"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-0.9</w:t>
            </w:r>
          </w:p>
          <w:p w14:paraId="6C8AA8EA"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p>
        </w:tc>
        <w:tc>
          <w:tcPr>
            <w:tcW w:w="1393" w:type="dxa"/>
          </w:tcPr>
          <w:p w14:paraId="1E7F0D39"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2.4</w:t>
            </w:r>
          </w:p>
          <w:p w14:paraId="0B2B130F"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-0.8</w:t>
            </w:r>
          </w:p>
          <w:p w14:paraId="0E86E7A4"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0.93</w:t>
            </w:r>
          </w:p>
        </w:tc>
        <w:tc>
          <w:tcPr>
            <w:tcW w:w="1540" w:type="dxa"/>
          </w:tcPr>
          <w:p w14:paraId="6871331A"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2.4</w:t>
            </w:r>
          </w:p>
          <w:p w14:paraId="59C252F2"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-1.0</w:t>
            </w:r>
          </w:p>
          <w:p w14:paraId="0EF4FA57"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0.31</w:t>
            </w:r>
          </w:p>
        </w:tc>
        <w:tc>
          <w:tcPr>
            <w:tcW w:w="1541" w:type="dxa"/>
          </w:tcPr>
          <w:p w14:paraId="673488B6"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2.2</w:t>
            </w:r>
          </w:p>
          <w:p w14:paraId="656D954B"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-1.2</w:t>
            </w:r>
          </w:p>
          <w:p w14:paraId="38053CA8"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0.02</w:t>
            </w:r>
          </w:p>
        </w:tc>
        <w:tc>
          <w:tcPr>
            <w:tcW w:w="1541" w:type="dxa"/>
          </w:tcPr>
          <w:p w14:paraId="3BF4CDC7"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1.8</w:t>
            </w:r>
          </w:p>
          <w:p w14:paraId="39870F7A"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-1.4</w:t>
            </w:r>
          </w:p>
          <w:p w14:paraId="0D69A067" w14:textId="77777777" w:rsidR="002E1AE7" w:rsidRPr="002E1AE7" w:rsidRDefault="00604B45" w:rsidP="002E1AE7">
            <w:pPr>
              <w:ind w:left="0"/>
              <w:cnfStyle w:val="000000000000" w:firstRow="0" w:lastRow="0" w:firstColumn="0" w:lastColumn="0" w:oddVBand="0" w:evenVBand="0" w:oddHBand="0" w:evenHBand="0" w:firstRowFirstColumn="0" w:firstRowLastColumn="0" w:lastRowFirstColumn="0" w:lastRowLastColumn="0"/>
            </w:pPr>
            <w:r>
              <w:t xml:space="preserve">&lt; </w:t>
            </w:r>
            <w:r w:rsidR="002E1AE7" w:rsidRPr="002E1AE7">
              <w:t>0.0001</w:t>
            </w:r>
          </w:p>
        </w:tc>
      </w:tr>
      <w:tr w:rsidR="002E1AE7" w:rsidRPr="002E1AE7" w14:paraId="5E53BF6B" w14:textId="77777777" w:rsidTr="002E1AE7">
        <w:tc>
          <w:tcPr>
            <w:cnfStyle w:val="001000000000" w:firstRow="0" w:lastRow="0" w:firstColumn="1" w:lastColumn="0" w:oddVBand="0" w:evenVBand="0" w:oddHBand="0" w:evenHBand="0" w:firstRowFirstColumn="0" w:firstRowLastColumn="0" w:lastRowFirstColumn="0" w:lastRowLastColumn="0"/>
            <w:tcW w:w="1809" w:type="dxa"/>
          </w:tcPr>
          <w:p w14:paraId="04B2FAAB" w14:textId="77777777" w:rsidR="002E1AE7" w:rsidRPr="002E1AE7" w:rsidRDefault="002E1AE7" w:rsidP="002E1AE7">
            <w:pPr>
              <w:ind w:left="0"/>
            </w:pPr>
            <w:r w:rsidRPr="002E1AE7">
              <w:t>Responders 28 day %</w:t>
            </w:r>
          </w:p>
          <w:p w14:paraId="61472BD0" w14:textId="77777777" w:rsidR="002E1AE7" w:rsidRPr="002E1AE7" w:rsidRDefault="00206542" w:rsidP="002E1AE7">
            <w:pPr>
              <w:ind w:left="0"/>
            </w:pPr>
            <w:r>
              <w:t>p value</w:t>
            </w:r>
            <w:r w:rsidR="002E1AE7" w:rsidRPr="002E1AE7">
              <w:t xml:space="preserve"> versus plac</w:t>
            </w:r>
            <w:r w:rsidR="00604B45">
              <w:t>ebo</w:t>
            </w:r>
          </w:p>
        </w:tc>
        <w:tc>
          <w:tcPr>
            <w:tcW w:w="1418" w:type="dxa"/>
          </w:tcPr>
          <w:p w14:paraId="0268C586"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47%</w:t>
            </w:r>
          </w:p>
        </w:tc>
        <w:tc>
          <w:tcPr>
            <w:tcW w:w="1393" w:type="dxa"/>
          </w:tcPr>
          <w:p w14:paraId="086E5BEE"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47%</w:t>
            </w:r>
          </w:p>
          <w:p w14:paraId="0CC9806C"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0.94</w:t>
            </w:r>
          </w:p>
        </w:tc>
        <w:tc>
          <w:tcPr>
            <w:tcW w:w="1540" w:type="dxa"/>
          </w:tcPr>
          <w:p w14:paraId="29507A3B"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50%</w:t>
            </w:r>
          </w:p>
          <w:p w14:paraId="0F6DED33"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0.55</w:t>
            </w:r>
          </w:p>
        </w:tc>
        <w:tc>
          <w:tcPr>
            <w:tcW w:w="1541" w:type="dxa"/>
          </w:tcPr>
          <w:p w14:paraId="07318038"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53%</w:t>
            </w:r>
          </w:p>
          <w:p w14:paraId="11108AC9"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0.27</w:t>
            </w:r>
          </w:p>
        </w:tc>
        <w:tc>
          <w:tcPr>
            <w:tcW w:w="1541" w:type="dxa"/>
          </w:tcPr>
          <w:p w14:paraId="42A8FB77"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71%</w:t>
            </w:r>
          </w:p>
          <w:p w14:paraId="67C3D1C7" w14:textId="77777777" w:rsidR="002E1AE7" w:rsidRPr="002E1AE7" w:rsidRDefault="00604B45" w:rsidP="002E1AE7">
            <w:pPr>
              <w:ind w:left="0"/>
              <w:cnfStyle w:val="000000000000" w:firstRow="0" w:lastRow="0" w:firstColumn="0" w:lastColumn="0" w:oddVBand="0" w:evenVBand="0" w:oddHBand="0" w:evenHBand="0" w:firstRowFirstColumn="0" w:firstRowLastColumn="0" w:lastRowFirstColumn="0" w:lastRowLastColumn="0"/>
            </w:pPr>
            <w:r>
              <w:t xml:space="preserve">&lt; </w:t>
            </w:r>
            <w:r w:rsidR="002E1AE7" w:rsidRPr="002E1AE7">
              <w:t>0.0001</w:t>
            </w:r>
          </w:p>
        </w:tc>
      </w:tr>
    </w:tbl>
    <w:p w14:paraId="267140B3" w14:textId="77777777" w:rsidR="002E1AE7" w:rsidRPr="002E1AE7" w:rsidRDefault="002E1AE7" w:rsidP="00530CF5">
      <w:r w:rsidRPr="002E1AE7">
        <w:t>A post-hoc, unplanned, subgroup analysis (of CS29, to 28 days) by sex suggested that women achieved a similar response to men at lower doses. This may be related to size/weight.</w:t>
      </w:r>
    </w:p>
    <w:p w14:paraId="61CBE0E0" w14:textId="77777777" w:rsidR="002E1AE7" w:rsidRDefault="002E1AE7" w:rsidP="002E1AE7">
      <w:pPr>
        <w:pStyle w:val="Heading6"/>
      </w:pPr>
      <w:r w:rsidRPr="002E1AE7">
        <w:t>Women</w:t>
      </w:r>
    </w:p>
    <w:p w14:paraId="657EE703" w14:textId="77777777" w:rsidR="00604B45" w:rsidRPr="00604B45" w:rsidRDefault="00604B45" w:rsidP="00604B45">
      <w:pPr>
        <w:pStyle w:val="Tabletitle"/>
      </w:pPr>
      <w:r>
        <w:t>Table 5: P</w:t>
      </w:r>
      <w:r w:rsidRPr="002E1AE7">
        <w:t>ost-hoc, subgroup analysis (of CS29, to 28 days)</w:t>
      </w:r>
      <w:r>
        <w:t xml:space="preserve"> of women</w:t>
      </w:r>
    </w:p>
    <w:tbl>
      <w:tblPr>
        <w:tblStyle w:val="TableTGAblue"/>
        <w:tblW w:w="0" w:type="auto"/>
        <w:tblLook w:val="04A0" w:firstRow="1" w:lastRow="0" w:firstColumn="1" w:lastColumn="0" w:noHBand="0" w:noVBand="1"/>
      </w:tblPr>
      <w:tblGrid>
        <w:gridCol w:w="1809"/>
        <w:gridCol w:w="1418"/>
        <w:gridCol w:w="1393"/>
        <w:gridCol w:w="1540"/>
        <w:gridCol w:w="1541"/>
        <w:gridCol w:w="1541"/>
      </w:tblGrid>
      <w:tr w:rsidR="002E1AE7" w:rsidRPr="002E1AE7" w14:paraId="05B03451" w14:textId="77777777" w:rsidTr="002E1A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50713EAC" w14:textId="77777777" w:rsidR="002E1AE7" w:rsidRPr="002E1AE7" w:rsidRDefault="002E1AE7" w:rsidP="002E1AE7">
            <w:pPr>
              <w:ind w:left="0"/>
            </w:pPr>
            <w:r w:rsidRPr="002E1AE7">
              <w:t>Nocturnal voids</w:t>
            </w:r>
          </w:p>
        </w:tc>
        <w:tc>
          <w:tcPr>
            <w:tcW w:w="1418" w:type="dxa"/>
          </w:tcPr>
          <w:p w14:paraId="237E2B7F" w14:textId="77777777" w:rsidR="002E1AE7" w:rsidRPr="002E1AE7" w:rsidRDefault="002E1AE7" w:rsidP="002E1AE7">
            <w:pPr>
              <w:ind w:left="0"/>
              <w:cnfStyle w:val="100000000000" w:firstRow="1" w:lastRow="0" w:firstColumn="0" w:lastColumn="0" w:oddVBand="0" w:evenVBand="0" w:oddHBand="0" w:evenHBand="0" w:firstRowFirstColumn="0" w:firstRowLastColumn="0" w:lastRowFirstColumn="0" w:lastRowLastColumn="0"/>
            </w:pPr>
            <w:r w:rsidRPr="002E1AE7">
              <w:t>Placebo</w:t>
            </w:r>
          </w:p>
          <w:p w14:paraId="3A5766E7" w14:textId="77777777" w:rsidR="002E1AE7" w:rsidRPr="002E1AE7" w:rsidRDefault="002E1AE7" w:rsidP="002E1AE7">
            <w:pPr>
              <w:ind w:left="0"/>
              <w:cnfStyle w:val="100000000000" w:firstRow="1" w:lastRow="0" w:firstColumn="0" w:lastColumn="0" w:oddVBand="0" w:evenVBand="0" w:oddHBand="0" w:evenHBand="0" w:firstRowFirstColumn="0" w:firstRowLastColumn="0" w:lastRowFirstColumn="0" w:lastRowLastColumn="0"/>
            </w:pPr>
            <w:r w:rsidRPr="002E1AE7">
              <w:t>(</w:t>
            </w:r>
            <w:r w:rsidR="00604B45">
              <w:t xml:space="preserve">n = </w:t>
            </w:r>
            <w:r w:rsidRPr="002E1AE7">
              <w:t>66)</w:t>
            </w:r>
          </w:p>
        </w:tc>
        <w:tc>
          <w:tcPr>
            <w:tcW w:w="1393" w:type="dxa"/>
          </w:tcPr>
          <w:p w14:paraId="4613757F" w14:textId="77777777" w:rsidR="002E1AE7" w:rsidRPr="002E1AE7" w:rsidRDefault="002E1AE7" w:rsidP="002E1AE7">
            <w:pPr>
              <w:ind w:left="0"/>
              <w:cnfStyle w:val="100000000000" w:firstRow="1" w:lastRow="0" w:firstColumn="0" w:lastColumn="0" w:oddVBand="0" w:evenVBand="0" w:oddHBand="0" w:evenHBand="0" w:firstRowFirstColumn="0" w:firstRowLastColumn="0" w:lastRowFirstColumn="0" w:lastRowLastColumn="0"/>
            </w:pPr>
            <w:r w:rsidRPr="002E1AE7">
              <w:t xml:space="preserve">10 </w:t>
            </w:r>
            <w:r w:rsidR="00D578E9">
              <w:t>µg</w:t>
            </w:r>
          </w:p>
          <w:p w14:paraId="738F7136" w14:textId="77777777" w:rsidR="002E1AE7" w:rsidRPr="002E1AE7" w:rsidRDefault="002E1AE7" w:rsidP="002E1AE7">
            <w:pPr>
              <w:ind w:left="0"/>
              <w:cnfStyle w:val="100000000000" w:firstRow="1" w:lastRow="0" w:firstColumn="0" w:lastColumn="0" w:oddVBand="0" w:evenVBand="0" w:oddHBand="0" w:evenHBand="0" w:firstRowFirstColumn="0" w:firstRowLastColumn="0" w:lastRowFirstColumn="0" w:lastRowLastColumn="0"/>
            </w:pPr>
            <w:r w:rsidRPr="002E1AE7">
              <w:t>(</w:t>
            </w:r>
            <w:r w:rsidR="00604B45">
              <w:t xml:space="preserve">n = </w:t>
            </w:r>
            <w:r w:rsidRPr="002E1AE7">
              <w:t>73)</w:t>
            </w:r>
          </w:p>
        </w:tc>
        <w:tc>
          <w:tcPr>
            <w:tcW w:w="1540" w:type="dxa"/>
          </w:tcPr>
          <w:p w14:paraId="60F709EB" w14:textId="77777777" w:rsidR="002E1AE7" w:rsidRPr="002E1AE7" w:rsidRDefault="002E1AE7" w:rsidP="002E1AE7">
            <w:pPr>
              <w:ind w:left="0"/>
              <w:cnfStyle w:val="100000000000" w:firstRow="1" w:lastRow="0" w:firstColumn="0" w:lastColumn="0" w:oddVBand="0" w:evenVBand="0" w:oddHBand="0" w:evenHBand="0" w:firstRowFirstColumn="0" w:firstRowLastColumn="0" w:lastRowFirstColumn="0" w:lastRowLastColumn="0"/>
            </w:pPr>
            <w:r w:rsidRPr="002E1AE7">
              <w:t xml:space="preserve">25 </w:t>
            </w:r>
            <w:r w:rsidR="00D578E9">
              <w:t>µg</w:t>
            </w:r>
          </w:p>
          <w:p w14:paraId="00446C65" w14:textId="77777777" w:rsidR="002E1AE7" w:rsidRPr="002E1AE7" w:rsidRDefault="002E1AE7" w:rsidP="002E1AE7">
            <w:pPr>
              <w:ind w:left="0"/>
              <w:cnfStyle w:val="100000000000" w:firstRow="1" w:lastRow="0" w:firstColumn="0" w:lastColumn="0" w:oddVBand="0" w:evenVBand="0" w:oddHBand="0" w:evenHBand="0" w:firstRowFirstColumn="0" w:firstRowLastColumn="0" w:lastRowFirstColumn="0" w:lastRowLastColumn="0"/>
            </w:pPr>
            <w:r w:rsidRPr="002E1AE7">
              <w:t>(</w:t>
            </w:r>
            <w:r w:rsidR="00604B45">
              <w:t xml:space="preserve">n = </w:t>
            </w:r>
            <w:r w:rsidRPr="002E1AE7">
              <w:t>65)</w:t>
            </w:r>
          </w:p>
        </w:tc>
        <w:tc>
          <w:tcPr>
            <w:tcW w:w="1541" w:type="dxa"/>
          </w:tcPr>
          <w:p w14:paraId="5BFF0102" w14:textId="77777777" w:rsidR="002E1AE7" w:rsidRPr="002E1AE7" w:rsidRDefault="002E1AE7" w:rsidP="002E1AE7">
            <w:pPr>
              <w:ind w:left="0"/>
              <w:cnfStyle w:val="100000000000" w:firstRow="1" w:lastRow="0" w:firstColumn="0" w:lastColumn="0" w:oddVBand="0" w:evenVBand="0" w:oddHBand="0" w:evenHBand="0" w:firstRowFirstColumn="0" w:firstRowLastColumn="0" w:lastRowFirstColumn="0" w:lastRowLastColumn="0"/>
            </w:pPr>
            <w:r w:rsidRPr="002E1AE7">
              <w:t xml:space="preserve">50 </w:t>
            </w:r>
            <w:r w:rsidR="00D578E9">
              <w:t>µg</w:t>
            </w:r>
          </w:p>
          <w:p w14:paraId="60D68AE9" w14:textId="77777777" w:rsidR="002E1AE7" w:rsidRPr="002E1AE7" w:rsidRDefault="002E1AE7" w:rsidP="002E1AE7">
            <w:pPr>
              <w:ind w:left="0"/>
              <w:cnfStyle w:val="100000000000" w:firstRow="1" w:lastRow="0" w:firstColumn="0" w:lastColumn="0" w:oddVBand="0" w:evenVBand="0" w:oddHBand="0" w:evenHBand="0" w:firstRowFirstColumn="0" w:firstRowLastColumn="0" w:lastRowFirstColumn="0" w:lastRowLastColumn="0"/>
            </w:pPr>
            <w:r w:rsidRPr="002E1AE7">
              <w:t>(</w:t>
            </w:r>
            <w:r w:rsidR="00604B45">
              <w:t xml:space="preserve">n = </w:t>
            </w:r>
            <w:r w:rsidRPr="002E1AE7">
              <w:t>71)</w:t>
            </w:r>
          </w:p>
        </w:tc>
        <w:tc>
          <w:tcPr>
            <w:tcW w:w="1541" w:type="dxa"/>
          </w:tcPr>
          <w:p w14:paraId="219BE510" w14:textId="77777777" w:rsidR="002E1AE7" w:rsidRPr="002E1AE7" w:rsidRDefault="002E1AE7" w:rsidP="002E1AE7">
            <w:pPr>
              <w:ind w:left="0"/>
              <w:cnfStyle w:val="100000000000" w:firstRow="1" w:lastRow="0" w:firstColumn="0" w:lastColumn="0" w:oddVBand="0" w:evenVBand="0" w:oddHBand="0" w:evenHBand="0" w:firstRowFirstColumn="0" w:firstRowLastColumn="0" w:lastRowFirstColumn="0" w:lastRowLastColumn="0"/>
            </w:pPr>
            <w:r w:rsidRPr="002E1AE7">
              <w:t xml:space="preserve">100 </w:t>
            </w:r>
            <w:r w:rsidR="00D578E9">
              <w:t>µg</w:t>
            </w:r>
          </w:p>
          <w:p w14:paraId="74AF572C" w14:textId="77777777" w:rsidR="002E1AE7" w:rsidRPr="002E1AE7" w:rsidRDefault="002E1AE7" w:rsidP="002E1AE7">
            <w:pPr>
              <w:ind w:left="0"/>
              <w:cnfStyle w:val="100000000000" w:firstRow="1" w:lastRow="0" w:firstColumn="0" w:lastColumn="0" w:oddVBand="0" w:evenVBand="0" w:oddHBand="0" w:evenHBand="0" w:firstRowFirstColumn="0" w:firstRowLastColumn="0" w:lastRowFirstColumn="0" w:lastRowLastColumn="0"/>
            </w:pPr>
            <w:r w:rsidRPr="002E1AE7">
              <w:t>(</w:t>
            </w:r>
            <w:r w:rsidR="00604B45">
              <w:t xml:space="preserve">n = </w:t>
            </w:r>
            <w:r w:rsidRPr="002E1AE7">
              <w:t>66)</w:t>
            </w:r>
          </w:p>
        </w:tc>
      </w:tr>
      <w:tr w:rsidR="002E1AE7" w:rsidRPr="002E1AE7" w14:paraId="064D029A" w14:textId="77777777" w:rsidTr="002E1AE7">
        <w:tc>
          <w:tcPr>
            <w:cnfStyle w:val="001000000000" w:firstRow="0" w:lastRow="0" w:firstColumn="1" w:lastColumn="0" w:oddVBand="0" w:evenVBand="0" w:oddHBand="0" w:evenHBand="0" w:firstRowFirstColumn="0" w:firstRowLastColumn="0" w:lastRowFirstColumn="0" w:lastRowLastColumn="0"/>
            <w:tcW w:w="1809" w:type="dxa"/>
          </w:tcPr>
          <w:p w14:paraId="53D3A852" w14:textId="77777777" w:rsidR="002E1AE7" w:rsidRPr="002E1AE7" w:rsidRDefault="00EA2517" w:rsidP="002E1AE7">
            <w:pPr>
              <w:ind w:left="0"/>
            </w:pPr>
            <w:r>
              <w:t>Day 28</w:t>
            </w:r>
            <w:r w:rsidR="002E1AE7" w:rsidRPr="002E1AE7">
              <w:t xml:space="preserve"> (mean)</w:t>
            </w:r>
          </w:p>
          <w:p w14:paraId="79ED21A9" w14:textId="77777777" w:rsidR="002E1AE7" w:rsidRPr="002E1AE7" w:rsidRDefault="002E1AE7" w:rsidP="002E1AE7">
            <w:pPr>
              <w:ind w:left="0"/>
            </w:pPr>
            <w:r w:rsidRPr="002E1AE7">
              <w:t>Diff (mean)</w:t>
            </w:r>
          </w:p>
          <w:p w14:paraId="1931425D" w14:textId="77777777" w:rsidR="002E1AE7" w:rsidRPr="002E1AE7" w:rsidRDefault="00206542" w:rsidP="002E1AE7">
            <w:pPr>
              <w:ind w:left="0"/>
            </w:pPr>
            <w:r>
              <w:t>p value</w:t>
            </w:r>
            <w:r w:rsidR="002E1AE7" w:rsidRPr="002E1AE7">
              <w:t xml:space="preserve"> versus plac</w:t>
            </w:r>
            <w:r w:rsidR="00604B45">
              <w:t>ebo</w:t>
            </w:r>
          </w:p>
        </w:tc>
        <w:tc>
          <w:tcPr>
            <w:tcW w:w="1418" w:type="dxa"/>
          </w:tcPr>
          <w:p w14:paraId="11CBA7E7"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2.5</w:t>
            </w:r>
          </w:p>
          <w:p w14:paraId="4CF512A6"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-0.9</w:t>
            </w:r>
          </w:p>
        </w:tc>
        <w:tc>
          <w:tcPr>
            <w:tcW w:w="1393" w:type="dxa"/>
          </w:tcPr>
          <w:p w14:paraId="70D939F3"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2.2</w:t>
            </w:r>
          </w:p>
          <w:p w14:paraId="589122B3"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-1.2</w:t>
            </w:r>
          </w:p>
          <w:p w14:paraId="52ED1DF2"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0.07</w:t>
            </w:r>
          </w:p>
        </w:tc>
        <w:tc>
          <w:tcPr>
            <w:tcW w:w="1540" w:type="dxa"/>
          </w:tcPr>
          <w:p w14:paraId="6DA29C7C"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2.1</w:t>
            </w:r>
          </w:p>
          <w:p w14:paraId="125A3D82"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-1.2</w:t>
            </w:r>
          </w:p>
          <w:p w14:paraId="2AF64C77"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0.02</w:t>
            </w:r>
          </w:p>
        </w:tc>
        <w:tc>
          <w:tcPr>
            <w:tcW w:w="1541" w:type="dxa"/>
          </w:tcPr>
          <w:p w14:paraId="45E03976"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1.9</w:t>
            </w:r>
          </w:p>
          <w:p w14:paraId="4609419A"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-1.2</w:t>
            </w:r>
          </w:p>
          <w:p w14:paraId="6C2693B3"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0.01</w:t>
            </w:r>
          </w:p>
        </w:tc>
        <w:tc>
          <w:tcPr>
            <w:tcW w:w="1541" w:type="dxa"/>
          </w:tcPr>
          <w:p w14:paraId="1EFD234E"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1.5</w:t>
            </w:r>
          </w:p>
          <w:p w14:paraId="704022C0"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-1.5</w:t>
            </w:r>
          </w:p>
          <w:p w14:paraId="67822186" w14:textId="77777777" w:rsidR="002E1AE7" w:rsidRPr="002E1AE7" w:rsidRDefault="00604B45" w:rsidP="002E1AE7">
            <w:pPr>
              <w:ind w:left="0"/>
              <w:cnfStyle w:val="000000000000" w:firstRow="0" w:lastRow="0" w:firstColumn="0" w:lastColumn="0" w:oddVBand="0" w:evenVBand="0" w:oddHBand="0" w:evenHBand="0" w:firstRowFirstColumn="0" w:firstRowLastColumn="0" w:lastRowFirstColumn="0" w:lastRowLastColumn="0"/>
            </w:pPr>
            <w:r>
              <w:t xml:space="preserve">&lt; </w:t>
            </w:r>
            <w:r w:rsidR="002E1AE7" w:rsidRPr="002E1AE7">
              <w:t>0.0001</w:t>
            </w:r>
          </w:p>
        </w:tc>
      </w:tr>
      <w:tr w:rsidR="002E1AE7" w:rsidRPr="002E1AE7" w14:paraId="20161771" w14:textId="77777777" w:rsidTr="002E1AE7">
        <w:tc>
          <w:tcPr>
            <w:cnfStyle w:val="001000000000" w:firstRow="0" w:lastRow="0" w:firstColumn="1" w:lastColumn="0" w:oddVBand="0" w:evenVBand="0" w:oddHBand="0" w:evenHBand="0" w:firstRowFirstColumn="0" w:firstRowLastColumn="0" w:lastRowFirstColumn="0" w:lastRowLastColumn="0"/>
            <w:tcW w:w="1809" w:type="dxa"/>
          </w:tcPr>
          <w:p w14:paraId="53697728" w14:textId="77777777" w:rsidR="002E1AE7" w:rsidRPr="002E1AE7" w:rsidRDefault="002E1AE7" w:rsidP="002E1AE7">
            <w:pPr>
              <w:ind w:left="0"/>
            </w:pPr>
            <w:r w:rsidRPr="002E1AE7">
              <w:t>Responders 28 day %</w:t>
            </w:r>
          </w:p>
          <w:p w14:paraId="100D0FA1" w14:textId="77777777" w:rsidR="002E1AE7" w:rsidRPr="002E1AE7" w:rsidRDefault="00206542" w:rsidP="002E1AE7">
            <w:pPr>
              <w:ind w:left="0"/>
            </w:pPr>
            <w:r>
              <w:t>p value</w:t>
            </w:r>
            <w:r w:rsidR="002E1AE7" w:rsidRPr="002E1AE7">
              <w:t xml:space="preserve"> versus plac</w:t>
            </w:r>
            <w:r w:rsidR="00604B45">
              <w:t>ebo</w:t>
            </w:r>
          </w:p>
        </w:tc>
        <w:tc>
          <w:tcPr>
            <w:tcW w:w="1418" w:type="dxa"/>
          </w:tcPr>
          <w:p w14:paraId="601D3BA6"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42%</w:t>
            </w:r>
          </w:p>
        </w:tc>
        <w:tc>
          <w:tcPr>
            <w:tcW w:w="1393" w:type="dxa"/>
          </w:tcPr>
          <w:p w14:paraId="5C8636EE"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56%</w:t>
            </w:r>
          </w:p>
          <w:p w14:paraId="23F62A52"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0.09</w:t>
            </w:r>
          </w:p>
        </w:tc>
        <w:tc>
          <w:tcPr>
            <w:tcW w:w="1540" w:type="dxa"/>
          </w:tcPr>
          <w:p w14:paraId="35C247CF"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62%</w:t>
            </w:r>
          </w:p>
          <w:p w14:paraId="794996A1"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0.02</w:t>
            </w:r>
          </w:p>
        </w:tc>
        <w:tc>
          <w:tcPr>
            <w:tcW w:w="1541" w:type="dxa"/>
          </w:tcPr>
          <w:p w14:paraId="172494CE"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59%</w:t>
            </w:r>
          </w:p>
          <w:p w14:paraId="716D4F1E"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0.04</w:t>
            </w:r>
          </w:p>
        </w:tc>
        <w:tc>
          <w:tcPr>
            <w:tcW w:w="1541" w:type="dxa"/>
          </w:tcPr>
          <w:p w14:paraId="09811927"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77%</w:t>
            </w:r>
          </w:p>
          <w:p w14:paraId="38AEAC55" w14:textId="77777777" w:rsidR="002E1AE7" w:rsidRPr="002E1AE7" w:rsidRDefault="00604B45" w:rsidP="002E1AE7">
            <w:pPr>
              <w:ind w:left="0"/>
              <w:cnfStyle w:val="000000000000" w:firstRow="0" w:lastRow="0" w:firstColumn="0" w:lastColumn="0" w:oddVBand="0" w:evenVBand="0" w:oddHBand="0" w:evenHBand="0" w:firstRowFirstColumn="0" w:firstRowLastColumn="0" w:lastRowFirstColumn="0" w:lastRowLastColumn="0"/>
            </w:pPr>
            <w:r>
              <w:t xml:space="preserve">&lt; </w:t>
            </w:r>
            <w:r w:rsidR="002E1AE7" w:rsidRPr="002E1AE7">
              <w:t>0.0001</w:t>
            </w:r>
          </w:p>
        </w:tc>
      </w:tr>
    </w:tbl>
    <w:p w14:paraId="05972675" w14:textId="77777777" w:rsidR="002E1AE7" w:rsidRDefault="002E1AE7" w:rsidP="00530CF5">
      <w:pPr>
        <w:pStyle w:val="Heading6"/>
        <w:pageBreakBefore/>
      </w:pPr>
      <w:r w:rsidRPr="002E1AE7">
        <w:lastRenderedPageBreak/>
        <w:t>Men</w:t>
      </w:r>
    </w:p>
    <w:p w14:paraId="12AB15F9" w14:textId="77777777" w:rsidR="00604B45" w:rsidRPr="00604B45" w:rsidRDefault="00604B45" w:rsidP="00604B45">
      <w:pPr>
        <w:pStyle w:val="Tabletitle"/>
      </w:pPr>
      <w:r>
        <w:t>Table 6: P</w:t>
      </w:r>
      <w:r w:rsidRPr="002E1AE7">
        <w:t>ost-hoc, subgroup analysis (of CS29, to 28 days)</w:t>
      </w:r>
      <w:r>
        <w:t xml:space="preserve"> of men</w:t>
      </w:r>
    </w:p>
    <w:tbl>
      <w:tblPr>
        <w:tblStyle w:val="TableTGAblue"/>
        <w:tblW w:w="0" w:type="auto"/>
        <w:tblLook w:val="04A0" w:firstRow="1" w:lastRow="0" w:firstColumn="1" w:lastColumn="0" w:noHBand="0" w:noVBand="1"/>
      </w:tblPr>
      <w:tblGrid>
        <w:gridCol w:w="1809"/>
        <w:gridCol w:w="1418"/>
        <w:gridCol w:w="1393"/>
        <w:gridCol w:w="1540"/>
        <w:gridCol w:w="1541"/>
        <w:gridCol w:w="1541"/>
      </w:tblGrid>
      <w:tr w:rsidR="002E1AE7" w:rsidRPr="002E1AE7" w14:paraId="5618C177" w14:textId="77777777" w:rsidTr="0080062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09" w:type="dxa"/>
          </w:tcPr>
          <w:p w14:paraId="48769F2A" w14:textId="77777777" w:rsidR="002E1AE7" w:rsidRPr="002E1AE7" w:rsidRDefault="002E1AE7" w:rsidP="002E1AE7">
            <w:pPr>
              <w:ind w:left="0"/>
            </w:pPr>
            <w:r w:rsidRPr="002E1AE7">
              <w:t>Nocturnal voids</w:t>
            </w:r>
          </w:p>
        </w:tc>
        <w:tc>
          <w:tcPr>
            <w:tcW w:w="1418" w:type="dxa"/>
          </w:tcPr>
          <w:p w14:paraId="09C4E075" w14:textId="77777777" w:rsidR="002E1AE7" w:rsidRPr="002E1AE7" w:rsidRDefault="002E1AE7" w:rsidP="002E1AE7">
            <w:pPr>
              <w:ind w:left="0"/>
              <w:cnfStyle w:val="100000000000" w:firstRow="1" w:lastRow="0" w:firstColumn="0" w:lastColumn="0" w:oddVBand="0" w:evenVBand="0" w:oddHBand="0" w:evenHBand="0" w:firstRowFirstColumn="0" w:firstRowLastColumn="0" w:lastRowFirstColumn="0" w:lastRowLastColumn="0"/>
            </w:pPr>
            <w:r w:rsidRPr="002E1AE7">
              <w:t>Placebo</w:t>
            </w:r>
          </w:p>
          <w:p w14:paraId="60E3A5F2" w14:textId="77777777" w:rsidR="002E1AE7" w:rsidRPr="002E1AE7" w:rsidRDefault="002E1AE7" w:rsidP="002E1AE7">
            <w:pPr>
              <w:ind w:left="0"/>
              <w:cnfStyle w:val="100000000000" w:firstRow="1" w:lastRow="0" w:firstColumn="0" w:lastColumn="0" w:oddVBand="0" w:evenVBand="0" w:oddHBand="0" w:evenHBand="0" w:firstRowFirstColumn="0" w:firstRowLastColumn="0" w:lastRowFirstColumn="0" w:lastRowLastColumn="0"/>
            </w:pPr>
            <w:r w:rsidRPr="002E1AE7">
              <w:t>(</w:t>
            </w:r>
            <w:r w:rsidR="00604B45">
              <w:t xml:space="preserve">n = </w:t>
            </w:r>
            <w:r w:rsidRPr="002E1AE7">
              <w:t>90)</w:t>
            </w:r>
          </w:p>
        </w:tc>
        <w:tc>
          <w:tcPr>
            <w:tcW w:w="1393" w:type="dxa"/>
          </w:tcPr>
          <w:p w14:paraId="18620CA8" w14:textId="77777777" w:rsidR="002E1AE7" w:rsidRPr="002E1AE7" w:rsidRDefault="002E1AE7" w:rsidP="002E1AE7">
            <w:pPr>
              <w:ind w:left="0"/>
              <w:cnfStyle w:val="100000000000" w:firstRow="1" w:lastRow="0" w:firstColumn="0" w:lastColumn="0" w:oddVBand="0" w:evenVBand="0" w:oddHBand="0" w:evenHBand="0" w:firstRowFirstColumn="0" w:firstRowLastColumn="0" w:lastRowFirstColumn="0" w:lastRowLastColumn="0"/>
            </w:pPr>
            <w:r w:rsidRPr="002E1AE7">
              <w:t xml:space="preserve">10 </w:t>
            </w:r>
            <w:r w:rsidR="00D578E9">
              <w:t>µg</w:t>
            </w:r>
          </w:p>
          <w:p w14:paraId="048C5769" w14:textId="77777777" w:rsidR="002E1AE7" w:rsidRPr="002E1AE7" w:rsidRDefault="002E1AE7" w:rsidP="002E1AE7">
            <w:pPr>
              <w:ind w:left="0"/>
              <w:cnfStyle w:val="100000000000" w:firstRow="1" w:lastRow="0" w:firstColumn="0" w:lastColumn="0" w:oddVBand="0" w:evenVBand="0" w:oddHBand="0" w:evenHBand="0" w:firstRowFirstColumn="0" w:firstRowLastColumn="0" w:lastRowFirstColumn="0" w:lastRowLastColumn="0"/>
            </w:pPr>
            <w:r w:rsidRPr="002E1AE7">
              <w:t>(</w:t>
            </w:r>
            <w:r w:rsidR="00604B45">
              <w:t xml:space="preserve">n = </w:t>
            </w:r>
            <w:r w:rsidRPr="002E1AE7">
              <w:t>82)</w:t>
            </w:r>
          </w:p>
        </w:tc>
        <w:tc>
          <w:tcPr>
            <w:tcW w:w="1540" w:type="dxa"/>
          </w:tcPr>
          <w:p w14:paraId="17020A79" w14:textId="77777777" w:rsidR="002E1AE7" w:rsidRPr="002E1AE7" w:rsidRDefault="002E1AE7" w:rsidP="002E1AE7">
            <w:pPr>
              <w:ind w:left="0"/>
              <w:cnfStyle w:val="100000000000" w:firstRow="1" w:lastRow="0" w:firstColumn="0" w:lastColumn="0" w:oddVBand="0" w:evenVBand="0" w:oddHBand="0" w:evenHBand="0" w:firstRowFirstColumn="0" w:firstRowLastColumn="0" w:lastRowFirstColumn="0" w:lastRowLastColumn="0"/>
            </w:pPr>
            <w:r w:rsidRPr="002E1AE7">
              <w:t xml:space="preserve">25 </w:t>
            </w:r>
            <w:r w:rsidR="00D578E9">
              <w:t>µg</w:t>
            </w:r>
          </w:p>
          <w:p w14:paraId="445887B1" w14:textId="77777777" w:rsidR="002E1AE7" w:rsidRPr="002E1AE7" w:rsidRDefault="002E1AE7" w:rsidP="002E1AE7">
            <w:pPr>
              <w:ind w:left="0"/>
              <w:cnfStyle w:val="100000000000" w:firstRow="1" w:lastRow="0" w:firstColumn="0" w:lastColumn="0" w:oddVBand="0" w:evenVBand="0" w:oddHBand="0" w:evenHBand="0" w:firstRowFirstColumn="0" w:firstRowLastColumn="0" w:lastRowFirstColumn="0" w:lastRowLastColumn="0"/>
            </w:pPr>
            <w:r w:rsidRPr="002E1AE7">
              <w:t>(</w:t>
            </w:r>
            <w:r w:rsidR="00604B45">
              <w:t xml:space="preserve">n = </w:t>
            </w:r>
            <w:r w:rsidRPr="002E1AE7">
              <w:t>87)</w:t>
            </w:r>
          </w:p>
        </w:tc>
        <w:tc>
          <w:tcPr>
            <w:tcW w:w="1541" w:type="dxa"/>
          </w:tcPr>
          <w:p w14:paraId="135A72EF" w14:textId="77777777" w:rsidR="002E1AE7" w:rsidRPr="002E1AE7" w:rsidRDefault="002E1AE7" w:rsidP="002E1AE7">
            <w:pPr>
              <w:ind w:left="0"/>
              <w:cnfStyle w:val="100000000000" w:firstRow="1" w:lastRow="0" w:firstColumn="0" w:lastColumn="0" w:oddVBand="0" w:evenVBand="0" w:oddHBand="0" w:evenHBand="0" w:firstRowFirstColumn="0" w:firstRowLastColumn="0" w:lastRowFirstColumn="0" w:lastRowLastColumn="0"/>
            </w:pPr>
            <w:r w:rsidRPr="002E1AE7">
              <w:t xml:space="preserve">50 </w:t>
            </w:r>
            <w:r w:rsidR="00D578E9">
              <w:t>µg</w:t>
            </w:r>
          </w:p>
          <w:p w14:paraId="0FF8084E" w14:textId="77777777" w:rsidR="002E1AE7" w:rsidRPr="002E1AE7" w:rsidRDefault="002E1AE7" w:rsidP="002E1AE7">
            <w:pPr>
              <w:ind w:left="0"/>
              <w:cnfStyle w:val="100000000000" w:firstRow="1" w:lastRow="0" w:firstColumn="0" w:lastColumn="0" w:oddVBand="0" w:evenVBand="0" w:oddHBand="0" w:evenHBand="0" w:firstRowFirstColumn="0" w:firstRowLastColumn="0" w:lastRowFirstColumn="0" w:lastRowLastColumn="0"/>
            </w:pPr>
            <w:r w:rsidRPr="002E1AE7">
              <w:t>(</w:t>
            </w:r>
            <w:r w:rsidR="00604B45">
              <w:t xml:space="preserve">n = </w:t>
            </w:r>
            <w:r w:rsidRPr="002E1AE7">
              <w:t>77)</w:t>
            </w:r>
          </w:p>
        </w:tc>
        <w:tc>
          <w:tcPr>
            <w:tcW w:w="1541" w:type="dxa"/>
          </w:tcPr>
          <w:p w14:paraId="396344C5" w14:textId="77777777" w:rsidR="002E1AE7" w:rsidRPr="002E1AE7" w:rsidRDefault="002E1AE7" w:rsidP="002E1AE7">
            <w:pPr>
              <w:ind w:left="0"/>
              <w:cnfStyle w:val="100000000000" w:firstRow="1" w:lastRow="0" w:firstColumn="0" w:lastColumn="0" w:oddVBand="0" w:evenVBand="0" w:oddHBand="0" w:evenHBand="0" w:firstRowFirstColumn="0" w:firstRowLastColumn="0" w:lastRowFirstColumn="0" w:lastRowLastColumn="0"/>
            </w:pPr>
            <w:r w:rsidRPr="002E1AE7">
              <w:t xml:space="preserve">100 </w:t>
            </w:r>
            <w:r w:rsidR="00D578E9">
              <w:t>µg</w:t>
            </w:r>
          </w:p>
          <w:p w14:paraId="30520864" w14:textId="77777777" w:rsidR="002E1AE7" w:rsidRPr="002E1AE7" w:rsidRDefault="002E1AE7" w:rsidP="002E1AE7">
            <w:pPr>
              <w:ind w:left="0"/>
              <w:cnfStyle w:val="100000000000" w:firstRow="1" w:lastRow="0" w:firstColumn="0" w:lastColumn="0" w:oddVBand="0" w:evenVBand="0" w:oddHBand="0" w:evenHBand="0" w:firstRowFirstColumn="0" w:firstRowLastColumn="0" w:lastRowFirstColumn="0" w:lastRowLastColumn="0"/>
            </w:pPr>
            <w:r w:rsidRPr="002E1AE7">
              <w:t>(</w:t>
            </w:r>
            <w:r w:rsidR="00604B45">
              <w:t xml:space="preserve">n = </w:t>
            </w:r>
            <w:r w:rsidRPr="002E1AE7">
              <w:t>80)</w:t>
            </w:r>
          </w:p>
        </w:tc>
      </w:tr>
      <w:tr w:rsidR="002E1AE7" w:rsidRPr="002E1AE7" w14:paraId="3FBA2130" w14:textId="77777777" w:rsidTr="0080062E">
        <w:trPr>
          <w:cantSplit/>
        </w:trPr>
        <w:tc>
          <w:tcPr>
            <w:cnfStyle w:val="001000000000" w:firstRow="0" w:lastRow="0" w:firstColumn="1" w:lastColumn="0" w:oddVBand="0" w:evenVBand="0" w:oddHBand="0" w:evenHBand="0" w:firstRowFirstColumn="0" w:firstRowLastColumn="0" w:lastRowFirstColumn="0" w:lastRowLastColumn="0"/>
            <w:tcW w:w="1809" w:type="dxa"/>
          </w:tcPr>
          <w:p w14:paraId="0EC2C39B" w14:textId="77777777" w:rsidR="002E1AE7" w:rsidRPr="002E1AE7" w:rsidRDefault="00EA2517" w:rsidP="002E1AE7">
            <w:pPr>
              <w:ind w:left="0"/>
            </w:pPr>
            <w:r>
              <w:t>Day 28</w:t>
            </w:r>
            <w:r w:rsidR="002E1AE7" w:rsidRPr="002E1AE7">
              <w:t xml:space="preserve"> (mean)</w:t>
            </w:r>
          </w:p>
          <w:p w14:paraId="60D6CED3" w14:textId="77777777" w:rsidR="002E1AE7" w:rsidRPr="002E1AE7" w:rsidRDefault="002E1AE7" w:rsidP="002E1AE7">
            <w:pPr>
              <w:ind w:left="0"/>
            </w:pPr>
            <w:r w:rsidRPr="002E1AE7">
              <w:t>Diff (mean)</w:t>
            </w:r>
          </w:p>
          <w:p w14:paraId="2BC9535D" w14:textId="77777777" w:rsidR="002E1AE7" w:rsidRPr="002E1AE7" w:rsidRDefault="00206542" w:rsidP="002E1AE7">
            <w:pPr>
              <w:ind w:left="0"/>
            </w:pPr>
            <w:r>
              <w:t>p value</w:t>
            </w:r>
            <w:r w:rsidR="002E1AE7" w:rsidRPr="002E1AE7">
              <w:t xml:space="preserve"> versus plac</w:t>
            </w:r>
            <w:r w:rsidR="00604B45">
              <w:t>ebo</w:t>
            </w:r>
          </w:p>
        </w:tc>
        <w:tc>
          <w:tcPr>
            <w:tcW w:w="1418" w:type="dxa"/>
          </w:tcPr>
          <w:p w14:paraId="658FE10A"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2.4</w:t>
            </w:r>
          </w:p>
          <w:p w14:paraId="5BB916B2"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-0.8</w:t>
            </w:r>
          </w:p>
        </w:tc>
        <w:tc>
          <w:tcPr>
            <w:tcW w:w="1393" w:type="dxa"/>
          </w:tcPr>
          <w:p w14:paraId="66A8913D"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2.6</w:t>
            </w:r>
          </w:p>
          <w:p w14:paraId="6BD8C48C"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-0.5</w:t>
            </w:r>
          </w:p>
          <w:p w14:paraId="75F92492"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0.09</w:t>
            </w:r>
          </w:p>
        </w:tc>
        <w:tc>
          <w:tcPr>
            <w:tcW w:w="1540" w:type="dxa"/>
          </w:tcPr>
          <w:p w14:paraId="71FCDCAA"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2.6</w:t>
            </w:r>
          </w:p>
          <w:p w14:paraId="0CAA47B1"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-0.8</w:t>
            </w:r>
          </w:p>
          <w:p w14:paraId="7B8D145C"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0.59</w:t>
            </w:r>
          </w:p>
        </w:tc>
        <w:tc>
          <w:tcPr>
            <w:tcW w:w="1541" w:type="dxa"/>
          </w:tcPr>
          <w:p w14:paraId="6E52FD10"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2.5</w:t>
            </w:r>
          </w:p>
          <w:p w14:paraId="00C34188"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-1.1</w:t>
            </w:r>
          </w:p>
          <w:p w14:paraId="5DB5B57A"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0.38</w:t>
            </w:r>
          </w:p>
        </w:tc>
        <w:tc>
          <w:tcPr>
            <w:tcW w:w="1541" w:type="dxa"/>
          </w:tcPr>
          <w:p w14:paraId="1EFFF692"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2.1</w:t>
            </w:r>
          </w:p>
          <w:p w14:paraId="5CA2F789"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-1.4</w:t>
            </w:r>
          </w:p>
          <w:p w14:paraId="72FF1AF5"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0.01</w:t>
            </w:r>
          </w:p>
        </w:tc>
      </w:tr>
      <w:tr w:rsidR="002E1AE7" w:rsidRPr="002E1AE7" w14:paraId="49B429CC" w14:textId="77777777" w:rsidTr="0080062E">
        <w:trPr>
          <w:cantSplit/>
        </w:trPr>
        <w:tc>
          <w:tcPr>
            <w:cnfStyle w:val="001000000000" w:firstRow="0" w:lastRow="0" w:firstColumn="1" w:lastColumn="0" w:oddVBand="0" w:evenVBand="0" w:oddHBand="0" w:evenHBand="0" w:firstRowFirstColumn="0" w:firstRowLastColumn="0" w:lastRowFirstColumn="0" w:lastRowLastColumn="0"/>
            <w:tcW w:w="1809" w:type="dxa"/>
          </w:tcPr>
          <w:p w14:paraId="629815C3" w14:textId="77777777" w:rsidR="0080062E" w:rsidRDefault="002E1AE7" w:rsidP="002E1AE7">
            <w:pPr>
              <w:ind w:left="0"/>
            </w:pPr>
            <w:r w:rsidRPr="002E1AE7">
              <w:t>Responders 28 day %</w:t>
            </w:r>
          </w:p>
          <w:p w14:paraId="7F87C62F" w14:textId="77777777" w:rsidR="002E1AE7" w:rsidRPr="002E1AE7" w:rsidRDefault="000A2CDC" w:rsidP="002E1AE7">
            <w:pPr>
              <w:ind w:left="0"/>
            </w:pPr>
            <w:r>
              <w:t xml:space="preserve">p </w:t>
            </w:r>
            <w:r w:rsidR="002E1AE7" w:rsidRPr="002E1AE7">
              <w:t>val</w:t>
            </w:r>
            <w:r w:rsidR="00604B45">
              <w:t>ue</w:t>
            </w:r>
            <w:r w:rsidR="002E1AE7" w:rsidRPr="002E1AE7">
              <w:t xml:space="preserve"> versus plac</w:t>
            </w:r>
            <w:r w:rsidR="00604B45">
              <w:t>ebo</w:t>
            </w:r>
          </w:p>
        </w:tc>
        <w:tc>
          <w:tcPr>
            <w:tcW w:w="1418" w:type="dxa"/>
          </w:tcPr>
          <w:p w14:paraId="16CAEBF1"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50%</w:t>
            </w:r>
          </w:p>
        </w:tc>
        <w:tc>
          <w:tcPr>
            <w:tcW w:w="1393" w:type="dxa"/>
          </w:tcPr>
          <w:p w14:paraId="01CA4190"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39%</w:t>
            </w:r>
          </w:p>
          <w:p w14:paraId="4741EFF4"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0.15</w:t>
            </w:r>
          </w:p>
        </w:tc>
        <w:tc>
          <w:tcPr>
            <w:tcW w:w="1540" w:type="dxa"/>
          </w:tcPr>
          <w:p w14:paraId="479F37CA"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41%</w:t>
            </w:r>
          </w:p>
          <w:p w14:paraId="422C0A30"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0.22</w:t>
            </w:r>
          </w:p>
        </w:tc>
        <w:tc>
          <w:tcPr>
            <w:tcW w:w="1541" w:type="dxa"/>
          </w:tcPr>
          <w:p w14:paraId="2E8FAA0E"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48%</w:t>
            </w:r>
          </w:p>
          <w:p w14:paraId="587BB406"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0.74</w:t>
            </w:r>
          </w:p>
        </w:tc>
        <w:tc>
          <w:tcPr>
            <w:tcW w:w="1541" w:type="dxa"/>
          </w:tcPr>
          <w:p w14:paraId="1CB63B53"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65%</w:t>
            </w:r>
          </w:p>
          <w:p w14:paraId="160E9D45" w14:textId="77777777" w:rsidR="002E1AE7" w:rsidRPr="002E1AE7" w:rsidRDefault="002E1AE7" w:rsidP="002E1AE7">
            <w:pPr>
              <w:ind w:left="0"/>
              <w:cnfStyle w:val="000000000000" w:firstRow="0" w:lastRow="0" w:firstColumn="0" w:lastColumn="0" w:oddVBand="0" w:evenVBand="0" w:oddHBand="0" w:evenHBand="0" w:firstRowFirstColumn="0" w:firstRowLastColumn="0" w:lastRowFirstColumn="0" w:lastRowLastColumn="0"/>
            </w:pPr>
            <w:r w:rsidRPr="002E1AE7">
              <w:t>0.05</w:t>
            </w:r>
          </w:p>
        </w:tc>
      </w:tr>
    </w:tbl>
    <w:p w14:paraId="620B5D89" w14:textId="6FE93D9F" w:rsidR="0089022B" w:rsidRDefault="002E1AE7" w:rsidP="00530CF5">
      <w:r w:rsidRPr="002E1AE7">
        <w:t>The results from the secondary endpoints were generally in line with those of the co-primary endpoints. The concerns of the FDA about the validity of N-</w:t>
      </w:r>
      <w:proofErr w:type="spellStart"/>
      <w:r w:rsidRPr="002E1AE7">
        <w:t>QoL</w:t>
      </w:r>
      <w:proofErr w:type="spellEnd"/>
      <w:r w:rsidRPr="002E1AE7">
        <w:t xml:space="preserve"> have been noted by the TGA.</w:t>
      </w:r>
    </w:p>
    <w:p w14:paraId="69104189" w14:textId="77777777" w:rsidR="002E1AE7" w:rsidRPr="00604B45" w:rsidRDefault="00604B45" w:rsidP="0089022B">
      <w:pPr>
        <w:pStyle w:val="Heading4"/>
      </w:pPr>
      <w:r>
        <w:t>Study CS31 longer term efficacy</w:t>
      </w:r>
    </w:p>
    <w:p w14:paraId="2FAF0CC5" w14:textId="77777777" w:rsidR="0089022B" w:rsidRPr="00604B45" w:rsidRDefault="0089022B" w:rsidP="00A22970">
      <w:pPr>
        <w:pStyle w:val="Heading5"/>
        <w:numPr>
          <w:ilvl w:val="3"/>
          <w:numId w:val="5"/>
        </w:numPr>
        <w:ind w:left="1304" w:hanging="1077"/>
      </w:pPr>
      <w:r w:rsidRPr="00604B45">
        <w:t>Study design</w:t>
      </w:r>
    </w:p>
    <w:p w14:paraId="6989BFE6" w14:textId="77777777" w:rsidR="00D578E9" w:rsidRDefault="002E1AE7" w:rsidP="00530CF5">
      <w:r w:rsidRPr="002E1AE7">
        <w:t>Duration of main</w:t>
      </w:r>
      <w:r w:rsidR="00604B45">
        <w:t xml:space="preserve"> phase: first subject enrolled </w:t>
      </w:r>
      <w:r w:rsidRPr="002E1AE7">
        <w:t>3 December 2007 and at the time of writing the report (published May 2009), the study was still ongoing.</w:t>
      </w:r>
      <w:r w:rsidR="00D578E9">
        <w:t xml:space="preserve"> </w:t>
      </w:r>
      <w:r w:rsidRPr="002E1AE7">
        <w:t>Data through to 31 December 2008 included in the report</w:t>
      </w:r>
      <w:r w:rsidR="00D578E9">
        <w:t>.</w:t>
      </w:r>
    </w:p>
    <w:p w14:paraId="6493CEB1" w14:textId="77777777" w:rsidR="002E1AE7" w:rsidRPr="002E1AE7" w:rsidRDefault="002E1AE7" w:rsidP="00530CF5">
      <w:r w:rsidRPr="002E1AE7">
        <w:t>Participants: 70 sites (US and Canada) of the 78 site</w:t>
      </w:r>
      <w:r w:rsidR="00604B45">
        <w:t>s</w:t>
      </w:r>
      <w:r w:rsidRPr="002E1AE7">
        <w:t xml:space="preserve"> that participated in CS29</w:t>
      </w:r>
      <w:r w:rsidR="00604B45">
        <w:t>.</w:t>
      </w:r>
    </w:p>
    <w:p w14:paraId="156D4AF9" w14:textId="77777777" w:rsidR="002E1AE7" w:rsidRPr="002E1AE7" w:rsidRDefault="002E1AE7" w:rsidP="00530CF5">
      <w:r w:rsidRPr="002E1AE7">
        <w:t xml:space="preserve">Study Design: This trial was multicentre, </w:t>
      </w:r>
      <w:r w:rsidR="00EA2517">
        <w:t>open label</w:t>
      </w:r>
      <w:r w:rsidRPr="002E1AE7">
        <w:t xml:space="preserve"> extension study.</w:t>
      </w:r>
      <w:r w:rsidR="00D578E9">
        <w:t xml:space="preserve"> </w:t>
      </w:r>
      <w:r w:rsidRPr="002E1AE7">
        <w:t>Planned follow up time:</w:t>
      </w:r>
      <w:r w:rsidR="00D578E9">
        <w:t xml:space="preserve"> </w:t>
      </w:r>
      <w:r w:rsidR="00604B45">
        <w:t>2 </w:t>
      </w:r>
      <w:r w:rsidRPr="002E1AE7">
        <w:t>years and 2.5 months of treatment in total.</w:t>
      </w:r>
    </w:p>
    <w:p w14:paraId="1CE1F0CD" w14:textId="77777777" w:rsidR="002E1AE7" w:rsidRPr="002E1AE7" w:rsidRDefault="00D92CA8" w:rsidP="00D92CA8">
      <w:pPr>
        <w:pStyle w:val="Heading5"/>
      </w:pPr>
      <w:r>
        <w:t>Inclusion and exclusion criteria</w:t>
      </w:r>
    </w:p>
    <w:p w14:paraId="22DFA0BF" w14:textId="77777777" w:rsidR="00D92CA8" w:rsidRPr="00D92CA8" w:rsidRDefault="00D92CA8" w:rsidP="00D92CA8">
      <w:pPr>
        <w:pStyle w:val="Heading6"/>
      </w:pPr>
      <w:r>
        <w:t>Inclusion</w:t>
      </w:r>
    </w:p>
    <w:p w14:paraId="782682AB" w14:textId="77777777" w:rsidR="00D92CA8" w:rsidRPr="00D92CA8" w:rsidRDefault="00604B45" w:rsidP="00D92CA8">
      <w:r>
        <w:t>Open to patients enrolled in Study CS</w:t>
      </w:r>
      <w:r w:rsidR="00D92CA8" w:rsidRPr="00D92CA8">
        <w:t>29 and had completed at least visit 3E (</w:t>
      </w:r>
      <w:r w:rsidR="00EA2517">
        <w:t>Day</w:t>
      </w:r>
      <w:r w:rsidR="00D92CA8" w:rsidRPr="00D92CA8">
        <w:t xml:space="preserve"> 15 +/- 3 days)</w:t>
      </w:r>
      <w:r w:rsidR="00D92CA8">
        <w:t xml:space="preserve"> </w:t>
      </w:r>
      <w:r>
        <w:t>in P</w:t>
      </w:r>
      <w:r w:rsidR="00D92CA8" w:rsidRPr="00D92CA8">
        <w:t>art II of that study</w:t>
      </w:r>
    </w:p>
    <w:p w14:paraId="786FDEAB" w14:textId="77777777" w:rsidR="00D92CA8" w:rsidRPr="00D92CA8" w:rsidRDefault="00D92CA8" w:rsidP="00D92CA8">
      <w:pPr>
        <w:pStyle w:val="Heading6"/>
      </w:pPr>
      <w:r>
        <w:t>Exclusion</w:t>
      </w:r>
    </w:p>
    <w:p w14:paraId="76BE2C65" w14:textId="77777777" w:rsidR="002E1AE7" w:rsidRPr="00D92CA8" w:rsidRDefault="00D92CA8" w:rsidP="00D92CA8">
      <w:r w:rsidRPr="00D92CA8">
        <w:t xml:space="preserve">Using loop diuretics (furosemide, </w:t>
      </w:r>
      <w:proofErr w:type="spellStart"/>
      <w:r w:rsidRPr="00D92CA8">
        <w:t>torsemide</w:t>
      </w:r>
      <w:proofErr w:type="spellEnd"/>
      <w:r w:rsidRPr="00D92CA8">
        <w:t>, ethacrynic acid)</w:t>
      </w:r>
    </w:p>
    <w:p w14:paraId="78BA1CA5" w14:textId="77777777" w:rsidR="00D92CA8" w:rsidRPr="00D92CA8" w:rsidRDefault="00D92CA8" w:rsidP="00D92CA8">
      <w:pPr>
        <w:pStyle w:val="Heading5"/>
        <w:rPr>
          <w:rFonts w:eastAsia="TimesNewRoman"/>
        </w:rPr>
      </w:pPr>
      <w:r w:rsidRPr="00D92CA8">
        <w:t>Intervention</w:t>
      </w:r>
    </w:p>
    <w:p w14:paraId="16E9CCD2" w14:textId="77777777" w:rsidR="00D92CA8" w:rsidRPr="00D92CA8" w:rsidRDefault="00D92CA8" w:rsidP="00530CF5">
      <w:r w:rsidRPr="00D92CA8">
        <w:t>Desmopressin 10 µg</w:t>
      </w:r>
    </w:p>
    <w:p w14:paraId="226356E7" w14:textId="77777777" w:rsidR="00D92CA8" w:rsidRPr="00D92CA8" w:rsidRDefault="00206542" w:rsidP="00530CF5">
      <w:r>
        <w:t>Desmopressin 25 µg</w:t>
      </w:r>
    </w:p>
    <w:p w14:paraId="5809A1C0" w14:textId="77777777" w:rsidR="00D92CA8" w:rsidRPr="00D92CA8" w:rsidRDefault="00D92CA8" w:rsidP="00530CF5">
      <w:r w:rsidRPr="00D92CA8">
        <w:t>Desmopressin 50 µg</w:t>
      </w:r>
    </w:p>
    <w:p w14:paraId="048F27AF" w14:textId="77777777" w:rsidR="00D92CA8" w:rsidRPr="00D92CA8" w:rsidRDefault="00D92CA8" w:rsidP="00530CF5">
      <w:r w:rsidRPr="00D92CA8">
        <w:t>Desmopressin 100 µg</w:t>
      </w:r>
    </w:p>
    <w:p w14:paraId="02F20B64" w14:textId="77777777" w:rsidR="00D92CA8" w:rsidRPr="00D92CA8" w:rsidRDefault="00D92CA8" w:rsidP="00530CF5">
      <w:r w:rsidRPr="00D92CA8">
        <w:t>Patients continued</w:t>
      </w:r>
      <w:r w:rsidR="00604B45">
        <w:t xml:space="preserve"> with the dose received during Part II of S</w:t>
      </w:r>
      <w:r w:rsidRPr="00D92CA8">
        <w:t xml:space="preserve">tudy </w:t>
      </w:r>
      <w:r w:rsidR="00604B45">
        <w:t>CS</w:t>
      </w:r>
      <w:r w:rsidRPr="00D92CA8">
        <w:t>29.</w:t>
      </w:r>
      <w:r w:rsidR="00D578E9">
        <w:t xml:space="preserve"> </w:t>
      </w:r>
      <w:r w:rsidR="00604B45">
        <w:t>However, the results of Study CS</w:t>
      </w:r>
      <w:r w:rsidRPr="00D92CA8">
        <w:t>29 subsequently indicated that 10 µg was sub</w:t>
      </w:r>
      <w:r w:rsidR="00604B45">
        <w:t>-</w:t>
      </w:r>
      <w:r w:rsidRPr="00D92CA8">
        <w:t>therapeutic and therefore patients receiving that dose were randomly assigned at their next sc</w:t>
      </w:r>
      <w:r w:rsidR="00604B45">
        <w:t xml:space="preserve">heduled visit to a higher dose; </w:t>
      </w:r>
      <w:r w:rsidRPr="00D92CA8">
        <w:t xml:space="preserve">25 </w:t>
      </w:r>
      <w:r w:rsidR="00604B45">
        <w:t>µ</w:t>
      </w:r>
      <w:r w:rsidRPr="00D92CA8">
        <w:t xml:space="preserve">g, 50 </w:t>
      </w:r>
      <w:r w:rsidR="00604B45">
        <w:t>µ</w:t>
      </w:r>
      <w:r w:rsidR="00604B45" w:rsidRPr="00D92CA8">
        <w:t>g</w:t>
      </w:r>
      <w:r w:rsidRPr="00D92CA8">
        <w:t xml:space="preserve">, or 100 </w:t>
      </w:r>
      <w:r w:rsidR="00604B45">
        <w:t>µ</w:t>
      </w:r>
      <w:r w:rsidR="00604B45" w:rsidRPr="00D92CA8">
        <w:t>g</w:t>
      </w:r>
      <w:r w:rsidRPr="00D92CA8">
        <w:t>.</w:t>
      </w:r>
      <w:r w:rsidR="00604B45">
        <w:t xml:space="preserve"> </w:t>
      </w:r>
      <w:r w:rsidRPr="00D92CA8">
        <w:t>These subjects had their serum sodium re-evalu</w:t>
      </w:r>
      <w:r w:rsidR="00604B45">
        <w:t>ated five times over the next 4 </w:t>
      </w:r>
      <w:r w:rsidRPr="00D92CA8">
        <w:t>weeks.</w:t>
      </w:r>
    </w:p>
    <w:p w14:paraId="1AABB241" w14:textId="77777777" w:rsidR="00D92CA8" w:rsidRPr="00D92CA8" w:rsidRDefault="00D92CA8" w:rsidP="00D92CA8">
      <w:pPr>
        <w:pStyle w:val="Heading5"/>
        <w:rPr>
          <w:rFonts w:eastAsia="TimesNewRoman"/>
        </w:rPr>
      </w:pPr>
      <w:r w:rsidRPr="00D92CA8">
        <w:lastRenderedPageBreak/>
        <w:t>Endpoints</w:t>
      </w:r>
    </w:p>
    <w:p w14:paraId="47E22090" w14:textId="77777777" w:rsidR="00D92CA8" w:rsidRPr="00D92CA8" w:rsidRDefault="00D92CA8" w:rsidP="00D92CA8">
      <w:r w:rsidRPr="00D92CA8">
        <w:t xml:space="preserve">All efficacy endpoints were measured relative to the baseline values in </w:t>
      </w:r>
      <w:r w:rsidR="00604B45">
        <w:t xml:space="preserve">Study </w:t>
      </w:r>
      <w:r w:rsidRPr="00D92CA8">
        <w:t>CS29:</w:t>
      </w:r>
    </w:p>
    <w:p w14:paraId="49080097" w14:textId="77777777" w:rsidR="00D92CA8" w:rsidRPr="00530CF5" w:rsidRDefault="00D92CA8" w:rsidP="00530CF5">
      <w:pPr>
        <w:pStyle w:val="ListBullet"/>
      </w:pPr>
      <w:r w:rsidRPr="00530CF5">
        <w:t>Change in mean number of nocturnal voids</w:t>
      </w:r>
    </w:p>
    <w:p w14:paraId="530B773F" w14:textId="77777777" w:rsidR="00D92CA8" w:rsidRPr="00530CF5" w:rsidRDefault="00D92CA8" w:rsidP="00530CF5">
      <w:pPr>
        <w:pStyle w:val="ListBullet"/>
      </w:pPr>
      <w:r w:rsidRPr="00530CF5">
        <w:t xml:space="preserve">Proportion of subjects with </w:t>
      </w:r>
      <w:r w:rsidR="00604B45" w:rsidRPr="00530CF5">
        <w:t xml:space="preserve">&gt; </w:t>
      </w:r>
      <w:r w:rsidRPr="00530CF5">
        <w:t>33% reduction in the mean number of nocturnal voids</w:t>
      </w:r>
    </w:p>
    <w:p w14:paraId="79EA9648" w14:textId="77777777" w:rsidR="00D92CA8" w:rsidRPr="00530CF5" w:rsidRDefault="00D92CA8" w:rsidP="00530CF5">
      <w:pPr>
        <w:pStyle w:val="ListBullet"/>
      </w:pPr>
      <w:r w:rsidRPr="00530CF5">
        <w:t>Change in the duration of the initial period of undisturbed sleep and total sleep time</w:t>
      </w:r>
    </w:p>
    <w:p w14:paraId="379445A9" w14:textId="77777777" w:rsidR="00D92CA8" w:rsidRPr="00D92CA8" w:rsidRDefault="00D92CA8" w:rsidP="00530CF5">
      <w:pPr>
        <w:pStyle w:val="ListBullet"/>
      </w:pPr>
      <w:r w:rsidRPr="00530CF5">
        <w:t xml:space="preserve">Change in the </w:t>
      </w:r>
      <w:r w:rsidR="0080062E" w:rsidRPr="00530CF5">
        <w:t>quality of life</w:t>
      </w:r>
      <w:r w:rsidRPr="00530CF5">
        <w:t xml:space="preserve"> assessments: ICIQ-N (frequency and bother of day and night urination), </w:t>
      </w:r>
      <w:proofErr w:type="spellStart"/>
      <w:r w:rsidRPr="00530CF5">
        <w:t>NQoL</w:t>
      </w:r>
      <w:proofErr w:type="spellEnd"/>
      <w:r w:rsidRPr="00530CF5">
        <w:t xml:space="preserve"> (impact of </w:t>
      </w:r>
      <w:proofErr w:type="spellStart"/>
      <w:r w:rsidRPr="00530CF5">
        <w:t>nocturia</w:t>
      </w:r>
      <w:proofErr w:type="spellEnd"/>
      <w:r w:rsidRPr="00530CF5">
        <w:t xml:space="preserve"> on quality of life), PSQI (sleep quality and sleep disturbance), and SF</w:t>
      </w:r>
      <w:r w:rsidRPr="00D92CA8">
        <w:t xml:space="preserve">-12v2 (impact of </w:t>
      </w:r>
      <w:proofErr w:type="spellStart"/>
      <w:r w:rsidRPr="00D92CA8">
        <w:t>nocturia</w:t>
      </w:r>
      <w:proofErr w:type="spellEnd"/>
      <w:r w:rsidRPr="00D92CA8">
        <w:t xml:space="preserve"> and lack of sleep on quality of life)</w:t>
      </w:r>
      <w:r w:rsidR="00604B45">
        <w:t>.</w:t>
      </w:r>
    </w:p>
    <w:p w14:paraId="4E4147D3" w14:textId="77777777" w:rsidR="00D92CA8" w:rsidRPr="00D92CA8" w:rsidRDefault="00D92CA8" w:rsidP="00D92CA8">
      <w:pPr>
        <w:pStyle w:val="Heading5"/>
        <w:rPr>
          <w:rFonts w:eastAsia="TimesNewRoman"/>
        </w:rPr>
      </w:pPr>
      <w:r w:rsidRPr="00D92CA8">
        <w:t>Discontinuations (efficacy analysis dataset)</w:t>
      </w:r>
    </w:p>
    <w:p w14:paraId="396D44EA" w14:textId="77777777" w:rsidR="00D92CA8" w:rsidRDefault="00D92CA8" w:rsidP="00530CF5">
      <w:r w:rsidRPr="00D92CA8">
        <w:t>A large proportion of patients withdrew over the duration of the trial, and of these approximately half withdrew consent.</w:t>
      </w:r>
    </w:p>
    <w:p w14:paraId="2FF9A7FD" w14:textId="77777777" w:rsidR="00604B45" w:rsidRPr="00D92CA8" w:rsidRDefault="00604B45" w:rsidP="00604B45">
      <w:pPr>
        <w:pStyle w:val="Tabletitle"/>
      </w:pPr>
      <w:r>
        <w:t>Table 7: Study CS31 Patient participation</w:t>
      </w:r>
    </w:p>
    <w:tbl>
      <w:tblPr>
        <w:tblStyle w:val="TableTGAblue"/>
        <w:tblW w:w="0" w:type="auto"/>
        <w:tblLook w:val="04A0" w:firstRow="1" w:lastRow="0" w:firstColumn="1" w:lastColumn="0" w:noHBand="0" w:noVBand="1"/>
      </w:tblPr>
      <w:tblGrid>
        <w:gridCol w:w="1699"/>
        <w:gridCol w:w="1602"/>
        <w:gridCol w:w="1378"/>
        <w:gridCol w:w="1480"/>
        <w:gridCol w:w="1481"/>
        <w:gridCol w:w="1602"/>
      </w:tblGrid>
      <w:tr w:rsidR="00D92CA8" w:rsidRPr="00D92CA8" w14:paraId="32AE15B8" w14:textId="77777777" w:rsidTr="00D92C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tcPr>
          <w:p w14:paraId="17AE6CBB" w14:textId="77777777" w:rsidR="00D92CA8" w:rsidRPr="00D92CA8" w:rsidRDefault="00D92CA8" w:rsidP="00D92CA8">
            <w:pPr>
              <w:ind w:left="0" w:right="0"/>
              <w:rPr>
                <w:sz w:val="20"/>
                <w:szCs w:val="20"/>
              </w:rPr>
            </w:pPr>
          </w:p>
        </w:tc>
        <w:tc>
          <w:tcPr>
            <w:tcW w:w="1602" w:type="dxa"/>
          </w:tcPr>
          <w:p w14:paraId="198DF0EB" w14:textId="77777777" w:rsidR="00D92CA8" w:rsidRPr="00D92CA8" w:rsidRDefault="00D92CA8" w:rsidP="00D92CA8">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D92CA8">
              <w:rPr>
                <w:sz w:val="20"/>
                <w:szCs w:val="20"/>
              </w:rPr>
              <w:t xml:space="preserve">10 </w:t>
            </w:r>
            <w:r w:rsidR="00604B45">
              <w:t>µ</w:t>
            </w:r>
            <w:r w:rsidR="00604B45" w:rsidRPr="00D92CA8">
              <w:t>g</w:t>
            </w:r>
            <w:r w:rsidRPr="00D92CA8">
              <w:rPr>
                <w:sz w:val="20"/>
                <w:szCs w:val="20"/>
              </w:rPr>
              <w:t>*</w:t>
            </w:r>
          </w:p>
        </w:tc>
        <w:tc>
          <w:tcPr>
            <w:tcW w:w="1378" w:type="dxa"/>
          </w:tcPr>
          <w:p w14:paraId="75601693" w14:textId="77777777" w:rsidR="00D92CA8" w:rsidRPr="00D92CA8" w:rsidRDefault="00D92CA8" w:rsidP="00D92CA8">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D92CA8">
              <w:rPr>
                <w:sz w:val="20"/>
                <w:szCs w:val="20"/>
              </w:rPr>
              <w:t xml:space="preserve">25 </w:t>
            </w:r>
            <w:r w:rsidR="00604B45">
              <w:t>µ</w:t>
            </w:r>
            <w:r w:rsidR="00604B45" w:rsidRPr="00D92CA8">
              <w:t>g</w:t>
            </w:r>
          </w:p>
        </w:tc>
        <w:tc>
          <w:tcPr>
            <w:tcW w:w="1480" w:type="dxa"/>
          </w:tcPr>
          <w:p w14:paraId="024EEFE1" w14:textId="77777777" w:rsidR="00D92CA8" w:rsidRPr="00D92CA8" w:rsidRDefault="00D92CA8" w:rsidP="00D92CA8">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D92CA8">
              <w:rPr>
                <w:sz w:val="20"/>
                <w:szCs w:val="20"/>
              </w:rPr>
              <w:t xml:space="preserve">50 </w:t>
            </w:r>
            <w:r w:rsidR="00604B45">
              <w:t>µ</w:t>
            </w:r>
            <w:r w:rsidR="00604B45" w:rsidRPr="00D92CA8">
              <w:t>g</w:t>
            </w:r>
          </w:p>
        </w:tc>
        <w:tc>
          <w:tcPr>
            <w:tcW w:w="1481" w:type="dxa"/>
          </w:tcPr>
          <w:p w14:paraId="29554290" w14:textId="77777777" w:rsidR="00D92CA8" w:rsidRPr="00D92CA8" w:rsidRDefault="00D92CA8" w:rsidP="00D92CA8">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D92CA8">
              <w:rPr>
                <w:sz w:val="20"/>
                <w:szCs w:val="20"/>
              </w:rPr>
              <w:t xml:space="preserve">100 </w:t>
            </w:r>
            <w:r w:rsidR="00604B45">
              <w:t>µ</w:t>
            </w:r>
            <w:r w:rsidR="00604B45" w:rsidRPr="00D92CA8">
              <w:t>g</w:t>
            </w:r>
          </w:p>
        </w:tc>
        <w:tc>
          <w:tcPr>
            <w:tcW w:w="1602" w:type="dxa"/>
          </w:tcPr>
          <w:p w14:paraId="46E74E27" w14:textId="77777777" w:rsidR="00D92CA8" w:rsidRPr="00D92CA8" w:rsidRDefault="00D92CA8" w:rsidP="00D92CA8">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D92CA8">
              <w:rPr>
                <w:sz w:val="20"/>
                <w:szCs w:val="20"/>
              </w:rPr>
              <w:t>Total</w:t>
            </w:r>
          </w:p>
        </w:tc>
      </w:tr>
      <w:tr w:rsidR="00D92CA8" w:rsidRPr="00D92CA8" w14:paraId="35362071" w14:textId="77777777" w:rsidTr="00D92CA8">
        <w:tc>
          <w:tcPr>
            <w:cnfStyle w:val="001000000000" w:firstRow="0" w:lastRow="0" w:firstColumn="1" w:lastColumn="0" w:oddVBand="0" w:evenVBand="0" w:oddHBand="0" w:evenHBand="0" w:firstRowFirstColumn="0" w:firstRowLastColumn="0" w:lastRowFirstColumn="0" w:lastRowLastColumn="0"/>
            <w:tcW w:w="1699" w:type="dxa"/>
          </w:tcPr>
          <w:p w14:paraId="5B840EBB" w14:textId="77777777" w:rsidR="00D92CA8" w:rsidRPr="00D92CA8" w:rsidRDefault="00D92CA8" w:rsidP="00D92CA8">
            <w:pPr>
              <w:ind w:left="0" w:right="0"/>
              <w:rPr>
                <w:sz w:val="20"/>
                <w:szCs w:val="20"/>
              </w:rPr>
            </w:pPr>
            <w:r w:rsidRPr="00D92CA8">
              <w:rPr>
                <w:sz w:val="20"/>
                <w:szCs w:val="20"/>
              </w:rPr>
              <w:t>Intent to treat</w:t>
            </w:r>
          </w:p>
        </w:tc>
        <w:tc>
          <w:tcPr>
            <w:tcW w:w="1602" w:type="dxa"/>
          </w:tcPr>
          <w:p w14:paraId="7436026F"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155</w:t>
            </w:r>
          </w:p>
        </w:tc>
        <w:tc>
          <w:tcPr>
            <w:tcW w:w="1378" w:type="dxa"/>
          </w:tcPr>
          <w:p w14:paraId="570848BF"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152</w:t>
            </w:r>
          </w:p>
        </w:tc>
        <w:tc>
          <w:tcPr>
            <w:tcW w:w="1480" w:type="dxa"/>
          </w:tcPr>
          <w:p w14:paraId="73DB9AEE"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148</w:t>
            </w:r>
          </w:p>
        </w:tc>
        <w:tc>
          <w:tcPr>
            <w:tcW w:w="1481" w:type="dxa"/>
          </w:tcPr>
          <w:p w14:paraId="4AD38A9B"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146</w:t>
            </w:r>
          </w:p>
        </w:tc>
        <w:tc>
          <w:tcPr>
            <w:tcW w:w="1602" w:type="dxa"/>
          </w:tcPr>
          <w:p w14:paraId="307936C0"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601</w:t>
            </w:r>
          </w:p>
        </w:tc>
      </w:tr>
      <w:tr w:rsidR="00D92CA8" w:rsidRPr="00D92CA8" w14:paraId="636520A6" w14:textId="77777777" w:rsidTr="00D92CA8">
        <w:tc>
          <w:tcPr>
            <w:cnfStyle w:val="001000000000" w:firstRow="0" w:lastRow="0" w:firstColumn="1" w:lastColumn="0" w:oddVBand="0" w:evenVBand="0" w:oddHBand="0" w:evenHBand="0" w:firstRowFirstColumn="0" w:firstRowLastColumn="0" w:lastRowFirstColumn="0" w:lastRowLastColumn="0"/>
            <w:tcW w:w="1699" w:type="dxa"/>
          </w:tcPr>
          <w:p w14:paraId="78876DD5" w14:textId="77777777" w:rsidR="00D92CA8" w:rsidRPr="00D92CA8" w:rsidRDefault="00D92CA8" w:rsidP="00D92CA8">
            <w:pPr>
              <w:ind w:left="0" w:right="0"/>
              <w:rPr>
                <w:sz w:val="20"/>
                <w:szCs w:val="20"/>
              </w:rPr>
            </w:pPr>
            <w:r w:rsidRPr="00D92CA8">
              <w:rPr>
                <w:sz w:val="20"/>
                <w:szCs w:val="20"/>
              </w:rPr>
              <w:t>Re-randomised</w:t>
            </w:r>
          </w:p>
        </w:tc>
        <w:tc>
          <w:tcPr>
            <w:tcW w:w="1602" w:type="dxa"/>
          </w:tcPr>
          <w:p w14:paraId="7E8D7BF6"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65 (44.9%)</w:t>
            </w:r>
          </w:p>
        </w:tc>
        <w:tc>
          <w:tcPr>
            <w:tcW w:w="1378" w:type="dxa"/>
          </w:tcPr>
          <w:p w14:paraId="14D988AD"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480" w:type="dxa"/>
          </w:tcPr>
          <w:p w14:paraId="785D1582"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481" w:type="dxa"/>
          </w:tcPr>
          <w:p w14:paraId="260F1311"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602" w:type="dxa"/>
          </w:tcPr>
          <w:p w14:paraId="2B5B29F3"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65 (10.8%)</w:t>
            </w:r>
          </w:p>
        </w:tc>
      </w:tr>
      <w:tr w:rsidR="00D92CA8" w:rsidRPr="00D92CA8" w14:paraId="74017A8E" w14:textId="77777777" w:rsidTr="00D92CA8">
        <w:tc>
          <w:tcPr>
            <w:cnfStyle w:val="001000000000" w:firstRow="0" w:lastRow="0" w:firstColumn="1" w:lastColumn="0" w:oddVBand="0" w:evenVBand="0" w:oddHBand="0" w:evenHBand="0" w:firstRowFirstColumn="0" w:firstRowLastColumn="0" w:lastRowFirstColumn="0" w:lastRowLastColumn="0"/>
            <w:tcW w:w="1699" w:type="dxa"/>
          </w:tcPr>
          <w:p w14:paraId="39A2642F" w14:textId="77777777" w:rsidR="00D92CA8" w:rsidRPr="00D92CA8" w:rsidRDefault="0042290A" w:rsidP="00D92CA8">
            <w:pPr>
              <w:ind w:left="0" w:right="0"/>
              <w:rPr>
                <w:sz w:val="20"/>
                <w:szCs w:val="20"/>
              </w:rPr>
            </w:pPr>
            <w:r>
              <w:rPr>
                <w:sz w:val="20"/>
                <w:szCs w:val="20"/>
              </w:rPr>
              <w:t>Completed</w:t>
            </w:r>
          </w:p>
        </w:tc>
        <w:tc>
          <w:tcPr>
            <w:tcW w:w="1602" w:type="dxa"/>
          </w:tcPr>
          <w:p w14:paraId="25EA3DC9"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378" w:type="dxa"/>
          </w:tcPr>
          <w:p w14:paraId="26511246"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58 (38.2%)</w:t>
            </w:r>
          </w:p>
        </w:tc>
        <w:tc>
          <w:tcPr>
            <w:tcW w:w="1480" w:type="dxa"/>
          </w:tcPr>
          <w:p w14:paraId="0F36E17F"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59 (39.9%)</w:t>
            </w:r>
          </w:p>
        </w:tc>
        <w:tc>
          <w:tcPr>
            <w:tcW w:w="1481" w:type="dxa"/>
          </w:tcPr>
          <w:p w14:paraId="4775855A"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53 (36.3%)</w:t>
            </w:r>
          </w:p>
        </w:tc>
        <w:tc>
          <w:tcPr>
            <w:tcW w:w="1602" w:type="dxa"/>
          </w:tcPr>
          <w:p w14:paraId="02899ABA"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170 (28.3%)</w:t>
            </w:r>
          </w:p>
        </w:tc>
      </w:tr>
      <w:tr w:rsidR="00D92CA8" w:rsidRPr="00D92CA8" w14:paraId="5D3590B5" w14:textId="77777777" w:rsidTr="00D92CA8">
        <w:tc>
          <w:tcPr>
            <w:cnfStyle w:val="001000000000" w:firstRow="0" w:lastRow="0" w:firstColumn="1" w:lastColumn="0" w:oddVBand="0" w:evenVBand="0" w:oddHBand="0" w:evenHBand="0" w:firstRowFirstColumn="0" w:firstRowLastColumn="0" w:lastRowFirstColumn="0" w:lastRowLastColumn="0"/>
            <w:tcW w:w="1699" w:type="dxa"/>
          </w:tcPr>
          <w:p w14:paraId="77C78123" w14:textId="77777777" w:rsidR="00D92CA8" w:rsidRPr="00D92CA8" w:rsidRDefault="00D92CA8" w:rsidP="00D92CA8">
            <w:pPr>
              <w:ind w:left="0" w:right="0"/>
              <w:rPr>
                <w:sz w:val="20"/>
                <w:szCs w:val="20"/>
              </w:rPr>
            </w:pPr>
            <w:r w:rsidRPr="00D92CA8">
              <w:rPr>
                <w:sz w:val="20"/>
                <w:szCs w:val="20"/>
              </w:rPr>
              <w:t>Withdrawn</w:t>
            </w:r>
          </w:p>
        </w:tc>
        <w:tc>
          <w:tcPr>
            <w:tcW w:w="1602" w:type="dxa"/>
          </w:tcPr>
          <w:p w14:paraId="3BB20DAE"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76 (49.0%)</w:t>
            </w:r>
          </w:p>
        </w:tc>
        <w:tc>
          <w:tcPr>
            <w:tcW w:w="1378" w:type="dxa"/>
          </w:tcPr>
          <w:p w14:paraId="38C3B0B1"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86 (56.6%)</w:t>
            </w:r>
          </w:p>
        </w:tc>
        <w:tc>
          <w:tcPr>
            <w:tcW w:w="1480" w:type="dxa"/>
          </w:tcPr>
          <w:p w14:paraId="465E4008"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73 (49.3%)</w:t>
            </w:r>
          </w:p>
        </w:tc>
        <w:tc>
          <w:tcPr>
            <w:tcW w:w="1481" w:type="dxa"/>
          </w:tcPr>
          <w:p w14:paraId="28CB428F"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84 (57.5%)</w:t>
            </w:r>
          </w:p>
        </w:tc>
        <w:tc>
          <w:tcPr>
            <w:tcW w:w="1602" w:type="dxa"/>
          </w:tcPr>
          <w:p w14:paraId="18C51EA6"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319 (53.1%)</w:t>
            </w:r>
          </w:p>
        </w:tc>
      </w:tr>
      <w:tr w:rsidR="00D92CA8" w:rsidRPr="00D92CA8" w14:paraId="2B456CA7" w14:textId="77777777" w:rsidTr="00D92CA8">
        <w:tc>
          <w:tcPr>
            <w:cnfStyle w:val="001000000000" w:firstRow="0" w:lastRow="0" w:firstColumn="1" w:lastColumn="0" w:oddVBand="0" w:evenVBand="0" w:oddHBand="0" w:evenHBand="0" w:firstRowFirstColumn="0" w:firstRowLastColumn="0" w:lastRowFirstColumn="0" w:lastRowLastColumn="0"/>
            <w:tcW w:w="1699" w:type="dxa"/>
          </w:tcPr>
          <w:p w14:paraId="6AFD57C1" w14:textId="77777777" w:rsidR="00D92CA8" w:rsidRPr="00D92CA8" w:rsidRDefault="00D92CA8" w:rsidP="00D92CA8">
            <w:pPr>
              <w:ind w:left="0" w:right="0"/>
              <w:rPr>
                <w:sz w:val="20"/>
                <w:szCs w:val="20"/>
              </w:rPr>
            </w:pPr>
            <w:r w:rsidRPr="00D92CA8">
              <w:rPr>
                <w:sz w:val="20"/>
                <w:szCs w:val="20"/>
              </w:rPr>
              <w:t>Adverse event</w:t>
            </w:r>
          </w:p>
        </w:tc>
        <w:tc>
          <w:tcPr>
            <w:tcW w:w="1602" w:type="dxa"/>
          </w:tcPr>
          <w:p w14:paraId="141C6573"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7 (4.5%)</w:t>
            </w:r>
          </w:p>
        </w:tc>
        <w:tc>
          <w:tcPr>
            <w:tcW w:w="1378" w:type="dxa"/>
          </w:tcPr>
          <w:p w14:paraId="206CBAA1"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12 (7.9%)</w:t>
            </w:r>
          </w:p>
        </w:tc>
        <w:tc>
          <w:tcPr>
            <w:tcW w:w="1480" w:type="dxa"/>
          </w:tcPr>
          <w:p w14:paraId="064081C4"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15 (10.1%)</w:t>
            </w:r>
          </w:p>
        </w:tc>
        <w:tc>
          <w:tcPr>
            <w:tcW w:w="1481" w:type="dxa"/>
          </w:tcPr>
          <w:p w14:paraId="73BEF66B"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13 (8.9%)</w:t>
            </w:r>
          </w:p>
        </w:tc>
        <w:tc>
          <w:tcPr>
            <w:tcW w:w="1602" w:type="dxa"/>
          </w:tcPr>
          <w:p w14:paraId="00006C3F"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47 (7.8%)</w:t>
            </w:r>
          </w:p>
        </w:tc>
      </w:tr>
      <w:tr w:rsidR="00D92CA8" w:rsidRPr="00D92CA8" w14:paraId="0268A636" w14:textId="77777777" w:rsidTr="00D92CA8">
        <w:tc>
          <w:tcPr>
            <w:cnfStyle w:val="001000000000" w:firstRow="0" w:lastRow="0" w:firstColumn="1" w:lastColumn="0" w:oddVBand="0" w:evenVBand="0" w:oddHBand="0" w:evenHBand="0" w:firstRowFirstColumn="0" w:firstRowLastColumn="0" w:lastRowFirstColumn="0" w:lastRowLastColumn="0"/>
            <w:tcW w:w="1699" w:type="dxa"/>
          </w:tcPr>
          <w:p w14:paraId="21660C40" w14:textId="77777777" w:rsidR="00D92CA8" w:rsidRPr="00D92CA8" w:rsidRDefault="00D92CA8" w:rsidP="00D92CA8">
            <w:pPr>
              <w:ind w:left="0" w:right="0"/>
              <w:rPr>
                <w:sz w:val="20"/>
                <w:szCs w:val="20"/>
              </w:rPr>
            </w:pPr>
            <w:r w:rsidRPr="00D92CA8">
              <w:rPr>
                <w:sz w:val="20"/>
                <w:szCs w:val="20"/>
              </w:rPr>
              <w:t xml:space="preserve">Serum sodium </w:t>
            </w:r>
            <w:r w:rsidR="0042290A">
              <w:rPr>
                <w:sz w:val="20"/>
                <w:szCs w:val="20"/>
              </w:rPr>
              <w:t>≤ </w:t>
            </w:r>
            <w:r w:rsidRPr="00D92CA8">
              <w:rPr>
                <w:sz w:val="20"/>
                <w:szCs w:val="20"/>
              </w:rPr>
              <w:t xml:space="preserve">125 </w:t>
            </w:r>
            <w:proofErr w:type="spellStart"/>
            <w:r w:rsidRPr="00D92CA8">
              <w:rPr>
                <w:sz w:val="20"/>
                <w:szCs w:val="20"/>
              </w:rPr>
              <w:t>mmol</w:t>
            </w:r>
            <w:proofErr w:type="spellEnd"/>
            <w:r w:rsidRPr="00D92CA8">
              <w:rPr>
                <w:sz w:val="20"/>
                <w:szCs w:val="20"/>
              </w:rPr>
              <w:t>/L</w:t>
            </w:r>
          </w:p>
        </w:tc>
        <w:tc>
          <w:tcPr>
            <w:tcW w:w="1602" w:type="dxa"/>
          </w:tcPr>
          <w:p w14:paraId="62F0C2BF"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1 (0.6%)</w:t>
            </w:r>
          </w:p>
        </w:tc>
        <w:tc>
          <w:tcPr>
            <w:tcW w:w="1378" w:type="dxa"/>
          </w:tcPr>
          <w:p w14:paraId="496C0EE0"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0</w:t>
            </w:r>
          </w:p>
        </w:tc>
        <w:tc>
          <w:tcPr>
            <w:tcW w:w="1480" w:type="dxa"/>
          </w:tcPr>
          <w:p w14:paraId="51837A05"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3 (2.0%)</w:t>
            </w:r>
          </w:p>
        </w:tc>
        <w:tc>
          <w:tcPr>
            <w:tcW w:w="1481" w:type="dxa"/>
          </w:tcPr>
          <w:p w14:paraId="3BECF911"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3 (2.1%)</w:t>
            </w:r>
          </w:p>
        </w:tc>
        <w:tc>
          <w:tcPr>
            <w:tcW w:w="1602" w:type="dxa"/>
          </w:tcPr>
          <w:p w14:paraId="0D1BE68F"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7 (1.2%)</w:t>
            </w:r>
          </w:p>
        </w:tc>
      </w:tr>
      <w:tr w:rsidR="00D92CA8" w:rsidRPr="00D92CA8" w14:paraId="15781768" w14:textId="77777777" w:rsidTr="00D92CA8">
        <w:tc>
          <w:tcPr>
            <w:cnfStyle w:val="001000000000" w:firstRow="0" w:lastRow="0" w:firstColumn="1" w:lastColumn="0" w:oddVBand="0" w:evenVBand="0" w:oddHBand="0" w:evenHBand="0" w:firstRowFirstColumn="0" w:firstRowLastColumn="0" w:lastRowFirstColumn="0" w:lastRowLastColumn="0"/>
            <w:tcW w:w="1699" w:type="dxa"/>
          </w:tcPr>
          <w:p w14:paraId="03BD2A2E" w14:textId="77777777" w:rsidR="00D92CA8" w:rsidRPr="00D92CA8" w:rsidRDefault="00D92CA8" w:rsidP="00D92CA8">
            <w:pPr>
              <w:ind w:left="0" w:right="0"/>
              <w:rPr>
                <w:sz w:val="20"/>
                <w:szCs w:val="20"/>
              </w:rPr>
            </w:pPr>
            <w:r w:rsidRPr="00D92CA8">
              <w:rPr>
                <w:sz w:val="20"/>
                <w:szCs w:val="20"/>
              </w:rPr>
              <w:t>Use of exclusionary medication</w:t>
            </w:r>
          </w:p>
        </w:tc>
        <w:tc>
          <w:tcPr>
            <w:tcW w:w="1602" w:type="dxa"/>
          </w:tcPr>
          <w:p w14:paraId="0B07E1E9"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1 (0.6%)</w:t>
            </w:r>
          </w:p>
        </w:tc>
        <w:tc>
          <w:tcPr>
            <w:tcW w:w="1378" w:type="dxa"/>
          </w:tcPr>
          <w:p w14:paraId="48725EC8"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2 (1.3%)</w:t>
            </w:r>
          </w:p>
        </w:tc>
        <w:tc>
          <w:tcPr>
            <w:tcW w:w="1480" w:type="dxa"/>
          </w:tcPr>
          <w:p w14:paraId="66AB039C"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1 (0.7%)</w:t>
            </w:r>
          </w:p>
        </w:tc>
        <w:tc>
          <w:tcPr>
            <w:tcW w:w="1481" w:type="dxa"/>
          </w:tcPr>
          <w:p w14:paraId="49B672A1"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0</w:t>
            </w:r>
          </w:p>
        </w:tc>
        <w:tc>
          <w:tcPr>
            <w:tcW w:w="1602" w:type="dxa"/>
          </w:tcPr>
          <w:p w14:paraId="77586719"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4 (0.7%)</w:t>
            </w:r>
          </w:p>
        </w:tc>
      </w:tr>
      <w:tr w:rsidR="00D92CA8" w:rsidRPr="00D92CA8" w14:paraId="1EFEB3EE" w14:textId="77777777" w:rsidTr="00D92CA8">
        <w:tc>
          <w:tcPr>
            <w:cnfStyle w:val="001000000000" w:firstRow="0" w:lastRow="0" w:firstColumn="1" w:lastColumn="0" w:oddVBand="0" w:evenVBand="0" w:oddHBand="0" w:evenHBand="0" w:firstRowFirstColumn="0" w:firstRowLastColumn="0" w:lastRowFirstColumn="0" w:lastRowLastColumn="0"/>
            <w:tcW w:w="1699" w:type="dxa"/>
          </w:tcPr>
          <w:p w14:paraId="3B26A4DB" w14:textId="77777777" w:rsidR="00D92CA8" w:rsidRPr="00D92CA8" w:rsidRDefault="00D92CA8" w:rsidP="00D92CA8">
            <w:pPr>
              <w:ind w:left="0" w:right="0"/>
              <w:rPr>
                <w:sz w:val="20"/>
                <w:szCs w:val="20"/>
              </w:rPr>
            </w:pPr>
            <w:r w:rsidRPr="00D92CA8">
              <w:rPr>
                <w:sz w:val="20"/>
                <w:szCs w:val="20"/>
              </w:rPr>
              <w:t>Protocol violation</w:t>
            </w:r>
          </w:p>
        </w:tc>
        <w:tc>
          <w:tcPr>
            <w:tcW w:w="1602" w:type="dxa"/>
          </w:tcPr>
          <w:p w14:paraId="548F489D"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4 (2.6%)</w:t>
            </w:r>
          </w:p>
        </w:tc>
        <w:tc>
          <w:tcPr>
            <w:tcW w:w="1378" w:type="dxa"/>
          </w:tcPr>
          <w:p w14:paraId="17E18DD2"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5 (3.3%)</w:t>
            </w:r>
          </w:p>
        </w:tc>
        <w:tc>
          <w:tcPr>
            <w:tcW w:w="1480" w:type="dxa"/>
          </w:tcPr>
          <w:p w14:paraId="430A8283"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2 (1.4%)</w:t>
            </w:r>
          </w:p>
        </w:tc>
        <w:tc>
          <w:tcPr>
            <w:tcW w:w="1481" w:type="dxa"/>
          </w:tcPr>
          <w:p w14:paraId="053DB189"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3 (2.1%)</w:t>
            </w:r>
          </w:p>
        </w:tc>
        <w:tc>
          <w:tcPr>
            <w:tcW w:w="1602" w:type="dxa"/>
          </w:tcPr>
          <w:p w14:paraId="2AD0955C"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14 (2.3%)</w:t>
            </w:r>
          </w:p>
        </w:tc>
      </w:tr>
      <w:tr w:rsidR="00D92CA8" w:rsidRPr="00D92CA8" w14:paraId="748DB2AA" w14:textId="77777777" w:rsidTr="00D92CA8">
        <w:tc>
          <w:tcPr>
            <w:cnfStyle w:val="001000000000" w:firstRow="0" w:lastRow="0" w:firstColumn="1" w:lastColumn="0" w:oddVBand="0" w:evenVBand="0" w:oddHBand="0" w:evenHBand="0" w:firstRowFirstColumn="0" w:firstRowLastColumn="0" w:lastRowFirstColumn="0" w:lastRowLastColumn="0"/>
            <w:tcW w:w="1699" w:type="dxa"/>
          </w:tcPr>
          <w:p w14:paraId="2C496C35" w14:textId="77777777" w:rsidR="00D92CA8" w:rsidRPr="00D92CA8" w:rsidRDefault="00D92CA8" w:rsidP="00D92CA8">
            <w:pPr>
              <w:ind w:left="0" w:right="0"/>
              <w:rPr>
                <w:sz w:val="20"/>
                <w:szCs w:val="20"/>
              </w:rPr>
            </w:pPr>
            <w:r w:rsidRPr="00D92CA8">
              <w:rPr>
                <w:sz w:val="20"/>
                <w:szCs w:val="20"/>
              </w:rPr>
              <w:t>Patient withdrew consent</w:t>
            </w:r>
          </w:p>
        </w:tc>
        <w:tc>
          <w:tcPr>
            <w:tcW w:w="1602" w:type="dxa"/>
          </w:tcPr>
          <w:p w14:paraId="17C8F051"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37 (23.9%)</w:t>
            </w:r>
          </w:p>
        </w:tc>
        <w:tc>
          <w:tcPr>
            <w:tcW w:w="1378" w:type="dxa"/>
          </w:tcPr>
          <w:p w14:paraId="12B81CB5"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42 (27.6%)</w:t>
            </w:r>
          </w:p>
        </w:tc>
        <w:tc>
          <w:tcPr>
            <w:tcW w:w="1480" w:type="dxa"/>
          </w:tcPr>
          <w:p w14:paraId="3C3217F5"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38 (25.7%)</w:t>
            </w:r>
          </w:p>
        </w:tc>
        <w:tc>
          <w:tcPr>
            <w:tcW w:w="1481" w:type="dxa"/>
          </w:tcPr>
          <w:p w14:paraId="68CDE16D"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43 (29.5%)</w:t>
            </w:r>
          </w:p>
        </w:tc>
        <w:tc>
          <w:tcPr>
            <w:tcW w:w="1602" w:type="dxa"/>
          </w:tcPr>
          <w:p w14:paraId="3D4E011E"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160 (26.6%)</w:t>
            </w:r>
          </w:p>
        </w:tc>
      </w:tr>
      <w:tr w:rsidR="00D92CA8" w:rsidRPr="00D92CA8" w14:paraId="11ACB136" w14:textId="77777777" w:rsidTr="00D92CA8">
        <w:tc>
          <w:tcPr>
            <w:cnfStyle w:val="001000000000" w:firstRow="0" w:lastRow="0" w:firstColumn="1" w:lastColumn="0" w:oddVBand="0" w:evenVBand="0" w:oddHBand="0" w:evenHBand="0" w:firstRowFirstColumn="0" w:firstRowLastColumn="0" w:lastRowFirstColumn="0" w:lastRowLastColumn="0"/>
            <w:tcW w:w="1699" w:type="dxa"/>
          </w:tcPr>
          <w:p w14:paraId="7B0C0AA2" w14:textId="77777777" w:rsidR="00D92CA8" w:rsidRPr="00D92CA8" w:rsidRDefault="00D92CA8" w:rsidP="00D92CA8">
            <w:pPr>
              <w:ind w:left="0" w:right="0"/>
              <w:rPr>
                <w:sz w:val="20"/>
                <w:szCs w:val="20"/>
              </w:rPr>
            </w:pPr>
            <w:r w:rsidRPr="00D92CA8">
              <w:rPr>
                <w:sz w:val="20"/>
                <w:szCs w:val="20"/>
              </w:rPr>
              <w:t>Lost to follow up</w:t>
            </w:r>
          </w:p>
        </w:tc>
        <w:tc>
          <w:tcPr>
            <w:tcW w:w="1602" w:type="dxa"/>
          </w:tcPr>
          <w:p w14:paraId="1800D1D4"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10 (6.5%)</w:t>
            </w:r>
          </w:p>
        </w:tc>
        <w:tc>
          <w:tcPr>
            <w:tcW w:w="1378" w:type="dxa"/>
          </w:tcPr>
          <w:p w14:paraId="727E77EC"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14 (9.2%)</w:t>
            </w:r>
          </w:p>
        </w:tc>
        <w:tc>
          <w:tcPr>
            <w:tcW w:w="1480" w:type="dxa"/>
          </w:tcPr>
          <w:p w14:paraId="78CB84A1"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5 (3.4%)</w:t>
            </w:r>
          </w:p>
        </w:tc>
        <w:tc>
          <w:tcPr>
            <w:tcW w:w="1481" w:type="dxa"/>
          </w:tcPr>
          <w:p w14:paraId="32AC03E8"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10 (6.8%)</w:t>
            </w:r>
          </w:p>
        </w:tc>
        <w:tc>
          <w:tcPr>
            <w:tcW w:w="1602" w:type="dxa"/>
          </w:tcPr>
          <w:p w14:paraId="0C1EB905"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39 (6.5%)</w:t>
            </w:r>
          </w:p>
        </w:tc>
      </w:tr>
      <w:tr w:rsidR="00D92CA8" w:rsidRPr="00D92CA8" w14:paraId="251ED29D" w14:textId="77777777" w:rsidTr="00D92CA8">
        <w:tc>
          <w:tcPr>
            <w:cnfStyle w:val="001000000000" w:firstRow="0" w:lastRow="0" w:firstColumn="1" w:lastColumn="0" w:oddVBand="0" w:evenVBand="0" w:oddHBand="0" w:evenHBand="0" w:firstRowFirstColumn="0" w:firstRowLastColumn="0" w:lastRowFirstColumn="0" w:lastRowLastColumn="0"/>
            <w:tcW w:w="1699" w:type="dxa"/>
          </w:tcPr>
          <w:p w14:paraId="29172788" w14:textId="77777777" w:rsidR="00D92CA8" w:rsidRPr="00D92CA8" w:rsidRDefault="00D92CA8" w:rsidP="00D92CA8">
            <w:pPr>
              <w:ind w:left="0" w:right="0"/>
              <w:rPr>
                <w:sz w:val="20"/>
                <w:szCs w:val="20"/>
              </w:rPr>
            </w:pPr>
            <w:r w:rsidRPr="00D92CA8">
              <w:rPr>
                <w:sz w:val="20"/>
                <w:szCs w:val="20"/>
              </w:rPr>
              <w:t>Other</w:t>
            </w:r>
          </w:p>
        </w:tc>
        <w:tc>
          <w:tcPr>
            <w:tcW w:w="1602" w:type="dxa"/>
          </w:tcPr>
          <w:p w14:paraId="785447BF"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10 (6.5%)</w:t>
            </w:r>
          </w:p>
        </w:tc>
        <w:tc>
          <w:tcPr>
            <w:tcW w:w="1378" w:type="dxa"/>
          </w:tcPr>
          <w:p w14:paraId="54516531"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7 (4.6%)</w:t>
            </w:r>
          </w:p>
        </w:tc>
        <w:tc>
          <w:tcPr>
            <w:tcW w:w="1480" w:type="dxa"/>
          </w:tcPr>
          <w:p w14:paraId="51A3FDEA"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8 (5.4%)</w:t>
            </w:r>
          </w:p>
        </w:tc>
        <w:tc>
          <w:tcPr>
            <w:tcW w:w="1481" w:type="dxa"/>
          </w:tcPr>
          <w:p w14:paraId="1B50D02E"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8 (5.5%)</w:t>
            </w:r>
          </w:p>
        </w:tc>
        <w:tc>
          <w:tcPr>
            <w:tcW w:w="1602" w:type="dxa"/>
          </w:tcPr>
          <w:p w14:paraId="064F23D8"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33 (5.5%)</w:t>
            </w:r>
          </w:p>
        </w:tc>
      </w:tr>
      <w:tr w:rsidR="00D92CA8" w:rsidRPr="00D92CA8" w14:paraId="76ABCA8A" w14:textId="77777777" w:rsidTr="00D92CA8">
        <w:tc>
          <w:tcPr>
            <w:cnfStyle w:val="001000000000" w:firstRow="0" w:lastRow="0" w:firstColumn="1" w:lastColumn="0" w:oddVBand="0" w:evenVBand="0" w:oddHBand="0" w:evenHBand="0" w:firstRowFirstColumn="0" w:firstRowLastColumn="0" w:lastRowFirstColumn="0" w:lastRowLastColumn="0"/>
            <w:tcW w:w="1699" w:type="dxa"/>
          </w:tcPr>
          <w:p w14:paraId="2A828CE8" w14:textId="77777777" w:rsidR="00D92CA8" w:rsidRPr="00D92CA8" w:rsidRDefault="00D92CA8" w:rsidP="00D92CA8">
            <w:pPr>
              <w:ind w:left="0" w:right="0"/>
              <w:rPr>
                <w:sz w:val="20"/>
                <w:szCs w:val="20"/>
              </w:rPr>
            </w:pPr>
            <w:r w:rsidRPr="00D92CA8">
              <w:rPr>
                <w:sz w:val="20"/>
                <w:szCs w:val="20"/>
              </w:rPr>
              <w:t>Not reported</w:t>
            </w:r>
          </w:p>
        </w:tc>
        <w:tc>
          <w:tcPr>
            <w:tcW w:w="1602" w:type="dxa"/>
          </w:tcPr>
          <w:p w14:paraId="6D6458C6"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6 (3.9%)</w:t>
            </w:r>
          </w:p>
        </w:tc>
        <w:tc>
          <w:tcPr>
            <w:tcW w:w="1378" w:type="dxa"/>
          </w:tcPr>
          <w:p w14:paraId="3DAEA27C"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4 (2.6%)</w:t>
            </w:r>
          </w:p>
        </w:tc>
        <w:tc>
          <w:tcPr>
            <w:tcW w:w="1480" w:type="dxa"/>
          </w:tcPr>
          <w:p w14:paraId="6F9C40F1"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1 (0.7%)</w:t>
            </w:r>
          </w:p>
        </w:tc>
        <w:tc>
          <w:tcPr>
            <w:tcW w:w="1481" w:type="dxa"/>
          </w:tcPr>
          <w:p w14:paraId="58744BD8"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4 (2.7%)</w:t>
            </w:r>
          </w:p>
        </w:tc>
        <w:tc>
          <w:tcPr>
            <w:tcW w:w="1602" w:type="dxa"/>
          </w:tcPr>
          <w:p w14:paraId="008E85B3"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15 (2.5%)</w:t>
            </w:r>
          </w:p>
        </w:tc>
      </w:tr>
      <w:tr w:rsidR="00D92CA8" w:rsidRPr="00D92CA8" w14:paraId="235C50CB" w14:textId="77777777" w:rsidTr="00D92CA8">
        <w:tc>
          <w:tcPr>
            <w:cnfStyle w:val="001000000000" w:firstRow="0" w:lastRow="0" w:firstColumn="1" w:lastColumn="0" w:oddVBand="0" w:evenVBand="0" w:oddHBand="0" w:evenHBand="0" w:firstRowFirstColumn="0" w:firstRowLastColumn="0" w:lastRowFirstColumn="0" w:lastRowLastColumn="0"/>
            <w:tcW w:w="1699" w:type="dxa"/>
          </w:tcPr>
          <w:p w14:paraId="3785F7E9" w14:textId="77777777" w:rsidR="00D92CA8" w:rsidRPr="00D92CA8" w:rsidRDefault="0042290A" w:rsidP="00D92CA8">
            <w:pPr>
              <w:ind w:left="0" w:right="0"/>
              <w:rPr>
                <w:sz w:val="20"/>
                <w:szCs w:val="20"/>
              </w:rPr>
            </w:pPr>
            <w:r>
              <w:rPr>
                <w:sz w:val="20"/>
                <w:szCs w:val="20"/>
              </w:rPr>
              <w:t>Did not consent to enter CS</w:t>
            </w:r>
            <w:r w:rsidR="00D92CA8" w:rsidRPr="00D92CA8">
              <w:rPr>
                <w:sz w:val="20"/>
                <w:szCs w:val="20"/>
              </w:rPr>
              <w:t>31</w:t>
            </w:r>
          </w:p>
        </w:tc>
        <w:tc>
          <w:tcPr>
            <w:tcW w:w="1602" w:type="dxa"/>
          </w:tcPr>
          <w:p w14:paraId="29847AB1"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14 (9.0%)</w:t>
            </w:r>
          </w:p>
        </w:tc>
        <w:tc>
          <w:tcPr>
            <w:tcW w:w="1378" w:type="dxa"/>
          </w:tcPr>
          <w:p w14:paraId="5A6391FF"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8 (5.3%)</w:t>
            </w:r>
          </w:p>
        </w:tc>
        <w:tc>
          <w:tcPr>
            <w:tcW w:w="1480" w:type="dxa"/>
          </w:tcPr>
          <w:p w14:paraId="38E4B83B"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16 (10.8%)</w:t>
            </w:r>
          </w:p>
        </w:tc>
        <w:tc>
          <w:tcPr>
            <w:tcW w:w="1481" w:type="dxa"/>
          </w:tcPr>
          <w:p w14:paraId="397C8C0C"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9 (6.2%)</w:t>
            </w:r>
          </w:p>
        </w:tc>
        <w:tc>
          <w:tcPr>
            <w:tcW w:w="1602" w:type="dxa"/>
          </w:tcPr>
          <w:p w14:paraId="7A156F50" w14:textId="77777777" w:rsidR="00D92CA8" w:rsidRPr="00D92CA8" w:rsidRDefault="00D92CA8" w:rsidP="00D92CA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92CA8">
              <w:rPr>
                <w:sz w:val="20"/>
                <w:szCs w:val="20"/>
              </w:rPr>
              <w:t>47 (7.8%)</w:t>
            </w:r>
          </w:p>
        </w:tc>
      </w:tr>
    </w:tbl>
    <w:p w14:paraId="2794319F" w14:textId="77777777" w:rsidR="00D92CA8" w:rsidRPr="00D92CA8" w:rsidRDefault="00D92CA8" w:rsidP="00D92CA8">
      <w:pPr>
        <w:pStyle w:val="TableDescription"/>
      </w:pPr>
      <w:r w:rsidRPr="00D92CA8">
        <w:t>*until re-randomised</w:t>
      </w:r>
    </w:p>
    <w:p w14:paraId="7B406B3D" w14:textId="77777777" w:rsidR="00D92CA8" w:rsidRDefault="00D92CA8" w:rsidP="00D92CA8">
      <w:pPr>
        <w:pStyle w:val="Heading5"/>
      </w:pPr>
      <w:r w:rsidRPr="00D92CA8">
        <w:lastRenderedPageBreak/>
        <w:t>Demographics</w:t>
      </w:r>
    </w:p>
    <w:p w14:paraId="715EF220" w14:textId="77777777" w:rsidR="005B5AFF" w:rsidRDefault="0042290A" w:rsidP="005B5AFF">
      <w:pPr>
        <w:pStyle w:val="Tabletitle"/>
      </w:pPr>
      <w:r>
        <w:t>Table 8: Study CS31 Patient demographics</w:t>
      </w:r>
    </w:p>
    <w:p w14:paraId="627BB646" w14:textId="77777777" w:rsidR="00D92CA8" w:rsidRPr="00384F3E" w:rsidRDefault="00384F3E" w:rsidP="00384F3E">
      <w:r>
        <w:rPr>
          <w:noProof/>
          <w:lang w:eastAsia="en-AU"/>
        </w:rPr>
        <w:drawing>
          <wp:inline distT="0" distB="0" distL="0" distR="0" wp14:anchorId="577988D0" wp14:editId="0866ACA1">
            <wp:extent cx="5731510" cy="2596937"/>
            <wp:effectExtent l="0" t="0" r="2540" b="0"/>
            <wp:docPr id="56" name="Picture 56" descr="Table 8: Study CS31 Patient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2596937"/>
                    </a:xfrm>
                    <a:prstGeom prst="rect">
                      <a:avLst/>
                    </a:prstGeom>
                  </pic:spPr>
                </pic:pic>
              </a:graphicData>
            </a:graphic>
          </wp:inline>
        </w:drawing>
      </w:r>
    </w:p>
    <w:p w14:paraId="3F0C96FD" w14:textId="77777777" w:rsidR="005B5AFF" w:rsidRPr="005B5AFF" w:rsidRDefault="005B5AFF" w:rsidP="005B5AFF">
      <w:pPr>
        <w:pStyle w:val="Heading5"/>
      </w:pPr>
      <w:r>
        <w:t>Results for primary endpoint</w:t>
      </w:r>
    </w:p>
    <w:p w14:paraId="61092F8A" w14:textId="77777777" w:rsidR="005B5AFF" w:rsidRPr="005B5AFF" w:rsidRDefault="0042290A" w:rsidP="005B5AFF">
      <w:pPr>
        <w:pStyle w:val="Heading6"/>
      </w:pPr>
      <w:r>
        <w:t>Nocturnal voids</w:t>
      </w:r>
    </w:p>
    <w:p w14:paraId="3871B3D9" w14:textId="61EDFDB6" w:rsidR="00D578E9" w:rsidRDefault="005B5AFF" w:rsidP="00730774">
      <w:r w:rsidRPr="005B5AFF">
        <w:t xml:space="preserve">The number of nocturnal voids decreased from both baseline and </w:t>
      </w:r>
      <w:r w:rsidR="00EA2517">
        <w:t>Day</w:t>
      </w:r>
      <w:r w:rsidR="0042290A">
        <w:t xml:space="preserve"> 28 (the end of Study CS29 Part 1) compared to W</w:t>
      </w:r>
      <w:r w:rsidRPr="005B5AFF">
        <w:t>eek 92</w:t>
      </w:r>
      <w:r w:rsidR="00D578E9">
        <w:t xml:space="preserve"> to </w:t>
      </w:r>
      <w:r w:rsidRPr="005B5AFF">
        <w:t>96, however as noted above there are a large number of discontinued subjects</w:t>
      </w:r>
      <w:r w:rsidR="00D578E9">
        <w:t>.</w:t>
      </w:r>
    </w:p>
    <w:p w14:paraId="7D0D6930" w14:textId="77777777" w:rsidR="00D92CA8" w:rsidRDefault="005B5AFF" w:rsidP="00730774">
      <w:r w:rsidRPr="005B5AFF">
        <w:t xml:space="preserve">The following </w:t>
      </w:r>
      <w:r w:rsidR="0042290A">
        <w:t xml:space="preserve">(Table 9) </w:t>
      </w:r>
      <w:r w:rsidRPr="005B5AFF">
        <w:t xml:space="preserve">is an abbreviated version of table 19, </w:t>
      </w:r>
      <w:r w:rsidR="0042290A">
        <w:t xml:space="preserve">in the CSR </w:t>
      </w:r>
      <w:r w:rsidRPr="005B5AFF">
        <w:t xml:space="preserve">study report. The weeks are measured from baseline in </w:t>
      </w:r>
      <w:r w:rsidR="0042290A">
        <w:t xml:space="preserve">Study </w:t>
      </w:r>
      <w:r w:rsidRPr="005B5AFF">
        <w:t>CS29.</w:t>
      </w:r>
    </w:p>
    <w:p w14:paraId="06896315" w14:textId="77777777" w:rsidR="0042290A" w:rsidRDefault="0042290A" w:rsidP="0042290A">
      <w:pPr>
        <w:pStyle w:val="Tabletitle"/>
      </w:pPr>
      <w:r>
        <w:t>Table 9: Study CS31 Nocturnal voids (from</w:t>
      </w:r>
      <w:r w:rsidRPr="005B5AFF">
        <w:t xml:space="preserve"> of table 19</w:t>
      </w:r>
      <w:r>
        <w:t xml:space="preserve"> in CSR)</w:t>
      </w:r>
    </w:p>
    <w:p w14:paraId="5FAACDDB" w14:textId="77777777" w:rsidR="0042290A" w:rsidRPr="005B5AFF" w:rsidRDefault="0042290A" w:rsidP="005B5AFF">
      <w:r>
        <w:rPr>
          <w:noProof/>
          <w:lang w:eastAsia="en-AU"/>
        </w:rPr>
        <w:drawing>
          <wp:inline distT="0" distB="0" distL="0" distR="0" wp14:anchorId="650D3EAC" wp14:editId="262D630C">
            <wp:extent cx="5731510" cy="2943522"/>
            <wp:effectExtent l="0" t="0" r="2540" b="9525"/>
            <wp:docPr id="55" name="Picture 55" descr="Table 9: Study CS31 Nocturnal voids (from of table 19 in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2943522"/>
                    </a:xfrm>
                    <a:prstGeom prst="rect">
                      <a:avLst/>
                    </a:prstGeom>
                  </pic:spPr>
                </pic:pic>
              </a:graphicData>
            </a:graphic>
          </wp:inline>
        </w:drawing>
      </w:r>
    </w:p>
    <w:p w14:paraId="36A8315C" w14:textId="77777777" w:rsidR="00D92CA8" w:rsidRDefault="00094728" w:rsidP="00730774">
      <w:r>
        <w:t>The following graph (ref F</w:t>
      </w:r>
      <w:r w:rsidR="006C2B44" w:rsidRPr="006C2B44">
        <w:t>igure 2, study report) indicates the change from baseline in mean number of nocturnal voids.</w:t>
      </w:r>
    </w:p>
    <w:p w14:paraId="6D7A785A" w14:textId="77777777" w:rsidR="00094728" w:rsidRPr="006C2B44" w:rsidRDefault="00094728" w:rsidP="00094728">
      <w:pPr>
        <w:pStyle w:val="FigureTitle"/>
      </w:pPr>
      <w:r>
        <w:lastRenderedPageBreak/>
        <w:t>Figure 1: Study CS31; change from baseline in mean number of nocturnal voids</w:t>
      </w:r>
    </w:p>
    <w:p w14:paraId="0E67FE0C" w14:textId="77777777" w:rsidR="00D92CA8" w:rsidRPr="006C2B44" w:rsidRDefault="006C2B44" w:rsidP="006C2B44">
      <w:r w:rsidRPr="006C2B44">
        <w:rPr>
          <w:noProof/>
          <w:lang w:eastAsia="en-AU"/>
        </w:rPr>
        <w:drawing>
          <wp:inline distT="0" distB="0" distL="0" distR="0" wp14:anchorId="154F0158" wp14:editId="4D9E8CDA">
            <wp:extent cx="5731510" cy="3077625"/>
            <wp:effectExtent l="0" t="0" r="2540" b="8890"/>
            <wp:docPr id="6" name="Picture 6" descr="Figure 1: Study CS31; change from baseline in mean number of nocturnal vo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3077625"/>
                    </a:xfrm>
                    <a:prstGeom prst="rect">
                      <a:avLst/>
                    </a:prstGeom>
                  </pic:spPr>
                </pic:pic>
              </a:graphicData>
            </a:graphic>
          </wp:inline>
        </w:drawing>
      </w:r>
    </w:p>
    <w:p w14:paraId="4689D4D2" w14:textId="77777777" w:rsidR="006C2B44" w:rsidRDefault="006C2B44" w:rsidP="00730774">
      <w:r w:rsidRPr="006C2B44">
        <w:t>The following graph (</w:t>
      </w:r>
      <w:r w:rsidR="00094728">
        <w:t>ref F</w:t>
      </w:r>
      <w:r w:rsidRPr="006C2B44">
        <w:t>igure 3, study report) shows the change in baseline in mean number of nocturnal voids for patients who remained on treatment for at least one year.</w:t>
      </w:r>
    </w:p>
    <w:p w14:paraId="30B65A8D" w14:textId="022B2030" w:rsidR="00094728" w:rsidRPr="006C2B44" w:rsidRDefault="00094728" w:rsidP="00730774">
      <w:pPr>
        <w:pStyle w:val="FigureTitle"/>
      </w:pPr>
      <w:r>
        <w:t xml:space="preserve">Figure 2: Study CS31; change from baseline in mean number of nocturnal voids for patients who remained on </w:t>
      </w:r>
      <w:r w:rsidRPr="00730774">
        <w:t>treatment</w:t>
      </w:r>
      <w:r>
        <w:t xml:space="preserve"> for at least one year</w:t>
      </w:r>
    </w:p>
    <w:p w14:paraId="5EBC9A07" w14:textId="77777777" w:rsidR="006C2B44" w:rsidRDefault="006C2B44" w:rsidP="006C2B44">
      <w:r>
        <w:rPr>
          <w:noProof/>
          <w:lang w:eastAsia="en-AU"/>
        </w:rPr>
        <w:drawing>
          <wp:inline distT="0" distB="0" distL="0" distR="0" wp14:anchorId="18BCE9EF" wp14:editId="0F99DC1E">
            <wp:extent cx="5731510" cy="3116202"/>
            <wp:effectExtent l="0" t="0" r="2540" b="8255"/>
            <wp:docPr id="7" name="Picture 7" descr="Figure 2: Study CS31; change from baseline in mean number of nocturnal voids for patients who remained on treatment for at least on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3116202"/>
                    </a:xfrm>
                    <a:prstGeom prst="rect">
                      <a:avLst/>
                    </a:prstGeom>
                  </pic:spPr>
                </pic:pic>
              </a:graphicData>
            </a:graphic>
          </wp:inline>
        </w:drawing>
      </w:r>
    </w:p>
    <w:p w14:paraId="046DF156" w14:textId="77777777" w:rsidR="00D578E9" w:rsidRDefault="006C2B44" w:rsidP="00730774">
      <w:r w:rsidRPr="006C2B44">
        <w:t xml:space="preserve">The </w:t>
      </w:r>
      <w:r w:rsidR="00094728">
        <w:t>CSR</w:t>
      </w:r>
      <w:r w:rsidRPr="006C2B44">
        <w:t xml:space="preserve"> stated that “Among subjects who remained on treatment for at least 1 year, the change from baseline in mean number of nocturnal voids tended to be slightly greater at most time points than for the overall study population. This observation suggests that durability of effect was not solely the result of non-responders dropping out from the study</w:t>
      </w:r>
      <w:r w:rsidR="00094728">
        <w:t>.” H</w:t>
      </w:r>
      <w:r w:rsidRPr="006C2B44">
        <w:t>owever it is noted that significant proportions of the original population had withdrawn from the study at 52</w:t>
      </w:r>
      <w:r w:rsidR="00D578E9">
        <w:t xml:space="preserve"> to </w:t>
      </w:r>
      <w:r w:rsidRPr="006C2B44">
        <w:t xml:space="preserve">56 week visit, thereby potentially influencing the results if non-responders dropped out of the study early. It is also noted that this was also the period in which the subjects from the </w:t>
      </w:r>
      <w:r w:rsidR="00094728">
        <w:lastRenderedPageBreak/>
        <w:t>10 µg </w:t>
      </w:r>
      <w:proofErr w:type="gramStart"/>
      <w:r w:rsidRPr="006C2B44">
        <w:t>arm</w:t>
      </w:r>
      <w:proofErr w:type="gramEnd"/>
      <w:r w:rsidRPr="006C2B44">
        <w:t xml:space="preserve"> were re-randomised to the higher doses, potentially resulting in a more significant relative change from baseline</w:t>
      </w:r>
      <w:r w:rsidR="00D578E9">
        <w:t>.</w:t>
      </w:r>
    </w:p>
    <w:p w14:paraId="08D02E36" w14:textId="77777777" w:rsidR="006C2B44" w:rsidRDefault="00094728" w:rsidP="00730774">
      <w:r>
        <w:t>The following graph (refer to F</w:t>
      </w:r>
      <w:r w:rsidR="006C2B44" w:rsidRPr="006C2B44">
        <w:t xml:space="preserve">igure 4, </w:t>
      </w:r>
      <w:r>
        <w:t>CSR</w:t>
      </w:r>
      <w:r w:rsidR="006C2B44" w:rsidRPr="006C2B44">
        <w:t xml:space="preserve">) shows the proportion of subjects with </w:t>
      </w:r>
      <w:r w:rsidR="00604B45">
        <w:t xml:space="preserve">&gt; </w:t>
      </w:r>
      <w:r w:rsidR="006C2B44" w:rsidRPr="006C2B44">
        <w:t>33% reduction in mean number of nocturnal voids from baseline to 92</w:t>
      </w:r>
      <w:r w:rsidR="00D578E9">
        <w:t xml:space="preserve"> to </w:t>
      </w:r>
      <w:r w:rsidR="006C2B44" w:rsidRPr="006C2B44">
        <w:t>96 weeks.</w:t>
      </w:r>
    </w:p>
    <w:p w14:paraId="35898969" w14:textId="77777777" w:rsidR="00094728" w:rsidRPr="006C2B44" w:rsidRDefault="00094728" w:rsidP="00094728">
      <w:pPr>
        <w:pStyle w:val="FigureTitle"/>
      </w:pPr>
      <w:r>
        <w:t xml:space="preserve">Figure 3: Study CS31; </w:t>
      </w:r>
      <w:r w:rsidRPr="006C2B44">
        <w:t xml:space="preserve">the proportion of subjects with </w:t>
      </w:r>
      <w:r>
        <w:t xml:space="preserve">&gt; </w:t>
      </w:r>
      <w:r w:rsidRPr="006C2B44">
        <w:t>33% reduction in mean number of nocturnal voids from baseline to 92</w:t>
      </w:r>
      <w:r>
        <w:t xml:space="preserve"> to </w:t>
      </w:r>
      <w:r w:rsidRPr="006C2B44">
        <w:t>96 weeks</w:t>
      </w:r>
    </w:p>
    <w:p w14:paraId="78695908" w14:textId="77777777" w:rsidR="006C2B44" w:rsidRDefault="006C2B44" w:rsidP="006C2B44">
      <w:r>
        <w:rPr>
          <w:noProof/>
          <w:lang w:eastAsia="en-AU"/>
        </w:rPr>
        <w:drawing>
          <wp:inline distT="0" distB="0" distL="0" distR="0" wp14:anchorId="6CADA95D" wp14:editId="793997F5">
            <wp:extent cx="5731510" cy="3084973"/>
            <wp:effectExtent l="0" t="0" r="2540" b="1270"/>
            <wp:docPr id="8" name="Picture 8" descr="Figure 3: Study CS31; the proportion of subjects with &gt; 33% reduction in mean number of nocturnal voids from baseline to 92 to 96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084973"/>
                    </a:xfrm>
                    <a:prstGeom prst="rect">
                      <a:avLst/>
                    </a:prstGeom>
                  </pic:spPr>
                </pic:pic>
              </a:graphicData>
            </a:graphic>
          </wp:inline>
        </w:drawing>
      </w:r>
    </w:p>
    <w:p w14:paraId="7C898A94" w14:textId="77777777" w:rsidR="006C2B44" w:rsidRPr="006C2B44" w:rsidRDefault="006C2B44" w:rsidP="006C2B44">
      <w:r w:rsidRPr="006C2B44">
        <w:t>An analysis accordingly to gender in study CS29 showed that women had greater efficacy at lower doses than men. These differences continued in CS31.</w:t>
      </w:r>
    </w:p>
    <w:p w14:paraId="43964793" w14:textId="77777777" w:rsidR="006C2B44" w:rsidRPr="006C2B44" w:rsidRDefault="00094728" w:rsidP="006C2B44">
      <w:pPr>
        <w:pStyle w:val="Heading4"/>
      </w:pPr>
      <w:r>
        <w:t xml:space="preserve">Study </w:t>
      </w:r>
      <w:r w:rsidR="006C2B44" w:rsidRPr="006C2B44">
        <w:t xml:space="preserve">CS40 </w:t>
      </w:r>
      <w:r>
        <w:t>(women) and Study CS41 (men)</w:t>
      </w:r>
    </w:p>
    <w:p w14:paraId="7744BD52" w14:textId="77777777" w:rsidR="00D578E9" w:rsidRDefault="006C2B44" w:rsidP="00730774">
      <w:r w:rsidRPr="006C2B44">
        <w:t xml:space="preserve">Both studies were of 3 months duration; </w:t>
      </w:r>
      <w:r w:rsidR="00EA2517">
        <w:t>parallel group</w:t>
      </w:r>
      <w:r w:rsidRPr="006C2B44">
        <w:t xml:space="preserve">, </w:t>
      </w:r>
      <w:r w:rsidR="00EA2517">
        <w:t>placebo controlled</w:t>
      </w:r>
      <w:r w:rsidRPr="006C2B44">
        <w:t xml:space="preserve">, </w:t>
      </w:r>
      <w:r w:rsidR="00EA2517">
        <w:t>double blind</w:t>
      </w:r>
      <w:r w:rsidRPr="006C2B44">
        <w:t xml:space="preserve">. </w:t>
      </w:r>
      <w:r w:rsidR="00094728">
        <w:t>Study </w:t>
      </w:r>
      <w:r w:rsidRPr="006C2B44">
        <w:t xml:space="preserve">CS41 (men) had an extension phase, with a 100 </w:t>
      </w:r>
      <w:r w:rsidR="00D578E9">
        <w:t>µg</w:t>
      </w:r>
      <w:r w:rsidRPr="006C2B44">
        <w:t xml:space="preserve"> dose, to assess whether there was any benefit in up-titrating men who had been safely exposed to a lower dose</w:t>
      </w:r>
      <w:r w:rsidR="00D578E9">
        <w:t>.</w:t>
      </w:r>
    </w:p>
    <w:p w14:paraId="231FFAB6" w14:textId="4B7E8896" w:rsidR="00D578E9" w:rsidRDefault="006C2B44" w:rsidP="00730774">
      <w:r w:rsidRPr="006C2B44">
        <w:t>All patients entered a screening period before randomisation. Th</w:t>
      </w:r>
      <w:r w:rsidR="00094728">
        <w:t>e screening visit was within 21 </w:t>
      </w:r>
      <w:r w:rsidRPr="006C2B44">
        <w:t>days of randomisation (</w:t>
      </w:r>
      <w:r w:rsidR="00EA2517">
        <w:t>Day</w:t>
      </w:r>
      <w:r w:rsidRPr="006C2B44">
        <w:t xml:space="preserve"> 1 of the trial). Patients were instructed on lifestyle changes to reduce night time voiding. This comprised discouraging night time intake of fluids with a diuretic effect (coffee, tea, caffeinated soft drinks, alcohol). Also instructions to empty the bladder before going to sleep and limiting fluid intake to that required to satisfy thirst</w:t>
      </w:r>
      <w:r w:rsidR="00D578E9">
        <w:t>.</w:t>
      </w:r>
    </w:p>
    <w:p w14:paraId="1CE1DEC7" w14:textId="77777777" w:rsidR="006C2B44" w:rsidRPr="006C2B44" w:rsidRDefault="006C2B44" w:rsidP="00730774">
      <w:r w:rsidRPr="006C2B44">
        <w:t xml:space="preserve">These studies used the same co-primary endpoints as </w:t>
      </w:r>
      <w:r w:rsidR="00094728">
        <w:t xml:space="preserve">Study </w:t>
      </w:r>
      <w:r w:rsidRPr="006C2B44">
        <w:t>CS29, but used a longitudinal analysis; that is, repeated measures ANCOVA, compari</w:t>
      </w:r>
      <w:r w:rsidR="00094728">
        <w:t xml:space="preserve">ng change from baseline at Week </w:t>
      </w:r>
      <w:r w:rsidRPr="006C2B44">
        <w:t xml:space="preserve">1, </w:t>
      </w:r>
      <w:r w:rsidR="00094728">
        <w:t xml:space="preserve">Month </w:t>
      </w:r>
      <w:r w:rsidRPr="006C2B44">
        <w:t xml:space="preserve">1, </w:t>
      </w:r>
      <w:r w:rsidR="00094728">
        <w:t xml:space="preserve">Month 2 and Month </w:t>
      </w:r>
      <w:r w:rsidRPr="006C2B44">
        <w:t xml:space="preserve">3, adjusted for age (dichotomised at 65 years), visit, and nocturnal baseline voids. The longitudinal analysis was preferred because </w:t>
      </w:r>
      <w:r w:rsidR="00094728">
        <w:t xml:space="preserve">Study </w:t>
      </w:r>
      <w:r w:rsidRPr="006C2B44">
        <w:t>CS29 showed there was variability at an individual time point (28 days), so that the average treatment effect over a longer period might be more representative of clinical benefit</w:t>
      </w:r>
      <w:r w:rsidR="00094728">
        <w:t>.</w:t>
      </w:r>
    </w:p>
    <w:p w14:paraId="202C36C9" w14:textId="77777777" w:rsidR="006C2B44" w:rsidRDefault="006C2B44" w:rsidP="006C2B44">
      <w:pPr>
        <w:pStyle w:val="Heading5"/>
      </w:pPr>
      <w:r w:rsidRPr="006C2B44">
        <w:t>CS 40</w:t>
      </w:r>
    </w:p>
    <w:p w14:paraId="5B3E833A" w14:textId="77777777" w:rsidR="006C2B44" w:rsidRPr="006C2B44" w:rsidRDefault="006C2B44" w:rsidP="00730774">
      <w:r w:rsidRPr="006C2B44">
        <w:t xml:space="preserve">A </w:t>
      </w:r>
      <w:r w:rsidR="00094728">
        <w:t>multi</w:t>
      </w:r>
      <w:r w:rsidR="00094728" w:rsidRPr="006C2B44">
        <w:t xml:space="preserve">centre, randomised, </w:t>
      </w:r>
      <w:r w:rsidR="00094728">
        <w:t>double blind</w:t>
      </w:r>
      <w:r w:rsidR="00094728" w:rsidRPr="006C2B44">
        <w:t xml:space="preserve">, </w:t>
      </w:r>
      <w:r w:rsidR="00094728">
        <w:t>placebo controlled</w:t>
      </w:r>
      <w:r w:rsidR="00094728" w:rsidRPr="006C2B44">
        <w:t xml:space="preserve">, </w:t>
      </w:r>
      <w:r w:rsidR="00094728">
        <w:t>parallel group</w:t>
      </w:r>
      <w:r w:rsidR="00094728" w:rsidRPr="006C2B44">
        <w:t xml:space="preserve"> trial to demonstrate the efficacy and safety of desmopressin orally disintegrating tablet for the treatment of nocturia in adult females</w:t>
      </w:r>
      <w:r w:rsidR="00094728">
        <w:t>.</w:t>
      </w:r>
    </w:p>
    <w:p w14:paraId="083D297B" w14:textId="77777777" w:rsidR="006C2B44" w:rsidRPr="006C2B44" w:rsidRDefault="006C2B44" w:rsidP="00730774">
      <w:r w:rsidRPr="006C2B44">
        <w:t>Duration of main phase: 1st November, 2010 (first subject’s first visit) to 22 November, 2</w:t>
      </w:r>
      <w:r w:rsidR="00094728">
        <w:t>011 (last subject’s last visit).</w:t>
      </w:r>
    </w:p>
    <w:p w14:paraId="2D6D0C42" w14:textId="77777777" w:rsidR="00D578E9" w:rsidRDefault="006C2B44" w:rsidP="00730774">
      <w:r w:rsidRPr="006C2B44">
        <w:lastRenderedPageBreak/>
        <w:t xml:space="preserve">Participants: 45 sites in the US and Canada </w:t>
      </w:r>
      <w:r w:rsidR="00094728" w:rsidRPr="006C2B44">
        <w:t>was</w:t>
      </w:r>
      <w:r w:rsidRPr="006C2B44">
        <w:t xml:space="preserve"> initiated and 39 sites randomised subjects</w:t>
      </w:r>
      <w:r w:rsidR="00D578E9">
        <w:t>.</w:t>
      </w:r>
    </w:p>
    <w:p w14:paraId="4B7BF8C6" w14:textId="77777777" w:rsidR="006C2B44" w:rsidRPr="006C2B44" w:rsidRDefault="006C2B44" w:rsidP="00730774">
      <w:r w:rsidRPr="006C2B44">
        <w:t xml:space="preserve">Study Design: This trial was randomised and </w:t>
      </w:r>
      <w:r w:rsidR="00EA2517">
        <w:t>double blind</w:t>
      </w:r>
      <w:r w:rsidRPr="006C2B44">
        <w:t>ed parallel trial, stratified by age (</w:t>
      </w:r>
      <w:r w:rsidR="00094728">
        <w:t>&lt; </w:t>
      </w:r>
      <w:r w:rsidRPr="006C2B44">
        <w:t xml:space="preserve">65years, </w:t>
      </w:r>
      <w:r w:rsidR="00094728">
        <w:t xml:space="preserve">≥ </w:t>
      </w:r>
      <w:r w:rsidRPr="006C2B44">
        <w:t>65 years).</w:t>
      </w:r>
    </w:p>
    <w:p w14:paraId="6E0391A1" w14:textId="77777777" w:rsidR="006C2B44" w:rsidRPr="006C2B44" w:rsidRDefault="006C2B44" w:rsidP="00730774">
      <w:pPr>
        <w:pStyle w:val="Heading6"/>
      </w:pPr>
      <w:r>
        <w:t>Inclusion and exclusion criteria</w:t>
      </w:r>
    </w:p>
    <w:p w14:paraId="19F6B531" w14:textId="77777777" w:rsidR="006C2B44" w:rsidRPr="00730774" w:rsidRDefault="006C2B44" w:rsidP="00730774">
      <w:pPr>
        <w:pStyle w:val="Heading7"/>
      </w:pPr>
      <w:r w:rsidRPr="00730774">
        <w:t>Selected inclusion criteria</w:t>
      </w:r>
    </w:p>
    <w:p w14:paraId="2891DB44" w14:textId="77777777" w:rsidR="006C2B44" w:rsidRPr="00730774" w:rsidRDefault="006C2B44" w:rsidP="00730774">
      <w:pPr>
        <w:pStyle w:val="ListBullet"/>
      </w:pPr>
      <w:r w:rsidRPr="00730774">
        <w:t xml:space="preserve">Female and </w:t>
      </w:r>
      <w:r w:rsidR="00094728" w:rsidRPr="00730774">
        <w:t>≥ 18 years of age</w:t>
      </w:r>
    </w:p>
    <w:p w14:paraId="7E957799" w14:textId="5A8CDEAA" w:rsidR="006C2B44" w:rsidRPr="00730774" w:rsidRDefault="006C2B44" w:rsidP="00730774">
      <w:pPr>
        <w:pStyle w:val="ListBullet"/>
      </w:pPr>
      <w:r w:rsidRPr="00730774">
        <w:t>At least 2 nocturnal voids</w:t>
      </w:r>
      <w:r w:rsidR="00094728" w:rsidRPr="00730774">
        <w:t xml:space="preserve"> every night in a consecutive 3 </w:t>
      </w:r>
      <w:r w:rsidRPr="00730774">
        <w:t>day per</w:t>
      </w:r>
      <w:r w:rsidR="00730774">
        <w:t>iod during the screening period</w:t>
      </w:r>
    </w:p>
    <w:p w14:paraId="471A15C1" w14:textId="63B12AF1" w:rsidR="006C2B44" w:rsidRPr="00730774" w:rsidRDefault="00094728" w:rsidP="00730774">
      <w:pPr>
        <w:pStyle w:val="Heading7"/>
      </w:pPr>
      <w:r w:rsidRPr="00730774">
        <w:t xml:space="preserve">Selected </w:t>
      </w:r>
      <w:r w:rsidR="00730774" w:rsidRPr="00730774">
        <w:t>e</w:t>
      </w:r>
      <w:r w:rsidRPr="00730774">
        <w:t>xclusion criteria</w:t>
      </w:r>
    </w:p>
    <w:p w14:paraId="4EC1599D" w14:textId="77777777" w:rsidR="006C2B44" w:rsidRPr="00730774" w:rsidRDefault="006C2B44" w:rsidP="00730774">
      <w:pPr>
        <w:pStyle w:val="ListBullet"/>
      </w:pPr>
      <w:r w:rsidRPr="00730774">
        <w:t>Evidence of severe daytime voiding dysfunct</w:t>
      </w:r>
      <w:r w:rsidR="00094728" w:rsidRPr="00730774">
        <w:t>ion (protocol defined criteria)</w:t>
      </w:r>
    </w:p>
    <w:p w14:paraId="6A97C755" w14:textId="77777777" w:rsidR="006C2B44" w:rsidRPr="00730774" w:rsidRDefault="00094728" w:rsidP="00730774">
      <w:pPr>
        <w:pStyle w:val="ListBullet"/>
      </w:pPr>
      <w:r w:rsidRPr="00730774">
        <w:t>Interstitial cystitis</w:t>
      </w:r>
    </w:p>
    <w:p w14:paraId="5BC6E5EA" w14:textId="77777777" w:rsidR="006C2B44" w:rsidRPr="00730774" w:rsidRDefault="006C2B44" w:rsidP="00730774">
      <w:pPr>
        <w:pStyle w:val="ListBullet"/>
      </w:pPr>
      <w:r w:rsidRPr="00730774">
        <w:t>Urinary retention or a post void resi</w:t>
      </w:r>
      <w:r w:rsidR="00094728" w:rsidRPr="00730774">
        <w:t>dual volume in excess of 150 ml</w:t>
      </w:r>
    </w:p>
    <w:p w14:paraId="786F1A45" w14:textId="77777777" w:rsidR="006C2B44" w:rsidRPr="00730774" w:rsidRDefault="006C2B44" w:rsidP="00730774">
      <w:pPr>
        <w:pStyle w:val="ListBullet"/>
      </w:pPr>
      <w:r w:rsidRPr="00730774">
        <w:t>Hab</w:t>
      </w:r>
      <w:r w:rsidR="00094728" w:rsidRPr="00730774">
        <w:t>itual or psychogenic polydipsia</w:t>
      </w:r>
    </w:p>
    <w:p w14:paraId="594FC838" w14:textId="77777777" w:rsidR="006C2B44" w:rsidRPr="00730774" w:rsidRDefault="006C2B44" w:rsidP="00730774">
      <w:pPr>
        <w:pStyle w:val="ListBullet"/>
      </w:pPr>
      <w:r w:rsidRPr="00730774">
        <w:t>Central or</w:t>
      </w:r>
      <w:r w:rsidR="00094728" w:rsidRPr="00730774">
        <w:t xml:space="preserve"> nephrogenic diabetes insipidus</w:t>
      </w:r>
    </w:p>
    <w:p w14:paraId="64C0EF9F" w14:textId="77777777" w:rsidR="006C2B44" w:rsidRPr="00730774" w:rsidRDefault="006C2B44" w:rsidP="00730774">
      <w:pPr>
        <w:pStyle w:val="ListBullet"/>
      </w:pPr>
      <w:r w:rsidRPr="00730774">
        <w:t xml:space="preserve">Syndrome of inappropriate </w:t>
      </w:r>
      <w:r w:rsidR="00094728" w:rsidRPr="00730774">
        <w:t>anti-diuretic hormone</w:t>
      </w:r>
    </w:p>
    <w:p w14:paraId="58B59A73" w14:textId="77777777" w:rsidR="006C2B44" w:rsidRPr="00730774" w:rsidRDefault="006C2B44" w:rsidP="00730774">
      <w:pPr>
        <w:pStyle w:val="ListBullet"/>
      </w:pPr>
      <w:r w:rsidRPr="00730774">
        <w:t>Current or a h</w:t>
      </w:r>
      <w:r w:rsidR="00094728" w:rsidRPr="00730774">
        <w:t>istory of urologic malignancies</w:t>
      </w:r>
    </w:p>
    <w:p w14:paraId="49F31900" w14:textId="77777777" w:rsidR="006C2B44" w:rsidRPr="00730774" w:rsidRDefault="00094728" w:rsidP="00730774">
      <w:pPr>
        <w:pStyle w:val="ListBullet"/>
      </w:pPr>
      <w:r w:rsidRPr="00730774">
        <w:t>Genitourinary tract pathology</w:t>
      </w:r>
    </w:p>
    <w:p w14:paraId="0E12EC12" w14:textId="77777777" w:rsidR="006C2B44" w:rsidRPr="00730774" w:rsidRDefault="006C2B44" w:rsidP="00730774">
      <w:pPr>
        <w:pStyle w:val="ListBullet"/>
      </w:pPr>
      <w:r w:rsidRPr="00730774">
        <w:t>Neurogenic detrusor a</w:t>
      </w:r>
      <w:r w:rsidR="00094728" w:rsidRPr="00730774">
        <w:t>ctivity (detrusor overactivity)</w:t>
      </w:r>
    </w:p>
    <w:p w14:paraId="06F72491" w14:textId="77777777" w:rsidR="006C2B44" w:rsidRPr="00730774" w:rsidRDefault="006C2B44" w:rsidP="00730774">
      <w:pPr>
        <w:pStyle w:val="ListBullet"/>
      </w:pPr>
      <w:r w:rsidRPr="00730774">
        <w:t>Suspicion</w:t>
      </w:r>
      <w:r w:rsidR="00094728" w:rsidRPr="00730774">
        <w:t xml:space="preserve"> or evidence of cardiac failure</w:t>
      </w:r>
    </w:p>
    <w:p w14:paraId="524280BA" w14:textId="77777777" w:rsidR="006C2B44" w:rsidRPr="00730774" w:rsidRDefault="00094728" w:rsidP="00730774">
      <w:pPr>
        <w:pStyle w:val="ListBullet"/>
      </w:pPr>
      <w:r w:rsidRPr="00730774">
        <w:t>Uncontrolled hypertension</w:t>
      </w:r>
    </w:p>
    <w:p w14:paraId="5C51464C" w14:textId="77777777" w:rsidR="006C2B44" w:rsidRPr="00730774" w:rsidRDefault="00094728" w:rsidP="00730774">
      <w:pPr>
        <w:pStyle w:val="ListBullet"/>
      </w:pPr>
      <w:r w:rsidRPr="00730774">
        <w:t>Uncontrolled diabetes mellitus</w:t>
      </w:r>
    </w:p>
    <w:p w14:paraId="3502AC93" w14:textId="77777777" w:rsidR="006C2B44" w:rsidRPr="00730774" w:rsidRDefault="006C2B44" w:rsidP="00730774">
      <w:pPr>
        <w:pStyle w:val="ListBullet"/>
      </w:pPr>
      <w:r w:rsidRPr="00730774">
        <w:t xml:space="preserve">Hyponatremia (Serum sodium level must </w:t>
      </w:r>
      <w:r w:rsidR="00094728" w:rsidRPr="00730774">
        <w:t>have been within normal limits)</w:t>
      </w:r>
    </w:p>
    <w:p w14:paraId="42A34A82" w14:textId="77777777" w:rsidR="006C2B44" w:rsidRPr="00730774" w:rsidRDefault="006C2B44" w:rsidP="00730774">
      <w:pPr>
        <w:pStyle w:val="ListBullet"/>
      </w:pPr>
      <w:r w:rsidRPr="00730774">
        <w:t>Renal insufficiency (ac</w:t>
      </w:r>
      <w:r w:rsidR="00094728" w:rsidRPr="00730774">
        <w:t>cording to protocol definition)</w:t>
      </w:r>
    </w:p>
    <w:p w14:paraId="0D6E4588" w14:textId="77777777" w:rsidR="006C2B44" w:rsidRPr="00730774" w:rsidRDefault="006C2B44" w:rsidP="00730774">
      <w:pPr>
        <w:pStyle w:val="ListBullet"/>
      </w:pPr>
      <w:r w:rsidRPr="00730774">
        <w:t>Hepatic and/or biliary diseases (ac</w:t>
      </w:r>
      <w:r w:rsidR="00094728" w:rsidRPr="00730774">
        <w:t>cording to protocol definition)</w:t>
      </w:r>
    </w:p>
    <w:p w14:paraId="5A6E1FE3" w14:textId="77777777" w:rsidR="006C2B44" w:rsidRPr="00730774" w:rsidRDefault="006C2B44" w:rsidP="00730774">
      <w:pPr>
        <w:pStyle w:val="ListBullet"/>
      </w:pPr>
      <w:r w:rsidRPr="00730774">
        <w:t>Hist</w:t>
      </w:r>
      <w:r w:rsidR="00094728" w:rsidRPr="00730774">
        <w:t>ory of obstructive sleep apnoea</w:t>
      </w:r>
    </w:p>
    <w:p w14:paraId="4DCA2B1E" w14:textId="77777777" w:rsidR="006C2B44" w:rsidRPr="00730774" w:rsidRDefault="006C2B44" w:rsidP="00730774">
      <w:pPr>
        <w:pStyle w:val="ListBullet"/>
      </w:pPr>
      <w:r w:rsidRPr="00730774">
        <w:t>Previous desmopressin tr</w:t>
      </w:r>
      <w:r w:rsidR="00094728" w:rsidRPr="00730774">
        <w:t xml:space="preserve">eatment for </w:t>
      </w:r>
      <w:proofErr w:type="spellStart"/>
      <w:r w:rsidR="00094728" w:rsidRPr="00730774">
        <w:t>nocturia</w:t>
      </w:r>
      <w:proofErr w:type="spellEnd"/>
    </w:p>
    <w:p w14:paraId="5FE50E11" w14:textId="77777777" w:rsidR="006C2B44" w:rsidRPr="00730774" w:rsidRDefault="006C2B44" w:rsidP="00730774">
      <w:pPr>
        <w:pStyle w:val="ListBullet"/>
      </w:pPr>
      <w:r w:rsidRPr="00730774">
        <w:t>Treatment with another investigational prod</w:t>
      </w:r>
      <w:r w:rsidR="00094728" w:rsidRPr="00730774">
        <w:t>uct 3 months prior to screening</w:t>
      </w:r>
    </w:p>
    <w:p w14:paraId="715978CA" w14:textId="77777777" w:rsidR="006C2B44" w:rsidRPr="00730774" w:rsidRDefault="006C2B44" w:rsidP="00730774">
      <w:pPr>
        <w:pStyle w:val="ListBullet"/>
      </w:pPr>
      <w:r w:rsidRPr="00730774">
        <w:t xml:space="preserve">Concomitant treatment </w:t>
      </w:r>
      <w:r w:rsidR="00094728" w:rsidRPr="00730774">
        <w:t>with any prohibited medication;</w:t>
      </w:r>
      <w:r w:rsidRPr="00730774">
        <w:t xml:space="preserve"> </w:t>
      </w:r>
      <w:r w:rsidR="00094728" w:rsidRPr="00730774">
        <w:t>for example</w:t>
      </w:r>
      <w:r w:rsidRPr="00730774">
        <w:t xml:space="preserve"> loop diuretics. Some specific medications were allowed if the subject had been on a stable dose for the 3 mont</w:t>
      </w:r>
      <w:r w:rsidR="00094728" w:rsidRPr="00730774">
        <w:t>hs prior to the screening date;</w:t>
      </w:r>
      <w:r w:rsidRPr="00730774">
        <w:t xml:space="preserve"> see </w:t>
      </w:r>
      <w:r w:rsidR="00094728" w:rsidRPr="00730774">
        <w:t xml:space="preserve">CSR for specific medications; </w:t>
      </w:r>
      <w:proofErr w:type="spellStart"/>
      <w:r w:rsidRPr="00730774">
        <w:t>antimuscarinic</w:t>
      </w:r>
      <w:proofErr w:type="spellEnd"/>
      <w:r w:rsidRPr="00730774">
        <w:t xml:space="preserve"> therapy for overactive bladder, sedative/hypnotic medications, Selective </w:t>
      </w:r>
      <w:r w:rsidR="00094728" w:rsidRPr="00730774">
        <w:t>serotonin</w:t>
      </w:r>
      <w:r w:rsidRPr="00730774">
        <w:t xml:space="preserve"> reuptake inhibitors (SSRIs), non-steroidal anti-inflammatory agents (NSAIDs), </w:t>
      </w:r>
      <w:proofErr w:type="spellStart"/>
      <w:r w:rsidRPr="00730774">
        <w:t>chlorpropa</w:t>
      </w:r>
      <w:r w:rsidR="00094728" w:rsidRPr="00730774">
        <w:t>mide</w:t>
      </w:r>
      <w:proofErr w:type="spellEnd"/>
      <w:r w:rsidR="00094728" w:rsidRPr="00730774">
        <w:t>, carbamazepine, amiodarone</w:t>
      </w:r>
    </w:p>
    <w:p w14:paraId="107BDCB0" w14:textId="77777777" w:rsidR="006C2B44" w:rsidRPr="00730774" w:rsidRDefault="006C2B44" w:rsidP="00730774">
      <w:pPr>
        <w:pStyle w:val="ListBullet"/>
      </w:pPr>
      <w:r w:rsidRPr="00730774">
        <w:t>K</w:t>
      </w:r>
      <w:r w:rsidR="00094728" w:rsidRPr="00730774">
        <w:t>nown alcohol or substance abuse</w:t>
      </w:r>
    </w:p>
    <w:p w14:paraId="7ACE16CA" w14:textId="77777777" w:rsidR="006C2B44" w:rsidRDefault="006C2B44" w:rsidP="00730774">
      <w:pPr>
        <w:pStyle w:val="ListBullet"/>
      </w:pPr>
      <w:r w:rsidRPr="00730774">
        <w:t>Work or lifestyle that may have interfere</w:t>
      </w:r>
      <w:r w:rsidR="00094728" w:rsidRPr="00730774">
        <w:t>d with regular</w:t>
      </w:r>
      <w:r w:rsidR="00094728">
        <w:t xml:space="preserve"> night time sleep.</w:t>
      </w:r>
    </w:p>
    <w:p w14:paraId="4F4D2ED4" w14:textId="77777777" w:rsidR="006C2B44" w:rsidRDefault="006C2B44" w:rsidP="00730774">
      <w:pPr>
        <w:pStyle w:val="Heading6"/>
      </w:pPr>
      <w:r>
        <w:t xml:space="preserve">Study </w:t>
      </w:r>
      <w:r w:rsidRPr="00730774">
        <w:t>treatments</w:t>
      </w:r>
    </w:p>
    <w:p w14:paraId="5F0A6723" w14:textId="77777777" w:rsidR="006C2B44" w:rsidRPr="006C2B44" w:rsidRDefault="006C2B44" w:rsidP="00730774">
      <w:proofErr w:type="gramStart"/>
      <w:r w:rsidRPr="006C2B44">
        <w:t xml:space="preserve">Desmopressin 25 </w:t>
      </w:r>
      <w:r w:rsidR="00604B45">
        <w:t>µ</w:t>
      </w:r>
      <w:r w:rsidR="00604B45" w:rsidRPr="00D92CA8">
        <w:t>g</w:t>
      </w:r>
      <w:r w:rsidR="00D578E9">
        <w:t xml:space="preserve"> </w:t>
      </w:r>
      <w:r w:rsidRPr="006C2B44">
        <w:t>or co</w:t>
      </w:r>
      <w:r w:rsidR="00094728">
        <w:t>mparator Placebo (double blind).</w:t>
      </w:r>
      <w:proofErr w:type="gramEnd"/>
    </w:p>
    <w:p w14:paraId="2D2387AD" w14:textId="77777777" w:rsidR="006C2B44" w:rsidRDefault="00094728" w:rsidP="006C2B44">
      <w:pPr>
        <w:pStyle w:val="Heading6"/>
      </w:pPr>
      <w:r>
        <w:lastRenderedPageBreak/>
        <w:t>Endpoints</w:t>
      </w:r>
    </w:p>
    <w:p w14:paraId="4718C925" w14:textId="4D1D8E9D" w:rsidR="00816E5C" w:rsidRPr="00816E5C" w:rsidRDefault="0080062E" w:rsidP="00730774">
      <w:pPr>
        <w:pStyle w:val="Heading7"/>
      </w:pPr>
      <w:r>
        <w:t>Co–</w:t>
      </w:r>
      <w:r w:rsidR="00730774">
        <w:t>p</w:t>
      </w:r>
      <w:r w:rsidR="00816E5C" w:rsidRPr="00816E5C">
        <w:t>rimar</w:t>
      </w:r>
      <w:r w:rsidR="00094728">
        <w:t>y endpoints</w:t>
      </w:r>
    </w:p>
    <w:p w14:paraId="1CE96D5B" w14:textId="77777777" w:rsidR="00816E5C" w:rsidRPr="00730774" w:rsidRDefault="00816E5C" w:rsidP="00730774">
      <w:pPr>
        <w:pStyle w:val="ListBullet"/>
      </w:pPr>
      <w:r w:rsidRPr="00730774">
        <w:t>Change in the mean number of nocturnal voids fr</w:t>
      </w:r>
      <w:r w:rsidR="00094728" w:rsidRPr="00730774">
        <w:t>om baseline during 3 months of T</w:t>
      </w:r>
      <w:r w:rsidRPr="00730774">
        <w:t>reatment (analysed longitudina</w:t>
      </w:r>
      <w:r w:rsidR="00094728" w:rsidRPr="00730774">
        <w:t>lly over 3 months of treatment).</w:t>
      </w:r>
    </w:p>
    <w:p w14:paraId="4214F887" w14:textId="77777777" w:rsidR="00816E5C" w:rsidRPr="00730774" w:rsidRDefault="00816E5C" w:rsidP="00730774">
      <w:pPr>
        <w:pStyle w:val="ListBullet"/>
      </w:pPr>
      <w:r w:rsidRPr="00730774">
        <w:t>Proportion of subjects with at least a 33% reduction in the mean number of nocturnal voids from baseline during 3 months of treatment (analysed longitudina</w:t>
      </w:r>
      <w:r w:rsidR="00094728" w:rsidRPr="00730774">
        <w:t>lly over 3 months of treatment).</w:t>
      </w:r>
    </w:p>
    <w:p w14:paraId="398F1CEC" w14:textId="77777777" w:rsidR="00816E5C" w:rsidRPr="00816E5C" w:rsidRDefault="00816E5C" w:rsidP="00730774">
      <w:pPr>
        <w:pStyle w:val="Heading7"/>
      </w:pPr>
      <w:r w:rsidRPr="00816E5C">
        <w:t>Se</w:t>
      </w:r>
      <w:r w:rsidR="00094728">
        <w:t>condary endpoints (in hierarchical order)</w:t>
      </w:r>
    </w:p>
    <w:p w14:paraId="42556752" w14:textId="77777777" w:rsidR="00D578E9" w:rsidRDefault="00816E5C" w:rsidP="00094728">
      <w:pPr>
        <w:pStyle w:val="ListBullet"/>
      </w:pPr>
      <w:r w:rsidRPr="00816E5C">
        <w:t>Change in the mean number of nocturnal voids from baseline at Month 3 of treatment</w:t>
      </w:r>
      <w:r w:rsidR="00D578E9">
        <w:t>.</w:t>
      </w:r>
    </w:p>
    <w:p w14:paraId="6169899B" w14:textId="77777777" w:rsidR="00D578E9" w:rsidRDefault="00816E5C" w:rsidP="00094728">
      <w:pPr>
        <w:pStyle w:val="ListBullet"/>
      </w:pPr>
      <w:r w:rsidRPr="00816E5C">
        <w:t>Proportion of subjects with at least a 33% reduction in the mean number of voids from baseline at Month 3 of treatment</w:t>
      </w:r>
      <w:r w:rsidR="00D578E9">
        <w:t>.</w:t>
      </w:r>
    </w:p>
    <w:p w14:paraId="28D0F0D4" w14:textId="77777777" w:rsidR="00D578E9" w:rsidRDefault="00816E5C" w:rsidP="00094728">
      <w:pPr>
        <w:pStyle w:val="ListBullet"/>
      </w:pPr>
      <w:r w:rsidRPr="00816E5C">
        <w:t>Mean time to first nocturnal void at Month 3</w:t>
      </w:r>
      <w:r w:rsidR="00D578E9">
        <w:t>.</w:t>
      </w:r>
    </w:p>
    <w:p w14:paraId="72B3AF9B" w14:textId="77777777" w:rsidR="00D578E9" w:rsidRDefault="00816E5C" w:rsidP="00094728">
      <w:pPr>
        <w:pStyle w:val="ListBullet"/>
      </w:pPr>
      <w:r w:rsidRPr="00816E5C">
        <w:t xml:space="preserve">Mean nocturnal urine volume and mean </w:t>
      </w:r>
      <w:r w:rsidR="00EA2517">
        <w:t>24 hour</w:t>
      </w:r>
      <w:r w:rsidRPr="00816E5C">
        <w:t xml:space="preserve"> urine volume at Month 3</w:t>
      </w:r>
      <w:r w:rsidR="00D578E9">
        <w:t>.</w:t>
      </w:r>
    </w:p>
    <w:p w14:paraId="7264CF28" w14:textId="77777777" w:rsidR="00816E5C" w:rsidRPr="00816E5C" w:rsidRDefault="00816E5C" w:rsidP="00730774">
      <w:pPr>
        <w:pStyle w:val="Heading7"/>
      </w:pPr>
      <w:r w:rsidRPr="00816E5C">
        <w:t xml:space="preserve">Exploratory </w:t>
      </w:r>
      <w:r w:rsidR="00094728">
        <w:t>endpoints</w:t>
      </w:r>
    </w:p>
    <w:p w14:paraId="206C297E" w14:textId="77777777" w:rsidR="00816E5C" w:rsidRPr="00816E5C" w:rsidRDefault="00816E5C" w:rsidP="00724227">
      <w:pPr>
        <w:pStyle w:val="ListBullet"/>
      </w:pPr>
      <w:r w:rsidRPr="00816E5C">
        <w:t>A</w:t>
      </w:r>
      <w:r w:rsidR="00094728">
        <w:t>dditional analyses of void data.</w:t>
      </w:r>
    </w:p>
    <w:p w14:paraId="70809944" w14:textId="77777777" w:rsidR="006C2B44" w:rsidRPr="00816E5C" w:rsidRDefault="00094728" w:rsidP="00724227">
      <w:pPr>
        <w:pStyle w:val="ListBullet"/>
      </w:pPr>
      <w:r>
        <w:t>Quality of life.</w:t>
      </w:r>
    </w:p>
    <w:p w14:paraId="1084C562" w14:textId="77777777" w:rsidR="006C2B44" w:rsidRPr="00816E5C" w:rsidRDefault="00816E5C" w:rsidP="00816E5C">
      <w:pPr>
        <w:pStyle w:val="Heading6"/>
      </w:pPr>
      <w:r w:rsidRPr="00816E5C">
        <w:t>Measur</w:t>
      </w:r>
      <w:r w:rsidR="00094728">
        <w:t>ement of endpoints</w:t>
      </w:r>
    </w:p>
    <w:p w14:paraId="509507DC" w14:textId="77777777" w:rsidR="00266CAD" w:rsidRPr="00266CAD" w:rsidRDefault="00094728" w:rsidP="00730774">
      <w:pPr>
        <w:pStyle w:val="Heading7"/>
      </w:pPr>
      <w:r>
        <w:t>Primary</w:t>
      </w:r>
    </w:p>
    <w:p w14:paraId="005B52CD" w14:textId="77777777" w:rsidR="00266CAD" w:rsidRDefault="00266CAD" w:rsidP="00730774">
      <w:r w:rsidRPr="00266CAD">
        <w:t>There were two co-primary endpoints and these were analysed longitudina</w:t>
      </w:r>
      <w:r>
        <w:t>lly over 3 months of treatment:</w:t>
      </w:r>
    </w:p>
    <w:p w14:paraId="4A8427B6" w14:textId="77777777" w:rsidR="00D578E9" w:rsidRPr="00730774" w:rsidRDefault="00266CAD" w:rsidP="00730774">
      <w:pPr>
        <w:pStyle w:val="Numberbullet0"/>
      </w:pPr>
      <w:r w:rsidRPr="00266CAD">
        <w:t xml:space="preserve">Change in </w:t>
      </w:r>
      <w:r w:rsidRPr="00730774">
        <w:t>the mean number of nocturnal voids from baseline during 3 months of treatment</w:t>
      </w:r>
      <w:r w:rsidR="00D578E9" w:rsidRPr="00730774">
        <w:t>.</w:t>
      </w:r>
    </w:p>
    <w:p w14:paraId="4AF45586" w14:textId="77777777" w:rsidR="00D578E9" w:rsidRDefault="00266CAD" w:rsidP="00730774">
      <w:pPr>
        <w:pStyle w:val="Numberbullet0"/>
      </w:pPr>
      <w:r w:rsidRPr="00730774">
        <w:t>Proportion of subjects with at least a 33% reduction in the mean number of nocturnal voids from baseline during 3 months</w:t>
      </w:r>
      <w:r w:rsidRPr="00266CAD">
        <w:t xml:space="preserve"> of treatment</w:t>
      </w:r>
      <w:r w:rsidR="00D578E9">
        <w:t>.</w:t>
      </w:r>
    </w:p>
    <w:p w14:paraId="1A81C6D4" w14:textId="5C5C063F" w:rsidR="00D578E9" w:rsidRDefault="00266CAD" w:rsidP="00730774">
      <w:r w:rsidRPr="00266CAD">
        <w:t>Co-primary endpoint of % responders was intended to overcome the potential problem that the “arithmetic mean” might be influenced by a few outlier values. Because it was unclear from the literature as to what percentage reduction defines a clinical benefit for an individual, it was decided to use a 33% reduction (</w:t>
      </w:r>
      <w:r w:rsidR="00D578E9">
        <w:t>for example</w:t>
      </w:r>
      <w:r w:rsidRPr="00266CAD">
        <w:t>, from 3 voids to 2 voids). Exploratory analyses were also performed on cut-points of 50% and 75%</w:t>
      </w:r>
      <w:r w:rsidR="00D578E9">
        <w:t>.</w:t>
      </w:r>
    </w:p>
    <w:p w14:paraId="7FB581FD" w14:textId="77777777" w:rsidR="00D578E9" w:rsidRDefault="00266CAD" w:rsidP="00730774">
      <w:r w:rsidRPr="00266CAD">
        <w:t>Su</w:t>
      </w:r>
      <w:r w:rsidR="00094728">
        <w:t xml:space="preserve">bjects were asked to complete 3 </w:t>
      </w:r>
      <w:r w:rsidRPr="00266CAD">
        <w:t>day voiding diaries to document the number of voids. The first morning void was not counted as a nocturnal void</w:t>
      </w:r>
      <w:r w:rsidR="00D578E9">
        <w:t>.</w:t>
      </w:r>
    </w:p>
    <w:p w14:paraId="7148B1FB" w14:textId="77777777" w:rsidR="00D578E9" w:rsidRDefault="00266CAD" w:rsidP="00730774">
      <w:r w:rsidRPr="00266CAD">
        <w:t>All efficacy endpoints were tested for significance using 2-sided hypothesis tests at the 5% level</w:t>
      </w:r>
      <w:r w:rsidR="00094728">
        <w:t>. F</w:t>
      </w:r>
      <w:r w:rsidRPr="00266CAD">
        <w:t>or the primary endpoint, the trial was to be declared positive only if the desmopressin group had a statistically significant superiority compared to the placebo both co-primary endpoints</w:t>
      </w:r>
      <w:r w:rsidR="00D578E9">
        <w:t>.</w:t>
      </w:r>
    </w:p>
    <w:p w14:paraId="0CE0D9C1" w14:textId="77777777" w:rsidR="00D578E9" w:rsidRDefault="00266CAD" w:rsidP="00730774">
      <w:r w:rsidRPr="00266CAD">
        <w:t>All primary and secondary endpoints were analysed based on the Full analysis set (FAS) which included all randomised and exposed subjects with at least 1 efficacy assessment after dosing initiation, based on the planned (randomized) treatment</w:t>
      </w:r>
      <w:r w:rsidR="00D578E9">
        <w:t>.</w:t>
      </w:r>
    </w:p>
    <w:p w14:paraId="290E866C" w14:textId="77777777" w:rsidR="00266CAD" w:rsidRPr="00266CAD" w:rsidRDefault="00266CAD" w:rsidP="00730774">
      <w:pPr>
        <w:pStyle w:val="Heading7"/>
      </w:pPr>
      <w:r w:rsidRPr="00266CAD">
        <w:t>Minimal clinical</w:t>
      </w:r>
      <w:r w:rsidR="00094728">
        <w:t>ly important difference (MCID)</w:t>
      </w:r>
    </w:p>
    <w:p w14:paraId="2D47B7C0" w14:textId="77777777" w:rsidR="00D578E9" w:rsidRDefault="00266CAD" w:rsidP="00266CAD">
      <w:r w:rsidRPr="00266CAD">
        <w:t xml:space="preserve">For the sample size calculation, the MCID in a non-enriched </w:t>
      </w:r>
      <w:r w:rsidR="00094728">
        <w:t>population was specified as 0.5 </w:t>
      </w:r>
      <w:r w:rsidRPr="00266CAD">
        <w:t>voids per night</w:t>
      </w:r>
      <w:r w:rsidR="00D578E9">
        <w:t>.</w:t>
      </w:r>
    </w:p>
    <w:p w14:paraId="33610469" w14:textId="77777777" w:rsidR="006C2B44" w:rsidRDefault="00266CAD" w:rsidP="00911A18">
      <w:pPr>
        <w:pStyle w:val="Heading6"/>
      </w:pPr>
      <w:r w:rsidRPr="00266CAD">
        <w:lastRenderedPageBreak/>
        <w:t>Discontinuations</w:t>
      </w:r>
    </w:p>
    <w:p w14:paraId="2BF30ACF" w14:textId="77777777" w:rsidR="00E87BB3" w:rsidRDefault="00E87BB3" w:rsidP="00E87BB3">
      <w:pPr>
        <w:pStyle w:val="Tabletitle"/>
      </w:pPr>
      <w:r>
        <w:t>Table 10: Study CS40: Discontinuations</w:t>
      </w:r>
    </w:p>
    <w:p w14:paraId="25F278CC" w14:textId="77777777" w:rsidR="006C2B44" w:rsidRPr="00911A18" w:rsidRDefault="00384F3E" w:rsidP="00911A18">
      <w:r>
        <w:rPr>
          <w:noProof/>
          <w:lang w:eastAsia="en-AU"/>
        </w:rPr>
        <w:drawing>
          <wp:inline distT="0" distB="0" distL="0" distR="0" wp14:anchorId="129496AE" wp14:editId="6FB139A7">
            <wp:extent cx="5731510" cy="1571879"/>
            <wp:effectExtent l="0" t="0" r="2540" b="9525"/>
            <wp:docPr id="5" name="Picture 5" descr="Table 10: Study CS40: Discontin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1571879"/>
                    </a:xfrm>
                    <a:prstGeom prst="rect">
                      <a:avLst/>
                    </a:prstGeom>
                  </pic:spPr>
                </pic:pic>
              </a:graphicData>
            </a:graphic>
          </wp:inline>
        </w:drawing>
      </w:r>
    </w:p>
    <w:p w14:paraId="6210FC87" w14:textId="77777777" w:rsidR="006C2B44" w:rsidRDefault="00911A18" w:rsidP="00911A18">
      <w:pPr>
        <w:pStyle w:val="Heading6"/>
      </w:pPr>
      <w:r>
        <w:t>Baseline characteristics</w:t>
      </w:r>
    </w:p>
    <w:p w14:paraId="40B4BFC1" w14:textId="77777777" w:rsidR="00E87BB3" w:rsidRPr="00E87BB3" w:rsidRDefault="00E87BB3" w:rsidP="00E87BB3">
      <w:pPr>
        <w:pStyle w:val="Tabletitle"/>
      </w:pPr>
      <w:r>
        <w:t>Table 11 Study CS40; baseline characteristics</w:t>
      </w:r>
    </w:p>
    <w:p w14:paraId="712D1A7D" w14:textId="77777777" w:rsidR="006C2B44" w:rsidRDefault="00911A18" w:rsidP="00730774">
      <w:r>
        <w:rPr>
          <w:noProof/>
          <w:lang w:eastAsia="en-AU"/>
        </w:rPr>
        <w:drawing>
          <wp:inline distT="0" distB="0" distL="0" distR="0" wp14:anchorId="6EB53256" wp14:editId="2A7C8A06">
            <wp:extent cx="5731510" cy="1853556"/>
            <wp:effectExtent l="0" t="0" r="2540" b="0"/>
            <wp:docPr id="10" name="Picture 10" descr="Table 11 Study CS40; baselin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1853556"/>
                    </a:xfrm>
                    <a:prstGeom prst="rect">
                      <a:avLst/>
                    </a:prstGeom>
                  </pic:spPr>
                </pic:pic>
              </a:graphicData>
            </a:graphic>
          </wp:inline>
        </w:drawing>
      </w:r>
    </w:p>
    <w:p w14:paraId="6A5E2345" w14:textId="77777777" w:rsidR="00911A18" w:rsidRPr="00911A18" w:rsidRDefault="00E87BB3" w:rsidP="00730774">
      <w:pPr>
        <w:pStyle w:val="TableDescription"/>
      </w:pPr>
      <w:r>
        <w:t xml:space="preserve">SD – standard </w:t>
      </w:r>
      <w:r w:rsidRPr="00730774">
        <w:t>deviation</w:t>
      </w:r>
    </w:p>
    <w:p w14:paraId="387C03A1" w14:textId="360A23F9" w:rsidR="00D578E9" w:rsidRDefault="00911A18" w:rsidP="00730774">
      <w:r w:rsidRPr="00911A18">
        <w:t xml:space="preserve">The </w:t>
      </w:r>
      <w:r w:rsidR="000609FD">
        <w:t xml:space="preserve">treatment </w:t>
      </w:r>
      <w:r w:rsidRPr="00911A18">
        <w:t>arms were reasonably well balanced for most characteristics except for a slight imbalance fo</w:t>
      </w:r>
      <w:r w:rsidR="00E87BB3">
        <w:t>r ethnic origin and weight/BMI;</w:t>
      </w:r>
      <w:r w:rsidRPr="00911A18">
        <w:t xml:space="preserve"> on the desmopressin arm, there were slightly more patients of Hispanic/Latino origin (20% </w:t>
      </w:r>
      <w:r w:rsidR="00E87BB3">
        <w:t>versus</w:t>
      </w:r>
      <w:r w:rsidRPr="00911A18">
        <w:t xml:space="preserve"> 13%) and they were slightly heavier resulting in a higher mean BMI (31.4 </w:t>
      </w:r>
      <w:r w:rsidR="00E87BB3">
        <w:t>versus</w:t>
      </w:r>
      <w:r w:rsidRPr="00911A18">
        <w:t xml:space="preserve"> 29.1)</w:t>
      </w:r>
      <w:r w:rsidR="00D578E9">
        <w:t>.</w:t>
      </w:r>
    </w:p>
    <w:p w14:paraId="08A4111B" w14:textId="77777777" w:rsidR="00911A18" w:rsidRPr="00911A18" w:rsidRDefault="00E87BB3" w:rsidP="00911A18">
      <w:pPr>
        <w:pStyle w:val="Heading6"/>
      </w:pPr>
      <w:r>
        <w:t>Concomitant medications</w:t>
      </w:r>
    </w:p>
    <w:p w14:paraId="1930F594" w14:textId="6C4DCBE1" w:rsidR="00D578E9" w:rsidRDefault="00911A18" w:rsidP="00730774">
      <w:r w:rsidRPr="00911A18">
        <w:t>In terms of concomitant medications, 88% of subjects on the placebo arm took any concomitant medication and 86% on the Desmopressin arm</w:t>
      </w:r>
      <w:r w:rsidR="00D578E9">
        <w:t>.</w:t>
      </w:r>
    </w:p>
    <w:p w14:paraId="0649EE29" w14:textId="7F937297" w:rsidR="006C2B44" w:rsidRDefault="00E87BB3" w:rsidP="00730774">
      <w:r>
        <w:t>Table 12</w:t>
      </w:r>
      <w:r w:rsidR="00911A18" w:rsidRPr="00911A18">
        <w:t xml:space="preserve"> is a summary of concomitant medications used by at least 10% of subjects in</w:t>
      </w:r>
      <w:r>
        <w:t xml:space="preserve"> either treatment group (FAS) (from T</w:t>
      </w:r>
      <w:r w:rsidR="00911A18" w:rsidRPr="00911A18">
        <w:t xml:space="preserve">able 8-9, </w:t>
      </w:r>
      <w:r>
        <w:t>CSR</w:t>
      </w:r>
      <w:r w:rsidR="00911A18" w:rsidRPr="00911A18">
        <w:t>)</w:t>
      </w:r>
      <w:r w:rsidR="00291DD1">
        <w:t>.</w:t>
      </w:r>
    </w:p>
    <w:p w14:paraId="5D4241A2" w14:textId="77777777" w:rsidR="00E87BB3" w:rsidRDefault="00E87BB3" w:rsidP="00E87BB3">
      <w:pPr>
        <w:pStyle w:val="Tabletitle"/>
      </w:pPr>
      <w:r>
        <w:lastRenderedPageBreak/>
        <w:t xml:space="preserve">Table 12: Study CS40; </w:t>
      </w:r>
      <w:r w:rsidRPr="00911A18">
        <w:t>summary of concomitant medications used by at least 10% of subjects in either treatment group (FAS)</w:t>
      </w:r>
    </w:p>
    <w:p w14:paraId="51DCBA2B" w14:textId="77777777" w:rsidR="006C2B44" w:rsidRDefault="00384F3E" w:rsidP="006C2B44">
      <w:r>
        <w:rPr>
          <w:noProof/>
          <w:lang w:eastAsia="en-AU"/>
        </w:rPr>
        <w:drawing>
          <wp:inline distT="0" distB="0" distL="0" distR="0" wp14:anchorId="4B4BC166" wp14:editId="393D1945">
            <wp:extent cx="5731510" cy="5929296"/>
            <wp:effectExtent l="0" t="0" r="2540" b="0"/>
            <wp:docPr id="4" name="Picture 4" descr="Table 12: Study CS40; summary of concomitant medications used by at least 10% of subjects in either treatment group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5929296"/>
                    </a:xfrm>
                    <a:prstGeom prst="rect">
                      <a:avLst/>
                    </a:prstGeom>
                  </pic:spPr>
                </pic:pic>
              </a:graphicData>
            </a:graphic>
          </wp:inline>
        </w:drawing>
      </w:r>
    </w:p>
    <w:p w14:paraId="1BDEE70E" w14:textId="77777777" w:rsidR="006C2B44" w:rsidRDefault="00911A18" w:rsidP="00730774">
      <w:r w:rsidRPr="00911A18">
        <w:t xml:space="preserve">The following table </w:t>
      </w:r>
      <w:r w:rsidR="00384F3E">
        <w:t xml:space="preserve">(Table 13) </w:t>
      </w:r>
      <w:r w:rsidRPr="00911A18">
        <w:t xml:space="preserve">shows concomitant medication use for selected classes of medications (safety analysis set; </w:t>
      </w:r>
      <w:r w:rsidR="00384F3E">
        <w:t>CSR</w:t>
      </w:r>
      <w:r w:rsidRPr="00911A18">
        <w:t>, table 8-10)</w:t>
      </w:r>
      <w:r w:rsidR="00384F3E">
        <w:t>.</w:t>
      </w:r>
    </w:p>
    <w:p w14:paraId="5152B8FC" w14:textId="77777777" w:rsidR="00384F3E" w:rsidRDefault="00384F3E" w:rsidP="00384F3E">
      <w:pPr>
        <w:pStyle w:val="Tabletitle"/>
      </w:pPr>
      <w:r>
        <w:lastRenderedPageBreak/>
        <w:t xml:space="preserve">Table 13: Study CS40; </w:t>
      </w:r>
      <w:r w:rsidRPr="00911A18">
        <w:t>concomitant medication use for selected classes of medications</w:t>
      </w:r>
    </w:p>
    <w:p w14:paraId="6D8F7E86" w14:textId="77777777" w:rsidR="006C2B44" w:rsidRDefault="00384F3E" w:rsidP="00730774">
      <w:r>
        <w:rPr>
          <w:noProof/>
          <w:lang w:eastAsia="en-AU"/>
        </w:rPr>
        <w:drawing>
          <wp:inline distT="0" distB="0" distL="0" distR="0" wp14:anchorId="2E3F90C9" wp14:editId="1740A5EC">
            <wp:extent cx="5731510" cy="1985209"/>
            <wp:effectExtent l="0" t="0" r="2540" b="0"/>
            <wp:docPr id="58" name="Picture 58" descr="Table 13: Study CS40; concomitant medication use for selected classes of me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1985209"/>
                    </a:xfrm>
                    <a:prstGeom prst="rect">
                      <a:avLst/>
                    </a:prstGeom>
                  </pic:spPr>
                </pic:pic>
              </a:graphicData>
            </a:graphic>
          </wp:inline>
        </w:drawing>
      </w:r>
    </w:p>
    <w:p w14:paraId="34F5D8DC" w14:textId="77777777" w:rsidR="00911A18" w:rsidRPr="00911A18" w:rsidRDefault="00384F3E" w:rsidP="00911A18">
      <w:pPr>
        <w:pStyle w:val="Heading6"/>
      </w:pPr>
      <w:r>
        <w:t>Results for primary endpoint</w:t>
      </w:r>
    </w:p>
    <w:p w14:paraId="568D4544" w14:textId="64451FDE" w:rsidR="00911A18" w:rsidRPr="00A31FA7" w:rsidRDefault="00384F3E" w:rsidP="00730774">
      <w:pPr>
        <w:pStyle w:val="Tabletitle"/>
      </w:pPr>
      <w:r>
        <w:t xml:space="preserve">Table 14: </w:t>
      </w:r>
      <w:r w:rsidR="00A31FA7">
        <w:t xml:space="preserve">Study CS40 </w:t>
      </w:r>
      <w:r w:rsidR="00C227BD" w:rsidRPr="00A31FA7">
        <w:t>change from baseline in mean number of nocturnal voids, desmopressin</w:t>
      </w:r>
      <w:r w:rsidR="00C227BD">
        <w:t xml:space="preserve"> </w:t>
      </w:r>
      <w:r w:rsidR="00C227BD" w:rsidRPr="00730774">
        <w:t>versus</w:t>
      </w:r>
      <w:r w:rsidR="00C227BD">
        <w:t xml:space="preserve"> placebo, averaged over a 3 </w:t>
      </w:r>
      <w:r w:rsidR="00C227BD" w:rsidRPr="00A31FA7">
        <w:t xml:space="preserve">month period </w:t>
      </w:r>
      <w:r w:rsidR="00A31FA7" w:rsidRPr="00A31FA7">
        <w:t>(Full Analysis Set)</w:t>
      </w:r>
    </w:p>
    <w:p w14:paraId="04A71746" w14:textId="77777777" w:rsidR="00911A18" w:rsidRDefault="00384F3E" w:rsidP="006C2B44">
      <w:r>
        <w:rPr>
          <w:noProof/>
          <w:lang w:eastAsia="en-AU"/>
        </w:rPr>
        <w:drawing>
          <wp:inline distT="0" distB="0" distL="0" distR="0" wp14:anchorId="04D27421" wp14:editId="3BAFAE34">
            <wp:extent cx="5731510" cy="791757"/>
            <wp:effectExtent l="0" t="0" r="2540" b="8890"/>
            <wp:docPr id="59" name="Picture 59" descr="Table 14: Study CS40 change from baseline in mean number of nocturnal voids, desmopressin versus placebo, averaged over a 3 month period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791757"/>
                    </a:xfrm>
                    <a:prstGeom prst="rect">
                      <a:avLst/>
                    </a:prstGeom>
                  </pic:spPr>
                </pic:pic>
              </a:graphicData>
            </a:graphic>
          </wp:inline>
        </w:drawing>
      </w:r>
    </w:p>
    <w:p w14:paraId="19349C8B" w14:textId="77777777" w:rsidR="00911A18" w:rsidRPr="00911A18" w:rsidRDefault="00911A18" w:rsidP="00730774">
      <w:proofErr w:type="gramStart"/>
      <w:r w:rsidRPr="00911A18">
        <w:t xml:space="preserve">Proportion of Subjects with </w:t>
      </w:r>
      <w:r w:rsidR="00604B45">
        <w:t xml:space="preserve">&gt; </w:t>
      </w:r>
      <w:r w:rsidRPr="00911A18">
        <w:t xml:space="preserve">33% Reduction in Mean </w:t>
      </w:r>
      <w:r w:rsidR="00DF3E8B">
        <w:t>Number of Nocturnal Voids (FAS).</w:t>
      </w:r>
      <w:proofErr w:type="gramEnd"/>
    </w:p>
    <w:p w14:paraId="1266383F" w14:textId="77777777" w:rsidR="00911A18" w:rsidRDefault="00911A18" w:rsidP="00730774">
      <w:r w:rsidRPr="00911A18">
        <w:t xml:space="preserve">The study report presents the second co-primary endpoint as an odds ratio of the 33% responder status for desmopressin </w:t>
      </w:r>
      <w:r w:rsidR="00E87BB3">
        <w:t>versus</w:t>
      </w:r>
      <w:r w:rsidRPr="00911A18">
        <w:t xml:space="preserve"> placebo,</w:t>
      </w:r>
      <w:r w:rsidR="0080062E">
        <w:t xml:space="preserve"> averaged over a 3 </w:t>
      </w:r>
      <w:r w:rsidR="00DF3E8B">
        <w:t>month period (Table 15).</w:t>
      </w:r>
    </w:p>
    <w:p w14:paraId="768881C1" w14:textId="56A014CC" w:rsidR="00911A18" w:rsidRDefault="00DF3E8B" w:rsidP="00730774">
      <w:pPr>
        <w:pStyle w:val="Tabletitle"/>
      </w:pPr>
      <w:r>
        <w:t xml:space="preserve">Table 15: </w:t>
      </w:r>
      <w:r w:rsidR="00A31FA7">
        <w:t xml:space="preserve">Study CS40 </w:t>
      </w:r>
      <w:r w:rsidR="00C227BD" w:rsidRPr="00730774">
        <w:t>odds</w:t>
      </w:r>
      <w:r w:rsidR="00C227BD" w:rsidRPr="00A31FA7">
        <w:t xml:space="preserve"> ratio of 33% responder status, desmopressin versus placebo, averaged</w:t>
      </w:r>
      <w:r w:rsidR="00C227BD">
        <w:t xml:space="preserve"> over a 3 </w:t>
      </w:r>
      <w:r w:rsidR="00C227BD" w:rsidRPr="00A31FA7">
        <w:t xml:space="preserve">month period </w:t>
      </w:r>
      <w:r w:rsidR="00A31FA7" w:rsidRPr="00A31FA7">
        <w:t>(Full Analysis Set)</w:t>
      </w:r>
      <w:r w:rsidR="00911A18">
        <w:rPr>
          <w:noProof/>
          <w:lang w:eastAsia="en-AU"/>
        </w:rPr>
        <w:drawing>
          <wp:inline distT="0" distB="0" distL="0" distR="0" wp14:anchorId="4200E1C2" wp14:editId="00088C70">
            <wp:extent cx="5731510" cy="737258"/>
            <wp:effectExtent l="0" t="0" r="2540" b="5715"/>
            <wp:docPr id="14" name="Picture 14" descr="Table 15: Study CS40 odds ratio of 33% responder status, desmopressin versus placebo, averaged over a 3 month period (Full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737258"/>
                    </a:xfrm>
                    <a:prstGeom prst="rect">
                      <a:avLst/>
                    </a:prstGeom>
                  </pic:spPr>
                </pic:pic>
              </a:graphicData>
            </a:graphic>
          </wp:inline>
        </w:drawing>
      </w:r>
    </w:p>
    <w:p w14:paraId="6DE6C425" w14:textId="77777777" w:rsidR="00D578E9" w:rsidRDefault="00911A18" w:rsidP="00730774">
      <w:r w:rsidRPr="00911A18">
        <w:t>Note: GEE Method for 33% responder status at Week 1, Month 1, Month 2, and Month 3, adjusted for age (</w:t>
      </w:r>
      <w:r w:rsidR="00604B45">
        <w:t xml:space="preserve">&lt; </w:t>
      </w:r>
      <w:r w:rsidRPr="00911A18">
        <w:t xml:space="preserve">65, </w:t>
      </w:r>
      <w:r w:rsidR="00094728">
        <w:t xml:space="preserve">≥ </w:t>
      </w:r>
      <w:r w:rsidRPr="00911A18">
        <w:t>65 years), visit, baseline nocturnal voids</w:t>
      </w:r>
      <w:r w:rsidR="00D578E9">
        <w:t>.</w:t>
      </w:r>
    </w:p>
    <w:p w14:paraId="48FFA32C" w14:textId="77777777" w:rsidR="00911A18" w:rsidRDefault="00911A18" w:rsidP="00730774">
      <w:r w:rsidRPr="00911A18">
        <w:t>The reporting of odds ratios rather than risk ratios can</w:t>
      </w:r>
      <w:r w:rsidR="00A31FA7">
        <w:t xml:space="preserve"> be misleading to some readers.</w:t>
      </w:r>
    </w:p>
    <w:p w14:paraId="12239FD6" w14:textId="77777777" w:rsidR="00DF3E8B" w:rsidRPr="00A31FA7" w:rsidRDefault="00DF3E8B" w:rsidP="00730774">
      <w:pPr>
        <w:pStyle w:val="FigureTitle"/>
      </w:pPr>
      <w:r>
        <w:rPr>
          <w:noProof/>
          <w:lang w:eastAsia="en-AU"/>
        </w:rPr>
        <w:lastRenderedPageBreak/>
        <w:t xml:space="preserve">Figure 4: </w:t>
      </w:r>
      <w:r w:rsidR="00A31FA7">
        <w:rPr>
          <w:noProof/>
          <w:lang w:eastAsia="en-AU"/>
        </w:rPr>
        <w:t xml:space="preserve">Study CS40; </w:t>
      </w:r>
      <w:r w:rsidR="00A31FA7" w:rsidRPr="00A31FA7">
        <w:t xml:space="preserve">Adjusted 33% Responder Rates by Treatment Group and Visit (Full </w:t>
      </w:r>
      <w:r w:rsidR="00A31FA7" w:rsidRPr="00730774">
        <w:t>Analysis</w:t>
      </w:r>
      <w:r w:rsidR="00A31FA7">
        <w:t xml:space="preserve"> </w:t>
      </w:r>
      <w:r w:rsidR="00A31FA7" w:rsidRPr="00A31FA7">
        <w:t>Set)</w:t>
      </w:r>
    </w:p>
    <w:p w14:paraId="7BB787D7" w14:textId="77777777" w:rsidR="00911A18" w:rsidRDefault="00A31FA7" w:rsidP="006C2B44">
      <w:r>
        <w:rPr>
          <w:noProof/>
          <w:lang w:eastAsia="en-AU"/>
        </w:rPr>
        <w:drawing>
          <wp:inline distT="0" distB="0" distL="0" distR="0" wp14:anchorId="0AFB30A9" wp14:editId="2C35F3DB">
            <wp:extent cx="5076967" cy="3401568"/>
            <wp:effectExtent l="0" t="0" r="0" b="8890"/>
            <wp:docPr id="61" name="Picture 61" descr="Figure 4: Study CS40; Adjusted 33% Responder Rates by Treatment Group and Visi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81215" cy="3404414"/>
                    </a:xfrm>
                    <a:prstGeom prst="rect">
                      <a:avLst/>
                    </a:prstGeom>
                  </pic:spPr>
                </pic:pic>
              </a:graphicData>
            </a:graphic>
          </wp:inline>
        </w:drawing>
      </w:r>
    </w:p>
    <w:p w14:paraId="4AE33EA9" w14:textId="77777777" w:rsidR="00911A18" w:rsidRPr="00911A18" w:rsidRDefault="00DF3E8B" w:rsidP="00911A18">
      <w:pPr>
        <w:pStyle w:val="Heading6"/>
      </w:pPr>
      <w:r>
        <w:t>Selected secondary endpoints</w:t>
      </w:r>
    </w:p>
    <w:p w14:paraId="0AE7C778" w14:textId="0C9CF450" w:rsidR="00D578E9" w:rsidRDefault="00911A18" w:rsidP="00730774">
      <w:r w:rsidRPr="00911A18">
        <w:t>The secondary endpoints were tested in a pre-specified order. As only the first secondary endpoint reached statistical significance, it is the only secondary endpoint reported here</w:t>
      </w:r>
      <w:r w:rsidR="00D578E9">
        <w:t>.</w:t>
      </w:r>
    </w:p>
    <w:p w14:paraId="78DBF38C" w14:textId="77777777" w:rsidR="00911A18" w:rsidRDefault="00911A18" w:rsidP="00730774">
      <w:r w:rsidRPr="00911A18">
        <w:t>Change from Baseline in Mean Number of Nocturnal Voids at Month 3 favoured desmopressin using a Last Observation Carried Forwards (LOCF) approach.</w:t>
      </w:r>
    </w:p>
    <w:p w14:paraId="291B4177" w14:textId="1C6615E9" w:rsidR="00A31FA7" w:rsidRPr="00A31FA7" w:rsidRDefault="00A31FA7" w:rsidP="00A31FA7">
      <w:pPr>
        <w:pStyle w:val="Tabletitle"/>
      </w:pPr>
      <w:r w:rsidRPr="00A31FA7">
        <w:t xml:space="preserve">Table </w:t>
      </w:r>
      <w:r>
        <w:t xml:space="preserve">16: </w:t>
      </w:r>
      <w:r w:rsidRPr="00A31FA7">
        <w:t xml:space="preserve">Change from </w:t>
      </w:r>
      <w:r w:rsidR="00C227BD" w:rsidRPr="00A31FA7">
        <w:t>baseline in mean number of nocturnal voids a</w:t>
      </w:r>
      <w:r w:rsidRPr="00A31FA7">
        <w:t>t Month 3</w:t>
      </w:r>
      <w:r>
        <w:t xml:space="preserve"> </w:t>
      </w:r>
      <w:r w:rsidRPr="00A31FA7">
        <w:t>(Full Analysis Set)</w:t>
      </w:r>
    </w:p>
    <w:p w14:paraId="15AB3299" w14:textId="77777777" w:rsidR="00911A18" w:rsidRDefault="00A31FA7" w:rsidP="006C2B44">
      <w:r>
        <w:rPr>
          <w:noProof/>
          <w:lang w:eastAsia="en-AU"/>
        </w:rPr>
        <w:drawing>
          <wp:inline distT="0" distB="0" distL="0" distR="0" wp14:anchorId="7F62B0FB" wp14:editId="0E9707C2">
            <wp:extent cx="5731510" cy="938718"/>
            <wp:effectExtent l="0" t="0" r="2540" b="0"/>
            <wp:docPr id="62" name="Picture 62" descr="Table 16: Change from baseline in mean number of nocturnal voids at Month 3 (Full Analysis S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938718"/>
                    </a:xfrm>
                    <a:prstGeom prst="rect">
                      <a:avLst/>
                    </a:prstGeom>
                  </pic:spPr>
                </pic:pic>
              </a:graphicData>
            </a:graphic>
          </wp:inline>
        </w:drawing>
      </w:r>
    </w:p>
    <w:p w14:paraId="63C0CC2E" w14:textId="77777777" w:rsidR="00911A18" w:rsidRPr="00911A18" w:rsidRDefault="00911A18" w:rsidP="00911A18">
      <w:pPr>
        <w:pStyle w:val="Heading6"/>
      </w:pPr>
      <w:r w:rsidRPr="00911A18">
        <w:t xml:space="preserve">Subgroup analysis </w:t>
      </w:r>
      <w:r w:rsidR="0080062E">
        <w:t>by age for co-primary endpoints</w:t>
      </w:r>
    </w:p>
    <w:p w14:paraId="7665EE2E" w14:textId="77777777" w:rsidR="00911A18" w:rsidRDefault="00911A18" w:rsidP="00911A18">
      <w:r w:rsidRPr="00911A18">
        <w:t>The first co-primary endpoint was change from baseline in mean number of nocturnal voids. Randomisation was stratified by age (</w:t>
      </w:r>
      <w:r w:rsidR="00604B45">
        <w:t xml:space="preserve">&lt; </w:t>
      </w:r>
      <w:r w:rsidRPr="00911A18">
        <w:t xml:space="preserve">65 years / </w:t>
      </w:r>
      <w:r w:rsidR="00094728">
        <w:t xml:space="preserve">≥ </w:t>
      </w:r>
      <w:r w:rsidRPr="00911A18">
        <w:t>65 years) and a post-hoc subgroup analysis showed potential differences in treatment effects based on age (</w:t>
      </w:r>
      <w:r w:rsidR="008F4B00">
        <w:t>from T</w:t>
      </w:r>
      <w:r w:rsidRPr="00911A18">
        <w:t xml:space="preserve">able 6.4.19; </w:t>
      </w:r>
      <w:proofErr w:type="spellStart"/>
      <w:r w:rsidRPr="00911A18">
        <w:t>EoT</w:t>
      </w:r>
      <w:proofErr w:type="spellEnd"/>
      <w:r w:rsidRPr="00911A18">
        <w:t xml:space="preserve"> tables </w:t>
      </w:r>
      <w:r w:rsidR="008F4B00">
        <w:t>CSR</w:t>
      </w:r>
      <w:r w:rsidRPr="00911A18">
        <w:t>):</w:t>
      </w:r>
    </w:p>
    <w:p w14:paraId="3F6F4303" w14:textId="2570EFAA" w:rsidR="008F4B00" w:rsidRDefault="008F4B00" w:rsidP="008F4B00">
      <w:pPr>
        <w:pStyle w:val="Tabletitle"/>
      </w:pPr>
      <w:r>
        <w:lastRenderedPageBreak/>
        <w:t>Table 17: Stu</w:t>
      </w:r>
      <w:r w:rsidR="0080062E">
        <w:t xml:space="preserve">dy CS40; Subgroup </w:t>
      </w:r>
      <w:r w:rsidR="00C227BD">
        <w:t>analysis: age category by treatment interac</w:t>
      </w:r>
      <w:r>
        <w:t>tion - Full Analysis Set</w:t>
      </w:r>
    </w:p>
    <w:p w14:paraId="2A6A9DF0" w14:textId="77777777" w:rsidR="00911A18" w:rsidRDefault="00760656" w:rsidP="006C2B44">
      <w:r>
        <w:rPr>
          <w:noProof/>
          <w:lang w:eastAsia="en-AU"/>
        </w:rPr>
        <w:drawing>
          <wp:inline distT="0" distB="0" distL="0" distR="0" wp14:anchorId="2FD4452A" wp14:editId="3DF3DF1A">
            <wp:extent cx="5731510" cy="1532689"/>
            <wp:effectExtent l="0" t="0" r="2540" b="0"/>
            <wp:docPr id="63" name="Picture 63" descr="Table 17: Study CS40; Subgroup analysis: age category by treatment interaction -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1532689"/>
                    </a:xfrm>
                    <a:prstGeom prst="rect">
                      <a:avLst/>
                    </a:prstGeom>
                  </pic:spPr>
                </pic:pic>
              </a:graphicData>
            </a:graphic>
          </wp:inline>
        </w:drawing>
      </w:r>
    </w:p>
    <w:p w14:paraId="5739BD7A" w14:textId="77777777" w:rsidR="00911A18" w:rsidRDefault="00911A18" w:rsidP="00911A18">
      <w:r w:rsidRPr="00911A18">
        <w:t xml:space="preserve">The second co-primary endpoint was the proportion of subjects with </w:t>
      </w:r>
      <w:r w:rsidR="00604B45">
        <w:t xml:space="preserve">&gt; </w:t>
      </w:r>
      <w:r w:rsidRPr="00911A18">
        <w:t>33% reduction in mean number of nocturnal voids. A post-hoc subgroup analysis showed possible differences in treatment effects based on age (</w:t>
      </w:r>
      <w:r w:rsidR="00760656">
        <w:t>from T</w:t>
      </w:r>
      <w:r w:rsidRPr="00911A18">
        <w:t xml:space="preserve">able 6.4.33, </w:t>
      </w:r>
      <w:proofErr w:type="spellStart"/>
      <w:r w:rsidRPr="00911A18">
        <w:t>EoT</w:t>
      </w:r>
      <w:proofErr w:type="spellEnd"/>
      <w:r w:rsidRPr="00911A18">
        <w:t xml:space="preserve"> tables </w:t>
      </w:r>
      <w:r w:rsidR="00760656">
        <w:t>CSR).</w:t>
      </w:r>
    </w:p>
    <w:p w14:paraId="5D26E17D" w14:textId="351EA325" w:rsidR="00760656" w:rsidRPr="00760656" w:rsidRDefault="00760656" w:rsidP="00760656">
      <w:pPr>
        <w:pStyle w:val="Tabletitle"/>
      </w:pPr>
      <w:r>
        <w:t xml:space="preserve">Table 18: Study CS40; Subgroup </w:t>
      </w:r>
      <w:r w:rsidR="00C227BD">
        <w:t>analysis of 33% responder status: age category by treatment interaction -</w:t>
      </w:r>
      <w:r>
        <w:t xml:space="preserve"> Full Analysis Set</w:t>
      </w:r>
    </w:p>
    <w:p w14:paraId="37A54F07" w14:textId="77777777" w:rsidR="00911A18" w:rsidRDefault="00760656" w:rsidP="006C2B44">
      <w:r>
        <w:rPr>
          <w:noProof/>
          <w:lang w:eastAsia="en-AU"/>
        </w:rPr>
        <w:drawing>
          <wp:inline distT="0" distB="0" distL="0" distR="0" wp14:anchorId="06AB5F71" wp14:editId="1D1D9CD6">
            <wp:extent cx="5731510" cy="1553509"/>
            <wp:effectExtent l="0" t="0" r="2540" b="8890"/>
            <wp:docPr id="64" name="Picture 64" descr="Table 18: Study CS40; Subgroup analysis of 33% responder status: age category by treatment interaction -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1553509"/>
                    </a:xfrm>
                    <a:prstGeom prst="rect">
                      <a:avLst/>
                    </a:prstGeom>
                  </pic:spPr>
                </pic:pic>
              </a:graphicData>
            </a:graphic>
          </wp:inline>
        </w:drawing>
      </w:r>
    </w:p>
    <w:p w14:paraId="5BD5987B" w14:textId="77777777" w:rsidR="00911A18" w:rsidRPr="00911A18" w:rsidRDefault="00911A18" w:rsidP="00E410CE">
      <w:pPr>
        <w:pStyle w:val="Heading5"/>
      </w:pPr>
      <w:r w:rsidRPr="00911A18">
        <w:t>CS 41</w:t>
      </w:r>
    </w:p>
    <w:p w14:paraId="2C4797D4" w14:textId="77777777" w:rsidR="00911A18" w:rsidRPr="00911A18" w:rsidRDefault="00760656" w:rsidP="00E410CE">
      <w:r>
        <w:t>A multi</w:t>
      </w:r>
      <w:r w:rsidRPr="00911A18">
        <w:t xml:space="preserve">centre, randomised, </w:t>
      </w:r>
      <w:r>
        <w:t>double blind</w:t>
      </w:r>
      <w:r w:rsidRPr="00911A18">
        <w:t xml:space="preserve">, </w:t>
      </w:r>
      <w:r>
        <w:t>placebo controlled</w:t>
      </w:r>
      <w:r w:rsidRPr="00911A18">
        <w:t xml:space="preserve">, </w:t>
      </w:r>
      <w:r>
        <w:t>parallel group</w:t>
      </w:r>
      <w:r w:rsidRPr="00911A18">
        <w:t xml:space="preserve"> trial with an </w:t>
      </w:r>
      <w:r>
        <w:t>open label</w:t>
      </w:r>
      <w:r w:rsidRPr="00911A18">
        <w:t xml:space="preserve"> extension to demonstrate the efficacy and safety of desmopressin orally disintegrating tablet for the treat</w:t>
      </w:r>
      <w:r>
        <w:t>ment of nocturia in adult males.</w:t>
      </w:r>
    </w:p>
    <w:p w14:paraId="51985E21" w14:textId="77777777" w:rsidR="00911A18" w:rsidRPr="00911A18" w:rsidRDefault="00760656" w:rsidP="00E410CE">
      <w:r>
        <w:t>Duration of main phase: 15</w:t>
      </w:r>
      <w:r w:rsidR="00911A18" w:rsidRPr="00911A18">
        <w:t xml:space="preserve"> February, 2011 (first subject’s first visit) to 20 January, 2</w:t>
      </w:r>
      <w:r w:rsidR="00B61CB2">
        <w:t>012 (last subject’s last visit).</w:t>
      </w:r>
    </w:p>
    <w:p w14:paraId="5D600814" w14:textId="77777777" w:rsidR="00D578E9" w:rsidRDefault="00911A18" w:rsidP="00E410CE">
      <w:r w:rsidRPr="00911A18">
        <w:t>Participants: 56 sites were initiated in Canada and the US; 50 sites randomised subjects</w:t>
      </w:r>
      <w:r w:rsidR="00D578E9">
        <w:t>.</w:t>
      </w:r>
    </w:p>
    <w:p w14:paraId="4822DD47" w14:textId="77777777" w:rsidR="00911A18" w:rsidRPr="00911A18" w:rsidRDefault="00911A18" w:rsidP="00E410CE">
      <w:r w:rsidRPr="00911A18">
        <w:t>Study Design:</w:t>
      </w:r>
      <w:r w:rsidR="00B61CB2">
        <w:t xml:space="preserve"> </w:t>
      </w:r>
      <w:r w:rsidRPr="00911A18">
        <w:t xml:space="preserve">This trial was a randomised, </w:t>
      </w:r>
      <w:r w:rsidR="00EA2517">
        <w:t>double blind</w:t>
      </w:r>
      <w:r w:rsidRPr="00911A18">
        <w:t>ed parallel trial with two parts, stratified by age (</w:t>
      </w:r>
      <w:r w:rsidR="00604B45">
        <w:t xml:space="preserve">&lt; </w:t>
      </w:r>
      <w:r w:rsidRPr="00911A18">
        <w:t xml:space="preserve">65years, </w:t>
      </w:r>
      <w:r w:rsidR="00094728">
        <w:t xml:space="preserve">≥ </w:t>
      </w:r>
      <w:r w:rsidRPr="00911A18">
        <w:t>65 years).</w:t>
      </w:r>
    </w:p>
    <w:p w14:paraId="7C8FC9DA" w14:textId="77777777" w:rsidR="00911A18" w:rsidRDefault="00911A18" w:rsidP="00911A18">
      <w:pPr>
        <w:pStyle w:val="Heading6"/>
      </w:pPr>
      <w:r>
        <w:t>Inclusion and exclusion criteria</w:t>
      </w:r>
    </w:p>
    <w:p w14:paraId="333FA0F7" w14:textId="30B853BD" w:rsidR="00911A18" w:rsidRPr="00911A18" w:rsidRDefault="00E410CE" w:rsidP="00730774">
      <w:pPr>
        <w:pStyle w:val="Heading7"/>
      </w:pPr>
      <w:r>
        <w:t>Selected i</w:t>
      </w:r>
      <w:r w:rsidR="00B61CB2">
        <w:t>nclusion criteria</w:t>
      </w:r>
    </w:p>
    <w:p w14:paraId="2B0EE572" w14:textId="77777777" w:rsidR="00911A18" w:rsidRPr="00E410CE" w:rsidRDefault="00911A18" w:rsidP="00E410CE">
      <w:pPr>
        <w:pStyle w:val="ListBullet"/>
      </w:pPr>
      <w:r w:rsidRPr="00E410CE">
        <w:t xml:space="preserve">Male and </w:t>
      </w:r>
      <w:r w:rsidR="00094728" w:rsidRPr="00E410CE">
        <w:t xml:space="preserve">≥ </w:t>
      </w:r>
      <w:r w:rsidR="00B61CB2" w:rsidRPr="00E410CE">
        <w:t>18 years of age</w:t>
      </w:r>
    </w:p>
    <w:p w14:paraId="7585055A" w14:textId="77777777" w:rsidR="00911A18" w:rsidRPr="00E410CE" w:rsidRDefault="00911A18" w:rsidP="00E410CE">
      <w:pPr>
        <w:pStyle w:val="ListBullet"/>
      </w:pPr>
      <w:r w:rsidRPr="00E410CE">
        <w:t xml:space="preserve">At least 2 nocturnal voids every night in a consecutive </w:t>
      </w:r>
      <w:r w:rsidR="00B61CB2" w:rsidRPr="00E410CE">
        <w:t>3 day</w:t>
      </w:r>
      <w:r w:rsidRPr="00E410CE">
        <w:t xml:space="preserve"> per</w:t>
      </w:r>
      <w:r w:rsidR="00B61CB2" w:rsidRPr="00E410CE">
        <w:t>iod during the screening period</w:t>
      </w:r>
    </w:p>
    <w:p w14:paraId="0B2B3DB7" w14:textId="1FB13C38" w:rsidR="007106D4" w:rsidRPr="007106D4" w:rsidRDefault="007106D4" w:rsidP="00E410CE">
      <w:pPr>
        <w:pStyle w:val="Heading7"/>
        <w:rPr>
          <w:rFonts w:eastAsiaTheme="minorHAnsi"/>
        </w:rPr>
      </w:pPr>
      <w:r w:rsidRPr="007106D4">
        <w:rPr>
          <w:rFonts w:eastAsiaTheme="minorHAnsi"/>
        </w:rPr>
        <w:t xml:space="preserve">Selected </w:t>
      </w:r>
      <w:r w:rsidR="00E410CE">
        <w:rPr>
          <w:rFonts w:eastAsiaTheme="minorHAnsi"/>
        </w:rPr>
        <w:t>exclusion criteria</w:t>
      </w:r>
    </w:p>
    <w:p w14:paraId="14EB5E3D" w14:textId="77777777" w:rsidR="007106D4" w:rsidRPr="00E410CE" w:rsidRDefault="007106D4" w:rsidP="00E410CE">
      <w:pPr>
        <w:pStyle w:val="ListBullet"/>
      </w:pPr>
      <w:r w:rsidRPr="00E410CE">
        <w:t>Evidence of severe daytime voiding dysfunct</w:t>
      </w:r>
      <w:r w:rsidR="00B61CB2" w:rsidRPr="00E410CE">
        <w:t>ion (protocol defined criteria)</w:t>
      </w:r>
    </w:p>
    <w:p w14:paraId="248B0BF3" w14:textId="77777777" w:rsidR="007106D4" w:rsidRPr="00E410CE" w:rsidRDefault="00B61CB2" w:rsidP="00E410CE">
      <w:pPr>
        <w:pStyle w:val="ListBullet"/>
      </w:pPr>
      <w:r w:rsidRPr="00E410CE">
        <w:t>Interstitial cystitis</w:t>
      </w:r>
    </w:p>
    <w:p w14:paraId="05562F30" w14:textId="77777777" w:rsidR="007106D4" w:rsidRPr="007106D4" w:rsidRDefault="007106D4" w:rsidP="00E410CE">
      <w:pPr>
        <w:pStyle w:val="ListBullet"/>
      </w:pPr>
      <w:r w:rsidRPr="00E410CE">
        <w:t>Chronic prostatit</w:t>
      </w:r>
      <w:r w:rsidR="00B61CB2" w:rsidRPr="00E410CE">
        <w:t>is</w:t>
      </w:r>
      <w:r w:rsidR="00B61CB2">
        <w:t>/chronic pelvic pain syndrome</w:t>
      </w:r>
    </w:p>
    <w:p w14:paraId="565D09F8" w14:textId="77777777" w:rsidR="007106D4" w:rsidRPr="00E410CE" w:rsidRDefault="007106D4" w:rsidP="00E410CE">
      <w:pPr>
        <w:pStyle w:val="ListBullet"/>
      </w:pPr>
      <w:r w:rsidRPr="007106D4">
        <w:lastRenderedPageBreak/>
        <w:t xml:space="preserve">Suspicion of bladder outlet obstruction (BOO) or urine flow </w:t>
      </w:r>
      <w:r w:rsidR="00604B45">
        <w:t xml:space="preserve">&lt; </w:t>
      </w:r>
      <w:r w:rsidRPr="007106D4">
        <w:t>5 mL/s</w:t>
      </w:r>
      <w:r w:rsidR="00B61CB2">
        <w:t xml:space="preserve">ec as confirmed by </w:t>
      </w:r>
      <w:proofErr w:type="spellStart"/>
      <w:r w:rsidR="00B61CB2" w:rsidRPr="00E410CE">
        <w:t>uroflowmetry</w:t>
      </w:r>
      <w:proofErr w:type="spellEnd"/>
    </w:p>
    <w:p w14:paraId="4A545E83" w14:textId="77777777" w:rsidR="00911A18" w:rsidRPr="00E410CE" w:rsidRDefault="007106D4" w:rsidP="00E410CE">
      <w:pPr>
        <w:pStyle w:val="ListBullet"/>
      </w:pPr>
      <w:r w:rsidRPr="00E410CE">
        <w:t>Surgical treatment, including transurethral resection, for BOO or benign prostatic hyperplasia (BPH) within the past 6 months</w:t>
      </w:r>
    </w:p>
    <w:p w14:paraId="21BAA541" w14:textId="77777777" w:rsidR="007106D4" w:rsidRPr="00E410CE" w:rsidRDefault="007106D4" w:rsidP="00E410CE">
      <w:pPr>
        <w:pStyle w:val="ListBullet"/>
      </w:pPr>
      <w:r w:rsidRPr="00E410CE">
        <w:t>Urinary retention or a post void resi</w:t>
      </w:r>
      <w:r w:rsidR="00B61CB2" w:rsidRPr="00E410CE">
        <w:t>dual volume in excess of 250 ml</w:t>
      </w:r>
    </w:p>
    <w:p w14:paraId="1062640A" w14:textId="77777777" w:rsidR="007106D4" w:rsidRPr="00E410CE" w:rsidRDefault="007106D4" w:rsidP="00E410CE">
      <w:pPr>
        <w:pStyle w:val="ListBullet"/>
      </w:pPr>
      <w:r w:rsidRPr="00E410CE">
        <w:t>Hab</w:t>
      </w:r>
      <w:r w:rsidR="00B61CB2" w:rsidRPr="00E410CE">
        <w:t>itual or psychogenic polydipsia</w:t>
      </w:r>
    </w:p>
    <w:p w14:paraId="29A49AAB" w14:textId="77777777" w:rsidR="007106D4" w:rsidRPr="00E410CE" w:rsidRDefault="007106D4" w:rsidP="00E410CE">
      <w:pPr>
        <w:pStyle w:val="ListBullet"/>
      </w:pPr>
      <w:r w:rsidRPr="00E410CE">
        <w:t>Central or</w:t>
      </w:r>
      <w:r w:rsidR="00B61CB2" w:rsidRPr="00E410CE">
        <w:t xml:space="preserve"> nephrogenic diabetes insipidus</w:t>
      </w:r>
    </w:p>
    <w:p w14:paraId="2ACE4D17" w14:textId="77777777" w:rsidR="007106D4" w:rsidRPr="00E410CE" w:rsidRDefault="007106D4" w:rsidP="00E410CE">
      <w:pPr>
        <w:pStyle w:val="ListBullet"/>
      </w:pPr>
      <w:r w:rsidRPr="00E410CE">
        <w:t>Syndrome of inap</w:t>
      </w:r>
      <w:r w:rsidR="00B61CB2" w:rsidRPr="00E410CE">
        <w:t>propriate anti-diuretic hormone</w:t>
      </w:r>
    </w:p>
    <w:p w14:paraId="47704352" w14:textId="77777777" w:rsidR="007106D4" w:rsidRPr="00E410CE" w:rsidRDefault="007106D4" w:rsidP="00E410CE">
      <w:pPr>
        <w:pStyle w:val="ListBullet"/>
      </w:pPr>
      <w:r w:rsidRPr="00E410CE">
        <w:t>Current or a h</w:t>
      </w:r>
      <w:r w:rsidR="00B61CB2" w:rsidRPr="00E410CE">
        <w:t>istory of urologic malignancies</w:t>
      </w:r>
    </w:p>
    <w:p w14:paraId="38D38412" w14:textId="77777777" w:rsidR="007106D4" w:rsidRPr="00E410CE" w:rsidRDefault="00B61CB2" w:rsidP="00E410CE">
      <w:pPr>
        <w:pStyle w:val="ListBullet"/>
      </w:pPr>
      <w:r w:rsidRPr="00E410CE">
        <w:t>Genitourinary tract pathology</w:t>
      </w:r>
    </w:p>
    <w:p w14:paraId="257E73DE" w14:textId="77777777" w:rsidR="007106D4" w:rsidRPr="00E410CE" w:rsidRDefault="007106D4" w:rsidP="00E410CE">
      <w:pPr>
        <w:pStyle w:val="ListBullet"/>
      </w:pPr>
      <w:r w:rsidRPr="00E410CE">
        <w:t>Neurogenic detrusor a</w:t>
      </w:r>
      <w:r w:rsidR="00B61CB2" w:rsidRPr="00E410CE">
        <w:t>ctivity (detrusor overactivity)</w:t>
      </w:r>
    </w:p>
    <w:p w14:paraId="7F2FD081" w14:textId="77777777" w:rsidR="007106D4" w:rsidRPr="00E410CE" w:rsidRDefault="007106D4" w:rsidP="00E410CE">
      <w:pPr>
        <w:pStyle w:val="ListBullet"/>
      </w:pPr>
      <w:r w:rsidRPr="00E410CE">
        <w:t>Suspicion</w:t>
      </w:r>
      <w:r w:rsidR="00B61CB2" w:rsidRPr="00E410CE">
        <w:t xml:space="preserve"> or evidence of cardiac failure</w:t>
      </w:r>
    </w:p>
    <w:p w14:paraId="685EE24B" w14:textId="77777777" w:rsidR="007106D4" w:rsidRPr="00E410CE" w:rsidRDefault="00B61CB2" w:rsidP="00E410CE">
      <w:pPr>
        <w:pStyle w:val="ListBullet"/>
      </w:pPr>
      <w:r w:rsidRPr="00E410CE">
        <w:t>Uncontrolled hypertension</w:t>
      </w:r>
    </w:p>
    <w:p w14:paraId="1B1C33C9" w14:textId="77777777" w:rsidR="007106D4" w:rsidRPr="00E410CE" w:rsidRDefault="007106D4" w:rsidP="00E410CE">
      <w:pPr>
        <w:pStyle w:val="ListBullet"/>
      </w:pPr>
      <w:r w:rsidRPr="00E410CE">
        <w:t>Uncontrolled diabet</w:t>
      </w:r>
      <w:r w:rsidR="00B61CB2" w:rsidRPr="00E410CE">
        <w:t>es mellitus</w:t>
      </w:r>
    </w:p>
    <w:p w14:paraId="23FB6603" w14:textId="77777777" w:rsidR="007106D4" w:rsidRPr="00E410CE" w:rsidRDefault="007106D4" w:rsidP="00E410CE">
      <w:pPr>
        <w:pStyle w:val="ListBullet"/>
      </w:pPr>
      <w:r w:rsidRPr="00E410CE">
        <w:t xml:space="preserve">Hyponatremia (Serum sodium level must </w:t>
      </w:r>
      <w:r w:rsidR="00B61CB2" w:rsidRPr="00E410CE">
        <w:t>have been within normal limits)</w:t>
      </w:r>
    </w:p>
    <w:p w14:paraId="7E853935" w14:textId="77777777" w:rsidR="007106D4" w:rsidRPr="00E410CE" w:rsidRDefault="007106D4" w:rsidP="00E410CE">
      <w:pPr>
        <w:pStyle w:val="ListBullet"/>
      </w:pPr>
      <w:r w:rsidRPr="00E410CE">
        <w:t>Renal insufficiency (ac</w:t>
      </w:r>
      <w:r w:rsidR="00B61CB2" w:rsidRPr="00E410CE">
        <w:t>cording to protocol definition)</w:t>
      </w:r>
    </w:p>
    <w:p w14:paraId="57F0A854" w14:textId="77777777" w:rsidR="007106D4" w:rsidRPr="00E410CE" w:rsidRDefault="007106D4" w:rsidP="00E410CE">
      <w:pPr>
        <w:pStyle w:val="ListBullet"/>
      </w:pPr>
      <w:r w:rsidRPr="00E410CE">
        <w:t>Hepatic and/or biliary diseases (ac</w:t>
      </w:r>
      <w:r w:rsidR="00B61CB2" w:rsidRPr="00E410CE">
        <w:t>cording to protocol definition)</w:t>
      </w:r>
    </w:p>
    <w:p w14:paraId="467684F1" w14:textId="77777777" w:rsidR="007106D4" w:rsidRPr="00E410CE" w:rsidRDefault="007106D4" w:rsidP="00E410CE">
      <w:pPr>
        <w:pStyle w:val="ListBullet"/>
      </w:pPr>
      <w:r w:rsidRPr="00E410CE">
        <w:t>Hist</w:t>
      </w:r>
      <w:r w:rsidR="00B61CB2" w:rsidRPr="00E410CE">
        <w:t>ory of obstructive sleep apnoea</w:t>
      </w:r>
    </w:p>
    <w:p w14:paraId="4BD6F701" w14:textId="77777777" w:rsidR="007106D4" w:rsidRPr="00E410CE" w:rsidRDefault="007106D4" w:rsidP="00E410CE">
      <w:pPr>
        <w:pStyle w:val="ListBullet"/>
      </w:pPr>
      <w:r w:rsidRPr="00E410CE">
        <w:t>Previous desm</w:t>
      </w:r>
      <w:r w:rsidR="00B61CB2" w:rsidRPr="00E410CE">
        <w:t xml:space="preserve">opressin treatment for </w:t>
      </w:r>
      <w:proofErr w:type="spellStart"/>
      <w:r w:rsidR="00B61CB2" w:rsidRPr="00E410CE">
        <w:t>nocturia</w:t>
      </w:r>
      <w:proofErr w:type="spellEnd"/>
    </w:p>
    <w:p w14:paraId="10CEB8F5" w14:textId="77777777" w:rsidR="007106D4" w:rsidRPr="00E410CE" w:rsidRDefault="007106D4" w:rsidP="00E410CE">
      <w:pPr>
        <w:pStyle w:val="ListBullet"/>
      </w:pPr>
      <w:r w:rsidRPr="00E410CE">
        <w:t>Treatment with another investigational prod</w:t>
      </w:r>
      <w:r w:rsidR="00B61CB2" w:rsidRPr="00E410CE">
        <w:t>uct 3 months prior to screening</w:t>
      </w:r>
    </w:p>
    <w:p w14:paraId="659A4F71" w14:textId="77777777" w:rsidR="007106D4" w:rsidRPr="00E410CE" w:rsidRDefault="007106D4" w:rsidP="00E410CE">
      <w:pPr>
        <w:pStyle w:val="ListBullet"/>
      </w:pPr>
      <w:r w:rsidRPr="00E410CE">
        <w:t xml:space="preserve">Concomitant treatment </w:t>
      </w:r>
      <w:r w:rsidR="00B61CB2" w:rsidRPr="00E410CE">
        <w:t>with any prohibited medication;</w:t>
      </w:r>
      <w:r w:rsidRPr="00E410CE">
        <w:t xml:space="preserve"> </w:t>
      </w:r>
      <w:r w:rsidR="00094728" w:rsidRPr="00E410CE">
        <w:t>for example</w:t>
      </w:r>
      <w:r w:rsidRPr="00E410CE">
        <w:t xml:space="preserve"> loop diuretics. Some specific medications were allowed if the subject had been on a stable dose for the 3 mont</w:t>
      </w:r>
      <w:r w:rsidR="00B61CB2" w:rsidRPr="00E410CE">
        <w:t>hs prior to the screening date;</w:t>
      </w:r>
      <w:r w:rsidRPr="00E410CE">
        <w:t xml:space="preserve"> see </w:t>
      </w:r>
      <w:r w:rsidR="00B61CB2" w:rsidRPr="00E410CE">
        <w:t>CSR</w:t>
      </w:r>
      <w:r w:rsidRPr="00E410CE">
        <w:t xml:space="preserve"> for specific medications</w:t>
      </w:r>
      <w:r w:rsidR="00B61CB2" w:rsidRPr="00E410CE">
        <w:t>; alpha-blockers, 5</w:t>
      </w:r>
      <w:r w:rsidR="00B61CB2" w:rsidRPr="00E410CE">
        <w:noBreakHyphen/>
      </w:r>
      <w:r w:rsidRPr="00E410CE">
        <w:t xml:space="preserve">alphareductase inhibitors, </w:t>
      </w:r>
      <w:proofErr w:type="spellStart"/>
      <w:r w:rsidRPr="00E410CE">
        <w:t>antimuscarinic</w:t>
      </w:r>
      <w:proofErr w:type="spellEnd"/>
      <w:r w:rsidRPr="00E410CE">
        <w:t xml:space="preserve"> therapy for overactive bladder, sedative/hypnotic medications, Selective </w:t>
      </w:r>
      <w:proofErr w:type="spellStart"/>
      <w:r w:rsidRPr="00E410CE">
        <w:t>serotionin</w:t>
      </w:r>
      <w:proofErr w:type="spellEnd"/>
      <w:r w:rsidRPr="00E410CE">
        <w:t xml:space="preserve"> r</w:t>
      </w:r>
      <w:r w:rsidR="00B61CB2" w:rsidRPr="00E410CE">
        <w:t>euptake inhibitors (SSRIs), non</w:t>
      </w:r>
      <w:r w:rsidR="00B61CB2" w:rsidRPr="00E410CE">
        <w:noBreakHyphen/>
      </w:r>
      <w:r w:rsidRPr="00E410CE">
        <w:t xml:space="preserve">steroidal anti-inflammatory agents (NSAIDs), </w:t>
      </w:r>
      <w:proofErr w:type="spellStart"/>
      <w:r w:rsidRPr="00E410CE">
        <w:t>chlorpropamide</w:t>
      </w:r>
      <w:proofErr w:type="spellEnd"/>
      <w:r w:rsidRPr="00E410CE">
        <w:t>, carbamazepine, amiodarone, sil</w:t>
      </w:r>
      <w:r w:rsidR="00B61CB2" w:rsidRPr="00E410CE">
        <w:t>denafil under strict conditions</w:t>
      </w:r>
    </w:p>
    <w:p w14:paraId="6BE683FB" w14:textId="77777777" w:rsidR="007106D4" w:rsidRPr="00E410CE" w:rsidRDefault="007106D4" w:rsidP="00E410CE">
      <w:pPr>
        <w:pStyle w:val="ListBullet"/>
      </w:pPr>
      <w:r w:rsidRPr="00E410CE">
        <w:t>K</w:t>
      </w:r>
      <w:r w:rsidR="00B61CB2" w:rsidRPr="00E410CE">
        <w:t>nown alcohol or substance abuse</w:t>
      </w:r>
    </w:p>
    <w:p w14:paraId="05621D89" w14:textId="77777777" w:rsidR="00911A18" w:rsidRPr="007106D4" w:rsidRDefault="007106D4" w:rsidP="00E410CE">
      <w:pPr>
        <w:pStyle w:val="ListBullet"/>
      </w:pPr>
      <w:r w:rsidRPr="00E410CE">
        <w:t>Work or lifestyle that may have</w:t>
      </w:r>
      <w:r w:rsidRPr="007106D4">
        <w:t xml:space="preserve"> interfered with regular night</w:t>
      </w:r>
      <w:r w:rsidR="00B61CB2">
        <w:t xml:space="preserve"> time sleep</w:t>
      </w:r>
    </w:p>
    <w:p w14:paraId="2013D33C" w14:textId="77777777" w:rsidR="00911A18" w:rsidRDefault="007106D4" w:rsidP="007106D4">
      <w:pPr>
        <w:pStyle w:val="Heading6"/>
      </w:pPr>
      <w:r>
        <w:t>Treatments</w:t>
      </w:r>
    </w:p>
    <w:p w14:paraId="339B5CB2" w14:textId="77777777" w:rsidR="007106D4" w:rsidRDefault="00B61CB2" w:rsidP="00E410CE">
      <w:r>
        <w:t>Part 1:</w:t>
      </w:r>
    </w:p>
    <w:p w14:paraId="6A3FDF78" w14:textId="77777777" w:rsidR="007106D4" w:rsidRPr="00E410CE" w:rsidRDefault="007106D4" w:rsidP="00E410CE">
      <w:pPr>
        <w:pStyle w:val="ListBullet"/>
      </w:pPr>
      <w:r w:rsidRPr="00E410CE">
        <w:t xml:space="preserve">Desmopressin 50 </w:t>
      </w:r>
      <w:r w:rsidR="00604B45" w:rsidRPr="00E410CE">
        <w:t>µg</w:t>
      </w:r>
      <w:r w:rsidR="00B61CB2" w:rsidRPr="00E410CE">
        <w:t xml:space="preserve"> (double blinded)</w:t>
      </w:r>
    </w:p>
    <w:p w14:paraId="2F6CF163" w14:textId="77777777" w:rsidR="007106D4" w:rsidRPr="00E410CE" w:rsidRDefault="007106D4" w:rsidP="00E410CE">
      <w:pPr>
        <w:pStyle w:val="ListBullet"/>
      </w:pPr>
      <w:r w:rsidRPr="00E410CE">
        <w:t xml:space="preserve">Desmopressin 75 </w:t>
      </w:r>
      <w:r w:rsidR="00604B45" w:rsidRPr="00E410CE">
        <w:t>µg</w:t>
      </w:r>
      <w:r w:rsidR="00B61CB2" w:rsidRPr="00E410CE">
        <w:t xml:space="preserve"> (double blinded)</w:t>
      </w:r>
    </w:p>
    <w:p w14:paraId="017520EF" w14:textId="77777777" w:rsidR="007106D4" w:rsidRPr="00E410CE" w:rsidRDefault="00B61CB2" w:rsidP="00E410CE">
      <w:pPr>
        <w:pStyle w:val="ListBullet"/>
      </w:pPr>
      <w:r w:rsidRPr="00E410CE">
        <w:t>Placebo</w:t>
      </w:r>
    </w:p>
    <w:p w14:paraId="057D2C9F" w14:textId="77777777" w:rsidR="007106D4" w:rsidRPr="007106D4" w:rsidRDefault="00B61CB2" w:rsidP="00E410CE">
      <w:r>
        <w:t>Part 2:</w:t>
      </w:r>
    </w:p>
    <w:p w14:paraId="2E25814B" w14:textId="77777777" w:rsidR="007106D4" w:rsidRPr="007106D4" w:rsidRDefault="007106D4" w:rsidP="00E410CE">
      <w:r w:rsidRPr="007106D4">
        <w:t xml:space="preserve">Desmopressin 100 </w:t>
      </w:r>
      <w:r w:rsidR="00604B45">
        <w:t>µ</w:t>
      </w:r>
      <w:r w:rsidR="00604B45" w:rsidRPr="00D92CA8">
        <w:t>g</w:t>
      </w:r>
    </w:p>
    <w:p w14:paraId="6FDDDBB0" w14:textId="77777777" w:rsidR="00911A18" w:rsidRPr="007106D4" w:rsidRDefault="007106D4" w:rsidP="00E410CE">
      <w:r w:rsidRPr="007106D4">
        <w:t>Open label extension for safety</w:t>
      </w:r>
      <w:r w:rsidR="00B61CB2">
        <w:t xml:space="preserve"> evaluation (see Figure 5 below).</w:t>
      </w:r>
    </w:p>
    <w:p w14:paraId="2D41EDC1" w14:textId="77777777" w:rsidR="007106D4" w:rsidRPr="007106D4" w:rsidRDefault="00B61CB2" w:rsidP="007106D4">
      <w:pPr>
        <w:pStyle w:val="Heading6"/>
        <w:rPr>
          <w:rFonts w:ascii="Times New Roman" w:eastAsiaTheme="minorHAnsi" w:hAnsi="Times New Roman"/>
          <w:color w:val="000000"/>
          <w:sz w:val="18"/>
          <w:szCs w:val="18"/>
        </w:rPr>
      </w:pPr>
      <w:r>
        <w:rPr>
          <w:rFonts w:eastAsiaTheme="minorHAnsi"/>
        </w:rPr>
        <w:lastRenderedPageBreak/>
        <w:t>Endpoints</w:t>
      </w:r>
    </w:p>
    <w:p w14:paraId="554ADC41" w14:textId="77777777" w:rsidR="007106D4" w:rsidRPr="007106D4" w:rsidRDefault="00B61CB2" w:rsidP="00730774">
      <w:pPr>
        <w:pStyle w:val="Heading7"/>
        <w:rPr>
          <w:rFonts w:eastAsiaTheme="minorHAnsi"/>
        </w:rPr>
      </w:pPr>
      <w:r>
        <w:rPr>
          <w:rFonts w:eastAsiaTheme="minorHAnsi"/>
        </w:rPr>
        <w:t>Co – Primary endpoints</w:t>
      </w:r>
    </w:p>
    <w:p w14:paraId="33F08CF8" w14:textId="77777777" w:rsidR="007106D4" w:rsidRPr="007106D4" w:rsidRDefault="007106D4" w:rsidP="007106D4">
      <w:pPr>
        <w:pStyle w:val="ListBullet"/>
      </w:pPr>
      <w:r w:rsidRPr="007106D4">
        <w:t>Change in the mean number of nocturnal voids from baseline during 3 months of Treatment (analysed longitudina</w:t>
      </w:r>
      <w:r w:rsidR="00B61CB2">
        <w:t>lly over 3 months of treatment)</w:t>
      </w:r>
    </w:p>
    <w:p w14:paraId="2E5CDA64" w14:textId="77777777" w:rsidR="007106D4" w:rsidRPr="007106D4" w:rsidRDefault="007106D4" w:rsidP="007106D4">
      <w:pPr>
        <w:pStyle w:val="ListBullet"/>
      </w:pPr>
      <w:r w:rsidRPr="007106D4">
        <w:t>Proportion of subjects with at least a 33% reduction in the mean number of nocturnal voids from baseline during 3 months of treatment (analysed longitudina</w:t>
      </w:r>
      <w:r w:rsidR="00B61CB2">
        <w:t>lly over 3 months of treatment)</w:t>
      </w:r>
    </w:p>
    <w:p w14:paraId="3B32EF11" w14:textId="77777777" w:rsidR="007106D4" w:rsidRPr="007106D4" w:rsidRDefault="007106D4" w:rsidP="00730774">
      <w:pPr>
        <w:pStyle w:val="Heading7"/>
        <w:rPr>
          <w:rFonts w:eastAsiaTheme="minorHAnsi"/>
        </w:rPr>
      </w:pPr>
      <w:r w:rsidRPr="007106D4">
        <w:rPr>
          <w:rFonts w:eastAsiaTheme="minorHAnsi"/>
        </w:rPr>
        <w:t>Se</w:t>
      </w:r>
      <w:r w:rsidR="00B61CB2">
        <w:rPr>
          <w:rFonts w:eastAsiaTheme="minorHAnsi"/>
        </w:rPr>
        <w:t>condary (in hierarchical order)</w:t>
      </w:r>
    </w:p>
    <w:p w14:paraId="2C0A369E" w14:textId="77777777" w:rsidR="00D578E9" w:rsidRDefault="007106D4" w:rsidP="007106D4">
      <w:pPr>
        <w:pStyle w:val="ListBullet"/>
      </w:pPr>
      <w:r w:rsidRPr="007106D4">
        <w:t>Change in the mean number of nocturnal voids from baseline at Month 3 of treatment</w:t>
      </w:r>
    </w:p>
    <w:p w14:paraId="1EDE2444" w14:textId="77777777" w:rsidR="00D578E9" w:rsidRDefault="007106D4" w:rsidP="007106D4">
      <w:pPr>
        <w:pStyle w:val="ListBullet"/>
      </w:pPr>
      <w:r w:rsidRPr="007106D4">
        <w:t>Proportion of subjects with at least a 33% reduction in the mean number of voids from baseline at Month 3 of treatment</w:t>
      </w:r>
    </w:p>
    <w:p w14:paraId="4B220883" w14:textId="77777777" w:rsidR="00D578E9" w:rsidRDefault="007106D4" w:rsidP="007106D4">
      <w:pPr>
        <w:pStyle w:val="ListBullet"/>
      </w:pPr>
      <w:r w:rsidRPr="007106D4">
        <w:t>Mean time to first nocturnal void at Month 3</w:t>
      </w:r>
    </w:p>
    <w:p w14:paraId="73AD7230" w14:textId="77777777" w:rsidR="00D578E9" w:rsidRDefault="007106D4" w:rsidP="007106D4">
      <w:pPr>
        <w:pStyle w:val="ListBullet"/>
      </w:pPr>
      <w:r w:rsidRPr="007106D4">
        <w:t xml:space="preserve">Mean nocturnal urine volume and mean </w:t>
      </w:r>
      <w:r w:rsidR="00EA2517">
        <w:t>24 hour</w:t>
      </w:r>
      <w:r w:rsidRPr="007106D4">
        <w:t xml:space="preserve"> urine volume at Month 3</w:t>
      </w:r>
    </w:p>
    <w:p w14:paraId="60028B27" w14:textId="77777777" w:rsidR="007106D4" w:rsidRPr="007106D4" w:rsidRDefault="00B61CB2" w:rsidP="00730774">
      <w:pPr>
        <w:pStyle w:val="Heading7"/>
        <w:rPr>
          <w:rFonts w:eastAsiaTheme="minorHAnsi"/>
        </w:rPr>
      </w:pPr>
      <w:r>
        <w:rPr>
          <w:rFonts w:eastAsiaTheme="minorHAnsi"/>
        </w:rPr>
        <w:t>Exploratory</w:t>
      </w:r>
    </w:p>
    <w:p w14:paraId="5CA150C6" w14:textId="77777777" w:rsidR="007106D4" w:rsidRPr="007106D4" w:rsidRDefault="007106D4" w:rsidP="007106D4">
      <w:pPr>
        <w:pStyle w:val="ListBullet"/>
      </w:pPr>
      <w:r w:rsidRPr="007106D4">
        <w:t>A</w:t>
      </w:r>
      <w:r w:rsidR="00B61CB2">
        <w:t>dditional analyses of void data</w:t>
      </w:r>
    </w:p>
    <w:p w14:paraId="33A4B491" w14:textId="77777777" w:rsidR="00911A18" w:rsidRDefault="007106D4" w:rsidP="007106D4">
      <w:pPr>
        <w:pStyle w:val="ListBullet"/>
      </w:pPr>
      <w:r w:rsidRPr="007106D4">
        <w:t xml:space="preserve">Quality of life </w:t>
      </w:r>
    </w:p>
    <w:p w14:paraId="50AFE316" w14:textId="7C554F24" w:rsidR="007106D4" w:rsidRDefault="007106D4" w:rsidP="007106D4">
      <w:pPr>
        <w:pStyle w:val="FigureTitle"/>
      </w:pPr>
      <w:r>
        <w:t xml:space="preserve">Figure </w:t>
      </w:r>
      <w:r w:rsidR="00B61CB2">
        <w:t>5</w:t>
      </w:r>
      <w:r w:rsidR="001F53AC">
        <w:t>:</w:t>
      </w:r>
      <w:r w:rsidR="00B61CB2">
        <w:t xml:space="preserve"> Study CS41 Trial design</w:t>
      </w:r>
    </w:p>
    <w:p w14:paraId="06A7969E" w14:textId="77777777" w:rsidR="00911A18" w:rsidRDefault="00B61CB2" w:rsidP="00E410CE">
      <w:r>
        <w:rPr>
          <w:noProof/>
          <w:lang w:eastAsia="en-AU"/>
        </w:rPr>
        <w:drawing>
          <wp:inline distT="0" distB="0" distL="0" distR="0" wp14:anchorId="7CC147CD" wp14:editId="714E2A57">
            <wp:extent cx="5731510" cy="2626942"/>
            <wp:effectExtent l="0" t="0" r="2540" b="2540"/>
            <wp:docPr id="65" name="Picture 65" descr="Figure 5 Study CS41 Trial design&#10;Screening period; visit 1 within 21 days prior to Day 1 in Part 1&#10;Part 1: Visits 2 to 8  randomised subjects on either Desmopressin 50micrograms, 75 micrograms or placebo Treatment for 85 days&#10;Part II all subject treated with desmopressin 100 mirograms from Day 1 of this period until Day 29&#10;End of trial visist scheduled after 4 months o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2626942"/>
                    </a:xfrm>
                    <a:prstGeom prst="rect">
                      <a:avLst/>
                    </a:prstGeom>
                  </pic:spPr>
                </pic:pic>
              </a:graphicData>
            </a:graphic>
          </wp:inline>
        </w:drawing>
      </w:r>
    </w:p>
    <w:p w14:paraId="6649D3C8" w14:textId="77777777" w:rsidR="007106D4" w:rsidRPr="007106D4" w:rsidRDefault="00DA7DA2" w:rsidP="007106D4">
      <w:r>
        <w:t>Part I</w:t>
      </w:r>
      <w:r w:rsidR="007106D4" w:rsidRPr="007106D4">
        <w:t>: all efficacy assessments plus safety</w:t>
      </w:r>
    </w:p>
    <w:p w14:paraId="394E9C30" w14:textId="77777777" w:rsidR="007106D4" w:rsidRPr="007106D4" w:rsidRDefault="007106D4" w:rsidP="007106D4">
      <w:r w:rsidRPr="007106D4">
        <w:t>Pa</w:t>
      </w:r>
      <w:r w:rsidR="00DA7DA2">
        <w:t>rt II</w:t>
      </w:r>
      <w:r w:rsidR="00B61CB2">
        <w:t>: evaluation of safety only.</w:t>
      </w:r>
    </w:p>
    <w:p w14:paraId="17CAB2EF" w14:textId="77777777" w:rsidR="007106D4" w:rsidRPr="007106D4" w:rsidRDefault="007106D4" w:rsidP="007106D4">
      <w:pPr>
        <w:pStyle w:val="Heading6"/>
      </w:pPr>
      <w:r w:rsidRPr="007106D4">
        <w:t>Me</w:t>
      </w:r>
      <w:r w:rsidR="00B61CB2">
        <w:t>asurement of primary endpoints</w:t>
      </w:r>
    </w:p>
    <w:p w14:paraId="563F37F7" w14:textId="77777777" w:rsidR="00911A18" w:rsidRDefault="00B61CB2" w:rsidP="007106D4">
      <w:r w:rsidRPr="007106D4">
        <w:t>Me</w:t>
      </w:r>
      <w:r>
        <w:t xml:space="preserve">asurement of primary endpoint was </w:t>
      </w:r>
      <w:r w:rsidR="007106D4" w:rsidRPr="007106D4">
        <w:t>as for CS40</w:t>
      </w:r>
    </w:p>
    <w:p w14:paraId="5252E0F6" w14:textId="77777777" w:rsidR="00B61CB2" w:rsidRDefault="00B61CB2" w:rsidP="007106D4">
      <w:r w:rsidRPr="00B61CB2">
        <w:t>Minimal clinically important difference (MCID):</w:t>
      </w:r>
    </w:p>
    <w:p w14:paraId="508D1C3A" w14:textId="77777777" w:rsidR="00D578E9" w:rsidRDefault="007106D4" w:rsidP="007106D4">
      <w:r w:rsidRPr="007106D4">
        <w:t xml:space="preserve">For the sample size calculation, the MCID was specified as 0.3 and 0.2 mean nocturnal voids for 75 </w:t>
      </w:r>
      <w:r w:rsidR="00604B45">
        <w:t>µ</w:t>
      </w:r>
      <w:r w:rsidR="00604B45" w:rsidRPr="00D92CA8">
        <w:t>g</w:t>
      </w:r>
      <w:r w:rsidRPr="007106D4">
        <w:t xml:space="preserve"> group and 50 </w:t>
      </w:r>
      <w:r w:rsidR="00604B45">
        <w:t>µ</w:t>
      </w:r>
      <w:r w:rsidR="00604B45" w:rsidRPr="00D92CA8">
        <w:t>g</w:t>
      </w:r>
      <w:r w:rsidRPr="007106D4">
        <w:t xml:space="preserve"> group, respectively</w:t>
      </w:r>
      <w:r w:rsidR="00D578E9">
        <w:t>.</w:t>
      </w:r>
    </w:p>
    <w:p w14:paraId="5080B543" w14:textId="77777777" w:rsidR="007106D4" w:rsidRPr="007106D4" w:rsidRDefault="007106D4" w:rsidP="007106D4">
      <w:pPr>
        <w:pStyle w:val="Heading6"/>
      </w:pPr>
      <w:r w:rsidRPr="007106D4">
        <w:t>Disc</w:t>
      </w:r>
      <w:r w:rsidR="004B48CF">
        <w:t>ontinuations</w:t>
      </w:r>
    </w:p>
    <w:p w14:paraId="74B69D29" w14:textId="77777777" w:rsidR="00911A18" w:rsidRDefault="00206542" w:rsidP="00E410CE">
      <w:r>
        <w:t xml:space="preserve">Intent to </w:t>
      </w:r>
      <w:r w:rsidR="007106D4" w:rsidRPr="007106D4">
        <w:t>Treat (ITT) Analysis Set (all randomized subjects, regardless if they were exposed or not</w:t>
      </w:r>
      <w:r w:rsidR="007106D4">
        <w:t>)</w:t>
      </w:r>
    </w:p>
    <w:p w14:paraId="1CB81539" w14:textId="40F30A1D" w:rsidR="004B48CF" w:rsidRDefault="004B48CF" w:rsidP="004B48CF">
      <w:pPr>
        <w:pStyle w:val="Tabletitle"/>
      </w:pPr>
      <w:r>
        <w:lastRenderedPageBreak/>
        <w:t xml:space="preserve">Table 19: </w:t>
      </w:r>
      <w:r w:rsidRPr="004B48CF">
        <w:t xml:space="preserve">Study CS41 </w:t>
      </w:r>
      <w:r w:rsidR="00C227BD" w:rsidRPr="004B48CF">
        <w:t xml:space="preserve">subject disposition </w:t>
      </w:r>
      <w:r w:rsidRPr="004B48CF">
        <w:t>(ITT Analysis Set)</w:t>
      </w:r>
    </w:p>
    <w:p w14:paraId="5D12F1C3" w14:textId="77777777" w:rsidR="004B48CF" w:rsidRDefault="004B48CF" w:rsidP="007106D4">
      <w:r>
        <w:rPr>
          <w:noProof/>
          <w:lang w:eastAsia="en-AU"/>
        </w:rPr>
        <w:drawing>
          <wp:inline distT="0" distB="0" distL="0" distR="0" wp14:anchorId="11E0FF80" wp14:editId="5F630AE9">
            <wp:extent cx="5731510" cy="2506923"/>
            <wp:effectExtent l="0" t="0" r="2540" b="8255"/>
            <wp:docPr id="3" name="Picture 3" descr="Table 19: Study CS41 subject disposition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2506923"/>
                    </a:xfrm>
                    <a:prstGeom prst="rect">
                      <a:avLst/>
                    </a:prstGeom>
                  </pic:spPr>
                </pic:pic>
              </a:graphicData>
            </a:graphic>
          </wp:inline>
        </w:drawing>
      </w:r>
    </w:p>
    <w:p w14:paraId="3AD1BFAD" w14:textId="77777777" w:rsidR="007106D4" w:rsidRPr="007106D4" w:rsidRDefault="004B48CF" w:rsidP="004B48CF">
      <w:pPr>
        <w:pStyle w:val="Heading6"/>
      </w:pPr>
      <w:r>
        <w:t>Baseline characteristics</w:t>
      </w:r>
    </w:p>
    <w:p w14:paraId="1BB310AA" w14:textId="77777777" w:rsidR="00911A18" w:rsidRDefault="00DA7DA2" w:rsidP="007106D4">
      <w:r>
        <w:t>Part I</w:t>
      </w:r>
      <w:r w:rsidR="007106D4" w:rsidRPr="007106D4">
        <w:t xml:space="preserve"> (FAS)</w:t>
      </w:r>
    </w:p>
    <w:p w14:paraId="3F9301CE" w14:textId="6FCA0D1D" w:rsidR="004B48CF" w:rsidRDefault="004B48CF" w:rsidP="004B48CF">
      <w:pPr>
        <w:pStyle w:val="Tabletitle"/>
      </w:pPr>
      <w:r>
        <w:t xml:space="preserve">Table 19: Demographic </w:t>
      </w:r>
      <w:r w:rsidR="00C227BD">
        <w:t>c</w:t>
      </w:r>
      <w:r>
        <w:t xml:space="preserve">haracteristics (Full Analysis Set) </w:t>
      </w:r>
      <w:r>
        <w:rPr>
          <w:rFonts w:hint="eastAsia"/>
        </w:rPr>
        <w:t>–</w:t>
      </w:r>
      <w:r>
        <w:t xml:space="preserve"> Part I</w:t>
      </w:r>
    </w:p>
    <w:p w14:paraId="05B91095" w14:textId="77777777" w:rsidR="007106D4" w:rsidRDefault="004B48CF" w:rsidP="006C2B44">
      <w:r>
        <w:rPr>
          <w:noProof/>
          <w:lang w:eastAsia="en-AU"/>
        </w:rPr>
        <w:drawing>
          <wp:inline distT="0" distB="0" distL="0" distR="0" wp14:anchorId="17F2DE2D" wp14:editId="03D22FB1">
            <wp:extent cx="5731510" cy="1596372"/>
            <wp:effectExtent l="0" t="0" r="2540" b="4445"/>
            <wp:docPr id="9" name="Picture 9" descr="Table 19: Demographic characteristics (Full Analysis Set) – Part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1596372"/>
                    </a:xfrm>
                    <a:prstGeom prst="rect">
                      <a:avLst/>
                    </a:prstGeom>
                  </pic:spPr>
                </pic:pic>
              </a:graphicData>
            </a:graphic>
          </wp:inline>
        </w:drawing>
      </w:r>
    </w:p>
    <w:p w14:paraId="27BDE851" w14:textId="77777777" w:rsidR="00D578E9" w:rsidRDefault="007106D4" w:rsidP="00E410CE">
      <w:r w:rsidRPr="007106D4">
        <w:t>The arms were reasonably well balanced for most characteristics except for a sli</w:t>
      </w:r>
      <w:r w:rsidR="00DA7DA2">
        <w:t>ght imbalance for ethnic origin; on the desmopressin arms</w:t>
      </w:r>
      <w:r w:rsidRPr="007106D4">
        <w:t xml:space="preserve"> there were more patients of Hispanic/Latino origin (75 </w:t>
      </w:r>
      <w:r w:rsidR="00604B45">
        <w:t>µ</w:t>
      </w:r>
      <w:r w:rsidR="00604B45" w:rsidRPr="00D92CA8">
        <w:t>g</w:t>
      </w:r>
      <w:r w:rsidRPr="007106D4">
        <w:t xml:space="preserve"> 23% </w:t>
      </w:r>
      <w:r w:rsidR="00E87BB3">
        <w:t>versus</w:t>
      </w:r>
      <w:r w:rsidRPr="007106D4">
        <w:t xml:space="preserve"> 50 </w:t>
      </w:r>
      <w:r w:rsidR="00604B45">
        <w:t>µ</w:t>
      </w:r>
      <w:r w:rsidR="00604B45" w:rsidRPr="00D92CA8">
        <w:t>g</w:t>
      </w:r>
      <w:r w:rsidRPr="007106D4">
        <w:t xml:space="preserve"> 21% </w:t>
      </w:r>
      <w:r w:rsidR="00E87BB3">
        <w:t>versus</w:t>
      </w:r>
      <w:r w:rsidRPr="007106D4">
        <w:t xml:space="preserve"> placebo 14%)</w:t>
      </w:r>
      <w:r w:rsidR="00D578E9">
        <w:t>.</w:t>
      </w:r>
    </w:p>
    <w:p w14:paraId="3B862A24" w14:textId="77777777" w:rsidR="007106D4" w:rsidRDefault="00DA7DA2" w:rsidP="007106D4">
      <w:r>
        <w:t>Part II</w:t>
      </w:r>
      <w:r w:rsidR="007106D4" w:rsidRPr="007106D4">
        <w:t xml:space="preserve"> (safety analysis set)</w:t>
      </w:r>
    </w:p>
    <w:p w14:paraId="250B8231" w14:textId="08D0DD83" w:rsidR="00DA7DA2" w:rsidRDefault="00DA7DA2" w:rsidP="00DA7DA2">
      <w:pPr>
        <w:pStyle w:val="Tabletitle"/>
      </w:pPr>
      <w:r>
        <w:t xml:space="preserve">Table 20: Demographic </w:t>
      </w:r>
      <w:r w:rsidR="00C227BD">
        <w:t>c</w:t>
      </w:r>
      <w:r>
        <w:t xml:space="preserve">haracteristics (Safety Analysis Set) </w:t>
      </w:r>
      <w:r>
        <w:rPr>
          <w:rFonts w:hint="eastAsia"/>
        </w:rPr>
        <w:t>–</w:t>
      </w:r>
      <w:r>
        <w:t xml:space="preserve"> Part II</w:t>
      </w:r>
    </w:p>
    <w:p w14:paraId="458E66D8" w14:textId="77777777" w:rsidR="007106D4" w:rsidRPr="007106D4" w:rsidRDefault="00044B6C" w:rsidP="007106D4">
      <w:r>
        <w:rPr>
          <w:noProof/>
          <w:lang w:eastAsia="en-AU"/>
        </w:rPr>
        <w:drawing>
          <wp:inline distT="0" distB="0" distL="0" distR="0" wp14:anchorId="13D1F1B8" wp14:editId="44452757">
            <wp:extent cx="5731510" cy="1826613"/>
            <wp:effectExtent l="0" t="0" r="2540" b="2540"/>
            <wp:docPr id="54" name="Picture 54" descr="Table 20: Demographic characteristics (Safety Analysis Set) – Part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1826613"/>
                    </a:xfrm>
                    <a:prstGeom prst="rect">
                      <a:avLst/>
                    </a:prstGeom>
                  </pic:spPr>
                </pic:pic>
              </a:graphicData>
            </a:graphic>
          </wp:inline>
        </w:drawing>
      </w:r>
    </w:p>
    <w:p w14:paraId="030C4C88" w14:textId="77777777" w:rsidR="00D578E9" w:rsidRDefault="007106D4" w:rsidP="00E410CE">
      <w:r w:rsidRPr="007106D4">
        <w:t>The imbalance for ethnic origin remained similar to that seen</w:t>
      </w:r>
      <w:r w:rsidR="00DA7DA2">
        <w:t xml:space="preserve"> in Part I</w:t>
      </w:r>
      <w:r w:rsidR="00D578E9">
        <w:t>.</w:t>
      </w:r>
    </w:p>
    <w:p w14:paraId="09E0ABA4" w14:textId="77777777" w:rsidR="007106D4" w:rsidRPr="007106D4" w:rsidRDefault="007106D4" w:rsidP="007106D4">
      <w:pPr>
        <w:pStyle w:val="Heading6"/>
      </w:pPr>
      <w:r w:rsidRPr="007106D4">
        <w:lastRenderedPageBreak/>
        <w:t xml:space="preserve">Concomitant medications </w:t>
      </w:r>
    </w:p>
    <w:p w14:paraId="0B2568D5" w14:textId="77777777" w:rsidR="007106D4" w:rsidRDefault="007106D4" w:rsidP="007106D4">
      <w:r w:rsidRPr="007106D4">
        <w:t xml:space="preserve">The following </w:t>
      </w:r>
      <w:r w:rsidR="003863C1">
        <w:t xml:space="preserve">(Table 21) </w:t>
      </w:r>
      <w:r w:rsidRPr="007106D4">
        <w:t xml:space="preserve">is a summary of concomitant medications used by at least 10% of subjects </w:t>
      </w:r>
      <w:r w:rsidR="003863C1">
        <w:t>in either treatment group (FAS).</w:t>
      </w:r>
    </w:p>
    <w:p w14:paraId="35336AF8" w14:textId="0BAA2476" w:rsidR="00DA7DA2" w:rsidRDefault="00DA7DA2" w:rsidP="00E410CE">
      <w:pPr>
        <w:pStyle w:val="Tabletitle"/>
      </w:pPr>
      <w:r>
        <w:t xml:space="preserve">Table 21: </w:t>
      </w:r>
      <w:r w:rsidRPr="00E410CE">
        <w:t>Concomitant</w:t>
      </w:r>
      <w:r>
        <w:t xml:space="preserve"> </w:t>
      </w:r>
      <w:r w:rsidR="00C227BD">
        <w:t>medications used by at least 10% of subjects in any treatment gro</w:t>
      </w:r>
      <w:r>
        <w:t>up (Full Analysis Set); Part I</w:t>
      </w:r>
    </w:p>
    <w:p w14:paraId="109B6E23" w14:textId="77777777" w:rsidR="007106D4" w:rsidRDefault="00DA7DA2" w:rsidP="006C2B44">
      <w:r>
        <w:rPr>
          <w:noProof/>
          <w:lang w:eastAsia="en-AU"/>
        </w:rPr>
        <w:drawing>
          <wp:inline distT="0" distB="0" distL="0" distR="0" wp14:anchorId="550392DE" wp14:editId="197DB846">
            <wp:extent cx="5731510" cy="3708336"/>
            <wp:effectExtent l="0" t="0" r="2540" b="6985"/>
            <wp:docPr id="11" name="Picture 11" descr="Table 21: Concomitant medications used by at least 10% of subjects in any treatment group (Full Analysis Set); Part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3708336"/>
                    </a:xfrm>
                    <a:prstGeom prst="rect">
                      <a:avLst/>
                    </a:prstGeom>
                  </pic:spPr>
                </pic:pic>
              </a:graphicData>
            </a:graphic>
          </wp:inline>
        </w:drawing>
      </w:r>
    </w:p>
    <w:p w14:paraId="35DCF095" w14:textId="77777777" w:rsidR="007106D4" w:rsidRDefault="007106D4" w:rsidP="007106D4">
      <w:r w:rsidRPr="007106D4">
        <w:t xml:space="preserve">The following </w:t>
      </w:r>
      <w:r w:rsidR="00DA7DA2">
        <w:t>(T</w:t>
      </w:r>
      <w:r w:rsidRPr="007106D4">
        <w:t>able</w:t>
      </w:r>
      <w:r w:rsidR="00DA7DA2">
        <w:t xml:space="preserve"> 22)</w:t>
      </w:r>
      <w:r w:rsidRPr="007106D4">
        <w:t xml:space="preserve"> shows concomitant medication use for selected class</w:t>
      </w:r>
      <w:r w:rsidR="003863C1">
        <w:t>es of medications.</w:t>
      </w:r>
    </w:p>
    <w:p w14:paraId="780662FC" w14:textId="2F05E4BF" w:rsidR="00DA7DA2" w:rsidRDefault="00DA7DA2" w:rsidP="00DA7DA2">
      <w:pPr>
        <w:pStyle w:val="Tabletitle"/>
      </w:pPr>
      <w:r w:rsidRPr="00DA7DA2">
        <w:t xml:space="preserve">Table 22: Concomitant </w:t>
      </w:r>
      <w:r w:rsidR="00C227BD" w:rsidRPr="00DA7DA2">
        <w:t>medication use by mediation class and standardized medication</w:t>
      </w:r>
      <w:r w:rsidR="00C227BD">
        <w:t xml:space="preserve"> </w:t>
      </w:r>
      <w:r w:rsidR="00C227BD" w:rsidRPr="00DA7DA2">
        <w:t>name for selected medicatio</w:t>
      </w:r>
      <w:r w:rsidRPr="00DA7DA2">
        <w:t>ns (Safety Analysis Set)</w:t>
      </w:r>
    </w:p>
    <w:p w14:paraId="28105C1A" w14:textId="77777777" w:rsidR="00911A18" w:rsidRDefault="00DA7DA2" w:rsidP="006C2B44">
      <w:r>
        <w:rPr>
          <w:noProof/>
          <w:lang w:eastAsia="en-AU"/>
        </w:rPr>
        <w:drawing>
          <wp:inline distT="0" distB="0" distL="0" distR="0" wp14:anchorId="26927690" wp14:editId="7D6D5126">
            <wp:extent cx="5731510" cy="2497126"/>
            <wp:effectExtent l="0" t="0" r="2540" b="0"/>
            <wp:docPr id="12" name="Picture 12" descr="Table 22: Concomitant medication use by mediation class and standardized medication name for selected medication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2497126"/>
                    </a:xfrm>
                    <a:prstGeom prst="rect">
                      <a:avLst/>
                    </a:prstGeom>
                  </pic:spPr>
                </pic:pic>
              </a:graphicData>
            </a:graphic>
          </wp:inline>
        </w:drawing>
      </w:r>
    </w:p>
    <w:p w14:paraId="16AA2358" w14:textId="77777777" w:rsidR="007106D4" w:rsidRPr="007106D4" w:rsidRDefault="00DA7DA2" w:rsidP="007106D4">
      <w:pPr>
        <w:pStyle w:val="Heading6"/>
      </w:pPr>
      <w:r>
        <w:t>Results for primary endpoint</w:t>
      </w:r>
    </w:p>
    <w:p w14:paraId="181AAEE7" w14:textId="77777777" w:rsidR="007106D4" w:rsidRDefault="007106D4" w:rsidP="00E410CE">
      <w:pPr>
        <w:pStyle w:val="ListBullet"/>
      </w:pPr>
      <w:r w:rsidRPr="007106D4">
        <w:t xml:space="preserve">Change in mean </w:t>
      </w:r>
      <w:r w:rsidRPr="00E410CE">
        <w:t>number</w:t>
      </w:r>
      <w:r w:rsidRPr="007106D4">
        <w:t xml:space="preserve"> of nocturnal voids (FAS)</w:t>
      </w:r>
    </w:p>
    <w:p w14:paraId="52B495C7" w14:textId="039499A8" w:rsidR="00DA7DA2" w:rsidRDefault="003863C1" w:rsidP="00DA7DA2">
      <w:pPr>
        <w:pStyle w:val="Tabletitle"/>
      </w:pPr>
      <w:r>
        <w:lastRenderedPageBreak/>
        <w:t>Table 23</w:t>
      </w:r>
      <w:r w:rsidR="00DA7DA2">
        <w:t xml:space="preserve">: Change from </w:t>
      </w:r>
      <w:r w:rsidR="00C227BD">
        <w:t xml:space="preserve">baseline in mean number of nocturnal voids, desmopressin versus placebo, averaged over a 3 month period </w:t>
      </w:r>
      <w:r w:rsidR="00DA7DA2">
        <w:t>(Full Analysis Set)</w:t>
      </w:r>
    </w:p>
    <w:p w14:paraId="74E2E688" w14:textId="77777777" w:rsidR="007106D4" w:rsidRPr="007106D4" w:rsidRDefault="00DA7DA2" w:rsidP="007106D4">
      <w:r>
        <w:rPr>
          <w:noProof/>
          <w:lang w:eastAsia="en-AU"/>
        </w:rPr>
        <w:drawing>
          <wp:inline distT="0" distB="0" distL="0" distR="0" wp14:anchorId="04EE9DE6" wp14:editId="41A73AB4">
            <wp:extent cx="5731510" cy="1428591"/>
            <wp:effectExtent l="0" t="0" r="2540" b="635"/>
            <wp:docPr id="13" name="Picture 13" descr="Table 23: Change from baseline in mean number of nocturnal voids, desmopressin versus placebo, averaged over a 3 month period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1428591"/>
                    </a:xfrm>
                    <a:prstGeom prst="rect">
                      <a:avLst/>
                    </a:prstGeom>
                  </pic:spPr>
                </pic:pic>
              </a:graphicData>
            </a:graphic>
          </wp:inline>
        </w:drawing>
      </w:r>
    </w:p>
    <w:p w14:paraId="3FB2D72F" w14:textId="35660719" w:rsidR="007106D4" w:rsidRDefault="007106D4" w:rsidP="00E410CE">
      <w:r w:rsidRPr="007106D4">
        <w:t>The following</w:t>
      </w:r>
      <w:r w:rsidR="003863C1">
        <w:t xml:space="preserve"> (Figure 6)</w:t>
      </w:r>
      <w:r w:rsidRPr="007106D4">
        <w:t xml:space="preserve"> is a graph of the adjusted change from baseline during 3 months of treatment in mean number of </w:t>
      </w:r>
      <w:r w:rsidR="003863C1">
        <w:t>nocturnal voids</w:t>
      </w:r>
      <w:r w:rsidRPr="007106D4">
        <w:t xml:space="preserve"> providing helpful visualisation of the changes seen on the two desmopressin arms.</w:t>
      </w:r>
    </w:p>
    <w:p w14:paraId="4AF5EF94" w14:textId="262B23C6" w:rsidR="003863C1" w:rsidRDefault="003863C1" w:rsidP="00E410CE">
      <w:pPr>
        <w:pStyle w:val="FigureTitle"/>
      </w:pPr>
      <w:r>
        <w:t xml:space="preserve">Figure 6: Adjusted </w:t>
      </w:r>
      <w:r w:rsidR="00C227BD">
        <w:t>change from baseline during 3 months of treatment in mean number of nocturnal</w:t>
      </w:r>
      <w:r>
        <w:t xml:space="preserve"> Voids (Full Analysis Set)</w:t>
      </w:r>
    </w:p>
    <w:p w14:paraId="57F4E1DF" w14:textId="77777777" w:rsidR="007106D4" w:rsidRDefault="003863C1" w:rsidP="00E410CE">
      <w:r>
        <w:rPr>
          <w:noProof/>
          <w:lang w:eastAsia="en-AU"/>
        </w:rPr>
        <w:drawing>
          <wp:inline distT="0" distB="0" distL="0" distR="0" wp14:anchorId="27A6EAA6" wp14:editId="1EC720D2">
            <wp:extent cx="5731510" cy="4027978"/>
            <wp:effectExtent l="0" t="0" r="2540" b="0"/>
            <wp:docPr id="15" name="Picture 15" descr="Figure 6: Adjusted change from baseline during 3 months of treatment in mean number of nocturnal Void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4027978"/>
                    </a:xfrm>
                    <a:prstGeom prst="rect">
                      <a:avLst/>
                    </a:prstGeom>
                  </pic:spPr>
                </pic:pic>
              </a:graphicData>
            </a:graphic>
          </wp:inline>
        </w:drawing>
      </w:r>
    </w:p>
    <w:p w14:paraId="688A116F" w14:textId="77777777" w:rsidR="007106D4" w:rsidRPr="007106D4" w:rsidRDefault="007106D4" w:rsidP="00E410CE">
      <w:pPr>
        <w:pStyle w:val="ListBullet"/>
      </w:pPr>
      <w:r w:rsidRPr="007106D4">
        <w:t xml:space="preserve">Proportion of Subjects with </w:t>
      </w:r>
      <w:r w:rsidR="00604B45">
        <w:t xml:space="preserve">&gt; </w:t>
      </w:r>
      <w:r w:rsidRPr="007106D4">
        <w:t xml:space="preserve">33% Reduction in Mean </w:t>
      </w:r>
      <w:r w:rsidR="003863C1">
        <w:t>Number of Nocturnal Voids (FAS).</w:t>
      </w:r>
    </w:p>
    <w:p w14:paraId="13CBBEF8" w14:textId="77777777" w:rsidR="007106D4" w:rsidRDefault="007106D4" w:rsidP="00E410CE">
      <w:r w:rsidRPr="007106D4">
        <w:t xml:space="preserve">The study report presents the second co-primary endpoint as an odds ratio of the 33% responder status for desmopressin </w:t>
      </w:r>
      <w:r w:rsidR="00E87BB3">
        <w:t>versus</w:t>
      </w:r>
      <w:r w:rsidR="00DD7AA8">
        <w:t xml:space="preserve"> placebo, averaged over a 3 month period (Table 24).</w:t>
      </w:r>
    </w:p>
    <w:p w14:paraId="0A69FC4D" w14:textId="013BA6D3" w:rsidR="00DD7AA8" w:rsidRDefault="00DD7AA8" w:rsidP="00DD7AA8">
      <w:pPr>
        <w:pStyle w:val="Tabletitle"/>
      </w:pPr>
      <w:r>
        <w:lastRenderedPageBreak/>
        <w:t xml:space="preserve">Table 24: Odds </w:t>
      </w:r>
      <w:r w:rsidR="00C227BD">
        <w:t xml:space="preserve">ratio of 33% responder status, desmopressin versus placebo, averaged over a 3 month period </w:t>
      </w:r>
      <w:r>
        <w:t>(Full Analysis Set)</w:t>
      </w:r>
    </w:p>
    <w:p w14:paraId="1F00BF09" w14:textId="77777777" w:rsidR="007106D4" w:rsidRDefault="00044B6C" w:rsidP="00E410CE">
      <w:r>
        <w:rPr>
          <w:noProof/>
          <w:lang w:eastAsia="en-AU"/>
        </w:rPr>
        <w:drawing>
          <wp:inline distT="0" distB="0" distL="0" distR="0" wp14:anchorId="02837C84" wp14:editId="6B365297">
            <wp:extent cx="5731510" cy="1456759"/>
            <wp:effectExtent l="0" t="0" r="2540" b="0"/>
            <wp:docPr id="19" name="Picture 19" descr="Table 24: Odds ratio of 33% responder status, desmopressin versus placebo, averaged over a 3 month period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1456759"/>
                    </a:xfrm>
                    <a:prstGeom prst="rect">
                      <a:avLst/>
                    </a:prstGeom>
                  </pic:spPr>
                </pic:pic>
              </a:graphicData>
            </a:graphic>
          </wp:inline>
        </w:drawing>
      </w:r>
    </w:p>
    <w:p w14:paraId="7AAD846C" w14:textId="77777777" w:rsidR="007106D4" w:rsidRPr="000335D7" w:rsidRDefault="000335D7" w:rsidP="00044B6C">
      <w:pPr>
        <w:pStyle w:val="TableDescription"/>
        <w:keepLines/>
      </w:pPr>
      <w:r w:rsidRPr="000335D7">
        <w:t>Note: GEE Method for 33% responder status at Week 1, Month 1, Month 2, and Month 3, adjusted for age (</w:t>
      </w:r>
      <w:r w:rsidR="00604B45">
        <w:t xml:space="preserve">&lt; </w:t>
      </w:r>
      <w:r w:rsidRPr="000335D7">
        <w:t xml:space="preserve">65, </w:t>
      </w:r>
      <w:r w:rsidR="00094728">
        <w:t xml:space="preserve">≥ </w:t>
      </w:r>
      <w:r w:rsidRPr="000335D7">
        <w:t>65 years), visit, baseline nocturnal voids.</w:t>
      </w:r>
    </w:p>
    <w:p w14:paraId="6DBE205D" w14:textId="33C02964" w:rsidR="007106D4" w:rsidRDefault="000335D7" w:rsidP="00E410CE">
      <w:r w:rsidRPr="000335D7">
        <w:t xml:space="preserve">The following </w:t>
      </w:r>
      <w:r w:rsidR="00DD7AA8">
        <w:t xml:space="preserve">(Figure </w:t>
      </w:r>
      <w:r w:rsidR="00C227BD">
        <w:t>7</w:t>
      </w:r>
      <w:r w:rsidR="00DD7AA8">
        <w:t xml:space="preserve">) </w:t>
      </w:r>
      <w:r w:rsidRPr="000335D7">
        <w:t>is a graphical representation of the proportion of 33% responder status according to time point and treatment arm. As noted for CS40, measurement of absolute difference and a relative risk would be a preferred method for presenting the data however these could not be found in the study report.</w:t>
      </w:r>
    </w:p>
    <w:p w14:paraId="31EC76D0" w14:textId="6E00AECD" w:rsidR="00DD7AA8" w:rsidRPr="000335D7" w:rsidRDefault="00DD7AA8" w:rsidP="00DD7AA8">
      <w:pPr>
        <w:pStyle w:val="FigureTitle"/>
      </w:pPr>
      <w:r>
        <w:t xml:space="preserve">Figure </w:t>
      </w:r>
      <w:r w:rsidR="00C227BD">
        <w:t>7</w:t>
      </w:r>
      <w:r>
        <w:t>: Study CS41 Adjusted 33% Responder Rates by Treatment Group and Visit (Full Analysis Set)</w:t>
      </w:r>
    </w:p>
    <w:p w14:paraId="5796DA1C" w14:textId="77777777" w:rsidR="000335D7" w:rsidRDefault="000335D7" w:rsidP="006C2B44">
      <w:r>
        <w:rPr>
          <w:noProof/>
          <w:lang w:eastAsia="en-AU"/>
        </w:rPr>
        <w:drawing>
          <wp:inline distT="0" distB="0" distL="0" distR="0" wp14:anchorId="5889D1E9" wp14:editId="1AAD8BA2">
            <wp:extent cx="5619750" cy="3771900"/>
            <wp:effectExtent l="0" t="0" r="0" b="0"/>
            <wp:docPr id="30" name="Picture 30" descr="Figure 7: Study CS41 Adjusted 33% Responder Rates by Treatment Group and Visi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19750" cy="3771900"/>
                    </a:xfrm>
                    <a:prstGeom prst="rect">
                      <a:avLst/>
                    </a:prstGeom>
                  </pic:spPr>
                </pic:pic>
              </a:graphicData>
            </a:graphic>
          </wp:inline>
        </w:drawing>
      </w:r>
    </w:p>
    <w:p w14:paraId="513A4820" w14:textId="77777777" w:rsidR="00D578E9" w:rsidRPr="00D578E9" w:rsidRDefault="00D578E9" w:rsidP="00ED7178">
      <w:pPr>
        <w:pStyle w:val="Heading6"/>
      </w:pPr>
      <w:r w:rsidRPr="00D578E9">
        <w:t>Selected secondary endpoints</w:t>
      </w:r>
    </w:p>
    <w:p w14:paraId="43EDD94E" w14:textId="77777777" w:rsidR="00D578E9" w:rsidRPr="00D578E9" w:rsidRDefault="00D578E9" w:rsidP="00D578E9">
      <w:r w:rsidRPr="00D578E9">
        <w:t>According to the pre-specified plan, secondary efficacy endpoints were to be analysed with the following caveats:</w:t>
      </w:r>
    </w:p>
    <w:p w14:paraId="16B64B79" w14:textId="77777777" w:rsidR="00D578E9" w:rsidRPr="00D578E9" w:rsidRDefault="00D578E9" w:rsidP="00917F1B">
      <w:pPr>
        <w:pStyle w:val="ListBullet"/>
      </w:pPr>
      <w:r w:rsidRPr="00D578E9">
        <w:t>Statistical significance could only be declared for secondary analyses if both co-primary endpoints were statistically significant at 5% level</w:t>
      </w:r>
    </w:p>
    <w:p w14:paraId="6A7A1508" w14:textId="77777777" w:rsidR="00D578E9" w:rsidRPr="00D578E9" w:rsidRDefault="00D578E9" w:rsidP="00917F1B">
      <w:pPr>
        <w:pStyle w:val="ListBullet"/>
      </w:pPr>
      <w:r w:rsidRPr="00D578E9">
        <w:lastRenderedPageBreak/>
        <w:t>According to</w:t>
      </w:r>
      <w:r w:rsidR="00206542">
        <w:t xml:space="preserve"> a hierarchical step </w:t>
      </w:r>
      <w:r w:rsidRPr="00D578E9">
        <w:t xml:space="preserve">down approach, secondary endpoints were first tested in the 75 </w:t>
      </w:r>
      <w:r w:rsidR="00604B45">
        <w:t>µ</w:t>
      </w:r>
      <w:r w:rsidR="00604B45" w:rsidRPr="00D92CA8">
        <w:t>g</w:t>
      </w:r>
      <w:r w:rsidRPr="00D578E9">
        <w:t xml:space="preserve"> group and then in the 50 </w:t>
      </w:r>
      <w:r w:rsidR="00604B45">
        <w:t>µ</w:t>
      </w:r>
      <w:r w:rsidR="00604B45" w:rsidRPr="00D92CA8">
        <w:t>g</w:t>
      </w:r>
      <w:r w:rsidRPr="00D578E9">
        <w:t xml:space="preserve"> group.</w:t>
      </w:r>
      <w:r w:rsidR="00604B45">
        <w:t xml:space="preserve"> </w:t>
      </w:r>
      <w:r w:rsidRPr="00D578E9">
        <w:t xml:space="preserve">Only if all desmopressin 75 </w:t>
      </w:r>
      <w:r w:rsidR="00604B45">
        <w:t>µ</w:t>
      </w:r>
      <w:r w:rsidR="00604B45" w:rsidRPr="00D92CA8">
        <w:t>g</w:t>
      </w:r>
      <w:r w:rsidRPr="00D578E9">
        <w:t xml:space="preserve"> secondary endpoints were statistically significant at the 5% level could statistical significance could be claimed for endpoints in the 50 </w:t>
      </w:r>
      <w:r w:rsidR="00604B45">
        <w:t>µ</w:t>
      </w:r>
      <w:r w:rsidR="00604B45" w:rsidRPr="00D92CA8">
        <w:t>g</w:t>
      </w:r>
      <w:r w:rsidRPr="00D578E9">
        <w:t xml:space="preserve"> group. If a higher secondary endpoint did not achieve statistical significance, then statistical significance could not be declared for this endpoint or any </w:t>
      </w:r>
      <w:r w:rsidR="00917F1B">
        <w:t>subsequent secondary endpoints.</w:t>
      </w:r>
    </w:p>
    <w:p w14:paraId="6885B6F6" w14:textId="77777777" w:rsidR="00D578E9" w:rsidRPr="00D578E9" w:rsidRDefault="00D578E9" w:rsidP="00D578E9">
      <w:r w:rsidRPr="00D578E9">
        <w:t xml:space="preserve">Accordingly, only four secondary endpoints for the desmopressin 75 </w:t>
      </w:r>
      <w:r w:rsidR="00604B45">
        <w:t>µ</w:t>
      </w:r>
      <w:r w:rsidR="00604B45" w:rsidRPr="00D92CA8">
        <w:t>g</w:t>
      </w:r>
      <w:r w:rsidRPr="00D578E9">
        <w:t xml:space="preserve"> group were positive and therefore only these will be reported here</w:t>
      </w:r>
      <w:r w:rsidR="00917F1B">
        <w:t xml:space="preserve"> (Tables 25 to 28)</w:t>
      </w:r>
      <w:r w:rsidRPr="00D578E9">
        <w:t>:</w:t>
      </w:r>
    </w:p>
    <w:p w14:paraId="6CC8DA26" w14:textId="77777777" w:rsidR="00D578E9" w:rsidRPr="00D578E9" w:rsidRDefault="00917F1B" w:rsidP="00D578E9">
      <w:pPr>
        <w:pStyle w:val="Tabletitle"/>
      </w:pPr>
      <w:r>
        <w:t xml:space="preserve">Table 25: </w:t>
      </w:r>
      <w:r w:rsidR="00590C83">
        <w:t xml:space="preserve">Study CS41; </w:t>
      </w:r>
      <w:r w:rsidR="00D578E9" w:rsidRPr="00D578E9">
        <w:t>Change from baseline in Mean number of nocturnal voids</w:t>
      </w:r>
      <w:r w:rsidR="00D578E9">
        <w:t xml:space="preserve"> favouring </w:t>
      </w:r>
      <w:r w:rsidR="00D578E9" w:rsidRPr="00D578E9">
        <w:t xml:space="preserve">desmopressin 75 </w:t>
      </w:r>
      <w:r w:rsidR="00604B45">
        <w:t>µ</w:t>
      </w:r>
      <w:r w:rsidR="00604B45" w:rsidRPr="00D92CA8">
        <w:t>g</w:t>
      </w:r>
    </w:p>
    <w:p w14:paraId="7065DB63" w14:textId="77777777" w:rsidR="000335D7" w:rsidRDefault="00ED7178" w:rsidP="00E410CE">
      <w:r>
        <w:rPr>
          <w:noProof/>
          <w:lang w:eastAsia="en-AU"/>
        </w:rPr>
        <w:drawing>
          <wp:inline distT="0" distB="0" distL="0" distR="0" wp14:anchorId="45163794" wp14:editId="552F8D2F">
            <wp:extent cx="5731510" cy="681535"/>
            <wp:effectExtent l="0" t="0" r="2540" b="4445"/>
            <wp:docPr id="31" name="Picture 31" descr="Table 25: Study CS41; Change from baseline in Mean number of nocturnal voids favouring desmopressin 75 µ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31510" cy="681535"/>
                    </a:xfrm>
                    <a:prstGeom prst="rect">
                      <a:avLst/>
                    </a:prstGeom>
                  </pic:spPr>
                </pic:pic>
              </a:graphicData>
            </a:graphic>
          </wp:inline>
        </w:drawing>
      </w:r>
    </w:p>
    <w:p w14:paraId="0E9E6146" w14:textId="77777777" w:rsidR="00ED7178" w:rsidRPr="00B5071E" w:rsidRDefault="00ED7178" w:rsidP="00E410CE">
      <w:pPr>
        <w:pStyle w:val="TableDescription"/>
      </w:pPr>
      <w:r w:rsidRPr="00B5071E">
        <w:t>Note: ANCOVA of change from baseline adjusted for age (</w:t>
      </w:r>
      <w:r w:rsidR="00604B45">
        <w:t xml:space="preserve">&lt; </w:t>
      </w:r>
      <w:r w:rsidRPr="00B5071E">
        <w:t xml:space="preserve">65, </w:t>
      </w:r>
      <w:r w:rsidR="00094728">
        <w:t xml:space="preserve">≥ </w:t>
      </w:r>
      <w:r w:rsidRPr="00B5071E">
        <w:t>65 years) and baseline nocturnal voids, using LOCF.</w:t>
      </w:r>
    </w:p>
    <w:p w14:paraId="6D067B17" w14:textId="77777777" w:rsidR="00ED7178" w:rsidRPr="00ED7178" w:rsidRDefault="00917F1B" w:rsidP="00E410CE">
      <w:pPr>
        <w:pStyle w:val="Tabletitle"/>
      </w:pPr>
      <w:r>
        <w:t xml:space="preserve">Table 26: </w:t>
      </w:r>
      <w:r w:rsidR="00590C83">
        <w:t xml:space="preserve">Study CS41; </w:t>
      </w:r>
      <w:r w:rsidR="00ED7178" w:rsidRPr="00ED7178">
        <w:t>Change from baseline in Proportion of 33% responders</w:t>
      </w:r>
    </w:p>
    <w:p w14:paraId="2CAD1831" w14:textId="77777777" w:rsidR="000335D7" w:rsidRDefault="00ED7178" w:rsidP="00E410CE">
      <w:r>
        <w:rPr>
          <w:noProof/>
          <w:lang w:eastAsia="en-AU"/>
        </w:rPr>
        <w:drawing>
          <wp:inline distT="0" distB="0" distL="0" distR="0" wp14:anchorId="56F3F17D" wp14:editId="154050BA">
            <wp:extent cx="5731510" cy="608667"/>
            <wp:effectExtent l="0" t="0" r="2540" b="1270"/>
            <wp:docPr id="32" name="Picture 32" descr="Table 26: Study CS41; Change from baseline in Proportion of 33% respo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1510" cy="608667"/>
                    </a:xfrm>
                    <a:prstGeom prst="rect">
                      <a:avLst/>
                    </a:prstGeom>
                  </pic:spPr>
                </pic:pic>
              </a:graphicData>
            </a:graphic>
          </wp:inline>
        </w:drawing>
      </w:r>
    </w:p>
    <w:p w14:paraId="0785ECF1" w14:textId="77777777" w:rsidR="00ED7178" w:rsidRPr="00ED7178" w:rsidRDefault="00ED7178" w:rsidP="00E410CE">
      <w:pPr>
        <w:pStyle w:val="TableDescription"/>
      </w:pPr>
      <w:r w:rsidRPr="00ED7178">
        <w:t>Note: Logistic regression of 33% responder status adjusted for age (</w:t>
      </w:r>
      <w:r w:rsidR="00604B45">
        <w:t xml:space="preserve">&lt; </w:t>
      </w:r>
      <w:r w:rsidRPr="00ED7178">
        <w:t xml:space="preserve">65, </w:t>
      </w:r>
      <w:r w:rsidR="00094728">
        <w:t xml:space="preserve">≥ </w:t>
      </w:r>
      <w:r w:rsidRPr="00ED7178">
        <w:t xml:space="preserve">65 years) and baseline nocturnal voids using </w:t>
      </w:r>
      <w:r w:rsidRPr="00E410CE">
        <w:t>LOCF</w:t>
      </w:r>
      <w:r w:rsidRPr="00ED7178">
        <w:t>.</w:t>
      </w:r>
    </w:p>
    <w:p w14:paraId="37DF848F" w14:textId="77777777" w:rsidR="00ED7178" w:rsidRDefault="00917F1B" w:rsidP="00ED7178">
      <w:pPr>
        <w:pStyle w:val="Tabletitle"/>
      </w:pPr>
      <w:r>
        <w:t xml:space="preserve">Table 27: </w:t>
      </w:r>
      <w:r w:rsidR="00590C83">
        <w:t xml:space="preserve">Study CS41; </w:t>
      </w:r>
      <w:r w:rsidR="00ED7178" w:rsidRPr="00ED7178">
        <w:t>Change from baseline in Mean time (minutes) to first nocturnal void</w:t>
      </w:r>
    </w:p>
    <w:p w14:paraId="14ED45D5" w14:textId="77777777" w:rsidR="000335D7" w:rsidRPr="00ED7178" w:rsidRDefault="00917F1B" w:rsidP="00E410CE">
      <w:r>
        <w:rPr>
          <w:noProof/>
          <w:lang w:eastAsia="en-AU"/>
        </w:rPr>
        <w:drawing>
          <wp:inline distT="0" distB="0" distL="0" distR="0" wp14:anchorId="564A8CF7" wp14:editId="5A326943">
            <wp:extent cx="5731510" cy="604993"/>
            <wp:effectExtent l="0" t="0" r="2540" b="5080"/>
            <wp:docPr id="17" name="Picture 17" descr="Table 27: Study CS41; Change from baseline in Mean time (minutes) to first nocturnal 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1510" cy="604993"/>
                    </a:xfrm>
                    <a:prstGeom prst="rect">
                      <a:avLst/>
                    </a:prstGeom>
                  </pic:spPr>
                </pic:pic>
              </a:graphicData>
            </a:graphic>
          </wp:inline>
        </w:drawing>
      </w:r>
    </w:p>
    <w:p w14:paraId="6D9CB4B9" w14:textId="77777777" w:rsidR="00ED7178" w:rsidRPr="00B5071E" w:rsidRDefault="00ED7178" w:rsidP="00E410CE">
      <w:pPr>
        <w:pStyle w:val="TableDescription"/>
        <w:rPr>
          <w:sz w:val="28"/>
          <w:szCs w:val="24"/>
        </w:rPr>
      </w:pPr>
      <w:r w:rsidRPr="00B5071E">
        <w:t>Note: ANCOVA of change from baseline adjusted for age (</w:t>
      </w:r>
      <w:r w:rsidR="00604B45">
        <w:t xml:space="preserve">&lt; </w:t>
      </w:r>
      <w:r w:rsidRPr="00B5071E">
        <w:t xml:space="preserve">65, </w:t>
      </w:r>
      <w:r w:rsidR="00094728">
        <w:t xml:space="preserve">≥ </w:t>
      </w:r>
      <w:r w:rsidRPr="00B5071E">
        <w:t xml:space="preserve">65 years) and baseline time to first nocturnal void, </w:t>
      </w:r>
      <w:r w:rsidRPr="00E410CE">
        <w:t>using</w:t>
      </w:r>
      <w:r w:rsidRPr="00B5071E">
        <w:t xml:space="preserve"> LOCF.</w:t>
      </w:r>
    </w:p>
    <w:p w14:paraId="2FCE0DD3" w14:textId="77777777" w:rsidR="00ED7178" w:rsidRDefault="00917F1B" w:rsidP="00ED7178">
      <w:pPr>
        <w:pStyle w:val="Tabletitle"/>
      </w:pPr>
      <w:r>
        <w:t xml:space="preserve">Table 28: </w:t>
      </w:r>
      <w:r w:rsidR="00590C83">
        <w:t xml:space="preserve">Study CS41; </w:t>
      </w:r>
      <w:r w:rsidR="00ED7178" w:rsidRPr="009D25E7">
        <w:t>Change from baseline in Mean nocturnal urine volume</w:t>
      </w:r>
    </w:p>
    <w:p w14:paraId="0EF531CB" w14:textId="77777777" w:rsidR="000335D7" w:rsidRDefault="00917F1B" w:rsidP="00E410CE">
      <w:r>
        <w:rPr>
          <w:noProof/>
          <w:lang w:eastAsia="en-AU"/>
        </w:rPr>
        <w:drawing>
          <wp:inline distT="0" distB="0" distL="0" distR="0" wp14:anchorId="24D75AD6" wp14:editId="398F4D49">
            <wp:extent cx="5731510" cy="604993"/>
            <wp:effectExtent l="0" t="0" r="2540" b="5080"/>
            <wp:docPr id="16" name="Picture 16" descr="Table 28: Study CS41; Change from baseline in Mean nocturnal urine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0" cy="604993"/>
                    </a:xfrm>
                    <a:prstGeom prst="rect">
                      <a:avLst/>
                    </a:prstGeom>
                  </pic:spPr>
                </pic:pic>
              </a:graphicData>
            </a:graphic>
          </wp:inline>
        </w:drawing>
      </w:r>
    </w:p>
    <w:p w14:paraId="6F83FFED" w14:textId="77777777" w:rsidR="00ED7178" w:rsidRPr="00ED7178" w:rsidRDefault="00ED7178" w:rsidP="00E410CE">
      <w:pPr>
        <w:pStyle w:val="TableDescription"/>
      </w:pPr>
      <w:r w:rsidRPr="00ED7178">
        <w:t>Note: ANCOVA of change from baseline adjusted for age (</w:t>
      </w:r>
      <w:r w:rsidR="00604B45">
        <w:t xml:space="preserve">&lt; </w:t>
      </w:r>
      <w:r w:rsidRPr="00ED7178">
        <w:t xml:space="preserve">65, </w:t>
      </w:r>
      <w:r w:rsidR="00094728">
        <w:t xml:space="preserve">≥ </w:t>
      </w:r>
      <w:r w:rsidRPr="00ED7178">
        <w:t xml:space="preserve">65 years) and baseline nocturnal urine volume, using </w:t>
      </w:r>
      <w:r w:rsidRPr="00E410CE">
        <w:t>LOCF</w:t>
      </w:r>
      <w:r w:rsidRPr="00ED7178">
        <w:t>.</w:t>
      </w:r>
    </w:p>
    <w:p w14:paraId="35FE165E" w14:textId="77777777" w:rsidR="00ED7178" w:rsidRPr="00ED7178" w:rsidRDefault="00ED7178" w:rsidP="00ED7178">
      <w:pPr>
        <w:pStyle w:val="Heading6"/>
      </w:pPr>
      <w:r w:rsidRPr="00ED7178">
        <w:t>Change from baseline in mean number of nocturnal voids</w:t>
      </w:r>
    </w:p>
    <w:p w14:paraId="6FACE3F2" w14:textId="77777777" w:rsidR="00ED7178" w:rsidRDefault="00ED7178" w:rsidP="00E410CE">
      <w:r w:rsidRPr="00ED7178">
        <w:t>The first co-primary endpoint was change from baseline in mean number of nocturnal voids.</w:t>
      </w:r>
      <w:r w:rsidR="00094728">
        <w:t xml:space="preserve"> </w:t>
      </w:r>
      <w:r w:rsidRPr="00ED7178">
        <w:t>Randomisation was stratified by age (</w:t>
      </w:r>
      <w:r w:rsidR="00604B45">
        <w:t xml:space="preserve">&lt; </w:t>
      </w:r>
      <w:r w:rsidRPr="00ED7178">
        <w:t xml:space="preserve">65 years / </w:t>
      </w:r>
      <w:r w:rsidR="00094728">
        <w:t xml:space="preserve">≥ </w:t>
      </w:r>
      <w:r w:rsidRPr="00ED7178">
        <w:t>65 years) and a post-hoc subgroup analysis showed the following treatment effects based on age (</w:t>
      </w:r>
      <w:r w:rsidR="00593B18">
        <w:t>T</w:t>
      </w:r>
      <w:r w:rsidRPr="00ED7178">
        <w:t xml:space="preserve">able </w:t>
      </w:r>
      <w:r w:rsidR="00593B18">
        <w:t>29</w:t>
      </w:r>
      <w:r w:rsidR="00917F1B">
        <w:t>)</w:t>
      </w:r>
      <w:r w:rsidR="00593B18">
        <w:t>.</w:t>
      </w:r>
    </w:p>
    <w:p w14:paraId="56B1A5E9" w14:textId="77777777" w:rsidR="00917F1B" w:rsidRDefault="00917F1B" w:rsidP="00E410CE">
      <w:pPr>
        <w:pStyle w:val="Tabletitle"/>
      </w:pPr>
      <w:r>
        <w:lastRenderedPageBreak/>
        <w:t xml:space="preserve">Table </w:t>
      </w:r>
      <w:r w:rsidR="00593B18">
        <w:t>29</w:t>
      </w:r>
      <w:r>
        <w:t xml:space="preserve">: </w:t>
      </w:r>
      <w:r w:rsidR="00590C83" w:rsidRPr="00E410CE">
        <w:t>Study</w:t>
      </w:r>
      <w:r w:rsidR="00590C83">
        <w:t xml:space="preserve"> CS41; </w:t>
      </w:r>
      <w:r>
        <w:t xml:space="preserve">Subgroup </w:t>
      </w:r>
      <w:r w:rsidR="00206542">
        <w:t xml:space="preserve">analysis: age category by treatment interaction </w:t>
      </w:r>
      <w:r>
        <w:t>- Full Analysis Set</w:t>
      </w:r>
    </w:p>
    <w:p w14:paraId="7836C42B" w14:textId="77777777" w:rsidR="000335D7" w:rsidRPr="00ED7178" w:rsidRDefault="00593B18" w:rsidP="00E410CE">
      <w:r>
        <w:rPr>
          <w:noProof/>
          <w:lang w:eastAsia="en-AU"/>
        </w:rPr>
        <w:drawing>
          <wp:inline distT="0" distB="0" distL="0" distR="0" wp14:anchorId="3437A1D0" wp14:editId="61BEFA3F">
            <wp:extent cx="5731510" cy="1702920"/>
            <wp:effectExtent l="0" t="0" r="2540" b="0"/>
            <wp:docPr id="18" name="Picture 18" descr="Table 29: Study CS41; Subgroup analysis: age category by treatment interaction -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31510" cy="1702920"/>
                    </a:xfrm>
                    <a:prstGeom prst="rect">
                      <a:avLst/>
                    </a:prstGeom>
                  </pic:spPr>
                </pic:pic>
              </a:graphicData>
            </a:graphic>
          </wp:inline>
        </w:drawing>
      </w:r>
    </w:p>
    <w:p w14:paraId="68108E5E" w14:textId="77777777" w:rsidR="00ED7178" w:rsidRPr="00ED7178" w:rsidRDefault="00ED7178" w:rsidP="00E410CE">
      <w:pPr>
        <w:pStyle w:val="TableDescription"/>
      </w:pPr>
      <w:r w:rsidRPr="00ED7178">
        <w:t>Note: Longitudinal analysis of covariance with baseline as a covariate, and treatment, visit, subgroup and treatment-by-</w:t>
      </w:r>
      <w:r w:rsidRPr="00E410CE">
        <w:t>subgroup</w:t>
      </w:r>
      <w:r w:rsidRPr="00ED7178">
        <w:t xml:space="preserve"> interaction as factors. Only the Type 3 treatment-by-subgroup interaction test result is shown</w:t>
      </w:r>
    </w:p>
    <w:p w14:paraId="5E32A9F4" w14:textId="5C0B2392" w:rsidR="007C31DC" w:rsidRPr="007C31DC" w:rsidRDefault="00E410CE" w:rsidP="00590C83">
      <w:pPr>
        <w:pStyle w:val="Heading6"/>
      </w:pPr>
      <w:r>
        <w:t>Proportion of s</w:t>
      </w:r>
      <w:r w:rsidR="007C31DC" w:rsidRPr="007C31DC">
        <w:t xml:space="preserve">ubjects with </w:t>
      </w:r>
      <w:r w:rsidR="00604B45">
        <w:t xml:space="preserve">&gt; </w:t>
      </w:r>
      <w:r w:rsidR="007C31DC" w:rsidRPr="007C31DC">
        <w:t xml:space="preserve">33% </w:t>
      </w:r>
      <w:r>
        <w:t>r</w:t>
      </w:r>
      <w:r w:rsidR="007C31DC" w:rsidRPr="007C31DC">
        <w:t xml:space="preserve">eduction in </w:t>
      </w:r>
      <w:r>
        <w:t>m</w:t>
      </w:r>
      <w:r w:rsidR="007C31DC" w:rsidRPr="007C31DC">
        <w:t xml:space="preserve">ean </w:t>
      </w:r>
      <w:r>
        <w:t>n</w:t>
      </w:r>
      <w:r w:rsidR="007C31DC" w:rsidRPr="007C31DC">
        <w:t xml:space="preserve">umber of </w:t>
      </w:r>
      <w:r>
        <w:t>n</w:t>
      </w:r>
      <w:r w:rsidR="007C31DC" w:rsidRPr="007C31DC">
        <w:t xml:space="preserve">octurnal </w:t>
      </w:r>
      <w:r>
        <w:t>v</w:t>
      </w:r>
      <w:r w:rsidR="007C31DC" w:rsidRPr="007C31DC">
        <w:t>oids</w:t>
      </w:r>
    </w:p>
    <w:p w14:paraId="58AECE81" w14:textId="77777777" w:rsidR="007C31DC" w:rsidRDefault="007C31DC" w:rsidP="00E410CE">
      <w:r w:rsidRPr="007C31DC">
        <w:t xml:space="preserve">The second co-primary endpoint was the proportion of subjects with </w:t>
      </w:r>
      <w:r w:rsidR="00604B45">
        <w:t xml:space="preserve">&gt; </w:t>
      </w:r>
      <w:r w:rsidRPr="007C31DC">
        <w:t>33% reduction in mean number of nocturnal voids.</w:t>
      </w:r>
      <w:r w:rsidR="00604B45">
        <w:t xml:space="preserve"> </w:t>
      </w:r>
      <w:r w:rsidRPr="007C31DC">
        <w:t>A post-hoc subgroup analysis showed treatment effects based on age (</w:t>
      </w:r>
      <w:r w:rsidR="00590C83">
        <w:t>Table 30).</w:t>
      </w:r>
    </w:p>
    <w:p w14:paraId="45351509" w14:textId="77777777" w:rsidR="00590C83" w:rsidRPr="007C31DC" w:rsidRDefault="00590C83" w:rsidP="00590C83">
      <w:pPr>
        <w:pStyle w:val="Tabletitle"/>
      </w:pPr>
      <w:r>
        <w:t>Table 30:</w:t>
      </w:r>
      <w:r w:rsidRPr="00590C83">
        <w:t xml:space="preserve"> </w:t>
      </w:r>
      <w:r>
        <w:t xml:space="preserve">Study CS41; Subgroup </w:t>
      </w:r>
      <w:r w:rsidR="00206542">
        <w:t>a</w:t>
      </w:r>
      <w:r>
        <w:t>nalys</w:t>
      </w:r>
      <w:r w:rsidR="0080062E">
        <w:t xml:space="preserve">is of 33% responder status: </w:t>
      </w:r>
      <w:r w:rsidR="00206542">
        <w:t>age category by treatment intera</w:t>
      </w:r>
      <w:r>
        <w:t>ction - Full Analysis Set</w:t>
      </w:r>
    </w:p>
    <w:p w14:paraId="2074E2DF" w14:textId="77777777" w:rsidR="000335D7" w:rsidRPr="007C31DC" w:rsidRDefault="007C31DC" w:rsidP="00E410CE">
      <w:r>
        <w:rPr>
          <w:noProof/>
          <w:lang w:eastAsia="en-AU"/>
        </w:rPr>
        <w:drawing>
          <wp:inline distT="0" distB="0" distL="0" distR="0" wp14:anchorId="32208993" wp14:editId="0773BE35">
            <wp:extent cx="5731510" cy="1791709"/>
            <wp:effectExtent l="0" t="0" r="2540" b="0"/>
            <wp:docPr id="36" name="Picture 36" descr="Table 30: Study CS41; Subgroup analysis of 33% responder status: age category by treatment interaction -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1510" cy="1791709"/>
                    </a:xfrm>
                    <a:prstGeom prst="rect">
                      <a:avLst/>
                    </a:prstGeom>
                  </pic:spPr>
                </pic:pic>
              </a:graphicData>
            </a:graphic>
          </wp:inline>
        </w:drawing>
      </w:r>
    </w:p>
    <w:p w14:paraId="3F304E5E" w14:textId="77777777" w:rsidR="007C31DC" w:rsidRPr="00AE1C32" w:rsidRDefault="007C31DC" w:rsidP="00E410CE">
      <w:pPr>
        <w:pStyle w:val="TableDescription"/>
      </w:pPr>
      <w:r w:rsidRPr="00AE1C32">
        <w:t xml:space="preserve">Note: Longitudinal GEE analysis of 33% responder status (Week 1 , Month 1, Month 2 and Month 3 with baseline as a </w:t>
      </w:r>
      <w:r w:rsidRPr="00E410CE">
        <w:t>covariate</w:t>
      </w:r>
      <w:r w:rsidRPr="00AE1C32">
        <w:t>, and treatment</w:t>
      </w:r>
      <w:r w:rsidR="0080062E">
        <w:t xml:space="preserve">, visit, subgroup and treatment by </w:t>
      </w:r>
      <w:r w:rsidRPr="00AE1C32">
        <w:t>subgroup interaction as fac</w:t>
      </w:r>
      <w:r w:rsidR="0080062E">
        <w:t xml:space="preserve">tors. Only the Type 3 treatment by </w:t>
      </w:r>
      <w:r w:rsidRPr="00AE1C32">
        <w:t>subgroup</w:t>
      </w:r>
      <w:r w:rsidR="0080062E">
        <w:t xml:space="preserve"> interaction test result (score </w:t>
      </w:r>
      <w:r w:rsidRPr="00AE1C32">
        <w:t>test) is shown</w:t>
      </w:r>
    </w:p>
    <w:p w14:paraId="3B3B3F52" w14:textId="77777777" w:rsidR="00C22678" w:rsidRDefault="00C22678" w:rsidP="00E410CE">
      <w:pPr>
        <w:pStyle w:val="Heading2"/>
      </w:pPr>
      <w:bookmarkStart w:id="32" w:name="_Toc500838983"/>
      <w:r>
        <w:t>Clinical safety</w:t>
      </w:r>
      <w:bookmarkEnd w:id="32"/>
    </w:p>
    <w:p w14:paraId="6AF8F817" w14:textId="77777777" w:rsidR="00C05D0B" w:rsidRPr="00C05D0B" w:rsidRDefault="00C05D0B" w:rsidP="00E410CE">
      <w:r w:rsidRPr="00C05D0B">
        <w:t xml:space="preserve">Hyponatraemia is the most important safety concern, which </w:t>
      </w:r>
      <w:r w:rsidR="0080062E">
        <w:t xml:space="preserve">is based on the known mechanism of </w:t>
      </w:r>
      <w:r w:rsidRPr="00C05D0B">
        <w:t>action (</w:t>
      </w:r>
      <w:r w:rsidR="00590C83">
        <w:t>that is</w:t>
      </w:r>
      <w:r w:rsidRPr="00C05D0B">
        <w:t>, water retention</w:t>
      </w:r>
      <w:r>
        <w:t>).</w:t>
      </w:r>
    </w:p>
    <w:p w14:paraId="6C52793F" w14:textId="77777777" w:rsidR="00C05D0B" w:rsidRPr="00C05D0B" w:rsidRDefault="00C05D0B" w:rsidP="00E410CE">
      <w:r w:rsidRPr="00C05D0B">
        <w:t>Thrombosis is a potential risk, based on desmopressin’s haematological effects (</w:t>
      </w:r>
      <w:r w:rsidR="000120D8">
        <w:t>for example</w:t>
      </w:r>
      <w:r w:rsidRPr="00C05D0B">
        <w:t xml:space="preserve">, it has a registered indication for von Willibrand’s disease). However, the dose used for von Willibrand’s disease is much higher than the doses proposed for nocturnal polyuria. </w:t>
      </w:r>
      <w:r w:rsidR="00590C83">
        <w:t>There was no signal for thrombo</w:t>
      </w:r>
      <w:r w:rsidRPr="00C05D0B">
        <w:t xml:space="preserve">embolic events in the </w:t>
      </w:r>
      <w:r w:rsidR="00590C83">
        <w:t xml:space="preserve">Studies </w:t>
      </w:r>
      <w:r w:rsidRPr="00C05D0B">
        <w:t>CS40/CS41; although these trials were only of three months duration. Thrombosis is listed as an important potential risk in the summary of safety concerns; routine pharmacovigilance (spontaneous reporting) is proposed.</w:t>
      </w:r>
    </w:p>
    <w:p w14:paraId="33025F7F" w14:textId="77777777" w:rsidR="00C05D0B" w:rsidRPr="00C05D0B" w:rsidRDefault="00C05D0B" w:rsidP="00E410CE">
      <w:pPr>
        <w:pStyle w:val="Heading3"/>
      </w:pPr>
      <w:bookmarkStart w:id="33" w:name="_Toc500838984"/>
      <w:r w:rsidRPr="00E410CE">
        <w:lastRenderedPageBreak/>
        <w:t>CS40</w:t>
      </w:r>
      <w:bookmarkEnd w:id="33"/>
    </w:p>
    <w:p w14:paraId="7D165D7B" w14:textId="77777777" w:rsidR="00C05D0B" w:rsidRDefault="00C05D0B" w:rsidP="00C05D0B">
      <w:r w:rsidRPr="00C05D0B">
        <w:t>The safety analysis set included all subjects who received at least one dose of either desmopressin or placebo and had</w:t>
      </w:r>
      <w:r w:rsidR="00590C83">
        <w:t xml:space="preserve"> at least one safety assessment</w:t>
      </w:r>
      <w:r w:rsidRPr="00C05D0B">
        <w:t xml:space="preserve"> even if the subject was ruled ineligible.</w:t>
      </w:r>
      <w:r w:rsidR="00604B45">
        <w:t xml:space="preserve"> </w:t>
      </w:r>
      <w:r w:rsidRPr="00C05D0B">
        <w:t>Analyses were done according the actual treatment.</w:t>
      </w:r>
    </w:p>
    <w:p w14:paraId="5E0D296C" w14:textId="77777777" w:rsidR="00590C83" w:rsidRPr="00DD2CF2" w:rsidRDefault="00590C83" w:rsidP="00590C83">
      <w:pPr>
        <w:pStyle w:val="Tabletitle"/>
      </w:pPr>
      <w:r>
        <w:t xml:space="preserve">Table </w:t>
      </w:r>
      <w:r w:rsidR="00044B6C">
        <w:t>31</w:t>
      </w:r>
      <w:r>
        <w:t>: Safety analysis set Study CS40</w:t>
      </w:r>
    </w:p>
    <w:p w14:paraId="39FB0A3F" w14:textId="77777777" w:rsidR="007C31DC" w:rsidRDefault="00C05D0B" w:rsidP="00E410CE">
      <w:pPr>
        <w:rPr>
          <w:lang w:eastAsia="ja-JP"/>
        </w:rPr>
      </w:pPr>
      <w:r>
        <w:rPr>
          <w:noProof/>
          <w:lang w:eastAsia="en-AU"/>
        </w:rPr>
        <w:drawing>
          <wp:inline distT="0" distB="0" distL="0" distR="0" wp14:anchorId="3BF528E7" wp14:editId="12574BE6">
            <wp:extent cx="5731510" cy="451295"/>
            <wp:effectExtent l="0" t="0" r="2540" b="6350"/>
            <wp:docPr id="37" name="Picture 37" descr="Table 31: Safety analysis set Study CS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1510" cy="451295"/>
                    </a:xfrm>
                    <a:prstGeom prst="rect">
                      <a:avLst/>
                    </a:prstGeom>
                  </pic:spPr>
                </pic:pic>
              </a:graphicData>
            </a:graphic>
          </wp:inline>
        </w:drawing>
      </w:r>
    </w:p>
    <w:p w14:paraId="6EC4EFF2" w14:textId="77777777" w:rsidR="00C05D0B" w:rsidRDefault="00C05D0B" w:rsidP="00C05D0B">
      <w:r w:rsidRPr="00C05D0B">
        <w:t xml:space="preserve">The following </w:t>
      </w:r>
      <w:r w:rsidR="00590C83">
        <w:t xml:space="preserve">(Table </w:t>
      </w:r>
      <w:r w:rsidR="00044B6C">
        <w:t>32</w:t>
      </w:r>
      <w:r w:rsidR="00590C83">
        <w:t xml:space="preserve">) </w:t>
      </w:r>
      <w:r w:rsidRPr="00C05D0B">
        <w:t>is a summary of the tr</w:t>
      </w:r>
      <w:r w:rsidR="00590C83">
        <w:t>eatment emergent adverse events.</w:t>
      </w:r>
    </w:p>
    <w:p w14:paraId="143607AF" w14:textId="7F910C34" w:rsidR="00590C83" w:rsidRPr="00C05D0B" w:rsidRDefault="00590C83" w:rsidP="00590C83">
      <w:pPr>
        <w:pStyle w:val="Tabletitle"/>
      </w:pPr>
      <w:r>
        <w:t xml:space="preserve">Table </w:t>
      </w:r>
      <w:r w:rsidR="00044B6C">
        <w:t>32</w:t>
      </w:r>
      <w:r>
        <w:t xml:space="preserve">: </w:t>
      </w:r>
      <w:r w:rsidR="006C1631">
        <w:t xml:space="preserve">Study CS40 </w:t>
      </w:r>
      <w:r w:rsidR="0080062E">
        <w:t xml:space="preserve">Summary of </w:t>
      </w:r>
      <w:r w:rsidR="00C227BD">
        <w:t xml:space="preserve">treatment emergent adverse events </w:t>
      </w:r>
      <w:r>
        <w:t>(Safety Analysis Set)</w:t>
      </w:r>
    </w:p>
    <w:p w14:paraId="77D18649" w14:textId="77777777" w:rsidR="007C31DC" w:rsidRPr="00C05D0B" w:rsidRDefault="00C05D0B" w:rsidP="00E410CE">
      <w:r>
        <w:rPr>
          <w:noProof/>
          <w:lang w:eastAsia="en-AU"/>
        </w:rPr>
        <w:drawing>
          <wp:inline distT="0" distB="0" distL="0" distR="0" wp14:anchorId="70980CD6" wp14:editId="3C8F7DAC">
            <wp:extent cx="5731510" cy="1696796"/>
            <wp:effectExtent l="0" t="0" r="2540" b="0"/>
            <wp:docPr id="38" name="Picture 38" descr="Table 32: Study CS40 Summary of treatment emergent adverse event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1696796"/>
                    </a:xfrm>
                    <a:prstGeom prst="rect">
                      <a:avLst/>
                    </a:prstGeom>
                  </pic:spPr>
                </pic:pic>
              </a:graphicData>
            </a:graphic>
          </wp:inline>
        </w:drawing>
      </w:r>
    </w:p>
    <w:p w14:paraId="3C1983D3" w14:textId="77777777" w:rsidR="00C05D0B" w:rsidRPr="002B545E" w:rsidRDefault="00C05D0B" w:rsidP="00E410CE">
      <w:pPr>
        <w:pStyle w:val="TableDescription"/>
      </w:pPr>
      <w:r w:rsidRPr="002B545E">
        <w:t>AE = adverse event; SAE = serious adverse event; ADR = adverse drug reaction</w:t>
      </w:r>
      <w:r>
        <w:t>:</w:t>
      </w:r>
      <w:r w:rsidRPr="002B545E">
        <w:t xml:space="preserve"> an AE as</w:t>
      </w:r>
      <w:r>
        <w:t>sessed by the Investigator as possibly/</w:t>
      </w:r>
      <w:r w:rsidRPr="002B545E">
        <w:t>probably</w:t>
      </w:r>
      <w:r w:rsidRPr="002B545E">
        <w:rPr>
          <w:spacing w:val="-1"/>
        </w:rPr>
        <w:t xml:space="preserve"> </w:t>
      </w:r>
      <w:r w:rsidRPr="002B545E">
        <w:t>related</w:t>
      </w:r>
      <w:r w:rsidRPr="002B545E">
        <w:rPr>
          <w:spacing w:val="-1"/>
        </w:rPr>
        <w:t xml:space="preserve"> </w:t>
      </w:r>
      <w:r w:rsidRPr="002B545E">
        <w:t>to</w:t>
      </w:r>
      <w:r w:rsidRPr="002B545E">
        <w:rPr>
          <w:spacing w:val="-1"/>
        </w:rPr>
        <w:t xml:space="preserve"> </w:t>
      </w:r>
      <w:r w:rsidRPr="002B545E">
        <w:t>study</w:t>
      </w:r>
      <w:r w:rsidRPr="002B545E">
        <w:rPr>
          <w:spacing w:val="-1"/>
        </w:rPr>
        <w:t xml:space="preserve"> </w:t>
      </w:r>
      <w:r w:rsidRPr="002B545E">
        <w:t>drug</w:t>
      </w:r>
      <w:r>
        <w:t xml:space="preserve">. </w:t>
      </w:r>
      <w:r w:rsidR="00527C82">
        <w:t>*</w:t>
      </w:r>
      <w:r>
        <w:t>c</w:t>
      </w:r>
      <w:r w:rsidR="00044B6C">
        <w:t>ellulitis and pulmonary embolus</w:t>
      </w:r>
    </w:p>
    <w:p w14:paraId="39E2FF4F" w14:textId="77777777" w:rsidR="00C05D0B" w:rsidRDefault="00C05D0B" w:rsidP="00E410CE">
      <w:r w:rsidRPr="00C05D0B">
        <w:t>The most common treatment emergent adverse events (</w:t>
      </w:r>
      <w:r w:rsidR="00604B45">
        <w:t>&gt;</w:t>
      </w:r>
      <w:r w:rsidR="00094728">
        <w:t xml:space="preserve"> </w:t>
      </w:r>
      <w:r w:rsidRPr="00C05D0B">
        <w:t xml:space="preserve">2%) for desmopressin were the </w:t>
      </w:r>
      <w:r w:rsidR="006C1631">
        <w:t>following in order of frequency (Table 33).</w:t>
      </w:r>
    </w:p>
    <w:p w14:paraId="54694261" w14:textId="249019D6" w:rsidR="00044B6C" w:rsidRDefault="006C1631" w:rsidP="00044B6C">
      <w:pPr>
        <w:pStyle w:val="Tabletitle"/>
      </w:pPr>
      <w:r>
        <w:t xml:space="preserve">Table 33: Study CS40 </w:t>
      </w:r>
      <w:r w:rsidR="00C227BD">
        <w:t xml:space="preserve">treatment emergent adverse events reported (in order of frequency) for at least 2% of subjects in either treatment group </w:t>
      </w:r>
      <w:r w:rsidR="00044B6C">
        <w:t>(Safety Analysis Set)</w:t>
      </w:r>
    </w:p>
    <w:p w14:paraId="6524646B" w14:textId="77777777" w:rsidR="00C05D0B" w:rsidRPr="00C05D0B" w:rsidRDefault="006C1631" w:rsidP="00C05D0B">
      <w:r>
        <w:rPr>
          <w:noProof/>
          <w:lang w:eastAsia="en-AU"/>
        </w:rPr>
        <w:drawing>
          <wp:inline distT="0" distB="0" distL="0" distR="0" wp14:anchorId="45B0018B" wp14:editId="5F577AB2">
            <wp:extent cx="5731510" cy="2209326"/>
            <wp:effectExtent l="0" t="0" r="2540" b="635"/>
            <wp:docPr id="60" name="Picture 60" descr="Table 33: Study CS40 treatment emergent adverse events reported (in order of frequency) for at least 2% of subjects in either treatment group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31510" cy="2209326"/>
                    </a:xfrm>
                    <a:prstGeom prst="rect">
                      <a:avLst/>
                    </a:prstGeom>
                  </pic:spPr>
                </pic:pic>
              </a:graphicData>
            </a:graphic>
          </wp:inline>
        </w:drawing>
      </w:r>
    </w:p>
    <w:p w14:paraId="402D4D44" w14:textId="77777777" w:rsidR="00C05D0B" w:rsidRPr="00C05D0B" w:rsidRDefault="00C05D0B" w:rsidP="00E410CE">
      <w:r w:rsidRPr="00C05D0B">
        <w:t>The most common (</w:t>
      </w:r>
      <w:r w:rsidR="00604B45">
        <w:t xml:space="preserve">&gt; </w:t>
      </w:r>
      <w:r w:rsidRPr="00C05D0B">
        <w:t xml:space="preserve">1%) treatment emergent adverse drug reactions reported for desmopressin were dry mouth (4% </w:t>
      </w:r>
      <w:r w:rsidR="00E87BB3">
        <w:t>versus</w:t>
      </w:r>
      <w:r w:rsidRPr="00C05D0B">
        <w:t xml:space="preserve"> placebo 2%), headache (3% </w:t>
      </w:r>
      <w:r w:rsidR="00E87BB3">
        <w:t>versus</w:t>
      </w:r>
      <w:r w:rsidRPr="00C05D0B">
        <w:t xml:space="preserve"> 2%), medication error (2% </w:t>
      </w:r>
      <w:r w:rsidR="00E87BB3">
        <w:t>versus</w:t>
      </w:r>
      <w:r w:rsidRPr="00C05D0B">
        <w:t xml:space="preserve"> </w:t>
      </w:r>
      <w:r w:rsidR="00604B45">
        <w:t xml:space="preserve">&lt; </w:t>
      </w:r>
      <w:r w:rsidRPr="00C05D0B">
        <w:t xml:space="preserve">1%), abdominal pain (1% </w:t>
      </w:r>
      <w:r w:rsidR="00E87BB3">
        <w:t>versus</w:t>
      </w:r>
      <w:r w:rsidRPr="00C05D0B">
        <w:t xml:space="preserve"> 0), hyponatremia (n = 2; 1% </w:t>
      </w:r>
      <w:r w:rsidR="00E87BB3">
        <w:t>versus</w:t>
      </w:r>
      <w:r w:rsidRPr="00C05D0B">
        <w:t xml:space="preserve"> 1; </w:t>
      </w:r>
      <w:r w:rsidR="00604B45">
        <w:t xml:space="preserve">&lt; </w:t>
      </w:r>
      <w:r w:rsidRPr="00C05D0B">
        <w:t xml:space="preserve">1%), back pain (1% </w:t>
      </w:r>
      <w:r w:rsidR="00E87BB3">
        <w:t>versus</w:t>
      </w:r>
      <w:r w:rsidRPr="00C05D0B">
        <w:t xml:space="preserve"> 0), muscle spasms (1% </w:t>
      </w:r>
      <w:r w:rsidR="00E87BB3">
        <w:t>versus</w:t>
      </w:r>
      <w:r w:rsidRPr="00C05D0B">
        <w:t xml:space="preserve"> 0).</w:t>
      </w:r>
      <w:r w:rsidR="00604B45">
        <w:t xml:space="preserve"> </w:t>
      </w:r>
      <w:r w:rsidRPr="00C05D0B">
        <w:t xml:space="preserve">It should be noted that if sodium was </w:t>
      </w:r>
      <w:r w:rsidR="00604B45">
        <w:t>&gt;</w:t>
      </w:r>
      <w:r w:rsidR="00094728">
        <w:t xml:space="preserve"> </w:t>
      </w:r>
      <w:r w:rsidRPr="00C05D0B">
        <w:t xml:space="preserve">125 </w:t>
      </w:r>
      <w:proofErr w:type="spellStart"/>
      <w:r w:rsidRPr="00C05D0B">
        <w:t>mmol</w:t>
      </w:r>
      <w:proofErr w:type="spellEnd"/>
      <w:r w:rsidRPr="00C05D0B">
        <w:t xml:space="preserve">/L, it was reported by the investigator if it was considered to be clinically significant. If the value was </w:t>
      </w:r>
      <w:r w:rsidR="0042290A">
        <w:t>≤</w:t>
      </w:r>
      <w:r w:rsidR="00094728">
        <w:t xml:space="preserve"> </w:t>
      </w:r>
      <w:r w:rsidRPr="00C05D0B">
        <w:t>125mmol/L, the case was reported as an SAE.</w:t>
      </w:r>
    </w:p>
    <w:p w14:paraId="24F9EEDD" w14:textId="77777777" w:rsidR="00C05D0B" w:rsidRPr="00C05D0B" w:rsidRDefault="00C05D0B" w:rsidP="00E410CE">
      <w:r w:rsidRPr="00C05D0B">
        <w:lastRenderedPageBreak/>
        <w:t>Four subjects in the desmopressin group (headache, somnolence, syncope, and hypertension) and one in the placebo group (pulmonary embolus) discontinued the study due to an AE.</w:t>
      </w:r>
      <w:r w:rsidR="00604B45">
        <w:t xml:space="preserve"> </w:t>
      </w:r>
      <w:r w:rsidRPr="00C05D0B">
        <w:t>No subjects died during the t</w:t>
      </w:r>
      <w:r w:rsidR="006C1631">
        <w:t>rial.</w:t>
      </w:r>
    </w:p>
    <w:p w14:paraId="234D60DD" w14:textId="77777777" w:rsidR="00C05D0B" w:rsidRDefault="00C05D0B" w:rsidP="00E410CE">
      <w:r w:rsidRPr="00C05D0B">
        <w:t>In terms of laboratory values, some increases and decreases were seen in haematology, urinalysis and in clinical chemistry, however only 3 patients with sodium shifts to a “low” value in the desmopressin arm was considered to be clinically significant by investigators.</w:t>
      </w:r>
      <w:r w:rsidR="00094728">
        <w:t xml:space="preserve"> </w:t>
      </w:r>
      <w:r w:rsidRPr="00C05D0B">
        <w:t>In terms of differences between arms, mostly the changes seen were similar (</w:t>
      </w:r>
      <w:r w:rsidR="0042290A">
        <w:t xml:space="preserve">≤ </w:t>
      </w:r>
      <w:r w:rsidRPr="00C05D0B">
        <w:t xml:space="preserve">3% difference) except for the </w:t>
      </w:r>
      <w:r w:rsidR="00206542">
        <w:t>following numerical differences (as shown in Table 34)</w:t>
      </w:r>
    </w:p>
    <w:p w14:paraId="6A89CA2F" w14:textId="77777777" w:rsidR="006C1631" w:rsidRDefault="006C1631" w:rsidP="00FA6A33">
      <w:pPr>
        <w:pStyle w:val="Tabletitle"/>
      </w:pPr>
      <w:r>
        <w:t xml:space="preserve">Table 34: Study CS40 Changes in laboratory </w:t>
      </w:r>
      <w:r w:rsidR="00FA6A33">
        <w:t>parameters</w:t>
      </w:r>
      <w:r>
        <w:t xml:space="preserve"> between </w:t>
      </w:r>
      <w:r w:rsidR="00AD48B6">
        <w:t>arms</w:t>
      </w:r>
    </w:p>
    <w:p w14:paraId="431E6D5A" w14:textId="77777777" w:rsidR="007C31DC" w:rsidRDefault="006C1631" w:rsidP="00C22678">
      <w:r>
        <w:rPr>
          <w:noProof/>
          <w:lang w:eastAsia="en-AU"/>
        </w:rPr>
        <w:drawing>
          <wp:inline distT="0" distB="0" distL="0" distR="0" wp14:anchorId="5C401D9D" wp14:editId="4CB08394">
            <wp:extent cx="5731510" cy="841969"/>
            <wp:effectExtent l="0" t="0" r="2540" b="0"/>
            <wp:docPr id="66" name="Picture 66" descr="Table 34: Study CS40 Changes in laboratory parameters between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31510" cy="841969"/>
                    </a:xfrm>
                    <a:prstGeom prst="rect">
                      <a:avLst/>
                    </a:prstGeom>
                  </pic:spPr>
                </pic:pic>
              </a:graphicData>
            </a:graphic>
          </wp:inline>
        </w:drawing>
      </w:r>
    </w:p>
    <w:p w14:paraId="0155EE57" w14:textId="77777777" w:rsidR="00C05D0B" w:rsidRDefault="00C05D0B" w:rsidP="00C05D0B">
      <w:r w:rsidRPr="00C05D0B">
        <w:t xml:space="preserve">Further details of the lab parameter changes </w:t>
      </w:r>
      <w:r w:rsidR="00FA6A33" w:rsidRPr="00C05D0B">
        <w:t xml:space="preserve">including markedly abnormal laboratory variable changes </w:t>
      </w:r>
      <w:r w:rsidRPr="00C05D0B">
        <w:t>ca</w:t>
      </w:r>
      <w:r w:rsidR="00FA6A33">
        <w:t>n be seen in T</w:t>
      </w:r>
      <w:r w:rsidRPr="00C05D0B">
        <w:t xml:space="preserve">ables </w:t>
      </w:r>
      <w:r w:rsidR="00FA6A33">
        <w:t>35</w:t>
      </w:r>
      <w:r w:rsidRPr="00C05D0B">
        <w:t xml:space="preserve">, </w:t>
      </w:r>
      <w:r w:rsidR="00FA6A33">
        <w:t>36 and 37</w:t>
      </w:r>
      <w:r w:rsidRPr="00C05D0B">
        <w:t>).</w:t>
      </w:r>
    </w:p>
    <w:p w14:paraId="58A52E82" w14:textId="6FC066FC" w:rsidR="00FA6A33" w:rsidRDefault="00FA6A33" w:rsidP="00FA6A33">
      <w:pPr>
        <w:pStyle w:val="Tabletitle"/>
      </w:pPr>
      <w:r>
        <w:t>Table 35:</w:t>
      </w:r>
      <w:r w:rsidRPr="00FA6A33">
        <w:t xml:space="preserve"> </w:t>
      </w:r>
      <w:r>
        <w:t xml:space="preserve">Study CS40; Summary </w:t>
      </w:r>
      <w:r w:rsidR="00C227BD">
        <w:t xml:space="preserve">of shifts from normal at baseline to either low or high at month for ≥ 3 subjects in either treatment group; haematology </w:t>
      </w:r>
      <w:r>
        <w:t>(Safety Analysis Set)</w:t>
      </w:r>
    </w:p>
    <w:p w14:paraId="2523F97F" w14:textId="44C32431" w:rsidR="00FA6A33" w:rsidRDefault="00FA6A33" w:rsidP="00C05D0B">
      <w:r>
        <w:rPr>
          <w:noProof/>
          <w:lang w:eastAsia="en-AU"/>
        </w:rPr>
        <w:drawing>
          <wp:inline distT="0" distB="0" distL="0" distR="0" wp14:anchorId="44A72513" wp14:editId="66C57D1F">
            <wp:extent cx="5731510" cy="2827178"/>
            <wp:effectExtent l="0" t="0" r="2540" b="0"/>
            <wp:docPr id="67" name="Picture 67" descr="Table 35: Study CS40; Summary of shifts from normal at baseline to either low or high at month for ≥ 3 subjects in either treatment group; haematology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31510" cy="2827178"/>
                    </a:xfrm>
                    <a:prstGeom prst="rect">
                      <a:avLst/>
                    </a:prstGeom>
                  </pic:spPr>
                </pic:pic>
              </a:graphicData>
            </a:graphic>
          </wp:inline>
        </w:drawing>
      </w:r>
    </w:p>
    <w:p w14:paraId="702752DA" w14:textId="77777777" w:rsidR="00FA6A33" w:rsidRDefault="00FA6A33" w:rsidP="00FA6A33">
      <w:pPr>
        <w:pStyle w:val="Tabletitle"/>
      </w:pPr>
      <w:r>
        <w:lastRenderedPageBreak/>
        <w:t>Table 36:</w:t>
      </w:r>
      <w:r w:rsidRPr="00FA6A33">
        <w:t xml:space="preserve"> </w:t>
      </w:r>
      <w:r>
        <w:t xml:space="preserve">Study CS40; Summary of </w:t>
      </w:r>
      <w:r w:rsidR="00206542">
        <w:t>shifts from normal at baseline to either low or hig</w:t>
      </w:r>
      <w:r>
        <w:t xml:space="preserve">h at Month 3 for </w:t>
      </w:r>
      <w:r>
        <w:rPr>
          <w:rFonts w:hint="eastAsia"/>
        </w:rPr>
        <w:t>≥</w:t>
      </w:r>
      <w:r w:rsidR="00206542">
        <w:t xml:space="preserve"> </w:t>
      </w:r>
      <w:r>
        <w:t xml:space="preserve">3 </w:t>
      </w:r>
      <w:r w:rsidR="00206542">
        <w:t>subjects in either treatment group;</w:t>
      </w:r>
      <w:r>
        <w:t xml:space="preserve"> </w:t>
      </w:r>
      <w:r w:rsidR="00206542">
        <w:t xml:space="preserve">clinical chemistry </w:t>
      </w:r>
      <w:r>
        <w:t>(Safety Analysis Set)</w:t>
      </w:r>
    </w:p>
    <w:p w14:paraId="2FA26D9B" w14:textId="77777777" w:rsidR="00FA6A33" w:rsidRDefault="00FA6A33" w:rsidP="00C05D0B">
      <w:r>
        <w:rPr>
          <w:noProof/>
          <w:lang w:eastAsia="en-AU"/>
        </w:rPr>
        <w:drawing>
          <wp:inline distT="0" distB="0" distL="0" distR="0" wp14:anchorId="2A1001A4" wp14:editId="4D867D9F">
            <wp:extent cx="5731510" cy="2869429"/>
            <wp:effectExtent l="0" t="0" r="2540" b="7620"/>
            <wp:docPr id="68" name="Picture 68" descr="Table 36: Study CS40; Summary of shifts from normal at baseline to either low or high at Month 3 for ≥ 3 subjects in either treatment group; clinical chemistry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31510" cy="2869429"/>
                    </a:xfrm>
                    <a:prstGeom prst="rect">
                      <a:avLst/>
                    </a:prstGeom>
                  </pic:spPr>
                </pic:pic>
              </a:graphicData>
            </a:graphic>
          </wp:inline>
        </w:drawing>
      </w:r>
    </w:p>
    <w:p w14:paraId="0553A941" w14:textId="77777777" w:rsidR="00FA6A33" w:rsidRDefault="00FA6A33" w:rsidP="00FA6A33">
      <w:pPr>
        <w:pStyle w:val="Tabletitle"/>
      </w:pPr>
      <w:r>
        <w:t>Table 37:</w:t>
      </w:r>
      <w:r w:rsidRPr="00FA6A33">
        <w:t xml:space="preserve"> </w:t>
      </w:r>
      <w:r>
        <w:t xml:space="preserve">Study CS40; Incidence </w:t>
      </w:r>
      <w:r w:rsidR="00206542">
        <w:t>of markedly abnormal changes in laboratory v</w:t>
      </w:r>
      <w:r>
        <w:t>ariables (Safety Analysis Set)</w:t>
      </w:r>
    </w:p>
    <w:p w14:paraId="7590E333" w14:textId="77777777" w:rsidR="00FA6A33" w:rsidRPr="00C05D0B" w:rsidRDefault="00FA6A33" w:rsidP="00C05D0B">
      <w:r>
        <w:rPr>
          <w:noProof/>
          <w:lang w:eastAsia="en-AU"/>
        </w:rPr>
        <w:drawing>
          <wp:inline distT="0" distB="0" distL="0" distR="0" wp14:anchorId="1970FC3B" wp14:editId="55FA38A0">
            <wp:extent cx="5731510" cy="2152378"/>
            <wp:effectExtent l="0" t="0" r="2540" b="635"/>
            <wp:docPr id="69" name="Picture 69" descr="Table 37: Study CS40; Incidence of markedly abnormal changes in laboratory variabl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31510" cy="2152378"/>
                    </a:xfrm>
                    <a:prstGeom prst="rect">
                      <a:avLst/>
                    </a:prstGeom>
                  </pic:spPr>
                </pic:pic>
              </a:graphicData>
            </a:graphic>
          </wp:inline>
        </w:drawing>
      </w:r>
    </w:p>
    <w:p w14:paraId="52690B65" w14:textId="77777777" w:rsidR="00527C82" w:rsidRPr="00FA6A33" w:rsidRDefault="00C05D0B" w:rsidP="00FA6A33">
      <w:r w:rsidRPr="00C05D0B">
        <w:t>In terms of vital signs, no increases or decreases in values were considered by the investigator to be clinically meaningful.</w:t>
      </w:r>
      <w:r w:rsidR="00604B45">
        <w:t xml:space="preserve"> </w:t>
      </w:r>
      <w:r w:rsidRPr="00C05D0B">
        <w:t xml:space="preserve">Further details </w:t>
      </w:r>
      <w:r w:rsidR="00FA6A33">
        <w:t>were provided in the CSR (T</w:t>
      </w:r>
      <w:r>
        <w:t>able</w:t>
      </w:r>
      <w:r w:rsidR="00FA6A33">
        <w:t>s</w:t>
      </w:r>
      <w:r>
        <w:t xml:space="preserve"> 7.3.1 and 7.3.2).</w:t>
      </w:r>
    </w:p>
    <w:p w14:paraId="22E702E0" w14:textId="77777777" w:rsidR="00C05D0B" w:rsidRPr="00C05D0B" w:rsidRDefault="00C05D0B" w:rsidP="00FA6A33">
      <w:pPr>
        <w:pStyle w:val="Heading4"/>
      </w:pPr>
      <w:r w:rsidRPr="00C05D0B">
        <w:t>Serum sodium</w:t>
      </w:r>
    </w:p>
    <w:p w14:paraId="13661568" w14:textId="77777777" w:rsidR="00C05D0B" w:rsidRPr="00C05D0B" w:rsidRDefault="00C05D0B" w:rsidP="00E410CE">
      <w:r w:rsidRPr="00C05D0B">
        <w:t xml:space="preserve">No patient had a serum sodium level </w:t>
      </w:r>
      <w:r w:rsidR="0042290A">
        <w:t xml:space="preserve">≤ </w:t>
      </w:r>
      <w:r w:rsidRPr="00C05D0B">
        <w:t xml:space="preserve">125 </w:t>
      </w:r>
      <w:proofErr w:type="spellStart"/>
      <w:r w:rsidRPr="00C05D0B">
        <w:t>mmol</w:t>
      </w:r>
      <w:proofErr w:type="spellEnd"/>
      <w:r w:rsidRPr="00C05D0B">
        <w:t>/L during the trial and there were no discontinuations due to low serum sodium or an adverse event of hyponatremia.</w:t>
      </w:r>
      <w:r w:rsidR="00604B45">
        <w:t xml:space="preserve"> </w:t>
      </w:r>
      <w:r w:rsidRPr="00C05D0B">
        <w:t xml:space="preserve">Three (2%) of the desmopressin patients had a serum sodium level of </w:t>
      </w:r>
      <w:r w:rsidR="00604B45">
        <w:t xml:space="preserve">&lt; </w:t>
      </w:r>
      <w:r w:rsidRPr="00C05D0B">
        <w:t xml:space="preserve">130 </w:t>
      </w:r>
      <w:proofErr w:type="spellStart"/>
      <w:r w:rsidRPr="00C05D0B">
        <w:t>mmol</w:t>
      </w:r>
      <w:proofErr w:type="spellEnd"/>
      <w:r w:rsidRPr="00C05D0B">
        <w:t>/L</w:t>
      </w:r>
      <w:r w:rsidR="00604B45">
        <w:t xml:space="preserve"> </w:t>
      </w:r>
      <w:r w:rsidRPr="00C05D0B">
        <w:t>(one of 71</w:t>
      </w:r>
      <w:r w:rsidR="00604B45">
        <w:t xml:space="preserve"> </w:t>
      </w:r>
      <w:r w:rsidRPr="00C05D0B">
        <w:t xml:space="preserve">(1%) was </w:t>
      </w:r>
      <w:r w:rsidR="00FA6A33">
        <w:t>&lt; 65 </w:t>
      </w:r>
      <w:r w:rsidRPr="00C05D0B">
        <w:t xml:space="preserve">years and two of 63 (3%) were </w:t>
      </w:r>
      <w:r w:rsidR="00094728">
        <w:t xml:space="preserve">≥ </w:t>
      </w:r>
      <w:r w:rsidRPr="00C05D0B">
        <w:t xml:space="preserve">65 years old). All three subjects regained sodium levels of </w:t>
      </w:r>
      <w:r w:rsidR="00604B45">
        <w:t xml:space="preserve">&gt; </w:t>
      </w:r>
      <w:r w:rsidRPr="00C05D0B">
        <w:t xml:space="preserve">130 </w:t>
      </w:r>
      <w:proofErr w:type="spellStart"/>
      <w:r w:rsidRPr="00C05D0B">
        <w:t>mmol</w:t>
      </w:r>
      <w:proofErr w:type="spellEnd"/>
      <w:r w:rsidRPr="00C05D0B">
        <w:t>/L within 2 to 4 days without interrupting treatment.</w:t>
      </w:r>
    </w:p>
    <w:p w14:paraId="4E4FFBF1" w14:textId="77777777" w:rsidR="00C05D0B" w:rsidRDefault="00C05D0B" w:rsidP="00E410CE">
      <w:r w:rsidRPr="00C05D0B">
        <w:t xml:space="preserve">The following table </w:t>
      </w:r>
      <w:r w:rsidR="00FA6A33">
        <w:t xml:space="preserve">(Table 38) </w:t>
      </w:r>
      <w:r w:rsidRPr="00C05D0B">
        <w:t>summarises the minimum po</w:t>
      </w:r>
      <w:r w:rsidR="0080062E">
        <w:t xml:space="preserve">st </w:t>
      </w:r>
      <w:r w:rsidR="00FA6A33">
        <w:t>baseline serum sodium levels.</w:t>
      </w:r>
    </w:p>
    <w:p w14:paraId="6D811920" w14:textId="77777777" w:rsidR="00FA6A33" w:rsidRDefault="00FA6A33" w:rsidP="00FA6A33">
      <w:pPr>
        <w:pStyle w:val="Tabletitle"/>
      </w:pPr>
      <w:r>
        <w:lastRenderedPageBreak/>
        <w:t>Tab</w:t>
      </w:r>
      <w:r w:rsidR="0080062E">
        <w:t xml:space="preserve">le 38: Study CS40; Minimum post baseline serum sodium levels </w:t>
      </w:r>
      <w:r>
        <w:t>(Safety Analysis Set)</w:t>
      </w:r>
    </w:p>
    <w:p w14:paraId="0CADD2E5" w14:textId="77777777" w:rsidR="007C31DC" w:rsidRDefault="00FA6A33" w:rsidP="00C22678">
      <w:pPr>
        <w:rPr>
          <w:lang w:eastAsia="ja-JP"/>
        </w:rPr>
      </w:pPr>
      <w:r>
        <w:rPr>
          <w:noProof/>
          <w:lang w:eastAsia="en-AU"/>
        </w:rPr>
        <w:drawing>
          <wp:inline distT="0" distB="0" distL="0" distR="0" wp14:anchorId="0E040604" wp14:editId="72E09DD7">
            <wp:extent cx="5731510" cy="1082619"/>
            <wp:effectExtent l="0" t="0" r="2540" b="3810"/>
            <wp:docPr id="70" name="Picture 70" descr="Table 38: Study CS40; Minimum post baseline serum sodium level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31510" cy="1082619"/>
                    </a:xfrm>
                    <a:prstGeom prst="rect">
                      <a:avLst/>
                    </a:prstGeom>
                  </pic:spPr>
                </pic:pic>
              </a:graphicData>
            </a:graphic>
          </wp:inline>
        </w:drawing>
      </w:r>
    </w:p>
    <w:p w14:paraId="03804ED2" w14:textId="1C7D7946" w:rsidR="00F91A15" w:rsidRDefault="00F91A15" w:rsidP="00F91A15">
      <w:r w:rsidRPr="00F91A15">
        <w:t>The following diagram</w:t>
      </w:r>
      <w:r w:rsidR="00FA6A33">
        <w:t xml:space="preserve"> (Figure </w:t>
      </w:r>
      <w:r w:rsidR="00C227BD">
        <w:t>8</w:t>
      </w:r>
      <w:r w:rsidR="00FA6A33">
        <w:t>)</w:t>
      </w:r>
      <w:r w:rsidRPr="00F91A15">
        <w:t xml:space="preserve"> shows the minimum post dose serum sodium levels by subject age and treatment arm (figure 11-1, study report); of note, 2 subjects on the desmopressin arm were the same age (67 years) and had a minimum sodium of 132 </w:t>
      </w:r>
      <w:proofErr w:type="spellStart"/>
      <w:r w:rsidRPr="00F91A15">
        <w:t>mmol</w:t>
      </w:r>
      <w:proofErr w:type="spellEnd"/>
      <w:r w:rsidRPr="00F91A15">
        <w:t>/L and are therefore represented by a single blue circle.</w:t>
      </w:r>
    </w:p>
    <w:p w14:paraId="6C5C8788" w14:textId="14A23DCF" w:rsidR="00FA6A33" w:rsidRDefault="00FA6A33" w:rsidP="00FA6A33">
      <w:pPr>
        <w:pStyle w:val="FigureTitle"/>
      </w:pPr>
      <w:r>
        <w:t>Figu</w:t>
      </w:r>
      <w:r w:rsidR="0080062E">
        <w:t xml:space="preserve">re </w:t>
      </w:r>
      <w:r w:rsidR="00C227BD">
        <w:t>8</w:t>
      </w:r>
      <w:r w:rsidR="0080062E">
        <w:t xml:space="preserve">: Study CS40; Minimum post dose serum sodium levels by subject age </w:t>
      </w:r>
      <w:r>
        <w:t>(Safety Analysis Set)</w:t>
      </w:r>
    </w:p>
    <w:p w14:paraId="34C863EB" w14:textId="77777777" w:rsidR="007C31DC" w:rsidRDefault="00FA6A33" w:rsidP="00E410CE">
      <w:r>
        <w:rPr>
          <w:noProof/>
          <w:lang w:eastAsia="en-AU"/>
        </w:rPr>
        <w:drawing>
          <wp:inline distT="0" distB="0" distL="0" distR="0" wp14:anchorId="5C98E5FC" wp14:editId="6EAB9149">
            <wp:extent cx="5731510" cy="3839377"/>
            <wp:effectExtent l="0" t="0" r="2540" b="8890"/>
            <wp:docPr id="71" name="Picture 71" descr="Figure 8: Study CS40; Minimum post dose serum sodium levels by subject age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31510" cy="3839377"/>
                    </a:xfrm>
                    <a:prstGeom prst="rect">
                      <a:avLst/>
                    </a:prstGeom>
                  </pic:spPr>
                </pic:pic>
              </a:graphicData>
            </a:graphic>
          </wp:inline>
        </w:drawing>
      </w:r>
    </w:p>
    <w:p w14:paraId="06ADFD6D" w14:textId="2F29FDB3" w:rsidR="00F91A15" w:rsidRDefault="005D4B3E" w:rsidP="00F91A15">
      <w:r>
        <w:t>F</w:t>
      </w:r>
      <w:r w:rsidR="00FA6A33">
        <w:t xml:space="preserve">igure </w:t>
      </w:r>
      <w:r w:rsidR="00C227BD">
        <w:t>9</w:t>
      </w:r>
      <w:r w:rsidR="00C648C4">
        <w:t xml:space="preserve"> </w:t>
      </w:r>
      <w:r w:rsidR="00FA6A33">
        <w:t>shows a Kaplan</w:t>
      </w:r>
      <w:r w:rsidR="00F91A15" w:rsidRPr="00F91A15">
        <w:t>–Meier plot of time to hyponatremia (</w:t>
      </w:r>
      <w:r w:rsidR="00604B45">
        <w:t xml:space="preserve">&lt; </w:t>
      </w:r>
      <w:r w:rsidR="00F91A15" w:rsidRPr="00F91A15">
        <w:t>135) for all patients, suggesting that</w:t>
      </w:r>
      <w:r w:rsidR="00604B45">
        <w:t xml:space="preserve"> </w:t>
      </w:r>
      <w:r w:rsidR="00F91A15" w:rsidRPr="00F91A15">
        <w:t>a decrease in serum sodium could occur at any time throughout the 3 month treatment period and was not confined to a</w:t>
      </w:r>
      <w:r w:rsidR="00F91A15">
        <w:t xml:space="preserve"> particular period within starting treatment</w:t>
      </w:r>
      <w:r w:rsidR="00F91A15" w:rsidRPr="005D13EE">
        <w:t>:</w:t>
      </w:r>
    </w:p>
    <w:p w14:paraId="5BDFE3E9" w14:textId="78F68B26" w:rsidR="005D4B3E" w:rsidRDefault="005D4B3E" w:rsidP="005D4B3E">
      <w:pPr>
        <w:pStyle w:val="FigureTitle"/>
      </w:pPr>
      <w:r>
        <w:lastRenderedPageBreak/>
        <w:t xml:space="preserve">Figure </w:t>
      </w:r>
      <w:r w:rsidR="00C227BD">
        <w:t>9</w:t>
      </w:r>
      <w:r>
        <w:t>:</w:t>
      </w:r>
      <w:r w:rsidRPr="005D4B3E">
        <w:t xml:space="preserve"> </w:t>
      </w:r>
      <w:r>
        <w:t xml:space="preserve">Study CS40; Kaplan-Meier plot </w:t>
      </w:r>
      <w:r w:rsidR="00C648C4">
        <w:t>of time to hyponatraemia</w:t>
      </w:r>
      <w:r w:rsidR="00527C82">
        <w:t>:</w:t>
      </w:r>
      <w:r>
        <w:t xml:space="preserve"> Sodium &lt; 135 – All patients</w:t>
      </w:r>
    </w:p>
    <w:p w14:paraId="37374D05" w14:textId="77777777" w:rsidR="00F91A15" w:rsidRPr="00F91A15" w:rsidRDefault="005D4B3E" w:rsidP="00E410CE">
      <w:r>
        <w:rPr>
          <w:noProof/>
          <w:lang w:eastAsia="en-AU"/>
        </w:rPr>
        <w:drawing>
          <wp:inline distT="0" distB="0" distL="0" distR="0" wp14:anchorId="712E4F05" wp14:editId="7CF7D31F">
            <wp:extent cx="5731510" cy="3837540"/>
            <wp:effectExtent l="0" t="0" r="2540" b="0"/>
            <wp:docPr id="72" name="Picture 72" descr="Figure 9: Study CS40; Kaplan-Meier plot of time to hyponatraemia: Sodium &lt; 135 –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31510" cy="3837540"/>
                    </a:xfrm>
                    <a:prstGeom prst="rect">
                      <a:avLst/>
                    </a:prstGeom>
                  </pic:spPr>
                </pic:pic>
              </a:graphicData>
            </a:graphic>
          </wp:inline>
        </w:drawing>
      </w:r>
    </w:p>
    <w:p w14:paraId="5F927774" w14:textId="77777777" w:rsidR="00F91A15" w:rsidRPr="00F91A15" w:rsidRDefault="00F91A15" w:rsidP="005D4B3E">
      <w:pPr>
        <w:pStyle w:val="Heading3"/>
      </w:pPr>
      <w:bookmarkStart w:id="34" w:name="_Toc500838985"/>
      <w:r w:rsidRPr="00F91A15">
        <w:t>CS41</w:t>
      </w:r>
      <w:bookmarkEnd w:id="34"/>
    </w:p>
    <w:p w14:paraId="10FD97A7" w14:textId="77777777" w:rsidR="00F91A15" w:rsidRPr="00F91A15" w:rsidRDefault="00F91A15" w:rsidP="00E410CE">
      <w:pPr>
        <w:pStyle w:val="Heading4"/>
      </w:pPr>
      <w:r w:rsidRPr="00F91A15">
        <w:t>Serum</w:t>
      </w:r>
      <w:r>
        <w:t xml:space="preserve"> sodium</w:t>
      </w:r>
    </w:p>
    <w:p w14:paraId="6BAF9478" w14:textId="77777777" w:rsidR="00F91A15" w:rsidRPr="00F91A15" w:rsidRDefault="00F91A15" w:rsidP="00F91A15">
      <w:pPr>
        <w:pStyle w:val="ListBullet"/>
      </w:pPr>
      <w:r w:rsidRPr="00F91A15">
        <w:t>Part I</w:t>
      </w:r>
    </w:p>
    <w:p w14:paraId="49DF9F47" w14:textId="254529D1" w:rsidR="00F91A15" w:rsidRDefault="00F91A15" w:rsidP="00E410CE">
      <w:r w:rsidRPr="00F91A15">
        <w:t>The following graph (</w:t>
      </w:r>
      <w:r w:rsidR="00527C82">
        <w:t xml:space="preserve">Figure </w:t>
      </w:r>
      <w:r w:rsidR="00C227BD">
        <w:t>10</w:t>
      </w:r>
      <w:r w:rsidRPr="00F91A15">
        <w:t>) shows the minimum post dose serum sodium levels by treatment arm and age.</w:t>
      </w:r>
    </w:p>
    <w:p w14:paraId="22EE3EFC" w14:textId="6961F7E3" w:rsidR="00527C82" w:rsidRDefault="00527C82" w:rsidP="00527C82">
      <w:pPr>
        <w:pStyle w:val="FigureTitle"/>
      </w:pPr>
      <w:r>
        <w:lastRenderedPageBreak/>
        <w:t xml:space="preserve">Figure </w:t>
      </w:r>
      <w:r w:rsidR="00C227BD">
        <w:t>10</w:t>
      </w:r>
      <w:r w:rsidR="0080062E">
        <w:t xml:space="preserve">: Minimum post </w:t>
      </w:r>
      <w:r w:rsidR="0080062E" w:rsidRPr="00527C82">
        <w:t xml:space="preserve">dose serum sodium levels by subject age </w:t>
      </w:r>
      <w:r w:rsidRPr="00527C82">
        <w:t>(Safety Analysis</w:t>
      </w:r>
      <w:r>
        <w:t xml:space="preserve"> </w:t>
      </w:r>
      <w:r w:rsidRPr="00527C82">
        <w:t xml:space="preserve">Set) </w:t>
      </w:r>
      <w:r w:rsidRPr="00527C82">
        <w:rPr>
          <w:rFonts w:hint="eastAsia"/>
        </w:rPr>
        <w:t>–</w:t>
      </w:r>
      <w:r w:rsidRPr="00527C82">
        <w:t xml:space="preserve"> Part I</w:t>
      </w:r>
    </w:p>
    <w:p w14:paraId="28F31B5F" w14:textId="77777777" w:rsidR="00F91A15" w:rsidRPr="00F91A15" w:rsidRDefault="00527C82" w:rsidP="00E410CE">
      <w:r>
        <w:rPr>
          <w:noProof/>
          <w:lang w:eastAsia="en-AU"/>
        </w:rPr>
        <w:drawing>
          <wp:inline distT="0" distB="0" distL="0" distR="0" wp14:anchorId="7760E264" wp14:editId="004E7D4F">
            <wp:extent cx="5731510" cy="3827130"/>
            <wp:effectExtent l="0" t="0" r="2540" b="2540"/>
            <wp:docPr id="20" name="Picture 20" descr="Figure 10: Minimum post dose serum sodium levels by subject age (Safety Analysis Set) – Part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31510" cy="3827130"/>
                    </a:xfrm>
                    <a:prstGeom prst="rect">
                      <a:avLst/>
                    </a:prstGeom>
                  </pic:spPr>
                </pic:pic>
              </a:graphicData>
            </a:graphic>
          </wp:inline>
        </w:drawing>
      </w:r>
    </w:p>
    <w:p w14:paraId="116DCC7A" w14:textId="77777777" w:rsidR="00F91A15" w:rsidRDefault="00F91A15" w:rsidP="00E410CE">
      <w:r w:rsidRPr="00F91A15">
        <w:t xml:space="preserve">The following table </w:t>
      </w:r>
      <w:r w:rsidR="00527C82">
        <w:t xml:space="preserve">(Table 39) </w:t>
      </w:r>
      <w:r w:rsidRPr="00F91A15">
        <w:t xml:space="preserve">is another summary of the minimum </w:t>
      </w:r>
      <w:r w:rsidR="0080062E">
        <w:t>post baseline</w:t>
      </w:r>
      <w:r w:rsidR="00743110">
        <w:t xml:space="preserve"> serum sodium levels seen in Part I.</w:t>
      </w:r>
    </w:p>
    <w:p w14:paraId="3C4A2A4E" w14:textId="77777777" w:rsidR="00527C82" w:rsidRDefault="00527C82" w:rsidP="00527C82">
      <w:pPr>
        <w:pStyle w:val="Tabletitle"/>
      </w:pPr>
      <w:r>
        <w:t xml:space="preserve">Table 39: Minimum </w:t>
      </w:r>
      <w:r w:rsidR="0080062E">
        <w:t xml:space="preserve">post baseline serum sodium levels by age group </w:t>
      </w:r>
      <w:r>
        <w:t xml:space="preserve">(Safety Analysis Set) </w:t>
      </w:r>
      <w:r>
        <w:rPr>
          <w:rFonts w:hint="eastAsia"/>
        </w:rPr>
        <w:t>–</w:t>
      </w:r>
      <w:r>
        <w:t xml:space="preserve"> Part I</w:t>
      </w:r>
    </w:p>
    <w:p w14:paraId="0445BED7" w14:textId="77777777" w:rsidR="00F91A15" w:rsidRPr="00F91A15" w:rsidRDefault="00527C82" w:rsidP="00F91A15">
      <w:r>
        <w:rPr>
          <w:noProof/>
          <w:lang w:eastAsia="en-AU"/>
        </w:rPr>
        <w:drawing>
          <wp:inline distT="0" distB="0" distL="0" distR="0" wp14:anchorId="77CAFD53" wp14:editId="59231091">
            <wp:extent cx="5731510" cy="1376542"/>
            <wp:effectExtent l="0" t="0" r="2540" b="0"/>
            <wp:docPr id="21" name="Picture 21" descr="Table 39: Minimum post baseline serum sodium levels by age group (Safety Analysis Set) – Part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31510" cy="1376542"/>
                    </a:xfrm>
                    <a:prstGeom prst="rect">
                      <a:avLst/>
                    </a:prstGeom>
                  </pic:spPr>
                </pic:pic>
              </a:graphicData>
            </a:graphic>
          </wp:inline>
        </w:drawing>
      </w:r>
    </w:p>
    <w:p w14:paraId="02B7030B" w14:textId="77777777" w:rsidR="00F91A15" w:rsidRPr="00F91A15" w:rsidRDefault="00F91A15" w:rsidP="00E410CE">
      <w:r w:rsidRPr="00F91A15">
        <w:t>Two observations from this data set are made:</w:t>
      </w:r>
    </w:p>
    <w:p w14:paraId="41FC74AB" w14:textId="77777777" w:rsidR="00F91A15" w:rsidRPr="00E410CE" w:rsidRDefault="00F91A15" w:rsidP="00E410CE">
      <w:pPr>
        <w:pStyle w:val="ListBullet"/>
      </w:pPr>
      <w:r w:rsidRPr="00F91A15">
        <w:t xml:space="preserve">A dose </w:t>
      </w:r>
      <w:r w:rsidRPr="00E410CE">
        <w:t>response was observed with regards to serum sodium levels in CS41</w:t>
      </w:r>
    </w:p>
    <w:p w14:paraId="0D149C64" w14:textId="77777777" w:rsidR="00F91A15" w:rsidRPr="00F91A15" w:rsidRDefault="00F91A15" w:rsidP="00E410CE">
      <w:pPr>
        <w:pStyle w:val="ListBullet"/>
      </w:pPr>
      <w:r w:rsidRPr="00E410CE">
        <w:t>Hyponatremia was more common</w:t>
      </w:r>
      <w:r w:rsidRPr="00F91A15">
        <w:t xml:space="preserve"> among subjects </w:t>
      </w:r>
      <w:r w:rsidR="00094728">
        <w:t xml:space="preserve">≥ </w:t>
      </w:r>
      <w:r>
        <w:t>65 years of age.</w:t>
      </w:r>
    </w:p>
    <w:p w14:paraId="6AC071C1" w14:textId="77777777" w:rsidR="00F91A15" w:rsidRPr="00F91A15" w:rsidRDefault="00F91A15" w:rsidP="00E410CE">
      <w:r w:rsidRPr="00F91A15">
        <w:t xml:space="preserve">It is also noted that five of the six subjects had serum sodium </w:t>
      </w:r>
      <w:r w:rsidR="0042290A">
        <w:t>≤</w:t>
      </w:r>
      <w:r w:rsidR="00094728">
        <w:t xml:space="preserve"> </w:t>
      </w:r>
      <w:r w:rsidRPr="00F91A15">
        <w:t xml:space="preserve">125 </w:t>
      </w:r>
      <w:proofErr w:type="spellStart"/>
      <w:r w:rsidRPr="00F91A15">
        <w:t>mmol</w:t>
      </w:r>
      <w:proofErr w:type="spellEnd"/>
      <w:r w:rsidRPr="00F91A15">
        <w:t>/L and discontinued the trial due to hyponatremia (per protocol).</w:t>
      </w:r>
      <w:r w:rsidR="00604B45">
        <w:t xml:space="preserve"> </w:t>
      </w:r>
      <w:r w:rsidRPr="00F91A15">
        <w:t xml:space="preserve">The sixth discontinued due to dizziness on </w:t>
      </w:r>
      <w:r w:rsidR="00EA2517">
        <w:t>Day</w:t>
      </w:r>
      <w:r w:rsidRPr="00F91A15">
        <w:t xml:space="preserve"> 6 and was subsequently found to have low sodium on </w:t>
      </w:r>
      <w:r w:rsidR="00EA2517">
        <w:t>Day</w:t>
      </w:r>
      <w:r w:rsidRPr="00F91A15">
        <w:t xml:space="preserve"> 7.</w:t>
      </w:r>
      <w:r w:rsidR="00604B45">
        <w:t xml:space="preserve"> </w:t>
      </w:r>
      <w:r w:rsidRPr="00F91A15">
        <w:t xml:space="preserve">Of these subjects, 5 had </w:t>
      </w:r>
      <w:proofErr w:type="gramStart"/>
      <w:r w:rsidRPr="00F91A15">
        <w:t>a normal</w:t>
      </w:r>
      <w:proofErr w:type="gramEnd"/>
      <w:r w:rsidRPr="00F91A15">
        <w:t xml:space="preserve"> serum sodium at baseline and the sixth had a serum sodium of 134 </w:t>
      </w:r>
      <w:proofErr w:type="spellStart"/>
      <w:r w:rsidRPr="00F91A15">
        <w:t>mmol</w:t>
      </w:r>
      <w:proofErr w:type="spellEnd"/>
      <w:r w:rsidRPr="00F91A15">
        <w:t>/L.</w:t>
      </w:r>
    </w:p>
    <w:p w14:paraId="73D8F99D" w14:textId="77777777" w:rsidR="00F91A15" w:rsidRPr="00F91A15" w:rsidRDefault="00F91A15" w:rsidP="00F91A15">
      <w:pPr>
        <w:pStyle w:val="ListBullet"/>
      </w:pPr>
      <w:r w:rsidRPr="00F91A15">
        <w:t>Part II</w:t>
      </w:r>
    </w:p>
    <w:p w14:paraId="65ECE994" w14:textId="77777777" w:rsidR="00F91A15" w:rsidRDefault="00F91A15" w:rsidP="00E410CE">
      <w:r w:rsidRPr="00F91A15">
        <w:t xml:space="preserve">The following table </w:t>
      </w:r>
      <w:r w:rsidR="00743110">
        <w:t xml:space="preserve">(Table 40) </w:t>
      </w:r>
      <w:r w:rsidRPr="00F91A15">
        <w:t xml:space="preserve">is summarises the minimum </w:t>
      </w:r>
      <w:r w:rsidR="0080062E">
        <w:t>post baseline</w:t>
      </w:r>
      <w:r w:rsidR="00743110">
        <w:t xml:space="preserve"> serum sodium levels seen in P</w:t>
      </w:r>
      <w:r w:rsidRPr="00F91A15">
        <w:t xml:space="preserve">art II (safety analysis set; table 11-15 study report) according to desmopressin dose </w:t>
      </w:r>
      <w:r w:rsidRPr="00F91A15">
        <w:lastRenderedPageBreak/>
        <w:t>and age.</w:t>
      </w:r>
      <w:r w:rsidR="00604B45">
        <w:t xml:space="preserve"> </w:t>
      </w:r>
      <w:r w:rsidRPr="00F91A15">
        <w:t xml:space="preserve">Of note, two subjects had a </w:t>
      </w:r>
      <w:r w:rsidR="0080062E">
        <w:t>post baseline</w:t>
      </w:r>
      <w:r w:rsidRPr="00F91A15">
        <w:t xml:space="preserve"> serum sodium level of </w:t>
      </w:r>
      <w:r w:rsidR="0042290A">
        <w:t>≤</w:t>
      </w:r>
      <w:r w:rsidR="00094728">
        <w:t xml:space="preserve"> </w:t>
      </w:r>
      <w:r w:rsidRPr="00F91A15">
        <w:t xml:space="preserve">125 </w:t>
      </w:r>
      <w:proofErr w:type="spellStart"/>
      <w:r w:rsidRPr="00F91A15">
        <w:t>mmol</w:t>
      </w:r>
      <w:proofErr w:type="spellEnd"/>
      <w:r w:rsidRPr="00F91A15">
        <w:t>/L and both were discontinued per protocol.</w:t>
      </w:r>
    </w:p>
    <w:p w14:paraId="4CC9C22F" w14:textId="77777777" w:rsidR="00743110" w:rsidRPr="00743110" w:rsidRDefault="00743110" w:rsidP="00743110">
      <w:pPr>
        <w:pStyle w:val="Tabletitle"/>
      </w:pPr>
      <w:r w:rsidRPr="00743110">
        <w:t xml:space="preserve">Table 40: </w:t>
      </w:r>
      <w:r>
        <w:t xml:space="preserve">Minimum </w:t>
      </w:r>
      <w:r w:rsidR="00206542">
        <w:t xml:space="preserve">post baseline serum sodium levels by age group </w:t>
      </w:r>
      <w:r>
        <w:t xml:space="preserve">(Safety Analysis Set) </w:t>
      </w:r>
      <w:r>
        <w:rPr>
          <w:rFonts w:hint="eastAsia"/>
        </w:rPr>
        <w:t>–</w:t>
      </w:r>
      <w:r>
        <w:t xml:space="preserve"> Part II</w:t>
      </w:r>
    </w:p>
    <w:p w14:paraId="732B62BB" w14:textId="77777777" w:rsidR="00F91A15" w:rsidRPr="00F91A15" w:rsidRDefault="00F91A15" w:rsidP="00F91A15">
      <w:r>
        <w:rPr>
          <w:noProof/>
          <w:lang w:eastAsia="en-AU"/>
        </w:rPr>
        <w:drawing>
          <wp:inline distT="0" distB="0" distL="0" distR="0" wp14:anchorId="6807EB0B" wp14:editId="6A58B298">
            <wp:extent cx="5731510" cy="1573716"/>
            <wp:effectExtent l="0" t="0" r="2540" b="7620"/>
            <wp:docPr id="47" name="Picture 47" descr="Table 40: Minimum post baseline serum sodium levels by age group (Safety Analysis Set) – Part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31510" cy="1573716"/>
                    </a:xfrm>
                    <a:prstGeom prst="rect">
                      <a:avLst/>
                    </a:prstGeom>
                  </pic:spPr>
                </pic:pic>
              </a:graphicData>
            </a:graphic>
          </wp:inline>
        </w:drawing>
      </w:r>
    </w:p>
    <w:p w14:paraId="6277A215" w14:textId="6E6FABCF" w:rsidR="00F91A15" w:rsidRDefault="00F91A15" w:rsidP="00E410CE">
      <w:r w:rsidRPr="00F91A15">
        <w:t>The following graph (</w:t>
      </w:r>
      <w:r w:rsidR="00743110">
        <w:t xml:space="preserve">Figure </w:t>
      </w:r>
      <w:r w:rsidR="00C648C4">
        <w:t>1</w:t>
      </w:r>
      <w:r w:rsidR="00C227BD">
        <w:t>1</w:t>
      </w:r>
      <w:r w:rsidRPr="00F91A15">
        <w:t>) shows the minimum post dose serum sodium levels by treatment arm and age.</w:t>
      </w:r>
    </w:p>
    <w:p w14:paraId="2291ED1A" w14:textId="4D1F1710" w:rsidR="00743110" w:rsidRDefault="0080062E" w:rsidP="00743110">
      <w:pPr>
        <w:pStyle w:val="FigureTitle"/>
      </w:pPr>
      <w:r>
        <w:t xml:space="preserve">Figure </w:t>
      </w:r>
      <w:r w:rsidR="00C648C4">
        <w:t>1</w:t>
      </w:r>
      <w:r w:rsidR="00C227BD">
        <w:t>1</w:t>
      </w:r>
      <w:r>
        <w:t xml:space="preserve">: Minimum post dose serum sodium levels by subject age </w:t>
      </w:r>
      <w:r w:rsidR="00743110">
        <w:t xml:space="preserve">(Safety Analysis Set) </w:t>
      </w:r>
      <w:r w:rsidR="00743110">
        <w:rPr>
          <w:rFonts w:hint="eastAsia"/>
        </w:rPr>
        <w:t>–</w:t>
      </w:r>
      <w:r w:rsidR="00743110">
        <w:t xml:space="preserve"> Part II</w:t>
      </w:r>
    </w:p>
    <w:p w14:paraId="5341C062" w14:textId="77777777" w:rsidR="00F91A15" w:rsidRPr="00F91A15" w:rsidRDefault="00743110" w:rsidP="00E410CE">
      <w:r>
        <w:rPr>
          <w:noProof/>
          <w:lang w:eastAsia="en-AU"/>
        </w:rPr>
        <w:drawing>
          <wp:inline distT="0" distB="0" distL="0" distR="0" wp14:anchorId="73D61455" wp14:editId="5937DFF6">
            <wp:extent cx="5215738" cy="3487746"/>
            <wp:effectExtent l="0" t="0" r="4445" b="0"/>
            <wp:docPr id="23" name="Picture 23" descr="Figure 11: Minimum post dose serum sodium levels by subject age (Safety Analysis Set) – Part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215025" cy="3487269"/>
                    </a:xfrm>
                    <a:prstGeom prst="rect">
                      <a:avLst/>
                    </a:prstGeom>
                  </pic:spPr>
                </pic:pic>
              </a:graphicData>
            </a:graphic>
          </wp:inline>
        </w:drawing>
      </w:r>
    </w:p>
    <w:p w14:paraId="1C7E4373" w14:textId="77777777" w:rsidR="00F91A15" w:rsidRPr="00F91A15" w:rsidRDefault="00743110" w:rsidP="00E410CE">
      <w:r>
        <w:t>Unlike P</w:t>
      </w:r>
      <w:r w:rsidR="00F91A15" w:rsidRPr="00F91A15">
        <w:t xml:space="preserve">art I, the incidence of hyponatremia was similar between subjects </w:t>
      </w:r>
      <w:r w:rsidR="00094728">
        <w:t xml:space="preserve">≥ </w:t>
      </w:r>
      <w:r w:rsidR="00F91A15" w:rsidRPr="00F91A15">
        <w:t xml:space="preserve">65 years and </w:t>
      </w:r>
      <w:r w:rsidR="00604B45">
        <w:t xml:space="preserve">&lt; </w:t>
      </w:r>
      <w:r>
        <w:t>65 years of age.</w:t>
      </w:r>
    </w:p>
    <w:p w14:paraId="32EE5012" w14:textId="3CC4AC2F" w:rsidR="00F91A15" w:rsidRDefault="00F91A15" w:rsidP="00E410CE">
      <w:r w:rsidRPr="00F91A15">
        <w:t xml:space="preserve">The following </w:t>
      </w:r>
      <w:r w:rsidR="00BA2CBE">
        <w:t xml:space="preserve">(Figure </w:t>
      </w:r>
      <w:r w:rsidR="00C648C4">
        <w:t>1</w:t>
      </w:r>
      <w:r w:rsidR="00C227BD">
        <w:t>2</w:t>
      </w:r>
      <w:r w:rsidR="00BA2CBE">
        <w:t xml:space="preserve">) </w:t>
      </w:r>
      <w:r w:rsidRPr="00F91A15">
        <w:t xml:space="preserve">is a Kaplan-Meier plot of the time to hyponatremia (sodium </w:t>
      </w:r>
      <w:r w:rsidR="00604B45">
        <w:t xml:space="preserve">&lt; </w:t>
      </w:r>
      <w:r w:rsidRPr="00F91A15">
        <w:t>135mmol/L) in part II and II.</w:t>
      </w:r>
    </w:p>
    <w:p w14:paraId="7B828C57" w14:textId="600E6C13" w:rsidR="00BA2CBE" w:rsidRDefault="00BA2CBE" w:rsidP="00206542">
      <w:pPr>
        <w:pStyle w:val="FigureTitle"/>
      </w:pPr>
      <w:r>
        <w:lastRenderedPageBreak/>
        <w:t xml:space="preserve">Figure </w:t>
      </w:r>
      <w:r w:rsidR="00C648C4">
        <w:t>1</w:t>
      </w:r>
      <w:r w:rsidR="00C227BD">
        <w:t>2</w:t>
      </w:r>
      <w:r>
        <w:t xml:space="preserve">: Kaplan-Meier </w:t>
      </w:r>
      <w:r w:rsidR="0080062E">
        <w:t xml:space="preserve">plot of time to hyponatremia </w:t>
      </w:r>
      <w:r>
        <w:t>- Part II: Sodium &lt; 135 –All patients</w:t>
      </w:r>
    </w:p>
    <w:p w14:paraId="5A4EE296" w14:textId="77777777" w:rsidR="00F91A15" w:rsidRDefault="00BA2CBE" w:rsidP="00E410CE">
      <w:r>
        <w:rPr>
          <w:noProof/>
          <w:lang w:eastAsia="en-AU"/>
        </w:rPr>
        <w:drawing>
          <wp:inline distT="0" distB="0" distL="0" distR="0" wp14:anchorId="2E51D6D5" wp14:editId="725F6BB6">
            <wp:extent cx="5731510" cy="3835703"/>
            <wp:effectExtent l="0" t="0" r="2540" b="0"/>
            <wp:docPr id="24" name="Picture 24" descr="Figure 12: Kaplan-Meier plot of time to hyponatremia - Part II: Sodium &lt; 135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31510" cy="3835703"/>
                    </a:xfrm>
                    <a:prstGeom prst="rect">
                      <a:avLst/>
                    </a:prstGeom>
                  </pic:spPr>
                </pic:pic>
              </a:graphicData>
            </a:graphic>
          </wp:inline>
        </w:drawing>
      </w:r>
    </w:p>
    <w:p w14:paraId="1F576D6F" w14:textId="5C8374EB" w:rsidR="00F91A15" w:rsidRPr="00F91A15" w:rsidRDefault="00F91A15" w:rsidP="00BA2CBE">
      <w:pPr>
        <w:pStyle w:val="Heading3"/>
      </w:pPr>
      <w:bookmarkStart w:id="35" w:name="_Toc500838986"/>
      <w:r w:rsidRPr="00F91A15">
        <w:t>R</w:t>
      </w:r>
      <w:r w:rsidR="00BA2CBE">
        <w:t xml:space="preserve">isk </w:t>
      </w:r>
      <w:r w:rsidR="00E410CE">
        <w:t>m</w:t>
      </w:r>
      <w:r w:rsidR="00BA2CBE">
        <w:t xml:space="preserve">anagement </w:t>
      </w:r>
      <w:r w:rsidR="00E410CE">
        <w:t>p</w:t>
      </w:r>
      <w:r w:rsidR="00BA2CBE">
        <w:t>lan</w:t>
      </w:r>
      <w:bookmarkEnd w:id="35"/>
    </w:p>
    <w:p w14:paraId="780E0619" w14:textId="77777777" w:rsidR="00F91A15" w:rsidRDefault="00F91A15" w:rsidP="00BA2CBE">
      <w:pPr>
        <w:pStyle w:val="Heading4"/>
      </w:pPr>
      <w:r w:rsidRPr="00F91A15">
        <w:t>Summary of safety concerns</w:t>
      </w:r>
    </w:p>
    <w:p w14:paraId="4B247AD5" w14:textId="77777777" w:rsidR="00E410CE" w:rsidRPr="00447A94" w:rsidRDefault="00447A94" w:rsidP="00447A94">
      <w:pPr>
        <w:pStyle w:val="Tabletitle"/>
        <w:rPr>
          <w:lang w:eastAsia="ja-JP"/>
        </w:rPr>
      </w:pPr>
      <w:r>
        <w:rPr>
          <w:lang w:eastAsia="ja-JP"/>
        </w:rPr>
        <w:t xml:space="preserve">Table 41: </w:t>
      </w:r>
      <w:r w:rsidRPr="00F91A15">
        <w:t>Summary of safety concerns</w:t>
      </w:r>
    </w:p>
    <w:tbl>
      <w:tblPr>
        <w:tblStyle w:val="TableGrid"/>
        <w:tblW w:w="0" w:type="auto"/>
        <w:tblLook w:val="04A0" w:firstRow="1" w:lastRow="0" w:firstColumn="1" w:lastColumn="0" w:noHBand="0" w:noVBand="1"/>
      </w:tblPr>
      <w:tblGrid>
        <w:gridCol w:w="3080"/>
        <w:gridCol w:w="5959"/>
      </w:tblGrid>
      <w:tr w:rsidR="00E410CE" w14:paraId="6AA272EB" w14:textId="77777777" w:rsidTr="00896831">
        <w:tc>
          <w:tcPr>
            <w:tcW w:w="3080" w:type="dxa"/>
          </w:tcPr>
          <w:p w14:paraId="245E1DD5" w14:textId="3410F05B" w:rsidR="00E410CE" w:rsidRDefault="00E410CE" w:rsidP="00447A94">
            <w:pPr>
              <w:pStyle w:val="Tabletitle"/>
              <w:rPr>
                <w:lang w:eastAsia="ja-JP"/>
              </w:rPr>
            </w:pPr>
            <w:r>
              <w:rPr>
                <w:lang w:eastAsia="ja-JP"/>
              </w:rPr>
              <w:t>Important identified risks</w:t>
            </w:r>
          </w:p>
        </w:tc>
        <w:tc>
          <w:tcPr>
            <w:tcW w:w="5959" w:type="dxa"/>
          </w:tcPr>
          <w:p w14:paraId="49AB4CCB" w14:textId="08E1B452" w:rsidR="00E410CE" w:rsidRPr="00896831" w:rsidRDefault="00E410CE" w:rsidP="00447A94">
            <w:pPr>
              <w:pStyle w:val="Tabletitle"/>
              <w:rPr>
                <w:b w:val="0"/>
                <w:lang w:eastAsia="ja-JP"/>
              </w:rPr>
            </w:pPr>
            <w:r w:rsidRPr="00896831">
              <w:rPr>
                <w:b w:val="0"/>
                <w:lang w:eastAsia="ja-JP"/>
              </w:rPr>
              <w:t>hyponatraemia</w:t>
            </w:r>
          </w:p>
        </w:tc>
      </w:tr>
      <w:tr w:rsidR="00E410CE" w14:paraId="2DA8E8C8" w14:textId="77777777" w:rsidTr="00896831">
        <w:tc>
          <w:tcPr>
            <w:tcW w:w="3080" w:type="dxa"/>
          </w:tcPr>
          <w:p w14:paraId="751F8ED7" w14:textId="55CF586C" w:rsidR="00E410CE" w:rsidRDefault="00E410CE" w:rsidP="00447A94">
            <w:pPr>
              <w:pStyle w:val="Tabletitle"/>
              <w:rPr>
                <w:lang w:eastAsia="ja-JP"/>
              </w:rPr>
            </w:pPr>
            <w:r>
              <w:rPr>
                <w:lang w:eastAsia="ja-JP"/>
              </w:rPr>
              <w:t>Important potential risks</w:t>
            </w:r>
          </w:p>
        </w:tc>
        <w:tc>
          <w:tcPr>
            <w:tcW w:w="5959" w:type="dxa"/>
          </w:tcPr>
          <w:p w14:paraId="0E800EA4" w14:textId="3B21CDAC" w:rsidR="00E410CE" w:rsidRPr="00896831" w:rsidRDefault="00E410CE" w:rsidP="00896831">
            <w:pPr>
              <w:pStyle w:val="ListBullet"/>
              <w:rPr>
                <w:lang w:eastAsia="ja-JP"/>
              </w:rPr>
            </w:pPr>
            <w:r w:rsidRPr="00896831">
              <w:rPr>
                <w:lang w:eastAsia="ja-JP"/>
              </w:rPr>
              <w:t>Thrombosis</w:t>
            </w:r>
          </w:p>
          <w:p w14:paraId="56B7B668" w14:textId="315A640C" w:rsidR="00E410CE" w:rsidRPr="00896831" w:rsidRDefault="00E410CE" w:rsidP="00896831">
            <w:pPr>
              <w:pStyle w:val="ListBullet"/>
              <w:rPr>
                <w:lang w:eastAsia="ja-JP"/>
              </w:rPr>
            </w:pPr>
            <w:proofErr w:type="spellStart"/>
            <w:r w:rsidRPr="00896831">
              <w:rPr>
                <w:lang w:eastAsia="ja-JP"/>
              </w:rPr>
              <w:t>Anaplylactic</w:t>
            </w:r>
            <w:proofErr w:type="spellEnd"/>
            <w:r w:rsidRPr="00896831">
              <w:rPr>
                <w:lang w:eastAsia="ja-JP"/>
              </w:rPr>
              <w:t xml:space="preserve"> reaction (including allergic reactions due to fish gelatine in melt formulation)</w:t>
            </w:r>
          </w:p>
        </w:tc>
      </w:tr>
      <w:tr w:rsidR="00E410CE" w14:paraId="3F95ECC4" w14:textId="77777777" w:rsidTr="00896831">
        <w:tc>
          <w:tcPr>
            <w:tcW w:w="3080" w:type="dxa"/>
          </w:tcPr>
          <w:p w14:paraId="43F70A76" w14:textId="7980B653" w:rsidR="00E410CE" w:rsidRDefault="00896831" w:rsidP="00447A94">
            <w:pPr>
              <w:pStyle w:val="Tabletitle"/>
              <w:rPr>
                <w:lang w:eastAsia="ja-JP"/>
              </w:rPr>
            </w:pPr>
            <w:r>
              <w:rPr>
                <w:lang w:eastAsia="ja-JP"/>
              </w:rPr>
              <w:t>Missing information</w:t>
            </w:r>
          </w:p>
        </w:tc>
        <w:tc>
          <w:tcPr>
            <w:tcW w:w="5959" w:type="dxa"/>
          </w:tcPr>
          <w:p w14:paraId="7759277B" w14:textId="59DF7EEB" w:rsidR="00E410CE" w:rsidRPr="00896831" w:rsidRDefault="00896831" w:rsidP="00447A94">
            <w:pPr>
              <w:pStyle w:val="Tabletitle"/>
              <w:rPr>
                <w:b w:val="0"/>
                <w:lang w:eastAsia="ja-JP"/>
              </w:rPr>
            </w:pPr>
            <w:r w:rsidRPr="00896831">
              <w:rPr>
                <w:b w:val="0"/>
                <w:lang w:eastAsia="ja-JP"/>
              </w:rPr>
              <w:t>none</w:t>
            </w:r>
          </w:p>
        </w:tc>
      </w:tr>
    </w:tbl>
    <w:p w14:paraId="01B25C8A" w14:textId="5DD596ED" w:rsidR="00F91A15" w:rsidRPr="00F91A15" w:rsidRDefault="00724227" w:rsidP="00896831">
      <w:r>
        <w:t>The evaluator suggested the following additional risks</w:t>
      </w:r>
      <w:r w:rsidR="003C3E01">
        <w:t xml:space="preserve"> to</w:t>
      </w:r>
      <w:r>
        <w:t xml:space="preserve"> be included as </w:t>
      </w:r>
      <w:r w:rsidR="00BA2CBE">
        <w:t>missing information:</w:t>
      </w:r>
    </w:p>
    <w:p w14:paraId="3294CCB6" w14:textId="77777777" w:rsidR="00F91A15" w:rsidRPr="00896831" w:rsidRDefault="00F91A15" w:rsidP="00896831">
      <w:pPr>
        <w:pStyle w:val="ListBullet"/>
      </w:pPr>
      <w:r w:rsidRPr="00F91A15">
        <w:t xml:space="preserve">Limited </w:t>
      </w:r>
      <w:r w:rsidR="0080062E" w:rsidRPr="00896831">
        <w:t>long term</w:t>
      </w:r>
      <w:r w:rsidRPr="00896831">
        <w:t xml:space="preserve"> safety data for usage in nocturnal polyuria in the elderly. (The available data are only for three months.)</w:t>
      </w:r>
    </w:p>
    <w:p w14:paraId="117E2CE7" w14:textId="77777777" w:rsidR="00F91A15" w:rsidRPr="00F91A15" w:rsidRDefault="00F91A15" w:rsidP="00896831">
      <w:pPr>
        <w:pStyle w:val="ListBullet"/>
      </w:pPr>
      <w:r w:rsidRPr="00896831">
        <w:t xml:space="preserve">Limited </w:t>
      </w:r>
      <w:r w:rsidR="0080062E" w:rsidRPr="00896831">
        <w:t>long term</w:t>
      </w:r>
      <w:r w:rsidRPr="00896831">
        <w:t xml:space="preserve"> efficacy data for usage in nocturnal polyuria in the elderly. (The available data are only for three</w:t>
      </w:r>
      <w:r w:rsidRPr="00E410CE">
        <w:t xml:space="preserve"> months</w:t>
      </w:r>
      <w:r w:rsidRPr="00F91A15">
        <w:t>.)</w:t>
      </w:r>
    </w:p>
    <w:p w14:paraId="308D48AD" w14:textId="77777777" w:rsidR="00BA2CBE" w:rsidRDefault="00BA2CBE" w:rsidP="00BA2CBE">
      <w:pPr>
        <w:pStyle w:val="Heading4"/>
      </w:pPr>
      <w:r>
        <w:t>Pharmacovigilance</w:t>
      </w:r>
    </w:p>
    <w:p w14:paraId="3729D583" w14:textId="77777777" w:rsidR="00A22970" w:rsidRPr="00A22970" w:rsidRDefault="00BA2CBE" w:rsidP="00896831">
      <w:r w:rsidRPr="00A22970">
        <w:t>Routine</w:t>
      </w:r>
      <w:r>
        <w:t xml:space="preserve"> pharmacovigilance</w:t>
      </w:r>
      <w:r w:rsidRPr="00A22970">
        <w:t xml:space="preserve"> </w:t>
      </w:r>
      <w:r w:rsidR="00A22970" w:rsidRPr="00A22970">
        <w:t>(</w:t>
      </w:r>
      <w:r w:rsidR="00590C83">
        <w:t>that is</w:t>
      </w:r>
      <w:r w:rsidR="00A22970" w:rsidRPr="00A22970">
        <w:t>, passive/spon</w:t>
      </w:r>
      <w:r>
        <w:t>taneous reporting) is proposed.</w:t>
      </w:r>
    </w:p>
    <w:p w14:paraId="5AF0D310" w14:textId="77777777" w:rsidR="00BA2CBE" w:rsidRDefault="00BA2CBE" w:rsidP="00BA2CBE">
      <w:pPr>
        <w:pStyle w:val="Heading4"/>
      </w:pPr>
      <w:r>
        <w:t>Risk minimisation measures</w:t>
      </w:r>
    </w:p>
    <w:p w14:paraId="63DDE9CC" w14:textId="6964DA45" w:rsidR="00A22970" w:rsidRPr="00A22970" w:rsidRDefault="00A22970" w:rsidP="00A22970">
      <w:r w:rsidRPr="00A22970">
        <w:t>Routine</w:t>
      </w:r>
      <w:r w:rsidR="00BA2CBE">
        <w:t xml:space="preserve"> </w:t>
      </w:r>
      <w:r w:rsidR="00896831">
        <w:t>r</w:t>
      </w:r>
      <w:r w:rsidR="00BA2CBE" w:rsidRPr="00A22970">
        <w:t>isk minimisation measures</w:t>
      </w:r>
      <w:r w:rsidR="00724227">
        <w:t xml:space="preserve"> were proposed.</w:t>
      </w:r>
    </w:p>
    <w:p w14:paraId="535F20E8" w14:textId="77777777" w:rsidR="00A22970" w:rsidRPr="00A22970" w:rsidRDefault="00A22970" w:rsidP="00896831">
      <w:r w:rsidRPr="00A22970">
        <w:lastRenderedPageBreak/>
        <w:t xml:space="preserve">Statements in the </w:t>
      </w:r>
      <w:r w:rsidR="00724227">
        <w:t xml:space="preserve">current </w:t>
      </w:r>
      <w:r w:rsidRPr="00A22970">
        <w:t>PI about monitoring of serum sodium</w:t>
      </w:r>
      <w:r w:rsidR="00724227">
        <w:t xml:space="preserve"> include:</w:t>
      </w:r>
    </w:p>
    <w:p w14:paraId="037E5068" w14:textId="77777777" w:rsidR="00A22970" w:rsidRPr="00896831" w:rsidRDefault="00A22970" w:rsidP="00896831">
      <w:pPr>
        <w:pStyle w:val="ListBullet"/>
      </w:pPr>
      <w:r w:rsidRPr="00A22970">
        <w:t>All patients 65</w:t>
      </w:r>
      <w:r w:rsidR="00447A94">
        <w:t xml:space="preserve"> </w:t>
      </w:r>
      <w:r w:rsidRPr="00896831">
        <w:t xml:space="preserve">+ years should have </w:t>
      </w:r>
      <w:proofErr w:type="gramStart"/>
      <w:r w:rsidRPr="00896831">
        <w:t>a serum</w:t>
      </w:r>
      <w:proofErr w:type="gramEnd"/>
      <w:r w:rsidRPr="00896831">
        <w:t xml:space="preserve"> sodium above the lower limit of the normal range before staring treatment (135</w:t>
      </w:r>
      <w:r w:rsidR="00447A94" w:rsidRPr="00896831">
        <w:t xml:space="preserve"> </w:t>
      </w:r>
      <w:r w:rsidRPr="00896831">
        <w:t xml:space="preserve">+ </w:t>
      </w:r>
      <w:proofErr w:type="spellStart"/>
      <w:r w:rsidRPr="00896831">
        <w:t>mmol</w:t>
      </w:r>
      <w:proofErr w:type="spellEnd"/>
      <w:r w:rsidRPr="00896831">
        <w:t>/L).</w:t>
      </w:r>
    </w:p>
    <w:p w14:paraId="1FDF5D61" w14:textId="77777777" w:rsidR="00A22970" w:rsidRPr="00896831" w:rsidRDefault="00A22970" w:rsidP="00896831">
      <w:pPr>
        <w:pStyle w:val="ListBullet"/>
      </w:pPr>
      <w:r w:rsidRPr="00896831">
        <w:t>Patients 65</w:t>
      </w:r>
      <w:r w:rsidR="00447A94" w:rsidRPr="00896831">
        <w:t xml:space="preserve"> </w:t>
      </w:r>
      <w:r w:rsidRPr="00896831">
        <w:t>+ years should have their serum sodiu</w:t>
      </w:r>
      <w:r w:rsidR="0080062E" w:rsidRPr="00896831">
        <w:t xml:space="preserve">m levels checked at 4 to </w:t>
      </w:r>
      <w:r w:rsidRPr="00896831">
        <w:t xml:space="preserve">8 days (the </w:t>
      </w:r>
      <w:r w:rsidR="006648C5" w:rsidRPr="00896831">
        <w:t>sponsor</w:t>
      </w:r>
      <w:r w:rsidRPr="00896831">
        <w:t xml:space="preserve"> states that the earliest time at which sustained hyp</w:t>
      </w:r>
      <w:r w:rsidR="0080062E" w:rsidRPr="00896831">
        <w:t xml:space="preserve">onatraemia can be detected is 4 to </w:t>
      </w:r>
      <w:r w:rsidR="00206542" w:rsidRPr="00896831">
        <w:t xml:space="preserve">8 days after starting </w:t>
      </w:r>
      <w:proofErr w:type="spellStart"/>
      <w:r w:rsidR="00206542" w:rsidRPr="00896831">
        <w:t>Nocdurna</w:t>
      </w:r>
      <w:proofErr w:type="spellEnd"/>
      <w:r w:rsidRPr="00896831">
        <w:t>)</w:t>
      </w:r>
      <w:r w:rsidR="00206542" w:rsidRPr="00896831">
        <w:t>.</w:t>
      </w:r>
    </w:p>
    <w:p w14:paraId="570E2389" w14:textId="77777777" w:rsidR="00A22970" w:rsidRPr="00A22970" w:rsidRDefault="00A22970" w:rsidP="00896831">
      <w:pPr>
        <w:pStyle w:val="ListBullet"/>
      </w:pPr>
      <w:r w:rsidRPr="00896831">
        <w:t>Patients 65 + years should have</w:t>
      </w:r>
      <w:r w:rsidRPr="00A22970">
        <w:t xml:space="preserve"> their serum sodium levels checked again at 1 month.</w:t>
      </w:r>
    </w:p>
    <w:p w14:paraId="54761BAE" w14:textId="24550F6A" w:rsidR="00724227" w:rsidRDefault="00724227" w:rsidP="00896831">
      <w:r>
        <w:t xml:space="preserve">The evaluator considered the recommendations </w:t>
      </w:r>
      <w:r w:rsidR="003C3E01">
        <w:t>for</w:t>
      </w:r>
      <w:r>
        <w:t xml:space="preserve"> medications and monitoring to avoid hyponatremia to be inadequate.</w:t>
      </w:r>
    </w:p>
    <w:p w14:paraId="5210C50A" w14:textId="77777777" w:rsidR="00724227" w:rsidRPr="00A22970" w:rsidRDefault="00724227" w:rsidP="00896831">
      <w:r>
        <w:t>T</w:t>
      </w:r>
      <w:r w:rsidRPr="00A22970">
        <w:t>he serum monitoring specified in CS40/CS41 (for 3 months) is not the sam</w:t>
      </w:r>
      <w:r>
        <w:t>e as that in the PI.</w:t>
      </w:r>
    </w:p>
    <w:p w14:paraId="686400E0" w14:textId="77777777" w:rsidR="00724227" w:rsidRPr="00A22970" w:rsidRDefault="00724227" w:rsidP="00896831">
      <w:pPr>
        <w:pStyle w:val="ListBullet"/>
      </w:pPr>
      <w:r w:rsidRPr="00A22970">
        <w:t xml:space="preserve">All patients in CS40/CS41 had serum sodium measured at baseline and monitored </w:t>
      </w:r>
      <w:r w:rsidRPr="00896831">
        <w:t>throughout</w:t>
      </w:r>
      <w:r w:rsidRPr="00A22970">
        <w:t xml:space="preserve"> the trial. The PI recommends this only for patients 65</w:t>
      </w:r>
      <w:r w:rsidR="00B377E5">
        <w:t xml:space="preserve"> </w:t>
      </w:r>
      <w:r w:rsidRPr="00A22970">
        <w:t>+ years.</w:t>
      </w:r>
    </w:p>
    <w:p w14:paraId="5F826EF5" w14:textId="77777777" w:rsidR="00F91A15" w:rsidRPr="00F91A15" w:rsidRDefault="00724227" w:rsidP="00896831">
      <w:r w:rsidRPr="00A22970">
        <w:t>For patients 65</w:t>
      </w:r>
      <w:r>
        <w:t xml:space="preserve"> +</w:t>
      </w:r>
      <w:r w:rsidRPr="00A22970">
        <w:t xml:space="preserve"> years, the PI recommends measurement of serum sodium during the f</w:t>
      </w:r>
      <w:r>
        <w:t xml:space="preserve">irst week (4 to </w:t>
      </w:r>
      <w:r w:rsidRPr="00A22970">
        <w:t>8 days), then again at one month, but is sil</w:t>
      </w:r>
      <w:r>
        <w:t xml:space="preserve">ent about the frequency of long </w:t>
      </w:r>
      <w:r w:rsidRPr="00A22970">
        <w:t>term monitoring. However, in CS40/CS41 monitoring was at least monthly for 3 months.</w:t>
      </w:r>
    </w:p>
    <w:p w14:paraId="29E7A830" w14:textId="77777777" w:rsidR="00C22678" w:rsidRDefault="00C22678" w:rsidP="00896831">
      <w:pPr>
        <w:pStyle w:val="Heading2"/>
      </w:pPr>
      <w:bookmarkStart w:id="36" w:name="_Toc500838987"/>
      <w:r>
        <w:t xml:space="preserve">First </w:t>
      </w:r>
      <w:r w:rsidRPr="00896831">
        <w:t>round</w:t>
      </w:r>
      <w:r>
        <w:t xml:space="preserve"> benefit-risk assessment</w:t>
      </w:r>
      <w:bookmarkEnd w:id="36"/>
    </w:p>
    <w:p w14:paraId="372C0497" w14:textId="77777777" w:rsidR="00A22970" w:rsidRPr="00A22970" w:rsidRDefault="00A22970" w:rsidP="00896831">
      <w:pPr>
        <w:pStyle w:val="Heading3"/>
      </w:pPr>
      <w:bookmarkStart w:id="37" w:name="_Toc500838988"/>
      <w:r w:rsidRPr="00896831">
        <w:t>Uncertainties</w:t>
      </w:r>
      <w:r w:rsidRPr="00A22970">
        <w:t xml:space="preserve"> about benefits</w:t>
      </w:r>
      <w:bookmarkEnd w:id="37"/>
    </w:p>
    <w:p w14:paraId="2EB8F5D0" w14:textId="77777777" w:rsidR="00A22970" w:rsidRPr="00A22970" w:rsidRDefault="00A22970" w:rsidP="00896831">
      <w:r w:rsidRPr="00A22970">
        <w:t>The results for the co-primary endpoints from CS40/CS41 were statistically significant; however, it is uncertain whether the results were clinically significant. More specifically, the average benefits of Noc</w:t>
      </w:r>
      <w:r w:rsidR="00BA2CBE">
        <w:t xml:space="preserve">durna, based on CS40/CS41, </w:t>
      </w:r>
      <w:r w:rsidR="00B377E5">
        <w:t xml:space="preserve">were for  </w:t>
      </w:r>
      <w:r w:rsidR="00B377E5" w:rsidRPr="00A22970">
        <w:t xml:space="preserve">women </w:t>
      </w:r>
      <w:r w:rsidR="00B377E5">
        <w:t xml:space="preserve">treated with </w:t>
      </w:r>
      <w:r w:rsidR="00B377E5" w:rsidRPr="00A22970">
        <w:t xml:space="preserve">25 </w:t>
      </w:r>
      <w:r w:rsidR="00B377E5">
        <w:t>µ</w:t>
      </w:r>
      <w:r w:rsidR="00B377E5" w:rsidRPr="00A22970">
        <w:t>g</w:t>
      </w:r>
      <w:r w:rsidR="00B377E5">
        <w:t xml:space="preserve"> a</w:t>
      </w:r>
      <w:r w:rsidR="00B377E5" w:rsidRPr="00A22970">
        <w:t>: reducti</w:t>
      </w:r>
      <w:r w:rsidR="00B377E5">
        <w:t xml:space="preserve">on of one night time void per 4 to </w:t>
      </w:r>
      <w:r w:rsidR="00B377E5" w:rsidRPr="00A22970">
        <w:t xml:space="preserve">5 days; </w:t>
      </w:r>
      <w:r w:rsidR="00B377E5">
        <w:t xml:space="preserve">and in </w:t>
      </w:r>
      <w:r w:rsidR="00B377E5" w:rsidRPr="00A22970">
        <w:t xml:space="preserve">men </w:t>
      </w:r>
      <w:r w:rsidR="00B377E5">
        <w:t xml:space="preserve">treated with </w:t>
      </w:r>
      <w:r w:rsidR="00B377E5" w:rsidRPr="00A22970">
        <w:t xml:space="preserve">50 </w:t>
      </w:r>
      <w:r w:rsidR="00B377E5">
        <w:t>µ</w:t>
      </w:r>
      <w:r w:rsidR="00B377E5" w:rsidRPr="00A22970">
        <w:t>g</w:t>
      </w:r>
      <w:r w:rsidR="00B377E5">
        <w:t xml:space="preserve"> a</w:t>
      </w:r>
      <w:r w:rsidR="00B377E5" w:rsidRPr="00A22970">
        <w:t xml:space="preserve"> reducti</w:t>
      </w:r>
      <w:r w:rsidR="00B377E5">
        <w:t>on of one night time void per 2 to 3 days.</w:t>
      </w:r>
    </w:p>
    <w:p w14:paraId="08BB080E" w14:textId="77777777" w:rsidR="00B377E5" w:rsidRPr="00A22970" w:rsidRDefault="00A22970" w:rsidP="00896831">
      <w:r w:rsidRPr="00A22970">
        <w:t>The other co-primary endpoint was a 33% red</w:t>
      </w:r>
      <w:r w:rsidR="00BA2CBE">
        <w:t>uction in night time voids at 3 </w:t>
      </w:r>
      <w:r w:rsidRPr="00A22970">
        <w:t xml:space="preserve">months. </w:t>
      </w:r>
      <w:r w:rsidR="00B377E5" w:rsidRPr="00A22970">
        <w:t xml:space="preserve">The average baseline number of voids in CS40/CS41 was 3 voids per night. Consequently, for the typical/average patient in CS40/CS41, a 33% reduction in night time voids was a decrease from 3 to 2 voids per </w:t>
      </w:r>
      <w:r w:rsidR="00B377E5">
        <w:t xml:space="preserve">night; the evaluator was </w:t>
      </w:r>
      <w:r w:rsidR="00B377E5" w:rsidRPr="00A22970">
        <w:t>uncertain whether such a decrease is cl</w:t>
      </w:r>
      <w:r w:rsidR="00B377E5">
        <w:t>inically significant. It was noted that one quarter of women and one third of men did not achieve this improvement.</w:t>
      </w:r>
    </w:p>
    <w:p w14:paraId="0A30AC40" w14:textId="77777777" w:rsidR="00A22970" w:rsidRPr="00A22970" w:rsidRDefault="00B377E5" w:rsidP="00896831">
      <w:r>
        <w:t>V</w:t>
      </w:r>
      <w:r w:rsidR="00A22970" w:rsidRPr="00A22970">
        <w:t>arious seco</w:t>
      </w:r>
      <w:r>
        <w:t>ndary endpoints in CS40/CS41</w:t>
      </w:r>
      <w:r w:rsidR="00A22970" w:rsidRPr="00A22970">
        <w:t xml:space="preserve"> including: time to first nocturnal void, me</w:t>
      </w:r>
      <w:r>
        <w:t>an nocturnal void volume, N-</w:t>
      </w:r>
      <w:proofErr w:type="spellStart"/>
      <w:r>
        <w:t>QoL</w:t>
      </w:r>
      <w:proofErr w:type="spellEnd"/>
      <w:r w:rsidR="00A22970" w:rsidRPr="00A22970">
        <w:t xml:space="preserve"> </w:t>
      </w:r>
      <w:r>
        <w:t>were</w:t>
      </w:r>
      <w:r w:rsidR="00A22970" w:rsidRPr="00A22970">
        <w:t xml:space="preserve"> generally supportive of a small treatment effect.</w:t>
      </w:r>
      <w:r>
        <w:t xml:space="preserve"> I</w:t>
      </w:r>
      <w:r w:rsidR="00BA2CBE">
        <w:t xml:space="preserve">n CS41 (men), the placebo </w:t>
      </w:r>
      <w:r w:rsidR="00A22970" w:rsidRPr="00A22970">
        <w:t>subtracted time to first nocturnal void was 39 minutes longer</w:t>
      </w:r>
      <w:r w:rsidR="00BA2CBE">
        <w:t xml:space="preserve"> with Nocdurna; and the placebo </w:t>
      </w:r>
      <w:r w:rsidR="00A22970" w:rsidRPr="00A22970">
        <w:t>subtracted mean nocturn</w:t>
      </w:r>
      <w:r>
        <w:t>al urine volume was 78 mL less.</w:t>
      </w:r>
    </w:p>
    <w:p w14:paraId="084CB858" w14:textId="77777777" w:rsidR="00A22970" w:rsidRPr="00A22970" w:rsidRDefault="00B377E5" w:rsidP="00896831">
      <w:r>
        <w:t xml:space="preserve">The evaluator was uncertain </w:t>
      </w:r>
      <w:r w:rsidR="00A22970" w:rsidRPr="00A22970">
        <w:t>whether efficacy has been satisfactorily established</w:t>
      </w:r>
      <w:r>
        <w:t xml:space="preserve"> within the pivotal trials.</w:t>
      </w:r>
    </w:p>
    <w:p w14:paraId="0248B814" w14:textId="32ECEDCB" w:rsidR="00A22970" w:rsidRPr="00A22970" w:rsidRDefault="00B377E5" w:rsidP="00896831">
      <w:r>
        <w:t>Nocdurna wa</w:t>
      </w:r>
      <w:r w:rsidR="00A22970" w:rsidRPr="00A22970">
        <w:t xml:space="preserve">s less effective </w:t>
      </w:r>
      <w:r>
        <w:t>when</w:t>
      </w:r>
      <w:r w:rsidR="00A22970" w:rsidRPr="00A22970">
        <w:t xml:space="preserve"> the nocturia is due a combination of nocturnal polyuria overlaid with frequent low volume voids. CS40/CS41 excluded patients with severe daytime voiding dy</w:t>
      </w:r>
      <w:r w:rsidR="000120D8">
        <w:t xml:space="preserve">sfunction, however, in the real </w:t>
      </w:r>
      <w:r w:rsidR="00A22970" w:rsidRPr="00A22970">
        <w:t>world of everyday clinical practice, patients with severe (however defined) daytime voiding dysfunction might be prescribed Nocdurna. If this were to occur, the average benefit to the population of patients using Nocdurna</w:t>
      </w:r>
      <w:r w:rsidR="003C3E01">
        <w:t xml:space="preserve"> (</w:t>
      </w:r>
      <w:r w:rsidR="00A22970" w:rsidRPr="00A22970">
        <w:t>post-marketing</w:t>
      </w:r>
      <w:r w:rsidR="003C3E01">
        <w:t>)</w:t>
      </w:r>
      <w:r w:rsidR="00A22970" w:rsidRPr="00A22970">
        <w:t xml:space="preserve"> might be even more uncertain than in the </w:t>
      </w:r>
      <w:r w:rsidR="000120D8">
        <w:t>pre-market studies (CS40/CS41).</w:t>
      </w:r>
    </w:p>
    <w:p w14:paraId="3ACA7BE8" w14:textId="77777777" w:rsidR="00A22970" w:rsidRDefault="00A22970" w:rsidP="00A22970">
      <w:r w:rsidRPr="00A22970">
        <w:t xml:space="preserve">The proposed Australian Indications are for nocturnal polyuria that </w:t>
      </w:r>
      <w:r w:rsidRPr="00A22970">
        <w:rPr>
          <w:i/>
        </w:rPr>
        <w:t>has not responded to lifestyle and behavioural modifications</w:t>
      </w:r>
      <w:r w:rsidRPr="00A22970">
        <w:t xml:space="preserve"> (before bedtime drink only enough to satisfy thi</w:t>
      </w:r>
      <w:r w:rsidR="000120D8">
        <w:t xml:space="preserve">rst; avoid alcohol and caffeine </w:t>
      </w:r>
      <w:r w:rsidRPr="00A22970">
        <w:t xml:space="preserve">containing beverages). Given the response in the placebo arm of the pivotal </w:t>
      </w:r>
      <w:r w:rsidRPr="00A22970">
        <w:lastRenderedPageBreak/>
        <w:t>trials, there is the concern that lifestyle factors may have been inadequately studied. Lifestyle interventions do not carry the same potential harm (</w:t>
      </w:r>
      <w:r w:rsidR="00590C83">
        <w:t>that is</w:t>
      </w:r>
      <w:r w:rsidRPr="00A22970">
        <w:t>, hyponatraemia) as Nocdurna.</w:t>
      </w:r>
    </w:p>
    <w:p w14:paraId="0500464F" w14:textId="77777777" w:rsidR="00A22970" w:rsidRPr="00A22970" w:rsidRDefault="00A22970" w:rsidP="00896831">
      <w:pPr>
        <w:pStyle w:val="Heading3"/>
      </w:pPr>
      <w:bookmarkStart w:id="38" w:name="_Toc500838989"/>
      <w:r w:rsidRPr="00896831">
        <w:t>Uncertainties</w:t>
      </w:r>
      <w:r w:rsidRPr="00A22970">
        <w:t xml:space="preserve"> about harms</w:t>
      </w:r>
      <w:bookmarkEnd w:id="38"/>
    </w:p>
    <w:p w14:paraId="7695F2B4" w14:textId="77777777" w:rsidR="00A22970" w:rsidRPr="00A22970" w:rsidRDefault="00A22970" w:rsidP="00896831">
      <w:r w:rsidRPr="00A22970">
        <w:t>The most important harm is the risk of hyponatraemia. Other adverse effects/reactions include dry mouth, headache and nausea, which do not carry the same r</w:t>
      </w:r>
      <w:r w:rsidR="000120D8">
        <w:t>isk to health as hyponatraemia.</w:t>
      </w:r>
    </w:p>
    <w:p w14:paraId="718CD175" w14:textId="77777777" w:rsidR="00A22970" w:rsidRPr="00A22970" w:rsidRDefault="00A22970" w:rsidP="00896831">
      <w:r w:rsidRPr="00A22970">
        <w:t>The elderly are at greater risk of hyponatraemia because of declining physiological reserve and the frequent presence of comorbidities and concomitant medications. Prevalence estimates are: outpatients 5%, inpatients 20%.</w:t>
      </w:r>
      <w:r w:rsidR="000120D8">
        <w:rPr>
          <w:rStyle w:val="FootnoteReference"/>
        </w:rPr>
        <w:footnoteReference w:id="6"/>
      </w:r>
    </w:p>
    <w:p w14:paraId="424C6F43" w14:textId="77777777" w:rsidR="002773F7" w:rsidRPr="00A22970" w:rsidRDefault="002773F7" w:rsidP="00896831">
      <w:r>
        <w:t>The clinical studies</w:t>
      </w:r>
      <w:r w:rsidRPr="00A22970">
        <w:t xml:space="preserve"> CS40/CS41</w:t>
      </w:r>
      <w:r>
        <w:t xml:space="preserve"> included a number of inclusion/exclusion criteria and monitoring to minimise the risks of hyponatremia. These included the following:</w:t>
      </w:r>
    </w:p>
    <w:p w14:paraId="09553DA0" w14:textId="77777777" w:rsidR="00A22970" w:rsidRPr="00896831" w:rsidRDefault="00A22970" w:rsidP="00896831">
      <w:pPr>
        <w:pStyle w:val="ListBullet"/>
      </w:pPr>
      <w:r w:rsidRPr="00A22970">
        <w:t xml:space="preserve">Excluded patients at risk of hyponatremia such as those with SIADH, cardiac failure and </w:t>
      </w:r>
      <w:r w:rsidRPr="00896831">
        <w:t xml:space="preserve">hyponatremia (serum sodium </w:t>
      </w:r>
      <w:r w:rsidR="00604B45" w:rsidRPr="00896831">
        <w:t xml:space="preserve">&lt; </w:t>
      </w:r>
      <w:r w:rsidRPr="00896831">
        <w:t xml:space="preserve">135 </w:t>
      </w:r>
      <w:proofErr w:type="spellStart"/>
      <w:r w:rsidRPr="00896831">
        <w:t>mmol</w:t>
      </w:r>
      <w:proofErr w:type="spellEnd"/>
      <w:r w:rsidRPr="00896831">
        <w:t>/L) at screening</w:t>
      </w:r>
    </w:p>
    <w:p w14:paraId="2629E643" w14:textId="77777777" w:rsidR="00A22970" w:rsidRPr="00896831" w:rsidRDefault="00A22970" w:rsidP="00896831">
      <w:pPr>
        <w:pStyle w:val="ListBullet"/>
      </w:pPr>
      <w:r w:rsidRPr="00896831">
        <w:t>Prohibited initiation, during the trial, of specific medicines that may cause hyponatraemia (</w:t>
      </w:r>
      <w:r w:rsidR="00590C83" w:rsidRPr="00896831">
        <w:t>that is</w:t>
      </w:r>
      <w:r w:rsidRPr="00896831">
        <w:t xml:space="preserve">, TCADs, SSRIs, NSAIDs, </w:t>
      </w:r>
      <w:proofErr w:type="spellStart"/>
      <w:r w:rsidRPr="00896831">
        <w:t>chlorpropamide</w:t>
      </w:r>
      <w:proofErr w:type="spellEnd"/>
      <w:r w:rsidRPr="00896831">
        <w:t xml:space="preserve">, diuretics, carbamazepine, </w:t>
      </w:r>
      <w:proofErr w:type="gramStart"/>
      <w:r w:rsidR="000120D8" w:rsidRPr="00896831">
        <w:t>etcetera</w:t>
      </w:r>
      <w:proofErr w:type="gramEnd"/>
      <w:r w:rsidRPr="00896831">
        <w:t>). Patients who were already on the specific medications had to have been on a stable dose for 3 mon</w:t>
      </w:r>
      <w:r w:rsidR="000120D8" w:rsidRPr="00896831">
        <w:t>ths prior to the screening date</w:t>
      </w:r>
    </w:p>
    <w:p w14:paraId="30736897" w14:textId="77777777" w:rsidR="00A22970" w:rsidRPr="00896831" w:rsidRDefault="00A22970" w:rsidP="00896831">
      <w:pPr>
        <w:pStyle w:val="ListBullet"/>
      </w:pPr>
      <w:r w:rsidRPr="00896831">
        <w:t>Excluded patients on loop diuretics</w:t>
      </w:r>
    </w:p>
    <w:p w14:paraId="568030EF" w14:textId="77777777" w:rsidR="00A22970" w:rsidRPr="00896831" w:rsidRDefault="00A22970" w:rsidP="00896831">
      <w:pPr>
        <w:pStyle w:val="ListBullet"/>
      </w:pPr>
      <w:r w:rsidRPr="00896831">
        <w:t>Instructed patients to limit fluid intake 1 hour before study drug and until 8 hours after study drug</w:t>
      </w:r>
    </w:p>
    <w:p w14:paraId="0EE236FD" w14:textId="77777777" w:rsidR="00A22970" w:rsidRPr="00896831" w:rsidRDefault="00A22970" w:rsidP="00896831">
      <w:pPr>
        <w:pStyle w:val="ListBullet"/>
      </w:pPr>
      <w:r w:rsidRPr="00896831">
        <w:t>Stopped treatment if an acute illness occurred that could result in fluid and/or electrolyte imbalances</w:t>
      </w:r>
    </w:p>
    <w:p w14:paraId="17644C8C" w14:textId="77777777" w:rsidR="00A22970" w:rsidRPr="00896831" w:rsidRDefault="00A22970" w:rsidP="00896831">
      <w:pPr>
        <w:pStyle w:val="ListBullet"/>
      </w:pPr>
      <w:r w:rsidRPr="00896831">
        <w:t xml:space="preserve">Withdrew patients if serum sodium was </w:t>
      </w:r>
      <w:r w:rsidR="0042290A" w:rsidRPr="00896831">
        <w:t xml:space="preserve">≤ </w:t>
      </w:r>
      <w:r w:rsidRPr="00896831">
        <w:t xml:space="preserve">125 </w:t>
      </w:r>
      <w:proofErr w:type="spellStart"/>
      <w:r w:rsidRPr="00896831">
        <w:t>mmol</w:t>
      </w:r>
      <w:proofErr w:type="spellEnd"/>
      <w:r w:rsidRPr="00896831">
        <w:t>/L</w:t>
      </w:r>
    </w:p>
    <w:p w14:paraId="7DD95905" w14:textId="77777777" w:rsidR="00A22970" w:rsidRPr="00A22970" w:rsidRDefault="00A22970" w:rsidP="00896831">
      <w:pPr>
        <w:pStyle w:val="ListBullet"/>
      </w:pPr>
      <w:r w:rsidRPr="00896831">
        <w:t>Measured serum so</w:t>
      </w:r>
      <w:r w:rsidR="000120D8" w:rsidRPr="00896831">
        <w:t>dium</w:t>
      </w:r>
      <w:r w:rsidR="000120D8">
        <w:t xml:space="preserve"> at baseline, twice within Week 1, and then monthly in CS</w:t>
      </w:r>
      <w:r w:rsidRPr="00A22970">
        <w:t>40, wit</w:t>
      </w:r>
      <w:r w:rsidR="000120D8">
        <w:t>h additional measurements in CS41 at W</w:t>
      </w:r>
      <w:r w:rsidRPr="00A22970">
        <w:t>eek 2 and 3 in part 1 and</w:t>
      </w:r>
      <w:r w:rsidR="000120D8">
        <w:t xml:space="preserve"> weekly measurements in Part II</w:t>
      </w:r>
      <w:r>
        <w:t>.</w:t>
      </w:r>
    </w:p>
    <w:p w14:paraId="1638FD92" w14:textId="6195C934" w:rsidR="002773F7" w:rsidRDefault="002773F7" w:rsidP="00896831">
      <w:r>
        <w:t>The evaluator was concerned how similar selection criteria and monitoring could occur in the real world of everyday clinical practice.</w:t>
      </w:r>
    </w:p>
    <w:p w14:paraId="23647B1F" w14:textId="4A54B38C" w:rsidR="002773F7" w:rsidRDefault="002773F7" w:rsidP="00896831">
      <w:r>
        <w:t>The evaluator was concerned that with</w:t>
      </w:r>
      <w:r w:rsidRPr="00A22970">
        <w:t xml:space="preserve"> longer term use of desmopressin in the real world of everyday clinical practice and the likely use of concomitant medicines the risk of hyponatraemia will be higher than that reported for CS40/CS41.</w:t>
      </w:r>
    </w:p>
    <w:p w14:paraId="60D406C3" w14:textId="77777777" w:rsidR="00C22678" w:rsidRDefault="00C22678" w:rsidP="00896831">
      <w:pPr>
        <w:pStyle w:val="Heading2"/>
      </w:pPr>
      <w:bookmarkStart w:id="39" w:name="_Toc500838990"/>
      <w:r>
        <w:t xml:space="preserve">First </w:t>
      </w:r>
      <w:r w:rsidRPr="00896831">
        <w:t>round</w:t>
      </w:r>
      <w:r>
        <w:t xml:space="preserve"> recommendation regarding authorisation</w:t>
      </w:r>
      <w:bookmarkEnd w:id="39"/>
    </w:p>
    <w:p w14:paraId="41145103" w14:textId="77777777" w:rsidR="00C22678" w:rsidRPr="00586F98" w:rsidRDefault="000120D8" w:rsidP="00896831">
      <w:pPr>
        <w:rPr>
          <w:lang w:eastAsia="ja-JP"/>
        </w:rPr>
      </w:pPr>
      <w:r>
        <w:rPr>
          <w:lang w:eastAsia="ja-JP"/>
        </w:rPr>
        <w:t>[None provided]</w:t>
      </w:r>
    </w:p>
    <w:p w14:paraId="4374C8B1" w14:textId="77777777" w:rsidR="00C22678" w:rsidRDefault="00C22678" w:rsidP="00896831">
      <w:pPr>
        <w:pStyle w:val="Heading2"/>
      </w:pPr>
      <w:bookmarkStart w:id="40" w:name="_Toc500838991"/>
      <w:r w:rsidRPr="00896831">
        <w:t>Clinical</w:t>
      </w:r>
      <w:r>
        <w:t xml:space="preserve"> questions</w:t>
      </w:r>
      <w:bookmarkEnd w:id="40"/>
    </w:p>
    <w:p w14:paraId="7243F7A7" w14:textId="77777777" w:rsidR="00A22970" w:rsidRPr="00A22970" w:rsidRDefault="00A22970" w:rsidP="00896831">
      <w:pPr>
        <w:pStyle w:val="Numberbullet0"/>
        <w:numPr>
          <w:ilvl w:val="0"/>
          <w:numId w:val="15"/>
        </w:numPr>
      </w:pPr>
      <w:r w:rsidRPr="00A22970">
        <w:t xml:space="preserve">For the dichotomous co-primary endpoint of 33% reduction in voids, please provide risk ratios (not odds </w:t>
      </w:r>
      <w:r w:rsidRPr="00896831">
        <w:t>ratios</w:t>
      </w:r>
      <w:r w:rsidRPr="00A22970">
        <w:t xml:space="preserve">) and 95% CIs. Please amend the proposed PI: The relative risk increase was 19% for women and 34% for men; not “nearly doubled”, as suggested by the odds ratio. These changes are required because it is well known that odds ratios can </w:t>
      </w:r>
      <w:r w:rsidRPr="00A22970">
        <w:lastRenderedPageBreak/>
        <w:t>mislead prescribers and patients. CIs around the relative risk increase should be included in the PI.</w:t>
      </w:r>
    </w:p>
    <w:p w14:paraId="3480BB34" w14:textId="77777777" w:rsidR="00A22970" w:rsidRPr="00896831" w:rsidRDefault="00A22970" w:rsidP="00896831">
      <w:pPr>
        <w:pStyle w:val="Numberbullet0"/>
        <w:numPr>
          <w:ilvl w:val="0"/>
          <w:numId w:val="15"/>
        </w:numPr>
      </w:pPr>
      <w:r w:rsidRPr="00A22970">
        <w:t xml:space="preserve">It seems that the MCID used for the sample size calculation for CS40 (women) was an </w:t>
      </w:r>
      <w:r w:rsidRPr="00896831">
        <w:t xml:space="preserve">average reduction of 0.5 voids per night; whereas the MCID for CS41 (men) was 0.2 voids (for the 50 </w:t>
      </w:r>
      <w:r w:rsidR="00BA2CBE" w:rsidRPr="00896831">
        <w:t>µg</w:t>
      </w:r>
      <w:r w:rsidRPr="00896831">
        <w:t xml:space="preserve"> dose). Why were different MCIDs used for the sample size calculations?</w:t>
      </w:r>
    </w:p>
    <w:p w14:paraId="499A8558" w14:textId="77777777" w:rsidR="00A22970" w:rsidRPr="00896831" w:rsidRDefault="00A22970" w:rsidP="00896831">
      <w:pPr>
        <w:pStyle w:val="Numberbullet0"/>
      </w:pPr>
      <w:r w:rsidRPr="00896831">
        <w:t>What were percentages of patients in the pivotal trials who were able to get an uninterrupted night’s sleep?</w:t>
      </w:r>
    </w:p>
    <w:p w14:paraId="47FA5770" w14:textId="77777777" w:rsidR="00A22970" w:rsidRPr="00896831" w:rsidRDefault="00A22970" w:rsidP="00896831">
      <w:pPr>
        <w:pStyle w:val="Numberbullet0"/>
      </w:pPr>
      <w:r w:rsidRPr="00896831">
        <w:t xml:space="preserve">Why is a schedule for regular, </w:t>
      </w:r>
      <w:r w:rsidR="0080062E" w:rsidRPr="00896831">
        <w:t>long term</w:t>
      </w:r>
      <w:r w:rsidRPr="00896831">
        <w:t xml:space="preserve"> serum monitoring of hyponat</w:t>
      </w:r>
      <w:r w:rsidR="004E68C7" w:rsidRPr="00896831">
        <w:t>raemia not specified in the PI?</w:t>
      </w:r>
    </w:p>
    <w:p w14:paraId="69F92EB0" w14:textId="77777777" w:rsidR="00A22970" w:rsidRPr="00896831" w:rsidRDefault="00A22970" w:rsidP="00896831">
      <w:pPr>
        <w:pStyle w:val="Numberbullet0"/>
      </w:pPr>
      <w:r w:rsidRPr="00896831">
        <w:t xml:space="preserve">The PI states: “In studies of adult subjects with </w:t>
      </w:r>
      <w:proofErr w:type="spellStart"/>
      <w:r w:rsidRPr="00896831">
        <w:t>nocturia</w:t>
      </w:r>
      <w:proofErr w:type="spellEnd"/>
      <w:r w:rsidRPr="00896831">
        <w:t xml:space="preserve"> treated with desmopressin, those who developed low serum sodium did so usually within the first few days of commencing treatment or of a dose increase.” Please provide the numbers behind this statement (</w:t>
      </w:r>
      <w:r w:rsidR="000120D8" w:rsidRPr="00896831">
        <w:t>for example</w:t>
      </w:r>
      <w:r w:rsidRPr="00896831">
        <w:t>, a/b</w:t>
      </w:r>
      <w:r w:rsidR="00604B45" w:rsidRPr="00896831">
        <w:t xml:space="preserve"> </w:t>
      </w:r>
      <w:r w:rsidRPr="00896831">
        <w:t xml:space="preserve">[c%] of patients who developed </w:t>
      </w:r>
      <w:r w:rsidR="004E68C7" w:rsidRPr="00896831">
        <w:t>hyponatraemia</w:t>
      </w:r>
      <w:r w:rsidRPr="00896831">
        <w:t xml:space="preserve"> [?</w:t>
      </w:r>
      <w:r w:rsidR="00447A94" w:rsidRPr="00896831">
        <w:t xml:space="preserve"> </w:t>
      </w:r>
      <w:r w:rsidRPr="00896831">
        <w:t>mild/moderate/severe?] within the first three months, in the pivotal trials, did so within the first week)</w:t>
      </w:r>
      <w:r w:rsidR="004E68C7" w:rsidRPr="00896831">
        <w:t>.</w:t>
      </w:r>
    </w:p>
    <w:p w14:paraId="17810F53" w14:textId="77777777" w:rsidR="00A22970" w:rsidRPr="00896831" w:rsidRDefault="00A22970" w:rsidP="00896831">
      <w:pPr>
        <w:pStyle w:val="Numberbullet0"/>
      </w:pPr>
      <w:r w:rsidRPr="00896831">
        <w:t>In CS40/CS41, specific medicines that may cause hyponatraemia (</w:t>
      </w:r>
      <w:r w:rsidR="00590C83" w:rsidRPr="00896831">
        <w:t>that is</w:t>
      </w:r>
      <w:r w:rsidRPr="00896831">
        <w:t xml:space="preserve">, TCADs, SSRIs, NSAIDs, </w:t>
      </w:r>
      <w:proofErr w:type="spellStart"/>
      <w:r w:rsidRPr="00896831">
        <w:t>chlorpropamide</w:t>
      </w:r>
      <w:proofErr w:type="spellEnd"/>
      <w:r w:rsidRPr="00896831">
        <w:t xml:space="preserve">, diuretics, carbamazepine, </w:t>
      </w:r>
      <w:proofErr w:type="gramStart"/>
      <w:r w:rsidR="004E68C7" w:rsidRPr="00896831">
        <w:t>etcetera</w:t>
      </w:r>
      <w:proofErr w:type="gramEnd"/>
      <w:r w:rsidRPr="00896831">
        <w:t xml:space="preserve">) could not be started during the trial. Given this, please explain why the proposed PI does not recommend stopping </w:t>
      </w:r>
      <w:proofErr w:type="spellStart"/>
      <w:r w:rsidRPr="00896831">
        <w:t>Nocdurna</w:t>
      </w:r>
      <w:proofErr w:type="spellEnd"/>
      <w:r w:rsidRPr="00896831">
        <w:t xml:space="preserve"> if the patient needs to start on one of the specified medicines.</w:t>
      </w:r>
    </w:p>
    <w:p w14:paraId="4D35A085" w14:textId="77777777" w:rsidR="00A22970" w:rsidRPr="00896831" w:rsidRDefault="00A22970" w:rsidP="00896831">
      <w:pPr>
        <w:pStyle w:val="Numberbullet0"/>
      </w:pPr>
      <w:r w:rsidRPr="00896831">
        <w:t xml:space="preserve">How was mild/moderate </w:t>
      </w:r>
      <w:r w:rsidR="004E68C7" w:rsidRPr="00896831">
        <w:t>hyponatraemia</w:t>
      </w:r>
      <w:r w:rsidRPr="00896831">
        <w:t xml:space="preserve"> managed in CS40/CS41? </w:t>
      </w:r>
    </w:p>
    <w:p w14:paraId="1D5BDF17" w14:textId="77777777" w:rsidR="00A22970" w:rsidRPr="00896831" w:rsidRDefault="00A22970" w:rsidP="00896831">
      <w:pPr>
        <w:pStyle w:val="Numberbullet0"/>
      </w:pPr>
      <w:r w:rsidRPr="00896831">
        <w:t>Based on experience overseas (</w:t>
      </w:r>
      <w:r w:rsidR="000120D8" w:rsidRPr="00896831">
        <w:t>for example</w:t>
      </w:r>
      <w:r w:rsidRPr="00896831">
        <w:t>, Canada), which docto</w:t>
      </w:r>
      <w:r w:rsidR="004E68C7" w:rsidRPr="00896831">
        <w:t xml:space="preserve">rs prescribe </w:t>
      </w:r>
      <w:proofErr w:type="spellStart"/>
      <w:r w:rsidR="004E68C7" w:rsidRPr="00896831">
        <w:t>Nocdurna</w:t>
      </w:r>
      <w:proofErr w:type="spellEnd"/>
      <w:r w:rsidR="004E68C7" w:rsidRPr="00896831">
        <w:t xml:space="preserve">? (Primary </w:t>
      </w:r>
      <w:r w:rsidRPr="00896831">
        <w:t xml:space="preserve">care physicians/GPs, geriatricians, urologists, </w:t>
      </w:r>
      <w:r w:rsidR="004E68C7" w:rsidRPr="00896831">
        <w:t>etcetera</w:t>
      </w:r>
      <w:r w:rsidRPr="00896831">
        <w:t>?)</w:t>
      </w:r>
    </w:p>
    <w:p w14:paraId="688A47D9" w14:textId="77777777" w:rsidR="00A22970" w:rsidRPr="00896831" w:rsidRDefault="00A22970" w:rsidP="00896831">
      <w:pPr>
        <w:pStyle w:val="Numberbullet0"/>
      </w:pPr>
      <w:r w:rsidRPr="00896831">
        <w:t>Please provide an update on the status of the application to the FDA.</w:t>
      </w:r>
    </w:p>
    <w:p w14:paraId="1BF34F83" w14:textId="77777777" w:rsidR="00A22970" w:rsidRPr="00896831" w:rsidRDefault="00A22970" w:rsidP="00896831">
      <w:pPr>
        <w:pStyle w:val="Numberbullet0"/>
      </w:pPr>
      <w:r w:rsidRPr="00896831">
        <w:t>Please provide the latest reports from the EU (Sweden or CMS).</w:t>
      </w:r>
    </w:p>
    <w:p w14:paraId="603E1BD8" w14:textId="77777777" w:rsidR="00A22970" w:rsidRPr="00A22970" w:rsidRDefault="00A22970" w:rsidP="00896831">
      <w:pPr>
        <w:pStyle w:val="Numberbullet0"/>
      </w:pPr>
      <w:r w:rsidRPr="00896831">
        <w:t>Please provide</w:t>
      </w:r>
      <w:r w:rsidRPr="00A22970">
        <w:t xml:space="preserve"> your responses to the questions in the </w:t>
      </w:r>
      <w:r w:rsidR="00EA2517">
        <w:t>Day</w:t>
      </w:r>
      <w:r w:rsidR="004E68C7">
        <w:t xml:space="preserve"> </w:t>
      </w:r>
      <w:r w:rsidRPr="00A22970">
        <w:t>70 PAR (RMS: Sweden). The TGA is interested in all the responses, and is particularly interested in the responses to:</w:t>
      </w:r>
    </w:p>
    <w:p w14:paraId="49BF23B5" w14:textId="77777777" w:rsidR="00A22970" w:rsidRPr="00896831" w:rsidRDefault="0080062E" w:rsidP="00896831">
      <w:pPr>
        <w:pStyle w:val="ListBullet2"/>
      </w:pPr>
      <w:r w:rsidRPr="00896831">
        <w:t xml:space="preserve">Whether sex </w:t>
      </w:r>
      <w:r w:rsidR="00A22970" w:rsidRPr="00896831">
        <w:t>differences in dosing are due to weight/size and what this might mean for an elderly man of low weight</w:t>
      </w:r>
    </w:p>
    <w:p w14:paraId="44C9A25B" w14:textId="77777777" w:rsidR="00A22970" w:rsidRPr="00896831" w:rsidRDefault="00A22970" w:rsidP="00896831">
      <w:pPr>
        <w:pStyle w:val="ListBullet2"/>
      </w:pPr>
      <w:r w:rsidRPr="00896831">
        <w:t>Stratification of data from CS31 by age.</w:t>
      </w:r>
    </w:p>
    <w:p w14:paraId="06666177" w14:textId="77777777" w:rsidR="00A22970" w:rsidRPr="00A22970" w:rsidRDefault="00A22970" w:rsidP="00896831">
      <w:pPr>
        <w:pStyle w:val="ListBullet2"/>
      </w:pPr>
      <w:r w:rsidRPr="00896831">
        <w:t>Stratification of</w:t>
      </w:r>
      <w:r w:rsidRPr="00A22970">
        <w:t xml:space="preserve"> data for the co-primary endpoints from CS40/CS41 by </w:t>
      </w:r>
      <w:r w:rsidR="00604B45">
        <w:t xml:space="preserve">&gt; </w:t>
      </w:r>
      <w:r w:rsidRPr="00A22970">
        <w:t xml:space="preserve">65, </w:t>
      </w:r>
      <w:r w:rsidR="00604B45">
        <w:t xml:space="preserve">&gt; </w:t>
      </w:r>
      <w:r w:rsidRPr="00A22970">
        <w:t xml:space="preserve">75, </w:t>
      </w:r>
      <w:r w:rsidR="00604B45">
        <w:t>&gt;</w:t>
      </w:r>
      <w:r w:rsidR="00094728">
        <w:t xml:space="preserve"> </w:t>
      </w:r>
      <w:r w:rsidRPr="00A22970">
        <w:t>85 years.</w:t>
      </w:r>
    </w:p>
    <w:p w14:paraId="20B5D4FE" w14:textId="77777777" w:rsidR="00C618F7" w:rsidRDefault="00C618F7" w:rsidP="00896831">
      <w:pPr>
        <w:pStyle w:val="Heading2"/>
      </w:pPr>
      <w:bookmarkStart w:id="41" w:name="_Toc500838992"/>
      <w:r>
        <w:t xml:space="preserve">Second round evaluation of clinical data submitted in </w:t>
      </w:r>
      <w:r w:rsidRPr="00896831">
        <w:t>response</w:t>
      </w:r>
      <w:r>
        <w:t xml:space="preserve"> to questions</w:t>
      </w:r>
      <w:bookmarkEnd w:id="41"/>
    </w:p>
    <w:p w14:paraId="7AB8E80A" w14:textId="77777777" w:rsidR="00BF3113" w:rsidRPr="00BF3113" w:rsidRDefault="004E68C7" w:rsidP="00896831">
      <w:pPr>
        <w:pStyle w:val="Heading3"/>
      </w:pPr>
      <w:bookmarkStart w:id="42" w:name="_Toc500838993"/>
      <w:r w:rsidRPr="00896831">
        <w:t>Sponsor</w:t>
      </w:r>
      <w:r>
        <w:t xml:space="preserve"> </w:t>
      </w:r>
      <w:r w:rsidR="00BF3113" w:rsidRPr="00BF3113">
        <w:t>identified errors of fact or omission</w:t>
      </w:r>
      <w:bookmarkEnd w:id="42"/>
    </w:p>
    <w:p w14:paraId="22AACAAF" w14:textId="77777777" w:rsidR="00BF3113" w:rsidRPr="00BF3113" w:rsidRDefault="00BF3113" w:rsidP="00896831">
      <w:r w:rsidRPr="00BF3113">
        <w:t xml:space="preserve">In their </w:t>
      </w:r>
      <w:r w:rsidR="004E68C7">
        <w:t>r</w:t>
      </w:r>
      <w:r w:rsidRPr="00BF3113">
        <w:t xml:space="preserve">esponse, dated 28 June 2016, the </w:t>
      </w:r>
      <w:r w:rsidR="006648C5">
        <w:t>sponsor</w:t>
      </w:r>
      <w:r w:rsidRPr="00BF3113">
        <w:t xml:space="preserve"> stated that the “evaluator has not considered all aspects of the submitted supporting dataset in forming his or her conclusions”.</w:t>
      </w:r>
    </w:p>
    <w:p w14:paraId="0D2E6994" w14:textId="77777777" w:rsidR="00BF3113" w:rsidRPr="00BF3113" w:rsidRDefault="00BF3113" w:rsidP="00896831">
      <w:r w:rsidRPr="00BF3113">
        <w:t xml:space="preserve">The </w:t>
      </w:r>
      <w:r w:rsidR="006648C5">
        <w:t>sponsor</w:t>
      </w:r>
      <w:r w:rsidRPr="00BF3113">
        <w:t xml:space="preserve"> has submitted Errors of fact or omission in the CER, which has the following three headings:</w:t>
      </w:r>
    </w:p>
    <w:p w14:paraId="4895099D" w14:textId="77777777" w:rsidR="00BF3113" w:rsidRPr="00BF3113" w:rsidRDefault="00BF3113" w:rsidP="00BF3113">
      <w:pPr>
        <w:pStyle w:val="Numberbullet0"/>
        <w:numPr>
          <w:ilvl w:val="0"/>
          <w:numId w:val="10"/>
        </w:numPr>
      </w:pPr>
      <w:r w:rsidRPr="00BF3113">
        <w:t>Uncertai</w:t>
      </w:r>
      <w:r w:rsidRPr="00896831">
        <w:t>n</w:t>
      </w:r>
      <w:r w:rsidRPr="00BF3113">
        <w:t>ty about the clinical benefits of Nocdurna</w:t>
      </w:r>
    </w:p>
    <w:p w14:paraId="189EA461" w14:textId="77777777" w:rsidR="00BF3113" w:rsidRPr="00896831" w:rsidRDefault="004E68C7" w:rsidP="00896831">
      <w:pPr>
        <w:pStyle w:val="Numberbullet2"/>
      </w:pPr>
      <w:r w:rsidRPr="00896831">
        <w:t>Quality of life assessments</w:t>
      </w:r>
    </w:p>
    <w:p w14:paraId="1914D6A3" w14:textId="77777777" w:rsidR="00BF3113" w:rsidRPr="00896831" w:rsidRDefault="00BF3113" w:rsidP="00896831">
      <w:pPr>
        <w:pStyle w:val="Numberbullet2"/>
      </w:pPr>
      <w:r w:rsidRPr="00896831">
        <w:t xml:space="preserve">Onset of action of </w:t>
      </w:r>
      <w:proofErr w:type="spellStart"/>
      <w:r w:rsidRPr="00896831">
        <w:t>Nocdurna</w:t>
      </w:r>
      <w:proofErr w:type="spellEnd"/>
    </w:p>
    <w:p w14:paraId="4F7AE3EF" w14:textId="77777777" w:rsidR="00BF3113" w:rsidRPr="00896831" w:rsidRDefault="00BF3113" w:rsidP="00896831">
      <w:pPr>
        <w:pStyle w:val="Numberbullet0"/>
      </w:pPr>
      <w:r w:rsidRPr="00896831">
        <w:lastRenderedPageBreak/>
        <w:t xml:space="preserve">Uncertainty about the risk of hyponatraemia with </w:t>
      </w:r>
      <w:proofErr w:type="spellStart"/>
      <w:r w:rsidRPr="00896831">
        <w:t>Nocdurna</w:t>
      </w:r>
      <w:proofErr w:type="spellEnd"/>
    </w:p>
    <w:p w14:paraId="388734EC" w14:textId="77777777" w:rsidR="00BF3113" w:rsidRPr="00BF3113" w:rsidRDefault="004E68C7" w:rsidP="00896831">
      <w:pPr>
        <w:pStyle w:val="Numberbullet0"/>
      </w:pPr>
      <w:r w:rsidRPr="00896831">
        <w:t>Other issues</w:t>
      </w:r>
      <w:r>
        <w:t xml:space="preserve"> (8 </w:t>
      </w:r>
      <w:r w:rsidR="00BF3113" w:rsidRPr="00BF3113">
        <w:t>melt starter pack was proposed in the US, but is not proposed in Australia)</w:t>
      </w:r>
    </w:p>
    <w:p w14:paraId="36060732" w14:textId="77777777" w:rsidR="00BF3113" w:rsidRPr="00BF3113" w:rsidRDefault="004E68C7" w:rsidP="00896831">
      <w:r>
        <w:t>The second round</w:t>
      </w:r>
      <w:r w:rsidR="00BF3113" w:rsidRPr="00BF3113">
        <w:t xml:space="preserve"> response to </w:t>
      </w:r>
      <w:r w:rsidR="006648C5">
        <w:t>sponsor</w:t>
      </w:r>
      <w:r w:rsidR="00BF3113" w:rsidRPr="00BF3113">
        <w:t>’s response is discussed under these headings, below.</w:t>
      </w:r>
    </w:p>
    <w:p w14:paraId="204ECB41" w14:textId="77777777" w:rsidR="00BF3113" w:rsidRDefault="004E68C7" w:rsidP="00896831">
      <w:pPr>
        <w:pStyle w:val="Heading3"/>
      </w:pPr>
      <w:bookmarkStart w:id="43" w:name="_Toc500838994"/>
      <w:r>
        <w:t xml:space="preserve">Second </w:t>
      </w:r>
      <w:r w:rsidRPr="00896831">
        <w:t>round</w:t>
      </w:r>
      <w:r>
        <w:t xml:space="preserve"> evaluation of the sponsors </w:t>
      </w:r>
      <w:r w:rsidR="00BF3113" w:rsidRPr="00BF3113">
        <w:t>response</w:t>
      </w:r>
      <w:bookmarkEnd w:id="43"/>
    </w:p>
    <w:p w14:paraId="09D83809" w14:textId="77777777" w:rsidR="002773F7" w:rsidRPr="002773F7" w:rsidRDefault="002773F7" w:rsidP="00896831">
      <w:r>
        <w:rPr>
          <w:lang w:eastAsia="ja-JP"/>
        </w:rPr>
        <w:t>The following is the evaluator’s response to the sponsor’s response under the subheadings mentioned above.</w:t>
      </w:r>
    </w:p>
    <w:p w14:paraId="46EA6652" w14:textId="77777777" w:rsidR="00BF3113" w:rsidRPr="00BF3113" w:rsidRDefault="00BF3113" w:rsidP="00BF3113">
      <w:pPr>
        <w:pStyle w:val="Heading4"/>
      </w:pPr>
      <w:r w:rsidRPr="00BF3113">
        <w:t>Uncertainty about the clinical benefits of Nocdurna</w:t>
      </w:r>
    </w:p>
    <w:p w14:paraId="29642258" w14:textId="77777777" w:rsidR="00BF3113" w:rsidRPr="00BF3113" w:rsidRDefault="004E68C7" w:rsidP="00BF3113">
      <w:pPr>
        <w:pStyle w:val="Heading5"/>
      </w:pPr>
      <w:r>
        <w:t>Quality of life assessments</w:t>
      </w:r>
    </w:p>
    <w:p w14:paraId="0186598C" w14:textId="77777777" w:rsidR="00BF3113" w:rsidRPr="00BF3113" w:rsidRDefault="00BF3113" w:rsidP="00896831">
      <w:r w:rsidRPr="00BF3113">
        <w:t xml:space="preserve">The </w:t>
      </w:r>
      <w:r w:rsidR="006648C5">
        <w:t>sponsor</w:t>
      </w:r>
      <w:r w:rsidRPr="00BF3113">
        <w:t xml:space="preserve"> has noted that the </w:t>
      </w:r>
      <w:r w:rsidR="004E68C7">
        <w:t>first round</w:t>
      </w:r>
      <w:r w:rsidRPr="00BF3113">
        <w:t xml:space="preserve"> CER provides excerpts from the Health Canada and Swedish NRA evaluations, which have a positive view of the </w:t>
      </w:r>
      <w:r w:rsidR="0080062E">
        <w:t>quality of life</w:t>
      </w:r>
      <w:r w:rsidRPr="00BF3113">
        <w:t xml:space="preserve"> data.</w:t>
      </w:r>
    </w:p>
    <w:p w14:paraId="1A25FF97" w14:textId="77777777" w:rsidR="00BF3113" w:rsidRPr="00BF3113" w:rsidRDefault="00BF3113" w:rsidP="00896831">
      <w:r w:rsidRPr="00BF3113">
        <w:t xml:space="preserve">The protocols for CS40 and CS41 identified the nocturia </w:t>
      </w:r>
      <w:r w:rsidR="0080062E">
        <w:t>quality of life</w:t>
      </w:r>
      <w:r w:rsidRPr="00BF3113">
        <w:t xml:space="preserve"> (N-</w:t>
      </w:r>
      <w:proofErr w:type="spellStart"/>
      <w:r w:rsidRPr="00BF3113">
        <w:t>QoL</w:t>
      </w:r>
      <w:proofErr w:type="spellEnd"/>
      <w:r w:rsidRPr="00BF3113">
        <w:t xml:space="preserve">) questionnaire as a secondary endpoint. </w:t>
      </w:r>
      <w:r w:rsidR="002773F7">
        <w:t>I</w:t>
      </w:r>
      <w:r w:rsidRPr="00BF3113">
        <w:t xml:space="preserve">t was not a key secondary endpoint, but was labelled as exploratory in the protocols (CS40, CS41). It is not usual practice to repeat a lot of a detail from a </w:t>
      </w:r>
      <w:r w:rsidR="006648C5">
        <w:t>sponsor</w:t>
      </w:r>
      <w:r w:rsidRPr="00BF3113">
        <w:t>’s dossier on an explorat</w:t>
      </w:r>
      <w:r w:rsidR="004E68C7">
        <w:t>ory secondary endpoint in a CER (i</w:t>
      </w:r>
      <w:r w:rsidRPr="00BF3113">
        <w:t>t is not</w:t>
      </w:r>
      <w:r w:rsidR="004E68C7">
        <w:t xml:space="preserve"> unusual for a trial to have 10 to 20 secondary endpoints</w:t>
      </w:r>
      <w:r w:rsidRPr="00BF3113">
        <w:t>)</w:t>
      </w:r>
      <w:r w:rsidR="004E68C7">
        <w:t>.</w:t>
      </w:r>
    </w:p>
    <w:p w14:paraId="3ECB1262" w14:textId="77777777" w:rsidR="00BF3113" w:rsidRPr="00BF3113" w:rsidRDefault="00BF3113" w:rsidP="00896831">
      <w:r w:rsidRPr="00BF3113">
        <w:t xml:space="preserve">Nevertheless, because the </w:t>
      </w:r>
      <w:r w:rsidR="006648C5">
        <w:t>sponsor</w:t>
      </w:r>
      <w:r w:rsidRPr="00BF3113">
        <w:t xml:space="preserve"> has raised N-</w:t>
      </w:r>
      <w:proofErr w:type="spellStart"/>
      <w:r w:rsidRPr="00BF3113">
        <w:t>QoL</w:t>
      </w:r>
      <w:proofErr w:type="spellEnd"/>
      <w:r w:rsidRPr="00BF3113">
        <w:t xml:space="preserve"> as their key issue, detail about the exploratory secondary endpoint is given below (see </w:t>
      </w:r>
      <w:r w:rsidRPr="002773F7">
        <w:t>Detail on Noc</w:t>
      </w:r>
      <w:r w:rsidR="002773F7">
        <w:t>turia, Quality of Life endpoint</w:t>
      </w:r>
      <w:r w:rsidRPr="00BF3113">
        <w:t>).</w:t>
      </w:r>
    </w:p>
    <w:p w14:paraId="0F8D065E" w14:textId="77777777" w:rsidR="00BF3113" w:rsidRPr="00BF3113" w:rsidRDefault="00BF3113" w:rsidP="00896831">
      <w:r w:rsidRPr="00BF3113">
        <w:t>The results on the pre-specified co-primary endpoints were statistically significant, but the point estimates of the treatment effect were small. In terms of the benefit-risk balance, one important question is whether these small (statistically significant) treatment effects on the pre-specified co-primary endpoints (supported by the secondary endpoints) are sufficient to offset concerns about hyponatraemia, at a population level.</w:t>
      </w:r>
    </w:p>
    <w:p w14:paraId="303A0E54" w14:textId="77777777" w:rsidR="00BF3113" w:rsidRPr="00BF3113" w:rsidRDefault="002773F7" w:rsidP="00896831">
      <w:r>
        <w:t>I</w:t>
      </w:r>
      <w:r w:rsidR="00BF3113" w:rsidRPr="00BF3113">
        <w:t xml:space="preserve">n the </w:t>
      </w:r>
      <w:r w:rsidR="004E68C7">
        <w:t>first round</w:t>
      </w:r>
      <w:r w:rsidR="00BF3113" w:rsidRPr="00BF3113">
        <w:t xml:space="preserve"> evaluation (CER), the secondary endpoints (including the nocturia </w:t>
      </w:r>
      <w:r w:rsidR="0080062E">
        <w:t>quality of life</w:t>
      </w:r>
      <w:r w:rsidR="00BF3113" w:rsidRPr="00BF3113">
        <w:t xml:space="preserve"> measurements [N-</w:t>
      </w:r>
      <w:proofErr w:type="spellStart"/>
      <w:r w:rsidR="00BF3113" w:rsidRPr="00BF3113">
        <w:t>QoL</w:t>
      </w:r>
      <w:proofErr w:type="spellEnd"/>
      <w:r w:rsidR="00BF3113" w:rsidRPr="00BF3113">
        <w:t xml:space="preserve">]) </w:t>
      </w:r>
      <w:r>
        <w:t>were</w:t>
      </w:r>
      <w:r w:rsidR="00BF3113" w:rsidRPr="00BF3113">
        <w:t xml:space="preserve"> generally supportive of a small average treatment effect.</w:t>
      </w:r>
    </w:p>
    <w:p w14:paraId="3E447F9D" w14:textId="1EE4E001" w:rsidR="00BF3113" w:rsidRPr="00BF3113" w:rsidRDefault="004E68C7" w:rsidP="00896831">
      <w:r>
        <w:t>Other</w:t>
      </w:r>
      <w:r w:rsidR="00BF3113" w:rsidRPr="00BF3113">
        <w:t xml:space="preserve"> </w:t>
      </w:r>
      <w:r>
        <w:t>regulatory agencies</w:t>
      </w:r>
      <w:r w:rsidR="00BF3113" w:rsidRPr="00BF3113">
        <w:t xml:space="preserve"> are not in agreement about whether the benefit-risk balance is favourable (</w:t>
      </w:r>
      <w:r w:rsidR="00590C83">
        <w:t>that is</w:t>
      </w:r>
      <w:r w:rsidR="00BF3113" w:rsidRPr="00BF3113">
        <w:t xml:space="preserve">, Health Canada and the Swedish NRA consider that it is; the FDA </w:t>
      </w:r>
      <w:r w:rsidR="0080062E" w:rsidRPr="00BF3113">
        <w:t>considers</w:t>
      </w:r>
      <w:r w:rsidR="00BF3113" w:rsidRPr="00BF3113">
        <w:t xml:space="preserve"> that it is not). It is recommended that the TGA engage two independent external Australian clinical experts to provide advice on whether</w:t>
      </w:r>
      <w:r w:rsidR="00B236BE">
        <w:t xml:space="preserve"> the</w:t>
      </w:r>
      <w:r w:rsidR="00BF3113" w:rsidRPr="00BF3113">
        <w:t xml:space="preserve"> benefit-risk balance is favourable.</w:t>
      </w:r>
    </w:p>
    <w:p w14:paraId="64E06E5E" w14:textId="77777777" w:rsidR="00BF3113" w:rsidRPr="00BF3113" w:rsidRDefault="00BF3113" w:rsidP="00BF3113">
      <w:pPr>
        <w:pStyle w:val="Heading5"/>
      </w:pPr>
      <w:r w:rsidRPr="00BF3113">
        <w:t xml:space="preserve">Detail on the nocturia </w:t>
      </w:r>
      <w:r w:rsidR="0080062E">
        <w:t>quality of life</w:t>
      </w:r>
      <w:r w:rsidRPr="00BF3113">
        <w:t xml:space="preserve"> (N-QOL) questionnaire</w:t>
      </w:r>
    </w:p>
    <w:p w14:paraId="10F6FF2B" w14:textId="77777777" w:rsidR="00BF3113" w:rsidRPr="00BF3113" w:rsidRDefault="00BF3113" w:rsidP="00BF3113">
      <w:r w:rsidRPr="00BF3113">
        <w:t>The N-QOL questionnaire is a self-administered questionnaire that was developed on men attending urology clinics in the United Kingdom</w:t>
      </w:r>
      <w:bookmarkStart w:id="44" w:name="_Ref492894980"/>
      <w:r w:rsidR="004E68C7">
        <w:rPr>
          <w:rStyle w:val="FootnoteReference"/>
        </w:rPr>
        <w:footnoteReference w:id="7"/>
      </w:r>
      <w:bookmarkEnd w:id="44"/>
      <w:r w:rsidRPr="00BF3113">
        <w:t xml:space="preserve"> and has also been applied to women</w:t>
      </w:r>
      <w:r w:rsidR="004E68C7">
        <w:t>.</w:t>
      </w:r>
      <w:r w:rsidR="004E68C7">
        <w:rPr>
          <w:rStyle w:val="FootnoteReference"/>
        </w:rPr>
        <w:footnoteReference w:id="8"/>
      </w:r>
    </w:p>
    <w:p w14:paraId="6EA7C120" w14:textId="77777777" w:rsidR="00BF3113" w:rsidRPr="00BF3113" w:rsidRDefault="00BF3113" w:rsidP="00BF3113">
      <w:r w:rsidRPr="00BF3113">
        <w:t>The questionnaire has two sections: a Sleep/Energy (6 questions), a Bother/Concern (6 questions). There is also a Global Quality of Life question which is scored</w:t>
      </w:r>
      <w:r w:rsidR="004E68C7">
        <w:t xml:space="preserve"> separately.</w:t>
      </w:r>
    </w:p>
    <w:p w14:paraId="34A8E4C8" w14:textId="77777777" w:rsidR="00BF3113" w:rsidRPr="00BF3113" w:rsidRDefault="00BF3113" w:rsidP="00BF3113">
      <w:r w:rsidRPr="00BF3113">
        <w:t>The questionnaire refers to the previous 2 weeks.</w:t>
      </w:r>
    </w:p>
    <w:p w14:paraId="4E5DA5BF" w14:textId="77777777" w:rsidR="00BF3113" w:rsidRPr="00BF3113" w:rsidRDefault="00BF3113" w:rsidP="00BF3113">
      <w:r w:rsidRPr="00BF3113">
        <w:t>Patients answer 6 questions under Sleep/Energy and 6 questions under Bother/Concern, giving each of them a score from 0 to 4. Higher scores for the items in the test represent better quality of life. Summary scores are computed by transforming the raw score onto a standardized scale of 0 to 100. A patient who had perfect scores of 4 on all 12 items (</w:t>
      </w:r>
      <w:r w:rsidR="00590C83">
        <w:t>that is</w:t>
      </w:r>
      <w:r w:rsidRPr="00BF3113">
        <w:t xml:space="preserve"> no problem with sleep/energy or bother/concern) would have a raw score of 48 but a standardized score of 100.</w:t>
      </w:r>
    </w:p>
    <w:p w14:paraId="79AC6919" w14:textId="77777777" w:rsidR="00BF3113" w:rsidRPr="00BF3113" w:rsidRDefault="00BF3113" w:rsidP="00896831">
      <w:r w:rsidRPr="00BF3113">
        <w:lastRenderedPageBreak/>
        <w:t>From the 20</w:t>
      </w:r>
      <w:r w:rsidR="004E68C7">
        <w:t>04 paper by Lucy Abraham et al</w:t>
      </w:r>
      <w:r w:rsidRPr="00BF3113">
        <w:t>, the 12 questions are</w:t>
      </w:r>
      <w:r w:rsidR="004E68C7" w:rsidRPr="004E68C7">
        <w:rPr>
          <w:rStyle w:val="FootnoteReference"/>
        </w:rPr>
        <w:fldChar w:fldCharType="begin"/>
      </w:r>
      <w:r w:rsidR="004E68C7" w:rsidRPr="004E68C7">
        <w:rPr>
          <w:vertAlign w:val="superscript"/>
        </w:rPr>
        <w:instrText xml:space="preserve"> NOTEREF _Ref492894980 \h </w:instrText>
      </w:r>
      <w:r w:rsidR="004E68C7" w:rsidRPr="004E68C7">
        <w:rPr>
          <w:rStyle w:val="FootnoteReference"/>
        </w:rPr>
        <w:instrText xml:space="preserve"> \* MERGEFORMAT </w:instrText>
      </w:r>
      <w:r w:rsidR="004E68C7" w:rsidRPr="004E68C7">
        <w:rPr>
          <w:rStyle w:val="FootnoteReference"/>
        </w:rPr>
      </w:r>
      <w:r w:rsidR="004E68C7" w:rsidRPr="004E68C7">
        <w:rPr>
          <w:rStyle w:val="FootnoteReference"/>
        </w:rPr>
        <w:fldChar w:fldCharType="separate"/>
      </w:r>
      <w:r w:rsidR="004E68C7" w:rsidRPr="004E68C7">
        <w:rPr>
          <w:vertAlign w:val="superscript"/>
        </w:rPr>
        <w:t>7</w:t>
      </w:r>
      <w:r w:rsidR="004E68C7" w:rsidRPr="004E68C7">
        <w:rPr>
          <w:rStyle w:val="FootnoteReference"/>
        </w:rPr>
        <w:fldChar w:fldCharType="end"/>
      </w:r>
      <w:r w:rsidRPr="00BF3113">
        <w:t>:</w:t>
      </w:r>
    </w:p>
    <w:p w14:paraId="6648E6AE" w14:textId="77777777" w:rsidR="00BF3113" w:rsidRPr="00BF3113" w:rsidRDefault="00BF3113" w:rsidP="00896831">
      <w:r w:rsidRPr="00BF3113">
        <w:t>Over the past two weeks, having to get up at night to urinate: (options are: every day, most days, some days, rarely, never)</w:t>
      </w:r>
      <w:r w:rsidR="00206542">
        <w:t>;</w:t>
      </w:r>
    </w:p>
    <w:p w14:paraId="15C69221" w14:textId="77777777" w:rsidR="00BF3113" w:rsidRPr="00896831" w:rsidRDefault="00BF3113" w:rsidP="00896831">
      <w:pPr>
        <w:pStyle w:val="ListBullet"/>
      </w:pPr>
      <w:r w:rsidRPr="00BF3113">
        <w:t xml:space="preserve">Has </w:t>
      </w:r>
      <w:r w:rsidRPr="00896831">
        <w:t>made it difficult for me to concentrate the next day.</w:t>
      </w:r>
    </w:p>
    <w:p w14:paraId="7DE0CB8F" w14:textId="77777777" w:rsidR="00BF3113" w:rsidRPr="00896831" w:rsidRDefault="00BF3113" w:rsidP="00896831">
      <w:pPr>
        <w:pStyle w:val="ListBullet"/>
      </w:pPr>
      <w:r w:rsidRPr="00896831">
        <w:t>Has made me feel generally low in energy the next day.</w:t>
      </w:r>
    </w:p>
    <w:p w14:paraId="33EE2968" w14:textId="77777777" w:rsidR="00BF3113" w:rsidRPr="00896831" w:rsidRDefault="00BF3113" w:rsidP="00896831">
      <w:pPr>
        <w:pStyle w:val="ListBullet"/>
      </w:pPr>
      <w:r w:rsidRPr="00896831">
        <w:t>Has required me to nap during the day.</w:t>
      </w:r>
    </w:p>
    <w:p w14:paraId="52B74961" w14:textId="77777777" w:rsidR="00BF3113" w:rsidRPr="00896831" w:rsidRDefault="00BF3113" w:rsidP="00896831">
      <w:pPr>
        <w:pStyle w:val="ListBullet"/>
      </w:pPr>
      <w:r w:rsidRPr="00896831">
        <w:t>Has made me less productive the next day.</w:t>
      </w:r>
    </w:p>
    <w:p w14:paraId="5C86FCD5" w14:textId="77777777" w:rsidR="00BF3113" w:rsidRPr="00896831" w:rsidRDefault="00BF3113" w:rsidP="00896831">
      <w:pPr>
        <w:pStyle w:val="ListBullet"/>
      </w:pPr>
      <w:r w:rsidRPr="00896831">
        <w:t>Has caused me to participate less in activities I enjoy.</w:t>
      </w:r>
    </w:p>
    <w:p w14:paraId="419E551D" w14:textId="77777777" w:rsidR="00BF3113" w:rsidRPr="00896831" w:rsidRDefault="00BF3113" w:rsidP="00896831">
      <w:pPr>
        <w:pStyle w:val="ListBullet"/>
      </w:pPr>
      <w:r w:rsidRPr="00896831">
        <w:t>Has caused me to be careful about when or how much I drink</w:t>
      </w:r>
    </w:p>
    <w:p w14:paraId="72341C4A" w14:textId="77777777" w:rsidR="00BF3113" w:rsidRPr="00BF3113" w:rsidRDefault="00BF3113" w:rsidP="00896831">
      <w:pPr>
        <w:pStyle w:val="ListBullet"/>
      </w:pPr>
      <w:r w:rsidRPr="00896831">
        <w:t>Has made it difficult for</w:t>
      </w:r>
      <w:r w:rsidRPr="00BF3113">
        <w:t xml:space="preserve"> me to get enough sleep at night.</w:t>
      </w:r>
    </w:p>
    <w:p w14:paraId="542E2C28" w14:textId="77777777" w:rsidR="00BF3113" w:rsidRPr="00BF3113" w:rsidRDefault="00BF3113" w:rsidP="00896831">
      <w:r w:rsidRPr="00BF3113">
        <w:t>Over the past two weeks I have been (options are: extremely, quite a bit, moderately, a little bit, not at all)</w:t>
      </w:r>
    </w:p>
    <w:p w14:paraId="0A60DC51" w14:textId="77777777" w:rsidR="00BF3113" w:rsidRPr="00896831" w:rsidRDefault="00BF3113" w:rsidP="00896831">
      <w:pPr>
        <w:pStyle w:val="ListBullet"/>
      </w:pPr>
      <w:r w:rsidRPr="00896831">
        <w:t>Concerned that I am disturbing others because of having to get up at night.</w:t>
      </w:r>
    </w:p>
    <w:p w14:paraId="40F0C47A" w14:textId="77777777" w:rsidR="00BF3113" w:rsidRPr="00896831" w:rsidRDefault="00BF3113" w:rsidP="00896831">
      <w:pPr>
        <w:pStyle w:val="ListBullet"/>
      </w:pPr>
      <w:r w:rsidRPr="00896831">
        <w:t>Preoccupied about having to get up at night to urinate.</w:t>
      </w:r>
    </w:p>
    <w:p w14:paraId="6FAE46DF" w14:textId="77777777" w:rsidR="00BF3113" w:rsidRPr="00896831" w:rsidRDefault="00BF3113" w:rsidP="00896831">
      <w:pPr>
        <w:pStyle w:val="ListBullet"/>
      </w:pPr>
      <w:r w:rsidRPr="00896831">
        <w:t>Worried that this condition will get worse in the future.</w:t>
      </w:r>
    </w:p>
    <w:p w14:paraId="0BE1CEF4" w14:textId="77777777" w:rsidR="00BF3113" w:rsidRPr="00BF3113" w:rsidRDefault="00BF3113" w:rsidP="00896831">
      <w:pPr>
        <w:pStyle w:val="ListBullet"/>
      </w:pPr>
      <w:r w:rsidRPr="00896831">
        <w:t>Worried that there is</w:t>
      </w:r>
      <w:r w:rsidRPr="00BF3113">
        <w:t xml:space="preserve"> no effective treatment for this condition.</w:t>
      </w:r>
    </w:p>
    <w:p w14:paraId="70CD1684" w14:textId="77777777" w:rsidR="00BF3113" w:rsidRPr="00BF3113" w:rsidRDefault="00BF3113" w:rsidP="00896831">
      <w:r w:rsidRPr="00BF3113">
        <w:t xml:space="preserve">Overall, how bothersome has having to get up at night </w:t>
      </w:r>
      <w:r w:rsidR="004E68C7">
        <w:t>been over the past two weeks? (O</w:t>
      </w:r>
      <w:r w:rsidRPr="00BF3113">
        <w:t>ptions are: extremely, quite a bit, moderately, a little bit, not at all).</w:t>
      </w:r>
    </w:p>
    <w:p w14:paraId="06E5C8C8" w14:textId="77777777" w:rsidR="00BF3113" w:rsidRPr="00BF3113" w:rsidRDefault="00BF3113" w:rsidP="00896831">
      <w:r w:rsidRPr="00BF3113">
        <w:t xml:space="preserve">There is also a global </w:t>
      </w:r>
      <w:proofErr w:type="spellStart"/>
      <w:r w:rsidRPr="00BF3113">
        <w:t>QoL</w:t>
      </w:r>
      <w:proofErr w:type="spellEnd"/>
      <w:r w:rsidRPr="00BF3113">
        <w:t xml:space="preserve"> question.</w:t>
      </w:r>
    </w:p>
    <w:p w14:paraId="385459D4" w14:textId="77777777" w:rsidR="00BF3113" w:rsidRPr="00BF3113" w:rsidRDefault="00BF3113" w:rsidP="00896831">
      <w:r w:rsidRPr="00BF3113">
        <w:t xml:space="preserve">The questionnaire takes about five minutes to complete. It has good internal consistency and test-retest reliability. The score correlates with sleep quality as measured by PSQI and energy/vitality and social functioning as measured by SF-36. It was able to discriminate between the </w:t>
      </w:r>
      <w:proofErr w:type="gramStart"/>
      <w:r w:rsidRPr="00BF3113">
        <w:t>number</w:t>
      </w:r>
      <w:proofErr w:type="gramEnd"/>
      <w:r w:rsidRPr="00BF3113">
        <w:t xml:space="preserve"> of voids per night. Based on Table 3 in the Abraham paper, roughly speaking an decrease from 3 to 2 voids per night results in an increase of about 12 points on the N-</w:t>
      </w:r>
      <w:proofErr w:type="spellStart"/>
      <w:r w:rsidRPr="00BF3113">
        <w:t>QoL</w:t>
      </w:r>
      <w:proofErr w:type="spellEnd"/>
      <w:r w:rsidRPr="00BF3113">
        <w:t xml:space="preserve"> (ov</w:t>
      </w:r>
      <w:r w:rsidR="0012505A">
        <w:t>erall score), scaled up to 100.</w:t>
      </w:r>
    </w:p>
    <w:p w14:paraId="1706E433" w14:textId="77777777" w:rsidR="00BF3113" w:rsidRPr="00BF3113" w:rsidRDefault="00BF3113" w:rsidP="00896831">
      <w:r w:rsidRPr="00BF3113">
        <w:t>This is in keeping with the results from CS40/CS41. The pre-specified co-primary endpoint showed a 0.2 (women) and 0.4 (men) decrease, on average, in the number of voids/night (after 3 months). This was associated with an increase in the mean N-</w:t>
      </w:r>
      <w:proofErr w:type="spellStart"/>
      <w:r w:rsidRPr="00BF3113">
        <w:t>QoL</w:t>
      </w:r>
      <w:proofErr w:type="spellEnd"/>
      <w:r w:rsidRPr="00BF3113">
        <w:t xml:space="preserve"> score of about 5 or </w:t>
      </w:r>
      <w:r w:rsidR="0012505A">
        <w:t>6 points (standardised to 100).</w:t>
      </w:r>
    </w:p>
    <w:p w14:paraId="7E6D2542" w14:textId="77777777" w:rsidR="00BF3113" w:rsidRPr="00BF3113" w:rsidRDefault="00BF3113" w:rsidP="00896831">
      <w:r w:rsidRPr="0080062E">
        <w:t xml:space="preserve">One </w:t>
      </w:r>
      <w:r w:rsidR="00CD386D" w:rsidRPr="0080062E">
        <w:t>aspect</w:t>
      </w:r>
      <w:r w:rsidRPr="0080062E">
        <w:t xml:space="preserve"> of uncertainty is whether this small average treatment effect is sufficient to offset concerns about hyponatraemia, when Nocdurna is used in the </w:t>
      </w:r>
      <w:r w:rsidR="0080062E">
        <w:t>real world</w:t>
      </w:r>
      <w:r w:rsidRPr="0080062E">
        <w:t xml:space="preserve"> of everyday clinical pract</w:t>
      </w:r>
      <w:r w:rsidR="00CD386D" w:rsidRPr="0080062E">
        <w:t>ice, in the Australian setting.</w:t>
      </w:r>
    </w:p>
    <w:p w14:paraId="3C3B3FAD" w14:textId="77777777" w:rsidR="00BF3113" w:rsidRPr="00BF3113" w:rsidRDefault="00BF3113" w:rsidP="0012505A">
      <w:pPr>
        <w:pStyle w:val="Heading4"/>
      </w:pPr>
      <w:r w:rsidRPr="00BF3113">
        <w:t>Results for N-</w:t>
      </w:r>
      <w:proofErr w:type="spellStart"/>
      <w:r w:rsidRPr="00BF3113">
        <w:t>QoL</w:t>
      </w:r>
      <w:proofErr w:type="spellEnd"/>
      <w:r w:rsidRPr="00BF3113">
        <w:t xml:space="preserve"> from CS40/CS41</w:t>
      </w:r>
    </w:p>
    <w:p w14:paraId="48069C80" w14:textId="77777777" w:rsidR="00BF3113" w:rsidRPr="00BF3113" w:rsidRDefault="00BF3113" w:rsidP="00896831">
      <w:r w:rsidRPr="00BF3113">
        <w:t xml:space="preserve">For women in CS40 (desmopressin 25 </w:t>
      </w:r>
      <w:r w:rsidR="00BA2CBE">
        <w:t>µ</w:t>
      </w:r>
      <w:r w:rsidR="00BA2CBE" w:rsidRPr="00A22970">
        <w:t>g</w:t>
      </w:r>
      <w:r w:rsidRPr="00BF3113">
        <w:t xml:space="preserve"> versus placebo), 248/268</w:t>
      </w:r>
      <w:r w:rsidR="004E68C7">
        <w:t xml:space="preserve"> = </w:t>
      </w:r>
      <w:r w:rsidRPr="00BF3113">
        <w:t>93% completed t</w:t>
      </w:r>
      <w:r w:rsidR="004E68C7">
        <w:t>he N-</w:t>
      </w:r>
      <w:proofErr w:type="spellStart"/>
      <w:r w:rsidR="004E68C7">
        <w:t>QoL</w:t>
      </w:r>
      <w:proofErr w:type="spellEnd"/>
      <w:r w:rsidR="004E68C7">
        <w:t xml:space="preserve"> questionnaire at Month </w:t>
      </w:r>
      <w:r w:rsidRPr="00BF3113">
        <w:t>1 and 212/268</w:t>
      </w:r>
      <w:r w:rsidR="004E68C7">
        <w:t xml:space="preserve"> </w:t>
      </w:r>
      <w:r w:rsidRPr="00BF3113">
        <w:t>=</w:t>
      </w:r>
      <w:r w:rsidR="004E68C7">
        <w:t xml:space="preserve"> </w:t>
      </w:r>
      <w:r w:rsidRPr="00BF3113">
        <w:t>83% completed it at Mont</w:t>
      </w:r>
      <w:r w:rsidR="004E68C7">
        <w:t xml:space="preserve">h </w:t>
      </w:r>
      <w:r w:rsidRPr="00BF3113">
        <w:t xml:space="preserve">3. For men in CS41 (desmopressin 50 </w:t>
      </w:r>
      <w:r w:rsidR="00BA2CBE">
        <w:t>µ</w:t>
      </w:r>
      <w:r w:rsidR="00BA2CBE" w:rsidRPr="00A22970">
        <w:t>g</w:t>
      </w:r>
      <w:r w:rsidRPr="00BF3113">
        <w:t xml:space="preserve">/75 </w:t>
      </w:r>
      <w:r w:rsidR="00BA2CBE">
        <w:t>µ</w:t>
      </w:r>
      <w:r w:rsidR="00BA2CBE" w:rsidRPr="00A22970">
        <w:t>g</w:t>
      </w:r>
      <w:r w:rsidRPr="00BF3113">
        <w:t xml:space="preserve"> versus placebo), the corres</w:t>
      </w:r>
      <w:r w:rsidR="004E68C7">
        <w:t xml:space="preserve">ponding percentages were: Month </w:t>
      </w:r>
      <w:r w:rsidRPr="00BF3113">
        <w:t>1: 366/395</w:t>
      </w:r>
      <w:r w:rsidR="00447A94">
        <w:t xml:space="preserve"> = 93%; Month </w:t>
      </w:r>
      <w:r w:rsidRPr="00BF3113">
        <w:t>2: 337/305</w:t>
      </w:r>
      <w:r w:rsidR="00447A94">
        <w:t xml:space="preserve"> = </w:t>
      </w:r>
      <w:r w:rsidRPr="00BF3113">
        <w:t>85%.</w:t>
      </w:r>
      <w:r w:rsidR="00605F08">
        <w:t xml:space="preserve"> The improvements in N-</w:t>
      </w:r>
      <w:proofErr w:type="spellStart"/>
      <w:r w:rsidR="00605F08">
        <w:t>QoL</w:t>
      </w:r>
      <w:proofErr w:type="spellEnd"/>
      <w:r w:rsidR="00605F08">
        <w:t xml:space="preserve"> are highlighted in the tables below.</w:t>
      </w:r>
    </w:p>
    <w:p w14:paraId="40AEAD5F" w14:textId="77777777" w:rsidR="00BF3113" w:rsidRDefault="0012505A" w:rsidP="0012505A">
      <w:pPr>
        <w:pStyle w:val="Tabletitle"/>
        <w:rPr>
          <w:lang w:eastAsia="ja-JP"/>
        </w:rPr>
      </w:pPr>
      <w:r>
        <w:rPr>
          <w:lang w:eastAsia="ja-JP"/>
        </w:rPr>
        <w:lastRenderedPageBreak/>
        <w:t xml:space="preserve">Table </w:t>
      </w:r>
      <w:r w:rsidR="00447A94">
        <w:rPr>
          <w:lang w:eastAsia="ja-JP"/>
        </w:rPr>
        <w:t>42</w:t>
      </w:r>
      <w:r>
        <w:rPr>
          <w:lang w:eastAsia="ja-JP"/>
        </w:rPr>
        <w:t xml:space="preserve">: CS40 adjusted treatment differences in mean change from baseline in </w:t>
      </w:r>
      <w:proofErr w:type="spellStart"/>
      <w:r>
        <w:rPr>
          <w:lang w:eastAsia="ja-JP"/>
        </w:rPr>
        <w:t>NQoL</w:t>
      </w:r>
      <w:proofErr w:type="spellEnd"/>
      <w:r>
        <w:rPr>
          <w:lang w:eastAsia="ja-JP"/>
        </w:rPr>
        <w:t xml:space="preserve"> domain scores by visit including treatment by visit interaction term (full analysis set using repeated measures ANCOVA)</w:t>
      </w:r>
    </w:p>
    <w:p w14:paraId="083DEB4F" w14:textId="77777777" w:rsidR="00BF3113" w:rsidRDefault="0012505A" w:rsidP="00C618F7">
      <w:pPr>
        <w:rPr>
          <w:lang w:eastAsia="ja-JP"/>
        </w:rPr>
      </w:pPr>
      <w:r>
        <w:rPr>
          <w:noProof/>
          <w:lang w:eastAsia="en-AU"/>
        </w:rPr>
        <w:drawing>
          <wp:inline distT="0" distB="0" distL="0" distR="0" wp14:anchorId="591DE9A1" wp14:editId="741192A7">
            <wp:extent cx="5731510" cy="3624445"/>
            <wp:effectExtent l="0" t="0" r="2540" b="0"/>
            <wp:docPr id="40" name="Picture 40" descr="Table 42: CS40 adjusted treatment differences in mean change from baseline in NQoL domain scores by visit including treatment by visit interaction term (full analysis set using repeated measures ANC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31510" cy="3624445"/>
                    </a:xfrm>
                    <a:prstGeom prst="rect">
                      <a:avLst/>
                    </a:prstGeom>
                  </pic:spPr>
                </pic:pic>
              </a:graphicData>
            </a:graphic>
          </wp:inline>
        </w:drawing>
      </w:r>
    </w:p>
    <w:p w14:paraId="4A78E85A" w14:textId="77777777" w:rsidR="00BF3113" w:rsidRDefault="00447A94" w:rsidP="0012505A">
      <w:pPr>
        <w:pStyle w:val="Tabletitle"/>
        <w:rPr>
          <w:lang w:eastAsia="ja-JP"/>
        </w:rPr>
      </w:pPr>
      <w:r>
        <w:rPr>
          <w:lang w:eastAsia="ja-JP"/>
        </w:rPr>
        <w:lastRenderedPageBreak/>
        <w:t>Table 43</w:t>
      </w:r>
      <w:r w:rsidR="0012505A">
        <w:rPr>
          <w:lang w:eastAsia="ja-JP"/>
        </w:rPr>
        <w:t>: CS41</w:t>
      </w:r>
      <w:r w:rsidR="0012505A" w:rsidRPr="0012505A">
        <w:rPr>
          <w:lang w:eastAsia="ja-JP"/>
        </w:rPr>
        <w:t xml:space="preserve"> </w:t>
      </w:r>
      <w:r w:rsidR="0012505A">
        <w:rPr>
          <w:lang w:eastAsia="ja-JP"/>
        </w:rPr>
        <w:t xml:space="preserve">adjusted treatment differences in mean change from baseline in </w:t>
      </w:r>
      <w:proofErr w:type="spellStart"/>
      <w:r w:rsidR="0012505A">
        <w:rPr>
          <w:lang w:eastAsia="ja-JP"/>
        </w:rPr>
        <w:t>NQoL</w:t>
      </w:r>
      <w:proofErr w:type="spellEnd"/>
      <w:r w:rsidR="0012505A">
        <w:rPr>
          <w:lang w:eastAsia="ja-JP"/>
        </w:rPr>
        <w:t xml:space="preserve"> domain scores by visit including treatment by visit interaction term (full analysis set using repeated measures ANCOVA)</w:t>
      </w:r>
    </w:p>
    <w:p w14:paraId="1B769672" w14:textId="77777777" w:rsidR="00BF3113" w:rsidRDefault="0012505A" w:rsidP="00C618F7">
      <w:pPr>
        <w:rPr>
          <w:lang w:eastAsia="ja-JP"/>
        </w:rPr>
      </w:pPr>
      <w:r>
        <w:rPr>
          <w:noProof/>
          <w:lang w:eastAsia="en-AU"/>
        </w:rPr>
        <w:drawing>
          <wp:inline distT="0" distB="0" distL="0" distR="0" wp14:anchorId="5975A791" wp14:editId="21F7351C">
            <wp:extent cx="5731510" cy="6291190"/>
            <wp:effectExtent l="0" t="0" r="2540" b="0"/>
            <wp:docPr id="51" name="Picture 51" descr="Table 43: CS41 adjusted treatment differences in mean change from baseline in NQoL domain scores by visit including treatment by visit interaction term (full analysis set using repeated measures ANC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31510" cy="6291190"/>
                    </a:xfrm>
                    <a:prstGeom prst="rect">
                      <a:avLst/>
                    </a:prstGeom>
                  </pic:spPr>
                </pic:pic>
              </a:graphicData>
            </a:graphic>
          </wp:inline>
        </w:drawing>
      </w:r>
    </w:p>
    <w:p w14:paraId="2F764D69" w14:textId="77777777" w:rsidR="0012505A" w:rsidRPr="00D33641" w:rsidRDefault="0012505A" w:rsidP="00D33641">
      <w:pPr>
        <w:pStyle w:val="Heading4"/>
      </w:pPr>
      <w:r w:rsidRPr="00D33641">
        <w:t>Onset of action of Nocdurna</w:t>
      </w:r>
    </w:p>
    <w:p w14:paraId="68847F3F" w14:textId="77777777" w:rsidR="0012505A" w:rsidRPr="00D33641" w:rsidRDefault="0012505A" w:rsidP="00D33641">
      <w:r w:rsidRPr="00D33641">
        <w:t xml:space="preserve">The </w:t>
      </w:r>
      <w:r w:rsidR="006648C5">
        <w:t>sponsor</w:t>
      </w:r>
      <w:r w:rsidRPr="00D33641">
        <w:t xml:space="preserve"> has pointed out in their response that decreases in nocturnal voids were seen by </w:t>
      </w:r>
      <w:r w:rsidR="00EA2517">
        <w:t>Day</w:t>
      </w:r>
      <w:r w:rsidR="00447A94">
        <w:t xml:space="preserve"> </w:t>
      </w:r>
      <w:r w:rsidRPr="00D33641">
        <w:t>4, and by the end of the first week the mean time to first nocturnal void was longer in the Nocdurn</w:t>
      </w:r>
      <w:r w:rsidR="00447A94">
        <w:t>a group than the placebo group.</w:t>
      </w:r>
    </w:p>
    <w:p w14:paraId="3E128661" w14:textId="77777777" w:rsidR="0012505A" w:rsidRPr="00D33641" w:rsidRDefault="0012505A" w:rsidP="00D33641">
      <w:r w:rsidRPr="00D33641">
        <w:t xml:space="preserve">The </w:t>
      </w:r>
      <w:r w:rsidR="006648C5">
        <w:t>sponsor</w:t>
      </w:r>
      <w:r w:rsidRPr="00D33641">
        <w:t xml:space="preserve"> has included the following statement in the proposed PI (also in the SPC in EU): </w:t>
      </w:r>
      <w:r w:rsidRPr="00D33641">
        <w:rPr>
          <w:i/>
        </w:rPr>
        <w:t>Continued therapy must be carefully reconsidered in elderly patients who show no evidence of therapeutic benefit beyond 3 months.</w:t>
      </w:r>
    </w:p>
    <w:p w14:paraId="67B9FFB1" w14:textId="77777777" w:rsidR="0012505A" w:rsidRPr="00D33641" w:rsidRDefault="003300CB" w:rsidP="00D33641">
      <w:r>
        <w:t>The sponsor’s proposed wording</w:t>
      </w:r>
      <w:r w:rsidR="0012505A" w:rsidRPr="00D33641">
        <w:t xml:space="preserve"> “no evidence of therapeutic benefit” is vague. Rather than “no therapeutic effect”, a statement about the size of the treatment effect might be more helpful to </w:t>
      </w:r>
      <w:r w:rsidR="0012505A" w:rsidRPr="00D33641">
        <w:lastRenderedPageBreak/>
        <w:t>patients and prescribers; for example, stop therapy if the number of nocturnal voids is not reduced by 50% (say; or 33% or whatever) after 3 months.</w:t>
      </w:r>
    </w:p>
    <w:p w14:paraId="65931BF0" w14:textId="77777777" w:rsidR="0012505A" w:rsidRPr="00D33641" w:rsidRDefault="003300CB" w:rsidP="00D33641">
      <w:r>
        <w:t>T</w:t>
      </w:r>
      <w:r w:rsidR="0012505A" w:rsidRPr="00D33641">
        <w:t>he statement could be included in the PI, but it does not seem to address the issue of the small treatment effect (of contestable clinical significance) on t</w:t>
      </w:r>
      <w:r>
        <w:t>he co-primary endpoints.</w:t>
      </w:r>
    </w:p>
    <w:p w14:paraId="57A3C2F1" w14:textId="77777777" w:rsidR="0012505A" w:rsidRPr="00D33641" w:rsidRDefault="0012505A" w:rsidP="00896831">
      <w:pPr>
        <w:pStyle w:val="Heading4"/>
      </w:pPr>
      <w:r w:rsidRPr="00896831">
        <w:t>Uncertainty</w:t>
      </w:r>
      <w:r w:rsidRPr="00D33641">
        <w:t xml:space="preserve"> about the risk of hyponatraemia with Nocdurna</w:t>
      </w:r>
    </w:p>
    <w:p w14:paraId="407A81F3" w14:textId="77777777" w:rsidR="0012505A" w:rsidRPr="00D33641" w:rsidRDefault="0012505A" w:rsidP="00896831">
      <w:r w:rsidRPr="00D33641">
        <w:t xml:space="preserve">The </w:t>
      </w:r>
      <w:r w:rsidR="006648C5">
        <w:t>sponsor</w:t>
      </w:r>
      <w:r w:rsidRPr="00D33641">
        <w:t xml:space="preserve"> points out that when the sodium monitoring plan from the proposed PI is retrospectively applied to the data from CS40 and CS41, the percentage of patients</w:t>
      </w:r>
      <w:r w:rsidR="00447A94">
        <w:t xml:space="preserve"> with hyponatraemia was about 2 to </w:t>
      </w:r>
      <w:r w:rsidRPr="00D33641">
        <w:t>4%, which is not much higher than that seen in the control arms, and similar to that seen with other drugs</w:t>
      </w:r>
      <w:r w:rsidR="00447A94">
        <w:t xml:space="preserve"> associated with hyponatraemia.</w:t>
      </w:r>
    </w:p>
    <w:p w14:paraId="36D81E6B" w14:textId="77777777" w:rsidR="0012505A" w:rsidRPr="00D33641" w:rsidRDefault="0012505A" w:rsidP="00896831">
      <w:r w:rsidRPr="00D33641">
        <w:t>This does not address the issue of whether the results seen in the pivotal trials</w:t>
      </w:r>
      <w:r w:rsidR="00447A94">
        <w:t xml:space="preserve"> can be generalised to the real </w:t>
      </w:r>
      <w:r w:rsidRPr="00D33641">
        <w:t>world</w:t>
      </w:r>
      <w:r w:rsidR="003300CB">
        <w:t xml:space="preserve"> of everyday clinical practice.</w:t>
      </w:r>
    </w:p>
    <w:p w14:paraId="1C13D23B" w14:textId="77777777" w:rsidR="0012505A" w:rsidRPr="00D33641" w:rsidRDefault="003300CB" w:rsidP="00896831">
      <w:r>
        <w:t>T</w:t>
      </w:r>
      <w:r w:rsidR="0012505A" w:rsidRPr="00D33641">
        <w:t xml:space="preserve">he </w:t>
      </w:r>
      <w:r w:rsidR="006648C5">
        <w:t>sponsor</w:t>
      </w:r>
      <w:r w:rsidR="0012505A" w:rsidRPr="00D33641">
        <w:t xml:space="preserve"> also </w:t>
      </w:r>
      <w:r>
        <w:t>noted</w:t>
      </w:r>
      <w:r w:rsidR="00447A94">
        <w:t xml:space="preserve"> that the most important risk </w:t>
      </w:r>
      <w:r w:rsidR="0012505A" w:rsidRPr="00D33641">
        <w:t>minimisation feature o</w:t>
      </w:r>
      <w:r w:rsidR="00447A94">
        <w:t xml:space="preserve">f Nocdurna is the lower, gender </w:t>
      </w:r>
      <w:r w:rsidR="0012505A" w:rsidRPr="00D33641">
        <w:t>specific dose.</w:t>
      </w:r>
    </w:p>
    <w:p w14:paraId="3F74CF5D" w14:textId="4D724C59" w:rsidR="0012505A" w:rsidRPr="00D33641" w:rsidRDefault="0012505A" w:rsidP="00896831">
      <w:r w:rsidRPr="00D33641">
        <w:t xml:space="preserve">It is recommended that the TGA engage two independent external Australian clinical experts to provide advice on whether the risk of hyponatraemia can be satisfactorily managed in the </w:t>
      </w:r>
      <w:r w:rsidR="0080062E">
        <w:t>real world</w:t>
      </w:r>
      <w:r w:rsidRPr="00D33641">
        <w:t xml:space="preserve"> of everyday clinical practice in Australia.</w:t>
      </w:r>
    </w:p>
    <w:p w14:paraId="7F4409E2" w14:textId="77777777" w:rsidR="0012505A" w:rsidRPr="00D33641" w:rsidRDefault="0012505A" w:rsidP="00896831">
      <w:pPr>
        <w:pStyle w:val="Heading3"/>
      </w:pPr>
      <w:bookmarkStart w:id="45" w:name="_Toc500838995"/>
      <w:r w:rsidRPr="00896831">
        <w:t>Other</w:t>
      </w:r>
      <w:r w:rsidRPr="00D33641">
        <w:t xml:space="preserve"> issues</w:t>
      </w:r>
      <w:bookmarkEnd w:id="45"/>
    </w:p>
    <w:p w14:paraId="703C20E7" w14:textId="77777777" w:rsidR="0012505A" w:rsidRPr="00D33641" w:rsidRDefault="00447A94" w:rsidP="00896831">
      <w:r>
        <w:t xml:space="preserve">The 8 </w:t>
      </w:r>
      <w:r w:rsidR="0012505A" w:rsidRPr="00D33641">
        <w:t>melt starter pack is not proposed for registration in Aust</w:t>
      </w:r>
      <w:r>
        <w:t xml:space="preserve">ralia. A 10 </w:t>
      </w:r>
      <w:r w:rsidR="0012505A" w:rsidRPr="00D33641">
        <w:t>melt sample pack is proposed for registration, but this will not be mandated as a starter pack.</w:t>
      </w:r>
    </w:p>
    <w:p w14:paraId="4DC73D38" w14:textId="77777777" w:rsidR="0012505A" w:rsidRPr="00D33641" w:rsidRDefault="00447A94" w:rsidP="00896831">
      <w:r>
        <w:t xml:space="preserve">Mention of the 8 </w:t>
      </w:r>
      <w:r w:rsidR="0012505A" w:rsidRPr="00D33641">
        <w:t xml:space="preserve">melt starter pack has been </w:t>
      </w:r>
      <w:r>
        <w:t>corrected</w:t>
      </w:r>
      <w:r w:rsidR="0012505A" w:rsidRPr="00D33641">
        <w:t xml:space="preserve"> </w:t>
      </w:r>
      <w:r>
        <w:t xml:space="preserve">in the </w:t>
      </w:r>
      <w:r w:rsidR="0012505A" w:rsidRPr="00D33641">
        <w:t>CER.</w:t>
      </w:r>
    </w:p>
    <w:p w14:paraId="6F847E8F" w14:textId="77777777" w:rsidR="00D33641" w:rsidRPr="00D33641" w:rsidRDefault="00D33641" w:rsidP="00896831">
      <w:pPr>
        <w:pStyle w:val="Heading3"/>
      </w:pPr>
      <w:bookmarkStart w:id="46" w:name="_Toc500838996"/>
      <w:r w:rsidRPr="00D33641">
        <w:t>Sponsor’s response to clinical questions</w:t>
      </w:r>
      <w:bookmarkEnd w:id="46"/>
    </w:p>
    <w:p w14:paraId="48F81F65" w14:textId="77777777" w:rsidR="00D33641" w:rsidRDefault="00447A94" w:rsidP="00896831">
      <w:pPr>
        <w:pStyle w:val="Heading4"/>
      </w:pPr>
      <w:r w:rsidRPr="00896831">
        <w:t>Question</w:t>
      </w:r>
      <w:r>
        <w:t xml:space="preserve"> 1</w:t>
      </w:r>
    </w:p>
    <w:p w14:paraId="71D951CF" w14:textId="77777777" w:rsidR="00EE0867" w:rsidRPr="00EE0867" w:rsidRDefault="00EE0867" w:rsidP="00EE0867">
      <w:pPr>
        <w:rPr>
          <w:i/>
        </w:rPr>
      </w:pPr>
      <w:r w:rsidRPr="00EE0867">
        <w:rPr>
          <w:i/>
        </w:rPr>
        <w:t>For the dichotomous co-primary endpoint of 33% reduction in voids, please provide risk ratios (not odds ratios) and 95% CIs. Please amend the proposed PI: The relative risk increase was 19% for women and 34% for men; not “nearly doubled”, as suggested by the odds ratio. These changes are required because it is well known that odds ratios can mislead prescribers and patients. CIs around the relative risk increase should be included in the PI.</w:t>
      </w:r>
    </w:p>
    <w:p w14:paraId="39247686" w14:textId="77777777" w:rsidR="00D33641" w:rsidRPr="00D33641" w:rsidRDefault="00D33641" w:rsidP="00896831">
      <w:r w:rsidRPr="00D33641">
        <w:t xml:space="preserve">Risk ratios have been added; however, the </w:t>
      </w:r>
      <w:r w:rsidR="006648C5">
        <w:t>sponsor</w:t>
      </w:r>
      <w:r w:rsidRPr="00D33641">
        <w:t xml:space="preserve"> has retained the odds ratios. The intention was that the risk ratios would replace the odds ratios (</w:t>
      </w:r>
      <w:r w:rsidR="00590C83">
        <w:t>that is</w:t>
      </w:r>
      <w:r w:rsidRPr="00D33641">
        <w:t>, the odds ratios would be removed).</w:t>
      </w:r>
    </w:p>
    <w:p w14:paraId="46E3C420" w14:textId="77777777" w:rsidR="00D33641" w:rsidRPr="00D33641" w:rsidRDefault="003300CB" w:rsidP="00896831">
      <w:r>
        <w:t>The evaluator noted that</w:t>
      </w:r>
      <w:r w:rsidRPr="00D33641">
        <w:t xml:space="preserve"> </w:t>
      </w:r>
      <w:r>
        <w:t xml:space="preserve">according to statistical theories, </w:t>
      </w:r>
      <w:r w:rsidRPr="00D33641">
        <w:t>when the baseline/placebo risk is greater than 5% or 10% [or the c</w:t>
      </w:r>
      <w:r>
        <w:t>omplement: less than 90% or 95%</w:t>
      </w:r>
      <w:r w:rsidRPr="00D33641">
        <w:t xml:space="preserve">], the odds ratio can be misleading. </w:t>
      </w:r>
      <w:r w:rsidR="00D33641" w:rsidRPr="00D33641">
        <w:t>More specifically, it might be incorrectly concluded that the treatment effect is larger than it is.</w:t>
      </w:r>
    </w:p>
    <w:p w14:paraId="2AE7EA79" w14:textId="77777777" w:rsidR="00D33641" w:rsidRPr="00D33641" w:rsidRDefault="00D33641" w:rsidP="00896831">
      <w:r w:rsidRPr="00D33641">
        <w:t>References</w:t>
      </w:r>
    </w:p>
    <w:p w14:paraId="1E1AFE8C" w14:textId="77777777" w:rsidR="00D33641" w:rsidRPr="00896831" w:rsidRDefault="00D33641" w:rsidP="00896831">
      <w:pPr>
        <w:pStyle w:val="ListBullet"/>
      </w:pPr>
      <w:r w:rsidRPr="00896831">
        <w:t xml:space="preserve">Walter SD. Choice of effect measure in epidemiological data. J </w:t>
      </w:r>
      <w:proofErr w:type="spellStart"/>
      <w:r w:rsidRPr="00896831">
        <w:t>Clin</w:t>
      </w:r>
      <w:proofErr w:type="spellEnd"/>
      <w:r w:rsidRPr="00896831">
        <w:t xml:space="preserve"> </w:t>
      </w:r>
      <w:proofErr w:type="spellStart"/>
      <w:r w:rsidRPr="00896831">
        <w:t>Epidemiol</w:t>
      </w:r>
      <w:proofErr w:type="spellEnd"/>
      <w:r w:rsidRPr="00896831">
        <w:t xml:space="preserve"> 2000</w:t>
      </w:r>
      <w:proofErr w:type="gramStart"/>
      <w:r w:rsidRPr="00896831">
        <w:t>;53:931</w:t>
      </w:r>
      <w:proofErr w:type="gramEnd"/>
      <w:r w:rsidRPr="00896831">
        <w:t>-939.</w:t>
      </w:r>
    </w:p>
    <w:p w14:paraId="0CA40B7E" w14:textId="77777777" w:rsidR="00D33641" w:rsidRPr="00896831" w:rsidRDefault="00D33641" w:rsidP="00896831">
      <w:pPr>
        <w:pStyle w:val="ListBullet"/>
      </w:pPr>
      <w:r w:rsidRPr="00896831">
        <w:t xml:space="preserve">Sinclair JC, Bracken MB. Clinically useful measure of effect in binary analyses of randomized trials. J </w:t>
      </w:r>
      <w:proofErr w:type="spellStart"/>
      <w:r w:rsidRPr="00896831">
        <w:t>Clin</w:t>
      </w:r>
      <w:proofErr w:type="spellEnd"/>
      <w:r w:rsidRPr="00896831">
        <w:t xml:space="preserve"> </w:t>
      </w:r>
      <w:proofErr w:type="spellStart"/>
      <w:r w:rsidRPr="00896831">
        <w:t>Epiemiol</w:t>
      </w:r>
      <w:proofErr w:type="spellEnd"/>
      <w:r w:rsidRPr="00896831">
        <w:t xml:space="preserve"> 1994;</w:t>
      </w:r>
      <w:r w:rsidR="00206542" w:rsidRPr="00896831">
        <w:t xml:space="preserve"> </w:t>
      </w:r>
      <w:r w:rsidRPr="00896831">
        <w:t>47:881–9.</w:t>
      </w:r>
    </w:p>
    <w:p w14:paraId="0C5990F5" w14:textId="77777777" w:rsidR="00D33641" w:rsidRPr="00896831" w:rsidRDefault="00D33641" w:rsidP="00896831">
      <w:pPr>
        <w:pStyle w:val="ListBullet"/>
      </w:pPr>
      <w:r w:rsidRPr="00896831">
        <w:t xml:space="preserve">Davies HTO, Crombie IK, </w:t>
      </w:r>
      <w:proofErr w:type="spellStart"/>
      <w:r w:rsidRPr="00896831">
        <w:t>Tavakoli</w:t>
      </w:r>
      <w:proofErr w:type="spellEnd"/>
      <w:r w:rsidRPr="00896831">
        <w:t xml:space="preserve"> M. When can odds ratios mislead? BMJ 1998;</w:t>
      </w:r>
      <w:r w:rsidR="00206542" w:rsidRPr="00896831">
        <w:t xml:space="preserve"> </w:t>
      </w:r>
      <w:r w:rsidRPr="00896831">
        <w:t>316:989–91.</w:t>
      </w:r>
    </w:p>
    <w:p w14:paraId="631AB29C" w14:textId="77777777" w:rsidR="00D33641" w:rsidRPr="00D33641" w:rsidRDefault="00D33641" w:rsidP="00896831">
      <w:pPr>
        <w:pStyle w:val="ListBullet"/>
      </w:pPr>
      <w:r w:rsidRPr="00896831">
        <w:t>Zhang J, Yu KF. What’s the relative risk? A method of correcting the odds ratio in cohort studies of common</w:t>
      </w:r>
      <w:r w:rsidRPr="00D33641">
        <w:t xml:space="preserve"> outcomes. JAMA 1998; 280(19):1690–1.</w:t>
      </w:r>
    </w:p>
    <w:p w14:paraId="1242FFF0" w14:textId="77777777" w:rsidR="00D33641" w:rsidRPr="00D33641" w:rsidRDefault="00D33641" w:rsidP="00896831">
      <w:r w:rsidRPr="00D33641">
        <w:lastRenderedPageBreak/>
        <w:t>In CS40, the placebo risk was 64%, which is much larger than 5% or 10%. The proportion in the Nocdurna arm was 76%, which gives a risk ratio of about 1.20. This is a 20% relative benefit (relative risk increase); not nearly doubled as suggested by the odds ratio and the text in the draft PI (similarly for CS41).</w:t>
      </w:r>
    </w:p>
    <w:p w14:paraId="2F6157EE" w14:textId="77777777" w:rsidR="00D33641" w:rsidRPr="00D33641" w:rsidRDefault="00F4456B" w:rsidP="00D33641">
      <w:r>
        <w:t>A</w:t>
      </w:r>
      <w:r w:rsidR="00D33641" w:rsidRPr="00D33641">
        <w:t>ny changes to the PI will be evaluated as part of the evaluation of the whole PI, during any PI negotiations</w:t>
      </w:r>
      <w:r>
        <w:t>.</w:t>
      </w:r>
    </w:p>
    <w:p w14:paraId="447712B6" w14:textId="77777777" w:rsidR="00D33641" w:rsidRDefault="00447A94" w:rsidP="00D33641">
      <w:pPr>
        <w:pStyle w:val="Heading4"/>
      </w:pPr>
      <w:r>
        <w:t>Question 2</w:t>
      </w:r>
    </w:p>
    <w:p w14:paraId="2715B460" w14:textId="77777777" w:rsidR="00933126" w:rsidRPr="00933126" w:rsidRDefault="00933126" w:rsidP="00933126">
      <w:pPr>
        <w:rPr>
          <w:i/>
        </w:rPr>
      </w:pPr>
      <w:r w:rsidRPr="00933126">
        <w:rPr>
          <w:i/>
        </w:rPr>
        <w:t>It seems that the MCID used for the sample size calculation for CS40 (women) was an average reduction of 0.5 voids per night; whereas the MCID for CS41 (men) was 0.2 voids (for the 50 µg dose). Why were different MCIDs used for the sample size calculations?</w:t>
      </w:r>
    </w:p>
    <w:p w14:paraId="06B57BB4" w14:textId="479CAED1" w:rsidR="00D33641" w:rsidRPr="00D33641" w:rsidRDefault="00D33641" w:rsidP="00D33641">
      <w:r w:rsidRPr="00D33641">
        <w:t xml:space="preserve">The </w:t>
      </w:r>
      <w:r w:rsidR="006648C5">
        <w:t>sponsor</w:t>
      </w:r>
      <w:r w:rsidRPr="00D33641">
        <w:t xml:space="preserve"> has provided more information on the MCIDs. However, it seems that there is no accepted convention about the size of the MCID for a trial of nocturnal polyuria.</w:t>
      </w:r>
    </w:p>
    <w:p w14:paraId="7B575E09" w14:textId="77777777" w:rsidR="00D33641" w:rsidRPr="00D33641" w:rsidRDefault="00F4456B" w:rsidP="00D33641">
      <w:pPr>
        <w:pStyle w:val="Heading4"/>
      </w:pPr>
      <w:r>
        <w:t>Question 3</w:t>
      </w:r>
    </w:p>
    <w:p w14:paraId="61BF8191" w14:textId="77777777" w:rsidR="00933126" w:rsidRPr="00933126" w:rsidRDefault="00933126" w:rsidP="00933126">
      <w:pPr>
        <w:rPr>
          <w:i/>
        </w:rPr>
      </w:pPr>
      <w:r w:rsidRPr="00933126">
        <w:rPr>
          <w:i/>
        </w:rPr>
        <w:t>What were percentages of patients in the pivotal trials who were able to get an uninterrupted night’s sleep?</w:t>
      </w:r>
    </w:p>
    <w:p w14:paraId="0ADA9316" w14:textId="77777777" w:rsidR="00D33641" w:rsidRPr="00D33641" w:rsidRDefault="00D33641" w:rsidP="00896831">
      <w:r w:rsidRPr="00D33641">
        <w:t xml:space="preserve">The </w:t>
      </w:r>
      <w:r w:rsidR="006648C5">
        <w:t>sponsor</w:t>
      </w:r>
      <w:r w:rsidRPr="00D33641">
        <w:t xml:space="preserve"> has provided the following definition.</w:t>
      </w:r>
    </w:p>
    <w:p w14:paraId="7E496CAF" w14:textId="77777777" w:rsidR="00D33641" w:rsidRPr="00D33641" w:rsidRDefault="00D33641" w:rsidP="001B789E">
      <w:pPr>
        <w:ind w:left="720"/>
      </w:pPr>
      <w:r w:rsidRPr="00D33641">
        <w:t>100% responder: a patient who had no nocturnal voids for any of 3 consecutive nights leading up to the scheduled visits (Day</w:t>
      </w:r>
      <w:r w:rsidR="001B789E">
        <w:t xml:space="preserve"> </w:t>
      </w:r>
      <w:r w:rsidRPr="00D33641">
        <w:t>4, Week</w:t>
      </w:r>
      <w:r w:rsidR="001B789E">
        <w:t xml:space="preserve"> </w:t>
      </w:r>
      <w:r w:rsidRPr="00D33641">
        <w:t>1, Month</w:t>
      </w:r>
      <w:r w:rsidR="001B789E">
        <w:t xml:space="preserve"> </w:t>
      </w:r>
      <w:r w:rsidRPr="00D33641">
        <w:t>1, Month</w:t>
      </w:r>
      <w:r w:rsidR="001B789E">
        <w:t xml:space="preserve"> </w:t>
      </w:r>
      <w:r w:rsidRPr="00D33641">
        <w:t>2, Month</w:t>
      </w:r>
      <w:r w:rsidR="001B789E">
        <w:t xml:space="preserve"> </w:t>
      </w:r>
      <w:r w:rsidRPr="00D33641">
        <w:t>3) in the pivotal trials. (Nocturnal voids were routinely recorded for the 3 night leading up to these visits.)</w:t>
      </w:r>
    </w:p>
    <w:p w14:paraId="61DB7088" w14:textId="77777777" w:rsidR="00D33641" w:rsidRPr="00D33641" w:rsidRDefault="00D33641" w:rsidP="00D33641">
      <w:r w:rsidRPr="00D33641">
        <w:t xml:space="preserve">The following </w:t>
      </w:r>
      <w:r w:rsidR="001B789E">
        <w:t xml:space="preserve">(Tables 44 and 45) </w:t>
      </w:r>
      <w:r w:rsidRPr="00D33641">
        <w:t xml:space="preserve">are extracts from the information provided by the </w:t>
      </w:r>
      <w:r w:rsidR="006648C5">
        <w:t>sponsor</w:t>
      </w:r>
      <w:r w:rsidRPr="00D33641">
        <w:t>.</w:t>
      </w:r>
    </w:p>
    <w:p w14:paraId="3A78EE18" w14:textId="77777777" w:rsidR="00D33641" w:rsidRPr="00D33641" w:rsidRDefault="001B789E" w:rsidP="00C76F91">
      <w:pPr>
        <w:pStyle w:val="Tabletitle"/>
      </w:pPr>
      <w:r>
        <w:t xml:space="preserve">Table 44: </w:t>
      </w:r>
      <w:r w:rsidR="00D33641" w:rsidRPr="00D33641">
        <w:t>100% responders</w:t>
      </w:r>
    </w:p>
    <w:p w14:paraId="4C52DCA5" w14:textId="77777777" w:rsidR="00BF3113" w:rsidRDefault="00D33641" w:rsidP="00C618F7">
      <w:pPr>
        <w:rPr>
          <w:lang w:eastAsia="ja-JP"/>
        </w:rPr>
      </w:pPr>
      <w:r>
        <w:rPr>
          <w:noProof/>
          <w:lang w:eastAsia="en-AU"/>
        </w:rPr>
        <w:drawing>
          <wp:inline distT="0" distB="0" distL="0" distR="0" wp14:anchorId="4B3C7DA9" wp14:editId="2E717296">
            <wp:extent cx="5248275" cy="1476375"/>
            <wp:effectExtent l="0" t="0" r="9525" b="9525"/>
            <wp:docPr id="52" name="Picture 52" descr="Table 44: 100% respo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48275" cy="1476375"/>
                    </a:xfrm>
                    <a:prstGeom prst="rect">
                      <a:avLst/>
                    </a:prstGeom>
                  </pic:spPr>
                </pic:pic>
              </a:graphicData>
            </a:graphic>
          </wp:inline>
        </w:drawing>
      </w:r>
    </w:p>
    <w:p w14:paraId="21E77C30" w14:textId="77777777" w:rsidR="00D33641" w:rsidRPr="00D33641" w:rsidRDefault="001B789E" w:rsidP="00C76F91">
      <w:pPr>
        <w:pStyle w:val="Tabletitle"/>
      </w:pPr>
      <w:r>
        <w:t xml:space="preserve">Table 45: </w:t>
      </w:r>
      <w:r w:rsidR="00D33641" w:rsidRPr="00D33641">
        <w:t>No voids on at least one of the three nights before any of the scheduled visits</w:t>
      </w:r>
    </w:p>
    <w:p w14:paraId="4893F389" w14:textId="77777777" w:rsidR="00D33641" w:rsidRDefault="00E7598B" w:rsidP="00C618F7">
      <w:pPr>
        <w:rPr>
          <w:lang w:eastAsia="ja-JP"/>
        </w:rPr>
      </w:pPr>
      <w:r>
        <w:rPr>
          <w:noProof/>
          <w:lang w:eastAsia="en-AU"/>
        </w:rPr>
        <w:drawing>
          <wp:inline distT="0" distB="0" distL="0" distR="0" wp14:anchorId="1F89178F" wp14:editId="7784A403">
            <wp:extent cx="5248275" cy="1247775"/>
            <wp:effectExtent l="0" t="0" r="9525" b="9525"/>
            <wp:docPr id="53" name="Picture 53" descr="Table 45: No voids on at least one of the three nights before any of the scheduled vi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248275" cy="1247775"/>
                    </a:xfrm>
                    <a:prstGeom prst="rect">
                      <a:avLst/>
                    </a:prstGeom>
                  </pic:spPr>
                </pic:pic>
              </a:graphicData>
            </a:graphic>
          </wp:inline>
        </w:drawing>
      </w:r>
    </w:p>
    <w:p w14:paraId="6EF2AE27" w14:textId="77777777" w:rsidR="00C76F91" w:rsidRPr="00C76F91" w:rsidRDefault="00C76F91" w:rsidP="00C76F91">
      <w:pPr>
        <w:pStyle w:val="Heading4"/>
      </w:pPr>
      <w:r w:rsidRPr="00C76F91">
        <w:t>Question 4</w:t>
      </w:r>
    </w:p>
    <w:p w14:paraId="6F0FF0C5" w14:textId="77777777" w:rsidR="00933126" w:rsidRPr="00933126" w:rsidRDefault="00933126" w:rsidP="00933126">
      <w:pPr>
        <w:rPr>
          <w:i/>
        </w:rPr>
      </w:pPr>
      <w:r w:rsidRPr="00933126">
        <w:rPr>
          <w:i/>
        </w:rPr>
        <w:t xml:space="preserve">Why is a schedule for regular, </w:t>
      </w:r>
      <w:r w:rsidR="0080062E">
        <w:rPr>
          <w:i/>
        </w:rPr>
        <w:t>long term</w:t>
      </w:r>
      <w:r w:rsidRPr="00933126">
        <w:rPr>
          <w:i/>
        </w:rPr>
        <w:t xml:space="preserve"> serum monitoring of hyponatraemia not specified in the PI?</w:t>
      </w:r>
    </w:p>
    <w:p w14:paraId="5194B744" w14:textId="77777777" w:rsidR="00C76F91" w:rsidRPr="00C76F91" w:rsidRDefault="00C76F91" w:rsidP="00896831">
      <w:r w:rsidRPr="00C76F91">
        <w:t>Currently the proposed PI (under Dosing and Administration) states that all patients 65 years or older should have their serum sodium levels checked at the following times:</w:t>
      </w:r>
    </w:p>
    <w:p w14:paraId="514795BA" w14:textId="77777777" w:rsidR="00C76F91" w:rsidRPr="00896831" w:rsidRDefault="00C76F91" w:rsidP="00896831">
      <w:pPr>
        <w:pStyle w:val="ListBullet"/>
      </w:pPr>
      <w:r w:rsidRPr="00896831">
        <w:lastRenderedPageBreak/>
        <w:t>before starting treatment</w:t>
      </w:r>
    </w:p>
    <w:p w14:paraId="4247DB3C" w14:textId="77777777" w:rsidR="00C76F91" w:rsidRPr="00896831" w:rsidRDefault="001B789E" w:rsidP="00896831">
      <w:pPr>
        <w:pStyle w:val="ListBullet"/>
      </w:pPr>
      <w:r w:rsidRPr="00896831">
        <w:t xml:space="preserve">at 4 to </w:t>
      </w:r>
      <w:r w:rsidR="00C76F91" w:rsidRPr="00896831">
        <w:t>8 days</w:t>
      </w:r>
    </w:p>
    <w:p w14:paraId="59B25E64" w14:textId="77777777" w:rsidR="00C76F91" w:rsidRPr="00896831" w:rsidRDefault="00C76F91" w:rsidP="00896831">
      <w:pPr>
        <w:pStyle w:val="ListBullet"/>
      </w:pPr>
      <w:proofErr w:type="gramStart"/>
      <w:r w:rsidRPr="00896831">
        <w:t>at</w:t>
      </w:r>
      <w:proofErr w:type="gramEnd"/>
      <w:r w:rsidRPr="00896831">
        <w:t xml:space="preserve"> 1 month</w:t>
      </w:r>
      <w:r w:rsidR="001B789E" w:rsidRPr="00896831">
        <w:t>.</w:t>
      </w:r>
    </w:p>
    <w:p w14:paraId="2ADC1B1D" w14:textId="77777777" w:rsidR="00C76F91" w:rsidRPr="00C76F91" w:rsidRDefault="001B789E" w:rsidP="00C76F91">
      <w:r>
        <w:t>In the</w:t>
      </w:r>
      <w:r w:rsidR="00C76F91" w:rsidRPr="00C76F91">
        <w:t xml:space="preserve"> response, the </w:t>
      </w:r>
      <w:r w:rsidR="006648C5">
        <w:t>sponsor</w:t>
      </w:r>
      <w:r w:rsidR="00C76F91" w:rsidRPr="00C76F91">
        <w:t xml:space="preserve"> has stated:</w:t>
      </w:r>
    </w:p>
    <w:p w14:paraId="5908F9E1" w14:textId="3990DCAD" w:rsidR="00C76F91" w:rsidRPr="00C76F91" w:rsidRDefault="00C76F91" w:rsidP="00C76F91">
      <w:r w:rsidRPr="00C76F91">
        <w:t xml:space="preserve">All clinically significant cases of hyponatremia that occurred in CS40 and CS41 were captured by the monitoring plan within the first month of treatment with </w:t>
      </w:r>
      <w:r w:rsidR="001B789E">
        <w:t>Nocdurna.</w:t>
      </w:r>
      <w:r w:rsidRPr="00C76F91">
        <w:t xml:space="preserve"> It is therefore recommended that serum sodium is monitored during the first month of treatment for the patients at risk in order to adequately monitor clinically significant hyponatremia. In addition, all patients should have their serum sodium value taken before the initiation of treatment to ensure </w:t>
      </w:r>
      <w:r w:rsidR="00094728">
        <w:t xml:space="preserve">≥ </w:t>
      </w:r>
      <w:r w:rsidRPr="00C76F91">
        <w:t xml:space="preserve">135 </w:t>
      </w:r>
      <w:proofErr w:type="spellStart"/>
      <w:r w:rsidRPr="00C76F91">
        <w:t>mmol</w:t>
      </w:r>
      <w:proofErr w:type="spellEnd"/>
      <w:r w:rsidRPr="00C76F91">
        <w:t xml:space="preserve">/L and any patients at increased risk </w:t>
      </w:r>
      <w:r w:rsidR="000120D8">
        <w:t>for example</w:t>
      </w:r>
      <w:r w:rsidRPr="00C76F91">
        <w:t xml:space="preserve"> due to concomitant medication or the elderly, will be requested additional sodium as stated in the PI.</w:t>
      </w:r>
    </w:p>
    <w:p w14:paraId="48671E7B" w14:textId="77777777" w:rsidR="00C76F91" w:rsidRPr="00C76F91" w:rsidRDefault="00C76F91" w:rsidP="00C76F91">
      <w:r w:rsidRPr="00C76F91">
        <w:t>Further clarification during any PI negotiations will be required as to whether all patients (regardless of age) should have serum sodium level done before starting treatment (as was the protocol in the trial) or only patients 65</w:t>
      </w:r>
      <w:r w:rsidR="001B789E">
        <w:t xml:space="preserve"> </w:t>
      </w:r>
      <w:r w:rsidRPr="00C76F91">
        <w:t>+ years (as is proposed in the PI).</w:t>
      </w:r>
    </w:p>
    <w:p w14:paraId="3709242F" w14:textId="3461F2F1" w:rsidR="00C76F91" w:rsidRPr="00C76F91" w:rsidRDefault="00C76F91" w:rsidP="00C76F91">
      <w:r w:rsidRPr="00C76F91">
        <w:t xml:space="preserve">It seems that the </w:t>
      </w:r>
      <w:r w:rsidR="006648C5">
        <w:t>sponsor</w:t>
      </w:r>
      <w:r w:rsidRPr="00C76F91">
        <w:t xml:space="preserve"> only recommends that patients 65</w:t>
      </w:r>
      <w:r w:rsidR="001B789E">
        <w:t xml:space="preserve"> </w:t>
      </w:r>
      <w:r w:rsidRPr="00C76F91">
        <w:t>+ years have their s</w:t>
      </w:r>
      <w:r w:rsidR="001B789E">
        <w:t xml:space="preserve">erum sodium levels checked at 4 to </w:t>
      </w:r>
      <w:r w:rsidRPr="00C76F91">
        <w:t xml:space="preserve">8 days and again at one month (setting aside other younger patients with risk factors for </w:t>
      </w:r>
      <w:r w:rsidR="00206542" w:rsidRPr="00C76F91">
        <w:t>hyponatraemia</w:t>
      </w:r>
      <w:r w:rsidRPr="00C76F91">
        <w:t xml:space="preserve">; and of course, good clinical practice would mean that any patient with symptoms or signs of hyponatraemia should have their serum sodium levels checked). It seems that the </w:t>
      </w:r>
      <w:r w:rsidR="006648C5">
        <w:t>sponsor</w:t>
      </w:r>
      <w:r w:rsidRPr="00C76F91">
        <w:t xml:space="preserve"> is not recommending that patients have their serum sodium checked after one month, unless they develop a risk or develop symptoms or sig</w:t>
      </w:r>
      <w:r w:rsidR="001B789E">
        <w:t>ns suggestive of hyponatraemia.</w:t>
      </w:r>
    </w:p>
    <w:p w14:paraId="74BDEE32" w14:textId="2CB1C465" w:rsidR="00C76F91" w:rsidRPr="00C76F91" w:rsidRDefault="00C76F91" w:rsidP="00896831">
      <w:r w:rsidRPr="00C76F91">
        <w:t>It is recommended that the TGA engage two independent external Australian clinical experts to provide advice on whether the risk of hyponatraemia can be satisfactorily managed in the r</w:t>
      </w:r>
      <w:r w:rsidR="001B789E">
        <w:t xml:space="preserve">eal </w:t>
      </w:r>
      <w:r w:rsidRPr="00C76F91">
        <w:t>world of everyday clinical practice in Australia. As part of this process, the independent expert experts will be asked about the serum sodium monitoring plan in the proposed PI.</w:t>
      </w:r>
    </w:p>
    <w:p w14:paraId="3567ED2D" w14:textId="77777777" w:rsidR="00C76F91" w:rsidRDefault="00C76F91" w:rsidP="00C76F91">
      <w:pPr>
        <w:pStyle w:val="Heading4"/>
      </w:pPr>
      <w:r w:rsidRPr="00C76F91">
        <w:t>Question 5</w:t>
      </w:r>
    </w:p>
    <w:p w14:paraId="6F02984F" w14:textId="77777777" w:rsidR="00933126" w:rsidRPr="00933126" w:rsidRDefault="00933126" w:rsidP="00933126">
      <w:pPr>
        <w:rPr>
          <w:i/>
        </w:rPr>
      </w:pPr>
      <w:r w:rsidRPr="00933126">
        <w:rPr>
          <w:i/>
        </w:rPr>
        <w:t>The PI states: “In studies of adult subjects with nocturia treated with desmopressin, those who developed low serum sodium did so usually within the first few days of commencing treatment or of a dose increase.” Please provide the numbers behind this statement (e.g., a/b [c%] of patients who developed hyponatraemia [</w:t>
      </w:r>
      <w:proofErr w:type="gramStart"/>
      <w:r w:rsidRPr="00933126">
        <w:rPr>
          <w:i/>
        </w:rPr>
        <w:t>?mild</w:t>
      </w:r>
      <w:proofErr w:type="gramEnd"/>
      <w:r w:rsidRPr="00933126">
        <w:rPr>
          <w:i/>
        </w:rPr>
        <w:t>/moderate/severe?] within the first three months, in the pivotal trials, did so within the first week).</w:t>
      </w:r>
    </w:p>
    <w:p w14:paraId="5199FB0B" w14:textId="77777777" w:rsidR="00C76F91" w:rsidRPr="00C76F91" w:rsidRDefault="00C76F91" w:rsidP="00896831">
      <w:r w:rsidRPr="00C76F91">
        <w:t xml:space="preserve">The </w:t>
      </w:r>
      <w:r w:rsidR="006648C5">
        <w:t>sponsor</w:t>
      </w:r>
      <w:r w:rsidRPr="00C76F91">
        <w:t xml:space="preserve"> was asked to provide the numbers behind the statement in the proposed PI that: “In studies of adult subjects with nocturia treated with desmopressin, those who developed low serum sodium did so usually within the first few days of commencing tr</w:t>
      </w:r>
      <w:r w:rsidR="001B789E">
        <w:t>eatment or of a dose increase.”</w:t>
      </w:r>
    </w:p>
    <w:p w14:paraId="1B40C803" w14:textId="77777777" w:rsidR="00C76F91" w:rsidRPr="00C76F91" w:rsidRDefault="00C76F91" w:rsidP="00896831">
      <w:r w:rsidRPr="00C76F91">
        <w:t xml:space="preserve">Within the study follow-up of 3 months, 14 women given 25 </w:t>
      </w:r>
      <w:r w:rsidR="00BA2CBE">
        <w:t>µ</w:t>
      </w:r>
      <w:r w:rsidR="00BA2CBE" w:rsidRPr="00A22970">
        <w:t>g</w:t>
      </w:r>
      <w:r w:rsidRPr="00C76F91">
        <w:t xml:space="preserve"> desmopressin (CS40) developed serum sodium </w:t>
      </w:r>
      <w:r w:rsidR="00604B45">
        <w:t xml:space="preserve">&lt; </w:t>
      </w:r>
      <w:r w:rsidR="001B789E">
        <w:t xml:space="preserve">135 </w:t>
      </w:r>
      <w:proofErr w:type="spellStart"/>
      <w:r w:rsidR="001B789E">
        <w:t>mmol</w:t>
      </w:r>
      <w:proofErr w:type="spellEnd"/>
      <w:r w:rsidR="001B789E">
        <w:t xml:space="preserve">/L; 11 mild (130 to </w:t>
      </w:r>
      <w:r w:rsidRPr="00C76F91">
        <w:t xml:space="preserve">134) (8% of women randomised to 25 </w:t>
      </w:r>
      <w:r w:rsidR="00BA2CBE">
        <w:t>µ</w:t>
      </w:r>
      <w:r w:rsidR="00BA2CBE" w:rsidRPr="00A22970">
        <w:t>g</w:t>
      </w:r>
      <w:r w:rsidR="001B789E">
        <w:t xml:space="preserve"> Nocdurna), 3 moderate (126 to </w:t>
      </w:r>
      <w:r w:rsidRPr="00C76F91">
        <w:t xml:space="preserve">129) (2% of women randomised to 25 </w:t>
      </w:r>
      <w:r w:rsidR="00BA2CBE">
        <w:t>µ</w:t>
      </w:r>
      <w:r w:rsidR="00BA2CBE" w:rsidRPr="00A22970">
        <w:t>g</w:t>
      </w:r>
      <w:r w:rsidRPr="00C76F91">
        <w:t xml:space="preserve"> Nocdurna), 0 severe (</w:t>
      </w:r>
      <w:r w:rsidR="001B789E">
        <w:t xml:space="preserve">≤ </w:t>
      </w:r>
      <w:r w:rsidRPr="00C76F91">
        <w:t xml:space="preserve">125). Based on the tables provided by the </w:t>
      </w:r>
      <w:r w:rsidR="006648C5">
        <w:t>sponsor</w:t>
      </w:r>
      <w:r w:rsidRPr="00C76F91">
        <w:t xml:space="preserve"> it seems that 2 of the moderate cases occurred during the first week, with the other case occurring after the first week but before the end of the first month. Of the mild cases, 7 occurred in the first week; 3 occurred after the first week but before the end of the first month; one occurred after 1 month. There were 2 cases of mild hyponatraemia in the placebo group (2% of women randomised to placebo) (and no cases of moderate or severe hyponatraemia). One of these cases occurred in the first week and the other occurred after the first week, but before the end of the first month.</w:t>
      </w:r>
    </w:p>
    <w:p w14:paraId="1F45EDF6" w14:textId="77777777" w:rsidR="00C76F91" w:rsidRPr="00C76F91" w:rsidRDefault="00C76F91" w:rsidP="00C76F91">
      <w:r w:rsidRPr="00C76F91">
        <w:t xml:space="preserve">Within the study follow-up of 3 months, 11 men given 50 </w:t>
      </w:r>
      <w:r w:rsidR="00BA2CBE">
        <w:t>µ</w:t>
      </w:r>
      <w:r w:rsidR="00BA2CBE" w:rsidRPr="00A22970">
        <w:t>g</w:t>
      </w:r>
      <w:r w:rsidRPr="00C76F91">
        <w:t xml:space="preserve"> desmopressin (CS41) developed serum </w:t>
      </w:r>
      <w:r w:rsidRPr="00896831">
        <w:t xml:space="preserve">sodium </w:t>
      </w:r>
      <w:r w:rsidR="00604B45" w:rsidRPr="00896831">
        <w:t xml:space="preserve">&lt; </w:t>
      </w:r>
      <w:r w:rsidR="001B789E" w:rsidRPr="00896831">
        <w:t xml:space="preserve">135 </w:t>
      </w:r>
      <w:proofErr w:type="spellStart"/>
      <w:r w:rsidR="001B789E" w:rsidRPr="00896831">
        <w:t>mmol</w:t>
      </w:r>
      <w:proofErr w:type="spellEnd"/>
      <w:r w:rsidR="001B789E" w:rsidRPr="00896831">
        <w:t xml:space="preserve">/L; 9 mild (130 to </w:t>
      </w:r>
      <w:r w:rsidRPr="00896831">
        <w:t xml:space="preserve">134) (8% of men randomised to 50 </w:t>
      </w:r>
      <w:r w:rsidR="00BA2CBE" w:rsidRPr="00896831">
        <w:t>µg</w:t>
      </w:r>
      <w:r w:rsidR="001B789E" w:rsidRPr="00896831">
        <w:t xml:space="preserve"> </w:t>
      </w:r>
      <w:proofErr w:type="spellStart"/>
      <w:r w:rsidR="001B789E" w:rsidRPr="00896831">
        <w:t>Nocdurna</w:t>
      </w:r>
      <w:proofErr w:type="spellEnd"/>
      <w:r w:rsidR="001B789E" w:rsidRPr="00896831">
        <w:t xml:space="preserve">), 0 moderate (126 to </w:t>
      </w:r>
      <w:r w:rsidRPr="00896831">
        <w:t>129), 2 severe (</w:t>
      </w:r>
      <w:r w:rsidR="001B789E" w:rsidRPr="00896831">
        <w:t xml:space="preserve">≤ </w:t>
      </w:r>
      <w:r w:rsidRPr="00896831">
        <w:t xml:space="preserve">125) (2% of men randomised to 50 </w:t>
      </w:r>
      <w:r w:rsidR="00BA2CBE" w:rsidRPr="00896831">
        <w:t>µg</w:t>
      </w:r>
      <w:r w:rsidRPr="00896831">
        <w:t xml:space="preserve"> </w:t>
      </w:r>
      <w:proofErr w:type="spellStart"/>
      <w:r w:rsidRPr="00896831">
        <w:t>Nocdurna</w:t>
      </w:r>
      <w:proofErr w:type="spellEnd"/>
      <w:r w:rsidRPr="00896831">
        <w:t xml:space="preserve">). Based </w:t>
      </w:r>
      <w:r w:rsidRPr="00896831">
        <w:lastRenderedPageBreak/>
        <w:t xml:space="preserve">on the tables provided by the </w:t>
      </w:r>
      <w:r w:rsidR="006648C5" w:rsidRPr="00896831">
        <w:t>sponsor</w:t>
      </w:r>
      <w:r w:rsidRPr="00896831">
        <w:t xml:space="preserve"> it seems that 1 of the severe cases occurred during the first week, with the other case occurring after the first week but before the end of the first month. Of the mild </w:t>
      </w:r>
      <w:r w:rsidRPr="00C76F91">
        <w:t>cases, 5 occurred in the first week; 2 occurred after the first week but before the end of the first month; 2 occurred after 1 month. There were 2 cases of mild hyponatraemia in the placebo group (1% of men randomised to placebo) (and no cases of moderate or severe hyponatraemia). One of these cases occurred in the first week and the other occurred after the first week, but before the end of the first month.</w:t>
      </w:r>
    </w:p>
    <w:p w14:paraId="58C6CC29" w14:textId="0F153EDF" w:rsidR="00C76F91" w:rsidRPr="00C76F91" w:rsidRDefault="00C76F91" w:rsidP="00C76F91">
      <w:r w:rsidRPr="00C76F91">
        <w:t>These data do not provide especially strong evidence for the statement in the proposed PI that: “In studies</w:t>
      </w:r>
      <w:r w:rsidRPr="00896831">
        <w:t xml:space="preserve"> </w:t>
      </w:r>
      <w:r w:rsidRPr="00C76F91">
        <w:t>of adult subjects with nocturia treated with desmopressin, those who developed low serum sodium did so usually within the first few days of commencing treatment or of a dose increase.” Also, it is not clear what a dose increase is referring to.</w:t>
      </w:r>
    </w:p>
    <w:p w14:paraId="5D9319E8" w14:textId="77777777" w:rsidR="00C76F91" w:rsidRDefault="00C76F91" w:rsidP="00C76F91">
      <w:pPr>
        <w:pStyle w:val="Heading4"/>
      </w:pPr>
      <w:r w:rsidRPr="00C76F91">
        <w:t>Question 6</w:t>
      </w:r>
    </w:p>
    <w:p w14:paraId="6F55D164" w14:textId="77777777" w:rsidR="00933126" w:rsidRPr="00933126" w:rsidRDefault="00933126" w:rsidP="00933126">
      <w:pPr>
        <w:rPr>
          <w:i/>
        </w:rPr>
      </w:pPr>
      <w:r w:rsidRPr="00933126">
        <w:rPr>
          <w:i/>
        </w:rPr>
        <w:t xml:space="preserve">In CS40/CS41, specific medicines that may cause hyponatraemia (i.e., TCADs, SSRIs, NSAIDs, </w:t>
      </w:r>
      <w:proofErr w:type="spellStart"/>
      <w:r w:rsidRPr="00933126">
        <w:rPr>
          <w:i/>
        </w:rPr>
        <w:t>chlorpropamide</w:t>
      </w:r>
      <w:proofErr w:type="spellEnd"/>
      <w:r w:rsidRPr="00933126">
        <w:rPr>
          <w:i/>
        </w:rPr>
        <w:t xml:space="preserve">, diuretics, carbamazepine, </w:t>
      </w:r>
      <w:proofErr w:type="gramStart"/>
      <w:r w:rsidR="00206542">
        <w:rPr>
          <w:i/>
        </w:rPr>
        <w:t>etcetera</w:t>
      </w:r>
      <w:proofErr w:type="gramEnd"/>
      <w:r w:rsidRPr="00933126">
        <w:rPr>
          <w:i/>
        </w:rPr>
        <w:t>) could not be started during the trial. Given this, please explain why the proposed PI does not recommend stopping Nocdurna if the patient needs to start on one of the specified medicines.</w:t>
      </w:r>
    </w:p>
    <w:p w14:paraId="4A4EC9B0" w14:textId="77777777" w:rsidR="00C76F91" w:rsidRPr="00C76F91" w:rsidRDefault="00C76F91" w:rsidP="00896831">
      <w:r w:rsidRPr="00C76F91">
        <w:t>Specific medicines that may cause hyponatraemia could not be started during the 3 month trial. It is unclear why the PI does not state that Nocdurna should be stopped if the patient needs t</w:t>
      </w:r>
      <w:r w:rsidR="001B789E">
        <w:t>o start one of these medicines.</w:t>
      </w:r>
    </w:p>
    <w:p w14:paraId="4B9C2F31" w14:textId="77777777" w:rsidR="00C76F91" w:rsidRDefault="00C76F91" w:rsidP="00896831">
      <w:r w:rsidRPr="00C76F91">
        <w:t xml:space="preserve">The </w:t>
      </w:r>
      <w:r w:rsidR="006648C5">
        <w:t>sponsor</w:t>
      </w:r>
      <w:r w:rsidRPr="00C76F91">
        <w:t xml:space="preserve"> has stated that patients on stable doses of these medicines were enrolled in CS40 and CS41; and has provided Table </w:t>
      </w:r>
      <w:r w:rsidR="00933126">
        <w:t>46</w:t>
      </w:r>
      <w:r w:rsidRPr="00C76F91">
        <w:t xml:space="preserve">. However, the number of patients is not given in Table </w:t>
      </w:r>
      <w:r w:rsidR="00933126">
        <w:t>46</w:t>
      </w:r>
      <w:r w:rsidRPr="00C76F91">
        <w:t>. Also, in CS40 and CS41, follow-up was only for 3 months. Further, the confidence intervals are so wide as to make interpretation difficult. For women, HR</w:t>
      </w:r>
      <w:r w:rsidR="00447A94">
        <w:t xml:space="preserve"> = </w:t>
      </w:r>
      <w:r w:rsidRPr="00C76F91">
        <w:t>0.70 (0.24, 2.06); that is, roughly speaking the risk of hyponatremia compared patients not on one of the specific concomitant medicines could be anywhere between a reduction of</w:t>
      </w:r>
      <w:r w:rsidR="00604B45">
        <w:t xml:space="preserve"> </w:t>
      </w:r>
      <w:r w:rsidRPr="00C76F91">
        <w:t>80% or a doubling. For men, HR</w:t>
      </w:r>
      <w:r w:rsidR="00447A94">
        <w:t xml:space="preserve"> = </w:t>
      </w:r>
      <w:r w:rsidRPr="00C76F91">
        <w:t>1.71 (0.56, 5.28); the risk could be anywhere between a halving</w:t>
      </w:r>
      <w:r w:rsidR="00933126">
        <w:t xml:space="preserve">, </w:t>
      </w:r>
      <w:proofErr w:type="gramStart"/>
      <w:r w:rsidR="00933126">
        <w:t>or</w:t>
      </w:r>
      <w:proofErr w:type="gramEnd"/>
      <w:r w:rsidR="00933126">
        <w:t xml:space="preserve"> a 5 f</w:t>
      </w:r>
      <w:r w:rsidRPr="00C76F91">
        <w:t>old increase. These wide confidence intervals demonstrate the uncertainty around use of Nocdurna with concomitant medicines that may cause hyponatraemia.</w:t>
      </w:r>
    </w:p>
    <w:p w14:paraId="41CB44DD" w14:textId="77777777" w:rsidR="00933126" w:rsidRDefault="00933126" w:rsidP="00933126">
      <w:pPr>
        <w:pStyle w:val="Tabletitle"/>
      </w:pPr>
      <w:r w:rsidRPr="00933126">
        <w:t>Table 46: Impact of concomitant medication on the risk of hyponatraemia</w:t>
      </w:r>
    </w:p>
    <w:p w14:paraId="2E1DB8DD" w14:textId="77777777" w:rsidR="00933126" w:rsidRPr="00933126" w:rsidRDefault="00933126" w:rsidP="00933126">
      <w:r>
        <w:rPr>
          <w:noProof/>
          <w:lang w:eastAsia="en-AU"/>
        </w:rPr>
        <w:drawing>
          <wp:inline distT="0" distB="0" distL="0" distR="0" wp14:anchorId="2B239AF5" wp14:editId="0AE460D9">
            <wp:extent cx="4462272" cy="2141237"/>
            <wp:effectExtent l="0" t="0" r="0" b="0"/>
            <wp:docPr id="25" name="Picture 25" descr="Table 46: Impact of concomitant medication on the risk of hyponatra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464181" cy="2142153"/>
                    </a:xfrm>
                    <a:prstGeom prst="rect">
                      <a:avLst/>
                    </a:prstGeom>
                  </pic:spPr>
                </pic:pic>
              </a:graphicData>
            </a:graphic>
          </wp:inline>
        </w:drawing>
      </w:r>
    </w:p>
    <w:p w14:paraId="4549C350" w14:textId="77777777" w:rsidR="00C76F91" w:rsidRPr="00C76F91" w:rsidRDefault="00C76F91" w:rsidP="00896831">
      <w:r w:rsidRPr="00C76F91">
        <w:t xml:space="preserve">Also, the </w:t>
      </w:r>
      <w:r w:rsidR="006648C5">
        <w:t>sponsor</w:t>
      </w:r>
      <w:r w:rsidRPr="00C76F91">
        <w:t xml:space="preserve"> has included some examples from the literature that show that most cases of hyponatraemia occur soon after starting treatment. However, it is unclear whether this is </w:t>
      </w:r>
      <w:r w:rsidR="00933126">
        <w:t>a systematic review.</w:t>
      </w:r>
    </w:p>
    <w:p w14:paraId="39D6A36A" w14:textId="77777777" w:rsidR="00C76F91" w:rsidRPr="00C76F91" w:rsidRDefault="00C76F91" w:rsidP="00896831">
      <w:r w:rsidRPr="00C76F91">
        <w:t xml:space="preserve">It seems that there is uncertainty (the </w:t>
      </w:r>
      <w:r w:rsidR="006648C5">
        <w:t>sponsor</w:t>
      </w:r>
      <w:r w:rsidRPr="00C76F91">
        <w:t xml:space="preserve"> has provided only small amounts of evidence) about whether patients can be safely started on specific medicines that may cause hyponatraemia, while on Nocdurna.</w:t>
      </w:r>
    </w:p>
    <w:p w14:paraId="7A47DAB1" w14:textId="77777777" w:rsidR="00C76F91" w:rsidRPr="00C76F91" w:rsidRDefault="00C76F91" w:rsidP="00C76F91">
      <w:r w:rsidRPr="00C76F91">
        <w:lastRenderedPageBreak/>
        <w:t>It is recommended that the TGA engage two independent external Australian clinical experts to provide advice on whether Nocdurna can be taken with medicines that may incr</w:t>
      </w:r>
      <w:r w:rsidR="00933126">
        <w:t>ease the risk of hyponatraemia.</w:t>
      </w:r>
    </w:p>
    <w:p w14:paraId="319DB98E" w14:textId="77777777" w:rsidR="00C76F91" w:rsidRDefault="00C76F91" w:rsidP="00C76F91">
      <w:pPr>
        <w:pStyle w:val="Heading4"/>
      </w:pPr>
      <w:r w:rsidRPr="00C76F91">
        <w:t>Question 7</w:t>
      </w:r>
    </w:p>
    <w:p w14:paraId="0AE43CCE" w14:textId="77777777" w:rsidR="00933126" w:rsidRPr="00933126" w:rsidRDefault="00933126" w:rsidP="00933126">
      <w:pPr>
        <w:rPr>
          <w:i/>
          <w:lang w:eastAsia="ja-JP"/>
        </w:rPr>
      </w:pPr>
      <w:r w:rsidRPr="00933126">
        <w:rPr>
          <w:i/>
        </w:rPr>
        <w:t>How was mild/moderate hyponatraemia managed in CS40/CS41?</w:t>
      </w:r>
    </w:p>
    <w:p w14:paraId="70FD517F" w14:textId="77777777" w:rsidR="00C76F91" w:rsidRPr="00C76F91" w:rsidRDefault="00C76F91" w:rsidP="00896831">
      <w:r w:rsidRPr="00C76F91">
        <w:t>The response is noted.</w:t>
      </w:r>
    </w:p>
    <w:p w14:paraId="412C6AD9" w14:textId="77777777" w:rsidR="00C76F91" w:rsidRDefault="00C76F91" w:rsidP="00C76F91">
      <w:pPr>
        <w:pStyle w:val="Heading4"/>
      </w:pPr>
      <w:r w:rsidRPr="00C76F91">
        <w:t>Question 8</w:t>
      </w:r>
    </w:p>
    <w:p w14:paraId="600BEE75" w14:textId="77777777" w:rsidR="00C564A0" w:rsidRPr="00C564A0" w:rsidRDefault="00C564A0" w:rsidP="00C564A0">
      <w:pPr>
        <w:rPr>
          <w:i/>
        </w:rPr>
      </w:pPr>
      <w:r w:rsidRPr="00C564A0">
        <w:rPr>
          <w:i/>
        </w:rPr>
        <w:t>Based on experience overseas (</w:t>
      </w:r>
      <w:r>
        <w:rPr>
          <w:i/>
        </w:rPr>
        <w:t>for example</w:t>
      </w:r>
      <w:r w:rsidRPr="00C564A0">
        <w:rPr>
          <w:i/>
        </w:rPr>
        <w:t>, Canada), which doctors pr</w:t>
      </w:r>
      <w:r>
        <w:rPr>
          <w:i/>
        </w:rPr>
        <w:t xml:space="preserve">escribe Nocdurna? (Primary </w:t>
      </w:r>
      <w:r w:rsidRPr="00C564A0">
        <w:rPr>
          <w:i/>
        </w:rPr>
        <w:t xml:space="preserve">care physicians/GPs, geriatricians, urologists, </w:t>
      </w:r>
      <w:r>
        <w:rPr>
          <w:i/>
        </w:rPr>
        <w:t>etcetera</w:t>
      </w:r>
      <w:r w:rsidRPr="00C564A0">
        <w:rPr>
          <w:i/>
        </w:rPr>
        <w:t>?)</w:t>
      </w:r>
    </w:p>
    <w:p w14:paraId="44C7E05C" w14:textId="77777777" w:rsidR="00C76F91" w:rsidRPr="00C76F91" w:rsidRDefault="00C76F91" w:rsidP="00896831">
      <w:r w:rsidRPr="00C76F91">
        <w:t xml:space="preserve">The </w:t>
      </w:r>
      <w:r w:rsidR="006648C5">
        <w:t>sponsor</w:t>
      </w:r>
      <w:r w:rsidRPr="00C76F91">
        <w:t xml:space="preserve"> has stated that in Canada the key prescribers are urologists and general practitioners, “with the higher prescription frequency at urologist level”. It would be helpful to have the number association with this statement.</w:t>
      </w:r>
    </w:p>
    <w:p w14:paraId="42F70BCE" w14:textId="77777777" w:rsidR="00C76F91" w:rsidRPr="00C76F91" w:rsidRDefault="00C76F91" w:rsidP="00896831">
      <w:r w:rsidRPr="00C76F91">
        <w:t xml:space="preserve">The </w:t>
      </w:r>
      <w:r w:rsidR="006648C5">
        <w:t>sponsor</w:t>
      </w:r>
      <w:r w:rsidRPr="00C76F91">
        <w:t xml:space="preserve"> states that in the EU, prescribers are similarly expected to be urologists and general practitioners.</w:t>
      </w:r>
    </w:p>
    <w:p w14:paraId="1A8CA445" w14:textId="0A44991D" w:rsidR="00C76F91" w:rsidRPr="00C76F91" w:rsidRDefault="00C76F91" w:rsidP="00896831">
      <w:r w:rsidRPr="00C76F91">
        <w:t>It is recommended that the TGA engage two independent external Australian clinical experts to provide advice on which types of doctors would be likely to prescribe Nocdurna in the Australian setting.</w:t>
      </w:r>
    </w:p>
    <w:p w14:paraId="2086BB04" w14:textId="77777777" w:rsidR="00C76F91" w:rsidRDefault="00C76F91" w:rsidP="00C76F91">
      <w:pPr>
        <w:pStyle w:val="Heading4"/>
      </w:pPr>
      <w:r w:rsidRPr="00C76F91">
        <w:t>Question 9</w:t>
      </w:r>
    </w:p>
    <w:p w14:paraId="6BC15B06" w14:textId="77777777" w:rsidR="00C564A0" w:rsidRPr="00C564A0" w:rsidRDefault="00C564A0" w:rsidP="00C564A0">
      <w:pPr>
        <w:rPr>
          <w:i/>
          <w:lang w:eastAsia="ja-JP"/>
        </w:rPr>
      </w:pPr>
      <w:r w:rsidRPr="00C564A0">
        <w:rPr>
          <w:i/>
        </w:rPr>
        <w:t>Please provide an update on the status of the application to the FDA.</w:t>
      </w:r>
    </w:p>
    <w:p w14:paraId="73CDD576" w14:textId="77777777" w:rsidR="00C76F91" w:rsidRPr="00C76F91" w:rsidRDefault="00C76F91" w:rsidP="00896831">
      <w:r w:rsidRPr="00C76F91">
        <w:t xml:space="preserve">The </w:t>
      </w:r>
      <w:r w:rsidR="006648C5">
        <w:t>sponsor</w:t>
      </w:r>
      <w:r w:rsidRPr="00C76F91">
        <w:t xml:space="preserve"> is in discussions with the FDA about potentially conducting further studies.</w:t>
      </w:r>
    </w:p>
    <w:p w14:paraId="3A82F971" w14:textId="77777777" w:rsidR="00C76F91" w:rsidRDefault="00C76F91" w:rsidP="00C76F91">
      <w:pPr>
        <w:pStyle w:val="Heading4"/>
      </w:pPr>
      <w:r w:rsidRPr="00C76F91">
        <w:t>Question 10</w:t>
      </w:r>
    </w:p>
    <w:p w14:paraId="4DA83B57" w14:textId="77777777" w:rsidR="00C564A0" w:rsidRPr="00C564A0" w:rsidRDefault="00C564A0" w:rsidP="00C564A0">
      <w:pPr>
        <w:rPr>
          <w:i/>
          <w:lang w:eastAsia="ja-JP"/>
        </w:rPr>
      </w:pPr>
      <w:r w:rsidRPr="00C564A0">
        <w:rPr>
          <w:i/>
        </w:rPr>
        <w:t>Please provide the latest reports from the EU (Sweden or CMS).</w:t>
      </w:r>
    </w:p>
    <w:p w14:paraId="49F969E6" w14:textId="77777777" w:rsidR="00C76F91" w:rsidRPr="00C76F91" w:rsidRDefault="00C76F91" w:rsidP="00896831">
      <w:r w:rsidRPr="00C76F91">
        <w:t>The Final Assessment Report from the Swedish NRA has been provided.</w:t>
      </w:r>
    </w:p>
    <w:p w14:paraId="0060689C" w14:textId="77777777" w:rsidR="00C76F91" w:rsidRDefault="00C76F91" w:rsidP="00C76F91">
      <w:pPr>
        <w:pStyle w:val="Heading4"/>
      </w:pPr>
      <w:r w:rsidRPr="00C76F91">
        <w:t>Question 11</w:t>
      </w:r>
    </w:p>
    <w:p w14:paraId="0D99EA2A" w14:textId="77777777" w:rsidR="00C564A0" w:rsidRPr="00C564A0" w:rsidRDefault="00C564A0" w:rsidP="00C564A0">
      <w:pPr>
        <w:rPr>
          <w:i/>
        </w:rPr>
      </w:pPr>
      <w:r w:rsidRPr="00C564A0">
        <w:rPr>
          <w:i/>
        </w:rPr>
        <w:t>Please provide your respon</w:t>
      </w:r>
      <w:r w:rsidR="0080062E">
        <w:rPr>
          <w:i/>
        </w:rPr>
        <w:t xml:space="preserve">ses to the questions in the Day </w:t>
      </w:r>
      <w:r w:rsidRPr="00C564A0">
        <w:rPr>
          <w:i/>
        </w:rPr>
        <w:t>70 PAR (RMS: Sweden). The TGA is interested in all the responses, and is particularly interested in the responses to:</w:t>
      </w:r>
    </w:p>
    <w:p w14:paraId="64B8F74B" w14:textId="77777777" w:rsidR="00C564A0" w:rsidRPr="00C564A0" w:rsidRDefault="00C564A0" w:rsidP="00C564A0">
      <w:pPr>
        <w:pStyle w:val="ListBullet"/>
        <w:rPr>
          <w:i/>
        </w:rPr>
      </w:pPr>
      <w:r w:rsidRPr="00C564A0">
        <w:rPr>
          <w:i/>
        </w:rPr>
        <w:t xml:space="preserve">Whether </w:t>
      </w:r>
      <w:r w:rsidR="0080062E">
        <w:rPr>
          <w:i/>
        </w:rPr>
        <w:t>sex differences</w:t>
      </w:r>
      <w:r w:rsidRPr="00C564A0">
        <w:rPr>
          <w:i/>
        </w:rPr>
        <w:t xml:space="preserve"> in dosing are due to weight/size and what this might mean for an elderly man of low weight</w:t>
      </w:r>
    </w:p>
    <w:p w14:paraId="26F3DCA2" w14:textId="77777777" w:rsidR="00C564A0" w:rsidRPr="00C564A0" w:rsidRDefault="00C564A0" w:rsidP="00C564A0">
      <w:pPr>
        <w:pStyle w:val="ListBullet"/>
        <w:rPr>
          <w:i/>
        </w:rPr>
      </w:pPr>
      <w:r w:rsidRPr="00C564A0">
        <w:rPr>
          <w:i/>
        </w:rPr>
        <w:t>Stratification of data from CS31 by age.</w:t>
      </w:r>
    </w:p>
    <w:p w14:paraId="7463FD7A" w14:textId="77777777" w:rsidR="00C564A0" w:rsidRPr="00C564A0" w:rsidRDefault="00C564A0" w:rsidP="00C564A0">
      <w:pPr>
        <w:pStyle w:val="ListBullet"/>
        <w:rPr>
          <w:i/>
        </w:rPr>
      </w:pPr>
      <w:r w:rsidRPr="00C564A0">
        <w:rPr>
          <w:i/>
        </w:rPr>
        <w:t>Stratification of data for the co-primary endpoints from CS40/CS41 by &gt;65, &gt;75, &gt; 85 years.</w:t>
      </w:r>
    </w:p>
    <w:p w14:paraId="3B002E3A" w14:textId="77777777" w:rsidR="00D33641" w:rsidRDefault="00C76F91" w:rsidP="00C618F7">
      <w:r w:rsidRPr="00C76F91">
        <w:t xml:space="preserve">The </w:t>
      </w:r>
      <w:r w:rsidR="006648C5">
        <w:t>sponsor</w:t>
      </w:r>
      <w:r w:rsidRPr="00C76F91">
        <w:t xml:space="preserve"> has referred the reader to the relevant parts of the </w:t>
      </w:r>
      <w:r w:rsidR="00EA2517">
        <w:t>Day</w:t>
      </w:r>
      <w:r w:rsidR="00C564A0">
        <w:t xml:space="preserve"> 70 PAR.</w:t>
      </w:r>
    </w:p>
    <w:p w14:paraId="10FA391F" w14:textId="77777777" w:rsidR="00C618F7" w:rsidRDefault="00C618F7" w:rsidP="00C618F7">
      <w:pPr>
        <w:pStyle w:val="Heading2"/>
      </w:pPr>
      <w:bookmarkStart w:id="47" w:name="_Toc500838997"/>
      <w:r>
        <w:t>Second round benefit-risk assessment</w:t>
      </w:r>
      <w:bookmarkEnd w:id="47"/>
    </w:p>
    <w:p w14:paraId="6A6E09C4" w14:textId="1A890F71" w:rsidR="00C76F91" w:rsidRPr="00C76F91" w:rsidRDefault="00C76F91" w:rsidP="00896831">
      <w:r w:rsidRPr="00C76F91">
        <w:t xml:space="preserve">Nocturia is an important problem that can materially reduce patients’ </w:t>
      </w:r>
      <w:r w:rsidR="0080062E">
        <w:t>quality of life</w:t>
      </w:r>
      <w:r w:rsidRPr="00C76F91">
        <w:t>.</w:t>
      </w:r>
    </w:p>
    <w:p w14:paraId="1A798430" w14:textId="77777777" w:rsidR="00C76F91" w:rsidRPr="00C76F91" w:rsidRDefault="00C76F91" w:rsidP="00896831">
      <w:r w:rsidRPr="00C76F91">
        <w:t>The results for the co-primary endpoints were statistically significant. Also, the results for the secondary endpoints (including N-</w:t>
      </w:r>
      <w:proofErr w:type="spellStart"/>
      <w:r w:rsidRPr="00C76F91">
        <w:t>QoL</w:t>
      </w:r>
      <w:proofErr w:type="spellEnd"/>
      <w:r w:rsidRPr="00C76F91">
        <w:t>) provide some suppor</w:t>
      </w:r>
      <w:r w:rsidR="0080062E">
        <w:t>t for the co-primary endpoints.</w:t>
      </w:r>
    </w:p>
    <w:p w14:paraId="42D0F310" w14:textId="77777777" w:rsidR="00C76F91" w:rsidRDefault="00C76F91" w:rsidP="00896831">
      <w:r w:rsidRPr="00C76F91">
        <w:t xml:space="preserve">However, the average benefits of Nocdurna were modest: women (25 </w:t>
      </w:r>
      <w:r w:rsidR="00BA2CBE">
        <w:t>µ</w:t>
      </w:r>
      <w:r w:rsidR="00BA2CBE" w:rsidRPr="00A22970">
        <w:t>g</w:t>
      </w:r>
      <w:r w:rsidRPr="00C76F91">
        <w:t xml:space="preserve">): reduction of one </w:t>
      </w:r>
      <w:r w:rsidR="0080062E">
        <w:t xml:space="preserve">night time void per 4 to </w:t>
      </w:r>
      <w:r w:rsidRPr="00C76F91">
        <w:t xml:space="preserve">5 days; men (50 </w:t>
      </w:r>
      <w:r w:rsidR="00BA2CBE">
        <w:t>µ</w:t>
      </w:r>
      <w:r w:rsidR="00BA2CBE" w:rsidRPr="00A22970">
        <w:t>g</w:t>
      </w:r>
      <w:r w:rsidRPr="00C76F91">
        <w:t xml:space="preserve">): reduction of one </w:t>
      </w:r>
      <w:r w:rsidR="0080062E">
        <w:t xml:space="preserve">night time void per 2 to </w:t>
      </w:r>
      <w:r w:rsidRPr="00C76F91">
        <w:t>3 days (see Section 6.1</w:t>
      </w:r>
      <w:r w:rsidR="003300CB">
        <w:t xml:space="preserve"> Uncertainties about benefits).</w:t>
      </w:r>
    </w:p>
    <w:p w14:paraId="65098D8B" w14:textId="31E6B63F" w:rsidR="003300CB" w:rsidRPr="00C76F91" w:rsidRDefault="003300CB" w:rsidP="00896831">
      <w:r w:rsidRPr="00C76F91">
        <w:t xml:space="preserve">One important concern is the risk of hyponatraemia in the </w:t>
      </w:r>
      <w:r w:rsidR="0080062E">
        <w:t>real world of every</w:t>
      </w:r>
      <w:r w:rsidRPr="00C76F91">
        <w:t>day clinical practice in Australia (see Section 6.2 Uncertaintie</w:t>
      </w:r>
      <w:r>
        <w:t>s about harms [hyponatraemia]).</w:t>
      </w:r>
    </w:p>
    <w:p w14:paraId="3A87FA71" w14:textId="77777777" w:rsidR="00C76F91" w:rsidRPr="00C76F91" w:rsidRDefault="00C76F91" w:rsidP="00896831">
      <w:r w:rsidRPr="00C76F91">
        <w:lastRenderedPageBreak/>
        <w:t>There is therefore uncertainty about whether the benefit-risk balance is favourable. Of the TGA’s major regulatory partners, two (Health Canada, Swedish NRA and CMS) have decided that the benefit-risk balance is favourable; whereas the FDA have decided it is not, based o</w:t>
      </w:r>
      <w:r w:rsidR="00206542">
        <w:t>n the currently available data.</w:t>
      </w:r>
    </w:p>
    <w:p w14:paraId="0D9F9EF0" w14:textId="77777777" w:rsidR="00C76F91" w:rsidRPr="00896831" w:rsidRDefault="00C76F91" w:rsidP="00896831">
      <w:pPr>
        <w:pStyle w:val="ListBullet"/>
      </w:pPr>
      <w:r w:rsidRPr="00C76F91">
        <w:t>Health Canada has stated: With all recommendations and measures to be taken prior or during treatment to avoid the development hyponatremia [</w:t>
      </w:r>
      <w:r w:rsidR="00590C83">
        <w:t>that is</w:t>
      </w:r>
      <w:r w:rsidRPr="00C76F91">
        <w:t xml:space="preserve">, baseline serum measures for all </w:t>
      </w:r>
      <w:r w:rsidRPr="00896831">
        <w:t>p</w:t>
      </w:r>
      <w:r w:rsidR="0080062E" w:rsidRPr="00896831">
        <w:t xml:space="preserve">atients and repeat measures in Week </w:t>
      </w:r>
      <w:r w:rsidRPr="00896831">
        <w:t xml:space="preserve">1 and </w:t>
      </w:r>
      <w:r w:rsidR="00094728" w:rsidRPr="00896831">
        <w:t xml:space="preserve">Month </w:t>
      </w:r>
      <w:r w:rsidRPr="00896831">
        <w:t>1], it can be concluded that the benefit of desmopressin in the treatment of the proposed indication outweighs its risk.</w:t>
      </w:r>
    </w:p>
    <w:p w14:paraId="3FA12784" w14:textId="77777777" w:rsidR="00206542" w:rsidRPr="00896831" w:rsidRDefault="00C76F91" w:rsidP="00896831">
      <w:pPr>
        <w:pStyle w:val="ListBullet"/>
      </w:pPr>
      <w:r w:rsidRPr="00896831">
        <w:t>The Swedish NRA evaluation has stated: With adequate monitoring the risk of hyponatraemia is considered possible to handle</w:t>
      </w:r>
      <w:r w:rsidR="00206542" w:rsidRPr="00896831">
        <w:t>.</w:t>
      </w:r>
    </w:p>
    <w:p w14:paraId="2475D3FD" w14:textId="77777777" w:rsidR="00C76F91" w:rsidRPr="00C76F91" w:rsidRDefault="00C76F91" w:rsidP="00896831">
      <w:pPr>
        <w:pStyle w:val="ListBullet"/>
      </w:pPr>
      <w:r w:rsidRPr="00896831">
        <w:t>The FDA stated that “… while some of these changes might be helpful in minimising the risk of hyponatraemia</w:t>
      </w:r>
      <w:r w:rsidRPr="00C76F91">
        <w:t xml:space="preserve">, and thereby improving the benefit-risk calculus, the Agency is still seeking clarity on the clinical benefit.” The </w:t>
      </w:r>
      <w:r w:rsidR="006648C5">
        <w:t>sponsor</w:t>
      </w:r>
      <w:r w:rsidRPr="00C76F91">
        <w:t xml:space="preserve"> is in discussions with the FDA about potentially conducting further studies.</w:t>
      </w:r>
    </w:p>
    <w:p w14:paraId="57524D00" w14:textId="735AE5C6" w:rsidR="00C76F91" w:rsidRPr="00C76F91" w:rsidRDefault="00C76F91" w:rsidP="00896831">
      <w:r w:rsidRPr="00C76F91">
        <w:t>The most recent report of the Australian Commission on Safety and Quality in Health Care on medication safety (2013) stated that 12% of medical admissions (</w:t>
      </w:r>
      <w:r w:rsidR="00590C83">
        <w:t>that is</w:t>
      </w:r>
      <w:r w:rsidRPr="00C76F91">
        <w:t>, 230,000 admissions per year) were attributable to adverse reactions associated with medications; a (conservative) estimate of cost was $1.2B per year. There is concern and uncertainty around whether Nocdurna might contribut</w:t>
      </w:r>
      <w:r w:rsidR="00C564A0">
        <w:t>e to this problem, via the well-</w:t>
      </w:r>
      <w:r w:rsidR="00C564A0" w:rsidRPr="00C76F91">
        <w:t>known</w:t>
      </w:r>
      <w:r w:rsidRPr="00C76F91">
        <w:t xml:space="preserve"> adverse reaction of hyponatraemia. This might be particularly the </w:t>
      </w:r>
      <w:r w:rsidR="00C564A0">
        <w:t xml:space="preserve">case when Nocdurna is used long </w:t>
      </w:r>
      <w:r w:rsidRPr="00C76F91">
        <w:t>term fo</w:t>
      </w:r>
      <w:r w:rsidR="00C564A0">
        <w:t xml:space="preserve">r a chronic condition, in every </w:t>
      </w:r>
      <w:r w:rsidRPr="00C76F91">
        <w:t>day clinical practice (</w:t>
      </w:r>
      <w:r w:rsidR="00590C83">
        <w:t>that is</w:t>
      </w:r>
      <w:r w:rsidRPr="00C76F91">
        <w:t>, outs</w:t>
      </w:r>
      <w:r w:rsidR="00C564A0">
        <w:t xml:space="preserve">ide of the context of a closely monitored, 3 </w:t>
      </w:r>
      <w:r w:rsidRPr="00C76F91">
        <w:t xml:space="preserve">month clinical trial, which had carefully selected trial participants). There is also uncertainty as to whether the benefits of Nocdurna are sufficient to offset the risks associated </w:t>
      </w:r>
      <w:r w:rsidR="00C564A0">
        <w:t>with hyponatraemia.</w:t>
      </w:r>
    </w:p>
    <w:bookmarkEnd w:id="3"/>
    <w:bookmarkEnd w:id="1"/>
    <w:bookmarkEnd w:id="0"/>
    <w:p w14:paraId="4D16F0DA" w14:textId="77777777" w:rsidR="003D1E62" w:rsidRPr="001D043B" w:rsidRDefault="008E7846" w:rsidP="002666AC">
      <w:pPr>
        <w:sectPr w:rsidR="003D1E62" w:rsidRPr="001D043B" w:rsidSect="008D770F">
          <w:headerReference w:type="even" r:id="rId67"/>
          <w:headerReference w:type="default" r:id="rId68"/>
          <w:headerReference w:type="first" r:id="rId69"/>
          <w:footerReference w:type="first" r:id="rId70"/>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42F806E6" w14:textId="77777777" w:rsidTr="00DB1E9F">
        <w:trPr>
          <w:trHeight w:hRule="exact" w:val="564"/>
        </w:trPr>
        <w:tc>
          <w:tcPr>
            <w:tcW w:w="9175" w:type="dxa"/>
          </w:tcPr>
          <w:p w14:paraId="0422B7F6" w14:textId="77777777" w:rsidR="00B3567E" w:rsidRPr="00487162" w:rsidRDefault="00B3567E" w:rsidP="00DB1E9F">
            <w:pPr>
              <w:pStyle w:val="TGASignoff"/>
            </w:pPr>
            <w:r w:rsidRPr="00487162">
              <w:lastRenderedPageBreak/>
              <w:t>Therapeutic Goods Administration</w:t>
            </w:r>
          </w:p>
        </w:tc>
      </w:tr>
      <w:tr w:rsidR="00B3567E" w:rsidRPr="00487162" w14:paraId="0B225BB1" w14:textId="77777777" w:rsidTr="00DB1E9F">
        <w:trPr>
          <w:trHeight w:val="1221"/>
        </w:trPr>
        <w:tc>
          <w:tcPr>
            <w:tcW w:w="9175" w:type="dxa"/>
            <w:tcMar>
              <w:top w:w="28" w:type="dxa"/>
            </w:tcMar>
          </w:tcPr>
          <w:p w14:paraId="402D77AD" w14:textId="77777777" w:rsidR="00B3567E" w:rsidRPr="00487162" w:rsidRDefault="00B3567E" w:rsidP="00DB1E9F">
            <w:pPr>
              <w:pStyle w:val="Address"/>
            </w:pPr>
            <w:r w:rsidRPr="00487162">
              <w:t>PO Box 100 Woden ACT 2606 Australia</w:t>
            </w:r>
          </w:p>
          <w:p w14:paraId="2B5504AF" w14:textId="77777777" w:rsidR="00B3567E" w:rsidRPr="00487162" w:rsidRDefault="00B3567E" w:rsidP="00DB1E9F">
            <w:pPr>
              <w:pStyle w:val="Address"/>
            </w:pPr>
            <w:r w:rsidRPr="00487162">
              <w:t xml:space="preserve">Email: </w:t>
            </w:r>
            <w:hyperlink r:id="rId71" w:history="1">
              <w:r w:rsidRPr="008D770F">
                <w:rPr>
                  <w:rStyle w:val="Hyperlink"/>
                </w:rPr>
                <w:t>info@tga.gov.au</w:t>
              </w:r>
            </w:hyperlink>
            <w:r w:rsidR="00D578E9">
              <w:t xml:space="preserve"> </w:t>
            </w:r>
            <w:r w:rsidRPr="00487162">
              <w:t>Phone: 1800 020 653</w:t>
            </w:r>
            <w:r w:rsidR="00D578E9">
              <w:t xml:space="preserve"> </w:t>
            </w:r>
            <w:r w:rsidRPr="00487162">
              <w:t>Fax: 02 6232 8605</w:t>
            </w:r>
          </w:p>
          <w:p w14:paraId="77A1896F" w14:textId="77777777" w:rsidR="00B3567E" w:rsidRPr="008D770F" w:rsidRDefault="00C571E9" w:rsidP="00DB1E9F">
            <w:pPr>
              <w:pStyle w:val="Address"/>
              <w:spacing w:line="260" w:lineRule="atLeast"/>
              <w:rPr>
                <w:b/>
                <w:color w:val="0000FF"/>
                <w:u w:val="single"/>
              </w:rPr>
            </w:pPr>
            <w:hyperlink r:id="rId72" w:history="1">
              <w:r w:rsidR="00E979F4" w:rsidRPr="00FE02B1">
                <w:rPr>
                  <w:rStyle w:val="Hyperlink"/>
                  <w:b/>
                </w:rPr>
                <w:t>https://www.tga.gov.au</w:t>
              </w:r>
            </w:hyperlink>
          </w:p>
        </w:tc>
      </w:tr>
    </w:tbl>
    <w:p w14:paraId="40244C39" w14:textId="77777777" w:rsidR="00774E1D" w:rsidRPr="008A5E0B" w:rsidRDefault="00774E1D" w:rsidP="008A5E0B"/>
    <w:sectPr w:rsidR="00774E1D" w:rsidRPr="008A5E0B" w:rsidSect="00B3567E">
      <w:headerReference w:type="even" r:id="rId73"/>
      <w:headerReference w:type="default" r:id="rId74"/>
      <w:footerReference w:type="default" r:id="rId75"/>
      <w:headerReference w:type="first" r:id="rId76"/>
      <w:footerReference w:type="first" r:id="rId77"/>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18DA71" w15:done="0"/>
  <w15:commentEx w15:paraId="6E0FAD1B" w15:paraIdParent="3118DA71" w15:done="0"/>
  <w15:commentEx w15:paraId="454DD34C" w15:done="0"/>
  <w15:commentEx w15:paraId="63F48F2F" w15:done="0"/>
  <w15:commentEx w15:paraId="4245B906" w15:paraIdParent="63F48F2F" w15:done="0"/>
  <w15:commentEx w15:paraId="48EA1EF2" w15:done="0"/>
  <w15:commentEx w15:paraId="36AF4DDA" w15:done="0"/>
  <w15:commentEx w15:paraId="78139DD8" w15:done="0"/>
  <w15:commentEx w15:paraId="79F33F71" w15:paraIdParent="78139DD8" w15:done="0"/>
  <w15:commentEx w15:paraId="78290FC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A3C47A" w14:textId="77777777" w:rsidR="00530CF5" w:rsidRDefault="00530CF5" w:rsidP="00C40A36">
      <w:pPr>
        <w:spacing w:after="0"/>
      </w:pPr>
      <w:r>
        <w:separator/>
      </w:r>
    </w:p>
  </w:endnote>
  <w:endnote w:type="continuationSeparator" w:id="0">
    <w:p w14:paraId="6552C49A" w14:textId="77777777" w:rsidR="00530CF5" w:rsidRDefault="00530CF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00"/>
    <w:family w:val="roman"/>
    <w:notTrueType/>
    <w:pitch w:val="default"/>
    <w:sig w:usb0="00000003" w:usb1="08070000" w:usb2="00000010" w:usb3="00000000" w:csb0="0002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530CF5" w:rsidRPr="00487162" w14:paraId="1B0C5A79" w14:textId="77777777" w:rsidTr="00206542">
      <w:trPr>
        <w:trHeight w:val="269"/>
      </w:trPr>
      <w:tc>
        <w:tcPr>
          <w:tcW w:w="7513" w:type="dxa"/>
          <w:tcMar>
            <w:top w:w="142" w:type="dxa"/>
            <w:bottom w:w="0" w:type="dxa"/>
          </w:tcMar>
        </w:tcPr>
        <w:p w14:paraId="6F034B8F" w14:textId="35A5FD9E" w:rsidR="00530CF5" w:rsidRPr="00487162" w:rsidRDefault="00530CF5" w:rsidP="004A7B79">
          <w:pPr>
            <w:pStyle w:val="Footer"/>
          </w:pPr>
          <w:r w:rsidRPr="0052132B">
            <w:t xml:space="preserve">NOCDURNA - Desmopressin - Ferring Pharmaceuticals Pty Ltd - PM-2015-03168-1-5 - </w:t>
          </w:r>
          <w:r>
            <w:t>Extract from the Clinical Evaluation Report FINAL 27 November 2017</w:t>
          </w:r>
        </w:p>
      </w:tc>
      <w:tc>
        <w:tcPr>
          <w:tcW w:w="1348" w:type="dxa"/>
          <w:tcMar>
            <w:top w:w="142" w:type="dxa"/>
            <w:bottom w:w="0" w:type="dxa"/>
          </w:tcMar>
        </w:tcPr>
        <w:p w14:paraId="6C768D01" w14:textId="77777777" w:rsidR="00530CF5" w:rsidRPr="00981D66" w:rsidRDefault="00530CF5"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C571E9">
            <w:rPr>
              <w:noProof/>
            </w:rPr>
            <w:t>3</w:t>
          </w:r>
          <w:r w:rsidRPr="00981D66">
            <w:fldChar w:fldCharType="end"/>
          </w:r>
          <w:r w:rsidRPr="00981D66">
            <w:t xml:space="preserve"> of </w:t>
          </w:r>
          <w:r w:rsidR="00C571E9">
            <w:fldChar w:fldCharType="begin"/>
          </w:r>
          <w:r w:rsidR="00C571E9">
            <w:instrText xml:space="preserve"> NUMPAGES  \* Arabic  \* MERGEFORMAT </w:instrText>
          </w:r>
          <w:r w:rsidR="00C571E9">
            <w:fldChar w:fldCharType="separate"/>
          </w:r>
          <w:r w:rsidR="00C571E9">
            <w:rPr>
              <w:noProof/>
            </w:rPr>
            <w:t>61</w:t>
          </w:r>
          <w:r w:rsidR="00C571E9">
            <w:rPr>
              <w:noProof/>
            </w:rPr>
            <w:fldChar w:fldCharType="end"/>
          </w:r>
        </w:p>
      </w:tc>
    </w:tr>
  </w:tbl>
  <w:p w14:paraId="43F79837" w14:textId="77777777" w:rsidR="00530CF5" w:rsidRDefault="00530CF5"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30CF5" w:rsidRPr="00487162" w14:paraId="7E8C6200" w14:textId="77777777" w:rsidTr="00E45619">
      <w:trPr>
        <w:trHeight w:val="269"/>
      </w:trPr>
      <w:tc>
        <w:tcPr>
          <w:tcW w:w="4519" w:type="dxa"/>
          <w:tcBorders>
            <w:top w:val="single" w:sz="4" w:space="0" w:color="auto"/>
          </w:tcBorders>
          <w:tcMar>
            <w:top w:w="142" w:type="dxa"/>
            <w:bottom w:w="0" w:type="dxa"/>
          </w:tcMar>
        </w:tcPr>
        <w:p w14:paraId="6AE7CCD3" w14:textId="77777777" w:rsidR="00530CF5" w:rsidRPr="00487162" w:rsidRDefault="00530CF5" w:rsidP="00FE1DEE">
          <w:pPr>
            <w:pStyle w:val="Footer"/>
          </w:pPr>
          <w:r w:rsidRPr="00487162">
            <w:t>Document title, Part #, Section # - Section title</w:t>
          </w:r>
        </w:p>
        <w:p w14:paraId="59A9B529" w14:textId="77777777" w:rsidR="00530CF5" w:rsidRPr="00487162" w:rsidRDefault="00530CF5" w:rsidP="00FE1DEE">
          <w:pPr>
            <w:pStyle w:val="Footer"/>
          </w:pPr>
          <w:r w:rsidRPr="00487162">
            <w:t>V1.0 October 2010</w:t>
          </w:r>
        </w:p>
      </w:tc>
      <w:tc>
        <w:tcPr>
          <w:tcW w:w="4342" w:type="dxa"/>
          <w:tcBorders>
            <w:top w:val="single" w:sz="4" w:space="0" w:color="auto"/>
          </w:tcBorders>
          <w:tcMar>
            <w:top w:w="142" w:type="dxa"/>
            <w:bottom w:w="0" w:type="dxa"/>
          </w:tcMar>
        </w:tcPr>
        <w:p w14:paraId="5E97BF22" w14:textId="77777777" w:rsidR="00530CF5" w:rsidRPr="00487162" w:rsidRDefault="00530CF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14:paraId="6A98945B" w14:textId="77777777" w:rsidR="00530CF5" w:rsidRDefault="00530CF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C0E2E" w14:textId="77777777" w:rsidR="00530CF5" w:rsidRDefault="00530CF5"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30CF5" w14:paraId="445CC64C" w14:textId="77777777" w:rsidTr="0010601F">
      <w:trPr>
        <w:trHeight w:val="108"/>
      </w:trPr>
      <w:tc>
        <w:tcPr>
          <w:tcW w:w="8875" w:type="dxa"/>
          <w:gridSpan w:val="2"/>
          <w:tcBorders>
            <w:bottom w:val="single" w:sz="4" w:space="0" w:color="auto"/>
          </w:tcBorders>
          <w:tcMar>
            <w:right w:w="284" w:type="dxa"/>
          </w:tcMar>
        </w:tcPr>
        <w:p w14:paraId="7D30D696" w14:textId="77777777" w:rsidR="00530CF5" w:rsidRDefault="00530CF5" w:rsidP="006E08B3">
          <w:pPr>
            <w:pStyle w:val="Heading3"/>
          </w:pPr>
          <w:r>
            <w:t>Copyright</w:t>
          </w:r>
        </w:p>
        <w:p w14:paraId="55A535B2" w14:textId="77777777" w:rsidR="00530CF5" w:rsidRDefault="00530CF5" w:rsidP="006E08B3">
          <w:r>
            <w:rPr>
              <w:rFonts w:cs="Arial"/>
            </w:rPr>
            <w:t>©</w:t>
          </w:r>
          <w:r>
            <w:t xml:space="preserve"> Commonwealth of Australia [add year]</w:t>
          </w:r>
        </w:p>
        <w:p w14:paraId="3E09DB96" w14:textId="77777777" w:rsidR="00530CF5" w:rsidRDefault="00530CF5" w:rsidP="006E08B3"/>
        <w:p w14:paraId="1B39CEE1" w14:textId="77777777" w:rsidR="00530CF5" w:rsidRDefault="00530CF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13C248DC" w14:textId="77777777" w:rsidR="00530CF5" w:rsidRDefault="00530CF5" w:rsidP="006E08B3"/>
        <w:p w14:paraId="1F71DF77" w14:textId="77777777" w:rsidR="00530CF5" w:rsidRDefault="00530CF5" w:rsidP="006E08B3">
          <w:pPr>
            <w:pStyle w:val="Heading3"/>
          </w:pPr>
          <w:r>
            <w:t>Confidentiality</w:t>
          </w:r>
        </w:p>
        <w:p w14:paraId="6E968CE7" w14:textId="77777777" w:rsidR="00530CF5" w:rsidRDefault="00530CF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0A86E5C" w14:textId="77777777" w:rsidR="00530CF5" w:rsidRDefault="00530CF5" w:rsidP="006E08B3"/>
        <w:p w14:paraId="789E7D62" w14:textId="77777777" w:rsidR="00530CF5" w:rsidRDefault="00530CF5" w:rsidP="006E08B3">
          <w:r>
            <w:t>For submission made by individuals, all personal details, other than your name, will be removed from your submission before it is published on the TGA’s Internet site.</w:t>
          </w:r>
        </w:p>
        <w:p w14:paraId="733D211E" w14:textId="77777777" w:rsidR="00530CF5" w:rsidRDefault="00530CF5" w:rsidP="006E08B3"/>
        <w:p w14:paraId="0B2C7A4E" w14:textId="77777777" w:rsidR="00530CF5" w:rsidRDefault="00530CF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530CF5" w14:paraId="116482B1" w14:textId="77777777" w:rsidTr="0010601F">
      <w:trPr>
        <w:trHeight w:val="417"/>
      </w:trPr>
      <w:tc>
        <w:tcPr>
          <w:tcW w:w="4519" w:type="dxa"/>
          <w:tcBorders>
            <w:top w:val="single" w:sz="4" w:space="0" w:color="auto"/>
          </w:tcBorders>
          <w:tcMar>
            <w:top w:w="142" w:type="dxa"/>
            <w:bottom w:w="0" w:type="dxa"/>
          </w:tcMar>
        </w:tcPr>
        <w:p w14:paraId="363021C9" w14:textId="77777777" w:rsidR="00530CF5" w:rsidRDefault="00530CF5" w:rsidP="006E08B3">
          <w:r>
            <w:t>Document title, Part #, Section # - Section title</w:t>
          </w:r>
        </w:p>
        <w:p w14:paraId="6F8CDD21" w14:textId="77777777" w:rsidR="00530CF5" w:rsidRDefault="00530CF5" w:rsidP="006E08B3">
          <w:r>
            <w:t>V1.0 October 2010</w:t>
          </w:r>
        </w:p>
      </w:tc>
      <w:tc>
        <w:tcPr>
          <w:tcW w:w="4356" w:type="dxa"/>
          <w:tcBorders>
            <w:top w:val="single" w:sz="4" w:space="0" w:color="auto"/>
          </w:tcBorders>
          <w:tcMar>
            <w:top w:w="142" w:type="dxa"/>
            <w:bottom w:w="0" w:type="dxa"/>
          </w:tcMar>
        </w:tcPr>
        <w:p w14:paraId="0A0C3546" w14:textId="77777777" w:rsidR="00530CF5" w:rsidRDefault="00530CF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14:paraId="57F685FC" w14:textId="77777777" w:rsidR="00530CF5" w:rsidRDefault="00530CF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D86ECB" w14:textId="77777777" w:rsidR="00530CF5" w:rsidRDefault="00530CF5" w:rsidP="00C40A36">
      <w:pPr>
        <w:spacing w:after="0"/>
      </w:pPr>
      <w:r>
        <w:separator/>
      </w:r>
    </w:p>
  </w:footnote>
  <w:footnote w:type="continuationSeparator" w:id="0">
    <w:p w14:paraId="60E5611B" w14:textId="77777777" w:rsidR="00530CF5" w:rsidRDefault="00530CF5" w:rsidP="00C40A36">
      <w:pPr>
        <w:spacing w:after="0"/>
      </w:pPr>
      <w:r>
        <w:continuationSeparator/>
      </w:r>
    </w:p>
  </w:footnote>
  <w:footnote w:id="1">
    <w:p w14:paraId="7DD00DD2" w14:textId="4B287E8B" w:rsidR="00530CF5" w:rsidRDefault="00530CF5" w:rsidP="00DB1E9F">
      <w:pPr>
        <w:pStyle w:val="FootnoteText"/>
      </w:pPr>
      <w:r>
        <w:rPr>
          <w:rStyle w:val="FootnoteReference"/>
        </w:rPr>
        <w:footnoteRef/>
      </w:r>
      <w:r>
        <w:t xml:space="preserve"> </w:t>
      </w:r>
      <w:r>
        <w:rPr>
          <w:rFonts w:cstheme="minorHAnsi"/>
        </w:rPr>
        <w:t xml:space="preserve">Sterns R </w:t>
      </w:r>
      <w:r w:rsidRPr="0047163B">
        <w:rPr>
          <w:rFonts w:cstheme="minorHAnsi"/>
        </w:rPr>
        <w:t>“</w:t>
      </w:r>
      <w:r w:rsidRPr="0047163B">
        <w:rPr>
          <w:rFonts w:eastAsia="Times New Roman" w:cstheme="minorHAnsi"/>
          <w:bCs/>
          <w:lang w:eastAsia="en-AU"/>
        </w:rPr>
        <w:t>Manifestations of hyponatremia and hypernatremia in adults</w:t>
      </w:r>
      <w:r>
        <w:rPr>
          <w:rFonts w:cstheme="minorHAnsi"/>
        </w:rPr>
        <w:t>”</w:t>
      </w:r>
      <w:r w:rsidRPr="0047163B">
        <w:rPr>
          <w:rFonts w:cstheme="minorHAnsi"/>
        </w:rPr>
        <w:t xml:space="preserve"> </w:t>
      </w:r>
      <w:r>
        <w:rPr>
          <w:rFonts w:cstheme="minorHAnsi"/>
        </w:rPr>
        <w:t xml:space="preserve">in </w:t>
      </w:r>
      <w:proofErr w:type="spellStart"/>
      <w:r>
        <w:rPr>
          <w:rFonts w:cstheme="minorHAnsi"/>
        </w:rPr>
        <w:t>UpToDate</w:t>
      </w:r>
      <w:proofErr w:type="spellEnd"/>
      <w:r>
        <w:rPr>
          <w:rFonts w:cstheme="minorHAnsi"/>
        </w:rPr>
        <w:t>, Post TW (</w:t>
      </w:r>
      <w:proofErr w:type="spellStart"/>
      <w:proofErr w:type="gramStart"/>
      <w:r>
        <w:rPr>
          <w:rFonts w:cstheme="minorHAnsi"/>
        </w:rPr>
        <w:t>ed</w:t>
      </w:r>
      <w:proofErr w:type="spellEnd"/>
      <w:proofErr w:type="gramEnd"/>
      <w:r>
        <w:rPr>
          <w:rFonts w:cstheme="minorHAnsi"/>
        </w:rPr>
        <w:t xml:space="preserve">), US. </w:t>
      </w:r>
      <w:proofErr w:type="gramStart"/>
      <w:r>
        <w:rPr>
          <w:rFonts w:cstheme="minorHAnsi"/>
        </w:rPr>
        <w:t>(A</w:t>
      </w:r>
      <w:r w:rsidRPr="00265E64">
        <w:rPr>
          <w:rFonts w:cstheme="minorHAnsi"/>
        </w:rPr>
        <w:t>ccessed</w:t>
      </w:r>
      <w:r w:rsidRPr="0047163B">
        <w:rPr>
          <w:rFonts w:cstheme="minorHAnsi"/>
        </w:rPr>
        <w:t xml:space="preserve"> 11 April 2016</w:t>
      </w:r>
      <w:r>
        <w:rPr>
          <w:rFonts w:cstheme="minorHAnsi"/>
        </w:rPr>
        <w:t>)</w:t>
      </w:r>
      <w:r w:rsidRPr="0047163B">
        <w:rPr>
          <w:rFonts w:cstheme="minorHAnsi"/>
        </w:rPr>
        <w:t>.</w:t>
      </w:r>
      <w:proofErr w:type="gramEnd"/>
    </w:p>
  </w:footnote>
  <w:footnote w:id="2">
    <w:p w14:paraId="31AF3DDB" w14:textId="77777777" w:rsidR="00530CF5" w:rsidRDefault="00530CF5" w:rsidP="00DB1E9F">
      <w:pPr>
        <w:pStyle w:val="FootnoteText"/>
      </w:pPr>
      <w:r>
        <w:rPr>
          <w:rStyle w:val="FootnoteReference"/>
        </w:rPr>
        <w:footnoteRef/>
      </w:r>
      <w:r>
        <w:t xml:space="preserve"> </w:t>
      </w:r>
      <w:proofErr w:type="spellStart"/>
      <w:r>
        <w:t>Soiza</w:t>
      </w:r>
      <w:proofErr w:type="spellEnd"/>
      <w:r>
        <w:t xml:space="preserve"> R L, et al </w:t>
      </w:r>
      <w:r w:rsidRPr="00C36C77">
        <w:t>Hyponatremia: Special Considerations in Older Patients</w:t>
      </w:r>
      <w:r>
        <w:t xml:space="preserve">. </w:t>
      </w:r>
      <w:r w:rsidRPr="00C36C77">
        <w:rPr>
          <w:i/>
        </w:rPr>
        <w:t xml:space="preserve">J </w:t>
      </w:r>
      <w:proofErr w:type="spellStart"/>
      <w:r w:rsidRPr="00C36C77">
        <w:rPr>
          <w:i/>
        </w:rPr>
        <w:t>Clin</w:t>
      </w:r>
      <w:proofErr w:type="spellEnd"/>
      <w:r w:rsidRPr="00C36C77">
        <w:rPr>
          <w:i/>
        </w:rPr>
        <w:t xml:space="preserve"> Med</w:t>
      </w:r>
      <w:r>
        <w:t xml:space="preserve"> 2014, 3, 944-958.</w:t>
      </w:r>
    </w:p>
  </w:footnote>
  <w:footnote w:id="3">
    <w:p w14:paraId="2AE4CB1C" w14:textId="77777777" w:rsidR="00530CF5" w:rsidRDefault="00530CF5" w:rsidP="00DB1E9F">
      <w:pPr>
        <w:pStyle w:val="FootnoteText"/>
      </w:pPr>
      <w:r>
        <w:rPr>
          <w:rStyle w:val="FootnoteReference"/>
        </w:rPr>
        <w:footnoteRef/>
      </w:r>
      <w:r>
        <w:t xml:space="preserve"> </w:t>
      </w:r>
      <w:proofErr w:type="spellStart"/>
      <w:proofErr w:type="gramStart"/>
      <w:r>
        <w:t>Liamis</w:t>
      </w:r>
      <w:proofErr w:type="spellEnd"/>
      <w:r>
        <w:t xml:space="preserve"> G, Milionis H and </w:t>
      </w:r>
      <w:proofErr w:type="spellStart"/>
      <w:r>
        <w:t>Elisaf</w:t>
      </w:r>
      <w:proofErr w:type="spellEnd"/>
      <w:r>
        <w:t xml:space="preserve"> M</w:t>
      </w:r>
      <w:r w:rsidRPr="000A2CDC">
        <w:t>.</w:t>
      </w:r>
      <w:proofErr w:type="gramEnd"/>
      <w:r w:rsidRPr="000A2CDC">
        <w:t xml:space="preserve"> A Review of Drug-Induced Hyponatremia</w:t>
      </w:r>
      <w:r>
        <w:t xml:space="preserve"> </w:t>
      </w:r>
      <w:r w:rsidRPr="000A2CDC">
        <w:rPr>
          <w:i/>
        </w:rPr>
        <w:t>Am J Kidney Dis</w:t>
      </w:r>
      <w:r>
        <w:t xml:space="preserve"> 2008; 52: 144-153</w:t>
      </w:r>
    </w:p>
  </w:footnote>
  <w:footnote w:id="4">
    <w:p w14:paraId="2650AEC4" w14:textId="77777777" w:rsidR="00530CF5" w:rsidRDefault="00530CF5" w:rsidP="00DB1E9F">
      <w:pPr>
        <w:pStyle w:val="FootnoteText"/>
      </w:pPr>
      <w:r>
        <w:rPr>
          <w:rStyle w:val="FootnoteReference"/>
        </w:rPr>
        <w:footnoteRef/>
      </w:r>
      <w:r>
        <w:t xml:space="preserve"> </w:t>
      </w:r>
      <w:proofErr w:type="spellStart"/>
      <w:r>
        <w:t>Michelis</w:t>
      </w:r>
      <w:proofErr w:type="spellEnd"/>
      <w:r>
        <w:t xml:space="preserve"> M. Chapter 16, Geriatric Nephrology – online curricula of the American Society Nephrology available at </w:t>
      </w:r>
      <w:r w:rsidRPr="008911C4">
        <w:t>https://www.asn-online.org/education/distancelearning/curricula/geriatrics/Chapter16.pdf</w:t>
      </w:r>
    </w:p>
  </w:footnote>
  <w:footnote w:id="5">
    <w:p w14:paraId="004D5486" w14:textId="77777777" w:rsidR="00530CF5" w:rsidRPr="00313252" w:rsidRDefault="00530CF5">
      <w:pPr>
        <w:pStyle w:val="FootnoteText"/>
        <w:rPr>
          <w:lang w:val="en-US"/>
        </w:rPr>
      </w:pPr>
      <w:r>
        <w:rPr>
          <w:rStyle w:val="FootnoteReference"/>
        </w:rPr>
        <w:footnoteRef/>
      </w:r>
      <w:r>
        <w:t xml:space="preserve"> </w:t>
      </w:r>
      <w:r w:rsidRPr="00313252">
        <w:t>Yamaguchi, O et al Gender difference in efficacy and dose response in Japanese Patients with nocturia treated with four different doses of desmopressin orally disintegrating tablet in a rando</w:t>
      </w:r>
      <w:r>
        <w:t xml:space="preserve">mized Placebo-controlled trial. </w:t>
      </w:r>
      <w:r w:rsidRPr="000A2CDC">
        <w:rPr>
          <w:i/>
        </w:rPr>
        <w:t>BJU Int.</w:t>
      </w:r>
      <w:r w:rsidRPr="00313252">
        <w:t xml:space="preserve"> 2013 ;111:474-484</w:t>
      </w:r>
    </w:p>
  </w:footnote>
  <w:footnote w:id="6">
    <w:p w14:paraId="31B03873" w14:textId="77777777" w:rsidR="00530CF5" w:rsidRPr="000120D8" w:rsidRDefault="00530CF5">
      <w:pPr>
        <w:pStyle w:val="FootnoteText"/>
        <w:rPr>
          <w:lang w:val="en-US"/>
        </w:rPr>
      </w:pPr>
      <w:r>
        <w:rPr>
          <w:rStyle w:val="FootnoteReference"/>
        </w:rPr>
        <w:footnoteRef/>
      </w:r>
      <w:r>
        <w:t xml:space="preserve"> </w:t>
      </w:r>
      <w:proofErr w:type="spellStart"/>
      <w:r w:rsidRPr="00A22970">
        <w:t>Michelis</w:t>
      </w:r>
      <w:proofErr w:type="spellEnd"/>
      <w:r w:rsidRPr="00A22970">
        <w:t xml:space="preserve"> M. Chapter 16, Geriatric Nephrology – online curricula of the American Society Nephrology available at https://www.asn-online.org/education/distancelearning/curricula/geriatrics/Chapter16</w:t>
      </w:r>
      <w:r>
        <w:t>.pdf</w:t>
      </w:r>
    </w:p>
  </w:footnote>
  <w:footnote w:id="7">
    <w:p w14:paraId="50726E37" w14:textId="77777777" w:rsidR="00530CF5" w:rsidRPr="00F12CEE" w:rsidRDefault="00530CF5">
      <w:pPr>
        <w:pStyle w:val="FootnoteText"/>
        <w:rPr>
          <w:lang w:val="da-DK"/>
        </w:rPr>
      </w:pPr>
      <w:r>
        <w:rPr>
          <w:rStyle w:val="FootnoteReference"/>
        </w:rPr>
        <w:footnoteRef/>
      </w:r>
      <w:r w:rsidRPr="00F12CEE">
        <w:rPr>
          <w:lang w:val="da-DK"/>
        </w:rPr>
        <w:t xml:space="preserve"> Abraham L et al. Urology 2004;63:481-486</w:t>
      </w:r>
    </w:p>
  </w:footnote>
  <w:footnote w:id="8">
    <w:p w14:paraId="50FB256C" w14:textId="77777777" w:rsidR="00530CF5" w:rsidRPr="00F12CEE" w:rsidRDefault="00530CF5">
      <w:pPr>
        <w:pStyle w:val="FootnoteText"/>
        <w:rPr>
          <w:lang w:val="da-DK"/>
        </w:rPr>
      </w:pPr>
      <w:r>
        <w:rPr>
          <w:rStyle w:val="FootnoteReference"/>
        </w:rPr>
        <w:footnoteRef/>
      </w:r>
      <w:r w:rsidRPr="00F12CEE">
        <w:rPr>
          <w:lang w:val="da-DK"/>
        </w:rPr>
        <w:t xml:space="preserve"> Mock LL et al. Urology 2008;72:736-743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BBE9B" w14:textId="77777777" w:rsidR="00530CF5" w:rsidRDefault="00530CF5"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87D89" w14:textId="77777777" w:rsidR="00530CF5" w:rsidRDefault="00530CF5">
    <w:pPr>
      <w:rPr>
        <w:noProof/>
        <w:lang w:eastAsia="en-AU"/>
      </w:rPr>
    </w:pPr>
    <w:r w:rsidRPr="002D545C">
      <w:rPr>
        <w:noProof/>
        <w:lang w:eastAsia="en-AU"/>
      </w:rPr>
      <w:drawing>
        <wp:anchor distT="0" distB="0" distL="114300" distR="114300" simplePos="0" relativeHeight="251659264" behindDoc="1" locked="0" layoutInCell="1" allowOverlap="1" wp14:anchorId="7AE617C1" wp14:editId="682A53D4">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4314C630" w14:textId="77777777" w:rsidR="00530CF5" w:rsidRDefault="00530CF5" w:rsidP="00593AD1">
    <w:pPr>
      <w:pStyle w:val="HeaderNoLine"/>
    </w:pPr>
    <w:r>
      <w:rPr>
        <w:noProof/>
        <w:lang w:eastAsia="en-AU"/>
      </w:rPr>
      <w:drawing>
        <wp:inline distT="0" distB="0" distL="0" distR="0" wp14:anchorId="3ADECAA7" wp14:editId="10112BF5">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0D948" w14:textId="77777777" w:rsidR="00530CF5" w:rsidRDefault="00530CF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D4871" w14:textId="77777777" w:rsidR="00530CF5" w:rsidRDefault="00530CF5">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B445A" w14:textId="77777777" w:rsidR="00530CF5" w:rsidRDefault="00530CF5">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8A01A" w14:textId="77777777" w:rsidR="00530CF5" w:rsidRDefault="00530CF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FD092" w14:textId="77777777" w:rsidR="00530CF5" w:rsidRDefault="00530CF5"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547D3" w14:textId="77777777" w:rsidR="00530CF5" w:rsidRDefault="00530CF5" w:rsidP="006E08B3">
    <w:r>
      <w:t>Therapeutic Goods Administration</w:t>
    </w:r>
  </w:p>
  <w:p w14:paraId="5CD118C8" w14:textId="77777777" w:rsidR="00530CF5" w:rsidRDefault="00530CF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F363DE8"/>
    <w:lvl w:ilvl="0">
      <w:start w:val="1"/>
      <w:numFmt w:val="decimal"/>
      <w:lvlText w:val="%1."/>
      <w:lvlJc w:val="left"/>
      <w:pPr>
        <w:tabs>
          <w:tab w:val="num" w:pos="1492"/>
        </w:tabs>
        <w:ind w:left="1492" w:hanging="360"/>
      </w:pPr>
    </w:lvl>
  </w:abstractNum>
  <w:abstractNum w:abstractNumId="1">
    <w:nsid w:val="FFFFFF7D"/>
    <w:multiLevelType w:val="singleLevel"/>
    <w:tmpl w:val="1D12B022"/>
    <w:lvl w:ilvl="0">
      <w:start w:val="1"/>
      <w:numFmt w:val="decimal"/>
      <w:lvlText w:val="%1."/>
      <w:lvlJc w:val="left"/>
      <w:pPr>
        <w:tabs>
          <w:tab w:val="num" w:pos="1209"/>
        </w:tabs>
        <w:ind w:left="1209" w:hanging="360"/>
      </w:pPr>
    </w:lvl>
  </w:abstractNum>
  <w:abstractNum w:abstractNumId="2">
    <w:nsid w:val="FFFFFF7E"/>
    <w:multiLevelType w:val="singleLevel"/>
    <w:tmpl w:val="DAD0F256"/>
    <w:lvl w:ilvl="0">
      <w:start w:val="1"/>
      <w:numFmt w:val="decimal"/>
      <w:lvlText w:val="%1."/>
      <w:lvlJc w:val="left"/>
      <w:pPr>
        <w:tabs>
          <w:tab w:val="num" w:pos="926"/>
        </w:tabs>
        <w:ind w:left="926" w:hanging="360"/>
      </w:pPr>
    </w:lvl>
  </w:abstractNum>
  <w:abstractNum w:abstractNumId="3">
    <w:nsid w:val="FFFFFF7F"/>
    <w:multiLevelType w:val="singleLevel"/>
    <w:tmpl w:val="0C84A048"/>
    <w:lvl w:ilvl="0">
      <w:start w:val="1"/>
      <w:numFmt w:val="decimal"/>
      <w:lvlText w:val="%1."/>
      <w:lvlJc w:val="left"/>
      <w:pPr>
        <w:tabs>
          <w:tab w:val="num" w:pos="643"/>
        </w:tabs>
        <w:ind w:left="643" w:hanging="360"/>
      </w:pPr>
    </w:lvl>
  </w:abstractNum>
  <w:abstractNum w:abstractNumId="4">
    <w:nsid w:val="FFFFFF80"/>
    <w:multiLevelType w:val="singleLevel"/>
    <w:tmpl w:val="9800B90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F36EFEC"/>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E384C610"/>
    <w:lvl w:ilvl="0">
      <w:start w:val="1"/>
      <w:numFmt w:val="decimal"/>
      <w:lvlText w:val="%1."/>
      <w:lvlJc w:val="left"/>
      <w:pPr>
        <w:tabs>
          <w:tab w:val="num" w:pos="360"/>
        </w:tabs>
        <w:ind w:left="360" w:hanging="360"/>
      </w:pPr>
    </w:lvl>
  </w:abstractNum>
  <w:abstractNum w:abstractNumId="7">
    <w:nsid w:val="FFFFFF89"/>
    <w:multiLevelType w:val="singleLevel"/>
    <w:tmpl w:val="382C5F96"/>
    <w:lvl w:ilvl="0">
      <w:start w:val="1"/>
      <w:numFmt w:val="bullet"/>
      <w:lvlText w:val=""/>
      <w:lvlJc w:val="left"/>
      <w:pPr>
        <w:tabs>
          <w:tab w:val="num" w:pos="360"/>
        </w:tabs>
        <w:ind w:left="360" w:hanging="360"/>
      </w:pPr>
      <w:rPr>
        <w:rFonts w:ascii="Symbol" w:hAnsi="Symbol" w:hint="default"/>
      </w:rPr>
    </w:lvl>
  </w:abstractNum>
  <w:abstractNum w:abstractNumId="8">
    <w:nsid w:val="0E5F039D"/>
    <w:multiLevelType w:val="hybridMultilevel"/>
    <w:tmpl w:val="8D381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E881B8F"/>
    <w:multiLevelType w:val="hybridMultilevel"/>
    <w:tmpl w:val="F4808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927"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nsid w:val="3EB26A42"/>
    <w:multiLevelType w:val="multilevel"/>
    <w:tmpl w:val="17D24E6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518E7915"/>
    <w:multiLevelType w:val="hybridMultilevel"/>
    <w:tmpl w:val="F0686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E1F02D7"/>
    <w:multiLevelType w:val="multilevel"/>
    <w:tmpl w:val="A34AD7BA"/>
    <w:lvl w:ilvl="0">
      <w:start w:val="1"/>
      <w:numFmt w:val="decimal"/>
      <w:lvlText w:val="%1."/>
      <w:lvlJc w:val="left"/>
      <w:pPr>
        <w:ind w:left="360" w:hanging="360"/>
      </w:pPr>
      <w:rPr>
        <w:rFonts w:hint="default"/>
        <w:u w:val="single"/>
      </w:rPr>
    </w:lvl>
    <w:lvl w:ilvl="1">
      <w:start w:val="1"/>
      <w:numFmt w:val="decimal"/>
      <w:isLgl/>
      <w:lvlText w:val="%1.%2."/>
      <w:lvlJc w:val="left"/>
      <w:pPr>
        <w:ind w:left="360" w:hanging="360"/>
      </w:pPr>
      <w:rPr>
        <w:rFonts w:hint="default"/>
        <w:i/>
        <w:u w:val="single"/>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6CE44809"/>
    <w:multiLevelType w:val="hybridMultilevel"/>
    <w:tmpl w:val="820ED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248"/>
        </w:tabs>
        <w:ind w:left="1248"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11"/>
  </w:num>
  <w:num w:numId="2">
    <w:abstractNumId w:val="10"/>
  </w:num>
  <w:num w:numId="3">
    <w:abstractNumId w:val="11"/>
  </w:num>
  <w:num w:numId="4">
    <w:abstractNumId w:val="1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6"/>
  </w:num>
  <w:num w:numId="6">
    <w:abstractNumId w:val="16"/>
  </w:num>
  <w:num w:numId="7">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12"/>
  </w:num>
  <w:num w:numId="9">
    <w:abstractNumId w:val="14"/>
  </w:num>
  <w:num w:numId="10">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1">
    <w:abstractNumId w:val="9"/>
  </w:num>
  <w:num w:numId="12">
    <w:abstractNumId w:val="8"/>
  </w:num>
  <w:num w:numId="13">
    <w:abstractNumId w:val="13"/>
  </w:num>
  <w:num w:numId="14">
    <w:abstractNumId w:val="15"/>
  </w:num>
  <w:num w:numId="15">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7"/>
  </w:num>
  <w:num w:numId="17">
    <w:abstractNumId w:val="5"/>
  </w:num>
  <w:num w:numId="18">
    <w:abstractNumId w:val="4"/>
  </w:num>
  <w:num w:numId="19">
    <w:abstractNumId w:val="6"/>
  </w:num>
  <w:num w:numId="20">
    <w:abstractNumId w:val="3"/>
  </w:num>
  <w:num w:numId="21">
    <w:abstractNumId w:val="2"/>
  </w:num>
  <w:num w:numId="22">
    <w:abstractNumId w:val="1"/>
  </w:num>
  <w:num w:numId="23">
    <w:abstractNumId w:val="0"/>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reisiger, Ruth">
    <w15:presenceInfo w15:providerId="AD" w15:userId="S-1-5-21-606747145-2049760794-682003330-20702"/>
  </w15:person>
  <w15:person w15:author="Greisiger, Ruth">
    <w15:presenceInfo w15:providerId="AD" w15:userId="S-1-5-21-606747145-2049760794-682003330-20702"/>
  </w15:person>
  <w15:person w15:author="Nielsen, Kathrine Østergaard">
    <w15:presenceInfo w15:providerId="None" w15:userId="Nielsen, Kathrine Østergaar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activeWritingStyle w:appName="MSWord" w:lang="da-DK" w:vendorID="64" w:dllVersion="131078" w:nlCheck="1" w:checkStyle="0"/>
  <w:activeWritingStyle w:appName="MSWord" w:lang="en-AU" w:vendorID="64" w:dllVersion="131078" w:nlCheck="1" w:checkStyle="1"/>
  <w:activeWritingStyle w:appName="MSWord" w:lang="en-GB" w:vendorID="64" w:dllVersion="131078" w:nlCheck="1" w:checkStyle="1"/>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6CB"/>
    <w:rsid w:val="0000079B"/>
    <w:rsid w:val="00002031"/>
    <w:rsid w:val="00004734"/>
    <w:rsid w:val="00006B22"/>
    <w:rsid w:val="000120D8"/>
    <w:rsid w:val="0001276A"/>
    <w:rsid w:val="000246AE"/>
    <w:rsid w:val="00025C67"/>
    <w:rsid w:val="000335D7"/>
    <w:rsid w:val="00040ACB"/>
    <w:rsid w:val="00044B6C"/>
    <w:rsid w:val="0005559E"/>
    <w:rsid w:val="000609FD"/>
    <w:rsid w:val="00064917"/>
    <w:rsid w:val="00077775"/>
    <w:rsid w:val="00090471"/>
    <w:rsid w:val="0009128F"/>
    <w:rsid w:val="00094728"/>
    <w:rsid w:val="00097B5E"/>
    <w:rsid w:val="000A13DB"/>
    <w:rsid w:val="000A2CDC"/>
    <w:rsid w:val="000A3AED"/>
    <w:rsid w:val="000A63AF"/>
    <w:rsid w:val="000B3532"/>
    <w:rsid w:val="000B3A75"/>
    <w:rsid w:val="000C690F"/>
    <w:rsid w:val="000D1295"/>
    <w:rsid w:val="000D391B"/>
    <w:rsid w:val="000D3D6D"/>
    <w:rsid w:val="000D4FC7"/>
    <w:rsid w:val="000F02F9"/>
    <w:rsid w:val="000F4869"/>
    <w:rsid w:val="000F5B42"/>
    <w:rsid w:val="000F6E6F"/>
    <w:rsid w:val="000F7682"/>
    <w:rsid w:val="0010193C"/>
    <w:rsid w:val="00104613"/>
    <w:rsid w:val="0010601F"/>
    <w:rsid w:val="0010788A"/>
    <w:rsid w:val="00107A31"/>
    <w:rsid w:val="00110EA5"/>
    <w:rsid w:val="00112F56"/>
    <w:rsid w:val="0012505A"/>
    <w:rsid w:val="00125318"/>
    <w:rsid w:val="001305A2"/>
    <w:rsid w:val="00133238"/>
    <w:rsid w:val="0014197B"/>
    <w:rsid w:val="001447CD"/>
    <w:rsid w:val="001516B1"/>
    <w:rsid w:val="00154EBB"/>
    <w:rsid w:val="00156316"/>
    <w:rsid w:val="00156C51"/>
    <w:rsid w:val="00165389"/>
    <w:rsid w:val="0017078F"/>
    <w:rsid w:val="00176924"/>
    <w:rsid w:val="0017693F"/>
    <w:rsid w:val="0018110E"/>
    <w:rsid w:val="00181684"/>
    <w:rsid w:val="001843C6"/>
    <w:rsid w:val="001850E0"/>
    <w:rsid w:val="001A2158"/>
    <w:rsid w:val="001A525F"/>
    <w:rsid w:val="001B09F9"/>
    <w:rsid w:val="001B5D98"/>
    <w:rsid w:val="001B6448"/>
    <w:rsid w:val="001B789E"/>
    <w:rsid w:val="001C657B"/>
    <w:rsid w:val="001E07CF"/>
    <w:rsid w:val="001E3EF1"/>
    <w:rsid w:val="001E59F1"/>
    <w:rsid w:val="001F497A"/>
    <w:rsid w:val="001F49EB"/>
    <w:rsid w:val="001F53AC"/>
    <w:rsid w:val="001F6CBA"/>
    <w:rsid w:val="00201D4E"/>
    <w:rsid w:val="00206542"/>
    <w:rsid w:val="002076C9"/>
    <w:rsid w:val="00220B8A"/>
    <w:rsid w:val="002214E9"/>
    <w:rsid w:val="002257F3"/>
    <w:rsid w:val="00233456"/>
    <w:rsid w:val="002339A5"/>
    <w:rsid w:val="00257848"/>
    <w:rsid w:val="002666AC"/>
    <w:rsid w:val="00266CAD"/>
    <w:rsid w:val="0027084A"/>
    <w:rsid w:val="002773F7"/>
    <w:rsid w:val="00283829"/>
    <w:rsid w:val="00286434"/>
    <w:rsid w:val="00286C59"/>
    <w:rsid w:val="00291DD1"/>
    <w:rsid w:val="00292113"/>
    <w:rsid w:val="002942D1"/>
    <w:rsid w:val="0029501A"/>
    <w:rsid w:val="002B1638"/>
    <w:rsid w:val="002B7941"/>
    <w:rsid w:val="002C5D89"/>
    <w:rsid w:val="002C63ED"/>
    <w:rsid w:val="002D545C"/>
    <w:rsid w:val="002D6161"/>
    <w:rsid w:val="002E1AE7"/>
    <w:rsid w:val="002E4C9A"/>
    <w:rsid w:val="002F11F8"/>
    <w:rsid w:val="002F3F56"/>
    <w:rsid w:val="002F44B5"/>
    <w:rsid w:val="00311AC0"/>
    <w:rsid w:val="00313252"/>
    <w:rsid w:val="0032583B"/>
    <w:rsid w:val="00327883"/>
    <w:rsid w:val="003300CB"/>
    <w:rsid w:val="00335504"/>
    <w:rsid w:val="003521E8"/>
    <w:rsid w:val="003728F3"/>
    <w:rsid w:val="0037496E"/>
    <w:rsid w:val="0037623D"/>
    <w:rsid w:val="00384F3E"/>
    <w:rsid w:val="00386150"/>
    <w:rsid w:val="003863C1"/>
    <w:rsid w:val="003874CE"/>
    <w:rsid w:val="00390900"/>
    <w:rsid w:val="00396C92"/>
    <w:rsid w:val="003A7F6C"/>
    <w:rsid w:val="003B1113"/>
    <w:rsid w:val="003B4D60"/>
    <w:rsid w:val="003B634F"/>
    <w:rsid w:val="003B7E39"/>
    <w:rsid w:val="003C3E01"/>
    <w:rsid w:val="003C58DC"/>
    <w:rsid w:val="003D0A3B"/>
    <w:rsid w:val="003D1E62"/>
    <w:rsid w:val="003E2486"/>
    <w:rsid w:val="003E3208"/>
    <w:rsid w:val="003F0B04"/>
    <w:rsid w:val="0040134E"/>
    <w:rsid w:val="00415D59"/>
    <w:rsid w:val="0042290A"/>
    <w:rsid w:val="0043797D"/>
    <w:rsid w:val="00440A2D"/>
    <w:rsid w:val="00447A94"/>
    <w:rsid w:val="004564A7"/>
    <w:rsid w:val="004617BF"/>
    <w:rsid w:val="00463658"/>
    <w:rsid w:val="004722CC"/>
    <w:rsid w:val="004936E4"/>
    <w:rsid w:val="00494E60"/>
    <w:rsid w:val="00497487"/>
    <w:rsid w:val="004A7B79"/>
    <w:rsid w:val="004A7E13"/>
    <w:rsid w:val="004B48CF"/>
    <w:rsid w:val="004B7B76"/>
    <w:rsid w:val="004C2DCA"/>
    <w:rsid w:val="004E68C7"/>
    <w:rsid w:val="004F0F38"/>
    <w:rsid w:val="004F4AF5"/>
    <w:rsid w:val="00501921"/>
    <w:rsid w:val="0052132B"/>
    <w:rsid w:val="00527C82"/>
    <w:rsid w:val="00530354"/>
    <w:rsid w:val="00530CF5"/>
    <w:rsid w:val="0053625B"/>
    <w:rsid w:val="005434C6"/>
    <w:rsid w:val="00543B39"/>
    <w:rsid w:val="00550096"/>
    <w:rsid w:val="00557601"/>
    <w:rsid w:val="00557FF9"/>
    <w:rsid w:val="00576378"/>
    <w:rsid w:val="00577945"/>
    <w:rsid w:val="00577E38"/>
    <w:rsid w:val="00585322"/>
    <w:rsid w:val="005857C6"/>
    <w:rsid w:val="00586F98"/>
    <w:rsid w:val="00590C83"/>
    <w:rsid w:val="00592F6E"/>
    <w:rsid w:val="00593AD1"/>
    <w:rsid w:val="00593B18"/>
    <w:rsid w:val="005A68B6"/>
    <w:rsid w:val="005B5AFF"/>
    <w:rsid w:val="005C5570"/>
    <w:rsid w:val="005C79A4"/>
    <w:rsid w:val="005D4B3E"/>
    <w:rsid w:val="005D5442"/>
    <w:rsid w:val="005E3CBF"/>
    <w:rsid w:val="00603F32"/>
    <w:rsid w:val="00604B45"/>
    <w:rsid w:val="00605F08"/>
    <w:rsid w:val="006170F0"/>
    <w:rsid w:val="00620406"/>
    <w:rsid w:val="00632398"/>
    <w:rsid w:val="00640FC3"/>
    <w:rsid w:val="00642020"/>
    <w:rsid w:val="00646206"/>
    <w:rsid w:val="0065337B"/>
    <w:rsid w:val="0065419D"/>
    <w:rsid w:val="00657164"/>
    <w:rsid w:val="006604D8"/>
    <w:rsid w:val="006648C5"/>
    <w:rsid w:val="00664A5B"/>
    <w:rsid w:val="006763D2"/>
    <w:rsid w:val="00680C08"/>
    <w:rsid w:val="006926BB"/>
    <w:rsid w:val="006931B1"/>
    <w:rsid w:val="006945C7"/>
    <w:rsid w:val="006A15C0"/>
    <w:rsid w:val="006B4C50"/>
    <w:rsid w:val="006C130C"/>
    <w:rsid w:val="006C1631"/>
    <w:rsid w:val="006C2B44"/>
    <w:rsid w:val="006C3E2A"/>
    <w:rsid w:val="006C642F"/>
    <w:rsid w:val="006D03E5"/>
    <w:rsid w:val="006D5D3E"/>
    <w:rsid w:val="006E08B3"/>
    <w:rsid w:val="006F17AC"/>
    <w:rsid w:val="006F1D37"/>
    <w:rsid w:val="006F26D0"/>
    <w:rsid w:val="006F2796"/>
    <w:rsid w:val="006F572E"/>
    <w:rsid w:val="007046D6"/>
    <w:rsid w:val="00705DB0"/>
    <w:rsid w:val="007106D4"/>
    <w:rsid w:val="00722B57"/>
    <w:rsid w:val="00724227"/>
    <w:rsid w:val="00730774"/>
    <w:rsid w:val="0074253D"/>
    <w:rsid w:val="00743110"/>
    <w:rsid w:val="0074429B"/>
    <w:rsid w:val="007513B4"/>
    <w:rsid w:val="00760656"/>
    <w:rsid w:val="007615BC"/>
    <w:rsid w:val="00762F05"/>
    <w:rsid w:val="007652FF"/>
    <w:rsid w:val="00770EF1"/>
    <w:rsid w:val="00773EF7"/>
    <w:rsid w:val="00774E1D"/>
    <w:rsid w:val="0077675A"/>
    <w:rsid w:val="00780355"/>
    <w:rsid w:val="00785721"/>
    <w:rsid w:val="00793A59"/>
    <w:rsid w:val="007B6E9F"/>
    <w:rsid w:val="007C1216"/>
    <w:rsid w:val="007C1AF7"/>
    <w:rsid w:val="007C31DC"/>
    <w:rsid w:val="007E37F2"/>
    <w:rsid w:val="007E6BA0"/>
    <w:rsid w:val="007E6E27"/>
    <w:rsid w:val="007F3E00"/>
    <w:rsid w:val="0080062E"/>
    <w:rsid w:val="00805D27"/>
    <w:rsid w:val="00816E5C"/>
    <w:rsid w:val="00821776"/>
    <w:rsid w:val="008321F5"/>
    <w:rsid w:val="00832369"/>
    <w:rsid w:val="00834660"/>
    <w:rsid w:val="00835738"/>
    <w:rsid w:val="00836BC2"/>
    <w:rsid w:val="008414A0"/>
    <w:rsid w:val="0085641B"/>
    <w:rsid w:val="00857136"/>
    <w:rsid w:val="00865DF4"/>
    <w:rsid w:val="00886D15"/>
    <w:rsid w:val="00887DD8"/>
    <w:rsid w:val="0089022B"/>
    <w:rsid w:val="00896018"/>
    <w:rsid w:val="008960DD"/>
    <w:rsid w:val="0089635C"/>
    <w:rsid w:val="00896831"/>
    <w:rsid w:val="008A2B9D"/>
    <w:rsid w:val="008A5E0B"/>
    <w:rsid w:val="008A6D59"/>
    <w:rsid w:val="008B4B03"/>
    <w:rsid w:val="008B596F"/>
    <w:rsid w:val="008B5A3E"/>
    <w:rsid w:val="008C159F"/>
    <w:rsid w:val="008C1623"/>
    <w:rsid w:val="008C1850"/>
    <w:rsid w:val="008C29B9"/>
    <w:rsid w:val="008C51A9"/>
    <w:rsid w:val="008D5104"/>
    <w:rsid w:val="008D770F"/>
    <w:rsid w:val="008E7846"/>
    <w:rsid w:val="008F1CCC"/>
    <w:rsid w:val="008F2967"/>
    <w:rsid w:val="008F4B00"/>
    <w:rsid w:val="008F6943"/>
    <w:rsid w:val="008F69AF"/>
    <w:rsid w:val="00902A21"/>
    <w:rsid w:val="00906445"/>
    <w:rsid w:val="00911A18"/>
    <w:rsid w:val="00917F1B"/>
    <w:rsid w:val="00920330"/>
    <w:rsid w:val="009219D7"/>
    <w:rsid w:val="00922D53"/>
    <w:rsid w:val="00923B70"/>
    <w:rsid w:val="00924482"/>
    <w:rsid w:val="00930237"/>
    <w:rsid w:val="00933126"/>
    <w:rsid w:val="009438E8"/>
    <w:rsid w:val="0094614A"/>
    <w:rsid w:val="00946EA5"/>
    <w:rsid w:val="0095160F"/>
    <w:rsid w:val="00963C08"/>
    <w:rsid w:val="00981D66"/>
    <w:rsid w:val="0098585A"/>
    <w:rsid w:val="0098669D"/>
    <w:rsid w:val="00994C95"/>
    <w:rsid w:val="009A09BE"/>
    <w:rsid w:val="009A4CED"/>
    <w:rsid w:val="009A690D"/>
    <w:rsid w:val="009B1D12"/>
    <w:rsid w:val="009B416B"/>
    <w:rsid w:val="009C4BD5"/>
    <w:rsid w:val="009D7B77"/>
    <w:rsid w:val="009E0BB0"/>
    <w:rsid w:val="009E3FBB"/>
    <w:rsid w:val="00A07AB2"/>
    <w:rsid w:val="00A102E4"/>
    <w:rsid w:val="00A12C42"/>
    <w:rsid w:val="00A14DF7"/>
    <w:rsid w:val="00A22970"/>
    <w:rsid w:val="00A235D9"/>
    <w:rsid w:val="00A31FA7"/>
    <w:rsid w:val="00A3246D"/>
    <w:rsid w:val="00A32BE3"/>
    <w:rsid w:val="00A36FA7"/>
    <w:rsid w:val="00A475B7"/>
    <w:rsid w:val="00A47AF7"/>
    <w:rsid w:val="00A47C3E"/>
    <w:rsid w:val="00A50226"/>
    <w:rsid w:val="00A60BAD"/>
    <w:rsid w:val="00A964D1"/>
    <w:rsid w:val="00AA0ED0"/>
    <w:rsid w:val="00AA3499"/>
    <w:rsid w:val="00AA6C6C"/>
    <w:rsid w:val="00AC2B40"/>
    <w:rsid w:val="00AC2BB2"/>
    <w:rsid w:val="00AC2C3C"/>
    <w:rsid w:val="00AC512D"/>
    <w:rsid w:val="00AD48B6"/>
    <w:rsid w:val="00AE01C2"/>
    <w:rsid w:val="00AE65EB"/>
    <w:rsid w:val="00AE67A7"/>
    <w:rsid w:val="00AF1D94"/>
    <w:rsid w:val="00AF60C5"/>
    <w:rsid w:val="00B009C6"/>
    <w:rsid w:val="00B01548"/>
    <w:rsid w:val="00B02208"/>
    <w:rsid w:val="00B1425E"/>
    <w:rsid w:val="00B21D29"/>
    <w:rsid w:val="00B236BE"/>
    <w:rsid w:val="00B25034"/>
    <w:rsid w:val="00B275F4"/>
    <w:rsid w:val="00B33588"/>
    <w:rsid w:val="00B33863"/>
    <w:rsid w:val="00B3567E"/>
    <w:rsid w:val="00B377E5"/>
    <w:rsid w:val="00B37D17"/>
    <w:rsid w:val="00B4175E"/>
    <w:rsid w:val="00B452CE"/>
    <w:rsid w:val="00B54C25"/>
    <w:rsid w:val="00B61CB2"/>
    <w:rsid w:val="00B76B91"/>
    <w:rsid w:val="00B77EB1"/>
    <w:rsid w:val="00B811C6"/>
    <w:rsid w:val="00B85A87"/>
    <w:rsid w:val="00B92E08"/>
    <w:rsid w:val="00B94882"/>
    <w:rsid w:val="00B96EBE"/>
    <w:rsid w:val="00BA2CBE"/>
    <w:rsid w:val="00BC622A"/>
    <w:rsid w:val="00BD45E3"/>
    <w:rsid w:val="00BD7D55"/>
    <w:rsid w:val="00BE0A78"/>
    <w:rsid w:val="00BE32A6"/>
    <w:rsid w:val="00BE6252"/>
    <w:rsid w:val="00BE79F0"/>
    <w:rsid w:val="00BF046D"/>
    <w:rsid w:val="00BF1190"/>
    <w:rsid w:val="00BF3113"/>
    <w:rsid w:val="00BF5D04"/>
    <w:rsid w:val="00C05D0B"/>
    <w:rsid w:val="00C1164D"/>
    <w:rsid w:val="00C137CE"/>
    <w:rsid w:val="00C16861"/>
    <w:rsid w:val="00C22678"/>
    <w:rsid w:val="00C227BD"/>
    <w:rsid w:val="00C404A6"/>
    <w:rsid w:val="00C40A36"/>
    <w:rsid w:val="00C44419"/>
    <w:rsid w:val="00C45E7B"/>
    <w:rsid w:val="00C4625F"/>
    <w:rsid w:val="00C471B1"/>
    <w:rsid w:val="00C564A0"/>
    <w:rsid w:val="00C571E9"/>
    <w:rsid w:val="00C618F7"/>
    <w:rsid w:val="00C6316B"/>
    <w:rsid w:val="00C634A9"/>
    <w:rsid w:val="00C64586"/>
    <w:rsid w:val="00C648C4"/>
    <w:rsid w:val="00C70D53"/>
    <w:rsid w:val="00C73D0B"/>
    <w:rsid w:val="00C76F91"/>
    <w:rsid w:val="00C772FF"/>
    <w:rsid w:val="00C801AF"/>
    <w:rsid w:val="00C80256"/>
    <w:rsid w:val="00C811C0"/>
    <w:rsid w:val="00CB6BC0"/>
    <w:rsid w:val="00CC1B7C"/>
    <w:rsid w:val="00CC6C22"/>
    <w:rsid w:val="00CC727F"/>
    <w:rsid w:val="00CD1D58"/>
    <w:rsid w:val="00CD386D"/>
    <w:rsid w:val="00CF15C3"/>
    <w:rsid w:val="00CF2B6F"/>
    <w:rsid w:val="00CF58B6"/>
    <w:rsid w:val="00D017ED"/>
    <w:rsid w:val="00D040D3"/>
    <w:rsid w:val="00D04C65"/>
    <w:rsid w:val="00D224FE"/>
    <w:rsid w:val="00D33641"/>
    <w:rsid w:val="00D45788"/>
    <w:rsid w:val="00D53A31"/>
    <w:rsid w:val="00D578E9"/>
    <w:rsid w:val="00D6493E"/>
    <w:rsid w:val="00D7301E"/>
    <w:rsid w:val="00D83AE1"/>
    <w:rsid w:val="00D84342"/>
    <w:rsid w:val="00D855D4"/>
    <w:rsid w:val="00D87961"/>
    <w:rsid w:val="00D92CA8"/>
    <w:rsid w:val="00D93466"/>
    <w:rsid w:val="00DA1124"/>
    <w:rsid w:val="00DA23AC"/>
    <w:rsid w:val="00DA7DA2"/>
    <w:rsid w:val="00DB1E9F"/>
    <w:rsid w:val="00DB75B7"/>
    <w:rsid w:val="00DC156B"/>
    <w:rsid w:val="00DC6E02"/>
    <w:rsid w:val="00DD7AA8"/>
    <w:rsid w:val="00DE02AE"/>
    <w:rsid w:val="00DF1D7F"/>
    <w:rsid w:val="00DF3E8B"/>
    <w:rsid w:val="00DF4BE4"/>
    <w:rsid w:val="00E02FB4"/>
    <w:rsid w:val="00E07F15"/>
    <w:rsid w:val="00E166CB"/>
    <w:rsid w:val="00E20571"/>
    <w:rsid w:val="00E235F7"/>
    <w:rsid w:val="00E23659"/>
    <w:rsid w:val="00E239D4"/>
    <w:rsid w:val="00E26130"/>
    <w:rsid w:val="00E2741C"/>
    <w:rsid w:val="00E40AD4"/>
    <w:rsid w:val="00E40B22"/>
    <w:rsid w:val="00E410CE"/>
    <w:rsid w:val="00E45619"/>
    <w:rsid w:val="00E4588F"/>
    <w:rsid w:val="00E46DA3"/>
    <w:rsid w:val="00E51BB1"/>
    <w:rsid w:val="00E5304C"/>
    <w:rsid w:val="00E624A5"/>
    <w:rsid w:val="00E7219C"/>
    <w:rsid w:val="00E7344E"/>
    <w:rsid w:val="00E7598B"/>
    <w:rsid w:val="00E77B22"/>
    <w:rsid w:val="00E80AF5"/>
    <w:rsid w:val="00E86169"/>
    <w:rsid w:val="00E87BB3"/>
    <w:rsid w:val="00E936E3"/>
    <w:rsid w:val="00E938F0"/>
    <w:rsid w:val="00E979F4"/>
    <w:rsid w:val="00EA2517"/>
    <w:rsid w:val="00EB0798"/>
    <w:rsid w:val="00EB40AD"/>
    <w:rsid w:val="00EB586E"/>
    <w:rsid w:val="00EB5FC8"/>
    <w:rsid w:val="00ED3CAD"/>
    <w:rsid w:val="00ED5A41"/>
    <w:rsid w:val="00ED7178"/>
    <w:rsid w:val="00EE0867"/>
    <w:rsid w:val="00EE1DE8"/>
    <w:rsid w:val="00F033EC"/>
    <w:rsid w:val="00F04F68"/>
    <w:rsid w:val="00F12670"/>
    <w:rsid w:val="00F12CEE"/>
    <w:rsid w:val="00F14B27"/>
    <w:rsid w:val="00F3148D"/>
    <w:rsid w:val="00F325C5"/>
    <w:rsid w:val="00F32FE0"/>
    <w:rsid w:val="00F35298"/>
    <w:rsid w:val="00F4456B"/>
    <w:rsid w:val="00F47333"/>
    <w:rsid w:val="00F47E37"/>
    <w:rsid w:val="00F53C07"/>
    <w:rsid w:val="00F54B65"/>
    <w:rsid w:val="00F640B6"/>
    <w:rsid w:val="00F80E40"/>
    <w:rsid w:val="00F848D9"/>
    <w:rsid w:val="00F91A15"/>
    <w:rsid w:val="00FA5B82"/>
    <w:rsid w:val="00FA639E"/>
    <w:rsid w:val="00FA6A33"/>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8DD4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94882"/>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30774"/>
    <w:pPr>
      <w:keepNext/>
      <w:spacing w:after="60" w:line="180" w:lineRule="atLeast"/>
      <w:ind w:left="397"/>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730774"/>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30774"/>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table">
    <w:name w:val="table"/>
    <w:basedOn w:val="Normal"/>
    <w:qFormat/>
    <w:rsid w:val="001E3EF1"/>
    <w:pPr>
      <w:adjustRightInd w:val="0"/>
      <w:snapToGrid w:val="0"/>
      <w:spacing w:before="0" w:after="0" w:line="240" w:lineRule="auto"/>
    </w:pPr>
    <w:rPr>
      <w:rFonts w:ascii="Times New Roman" w:eastAsia="MS Mincho" w:hAnsi="Times New Roman"/>
      <w:sz w:val="18"/>
      <w:szCs w:val="20"/>
      <w:lang w:eastAsia="ja-JP"/>
    </w:rPr>
  </w:style>
  <w:style w:type="paragraph" w:styleId="NoSpacing">
    <w:name w:val="No Spacing"/>
    <w:uiPriority w:val="1"/>
    <w:qFormat/>
    <w:rsid w:val="001E3EF1"/>
    <w:pPr>
      <w:spacing w:after="0" w:line="240" w:lineRule="auto"/>
    </w:pPr>
    <w:rPr>
      <w:rFonts w:ascii="Times New Roman" w:hAnsi="Times New Roman"/>
      <w:sz w:val="24"/>
    </w:rPr>
  </w:style>
  <w:style w:type="paragraph" w:styleId="FootnoteText">
    <w:name w:val="footnote text"/>
    <w:basedOn w:val="Normal"/>
    <w:link w:val="FootnoteTextChar"/>
    <w:uiPriority w:val="99"/>
    <w:semiHidden/>
    <w:unhideWhenUsed/>
    <w:rsid w:val="00DB1E9F"/>
    <w:pPr>
      <w:spacing w:before="0"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DB1E9F"/>
    <w:rPr>
      <w:sz w:val="20"/>
      <w:szCs w:val="20"/>
    </w:rPr>
  </w:style>
  <w:style w:type="character" w:styleId="FootnoteReference">
    <w:name w:val="footnote reference"/>
    <w:basedOn w:val="DefaultParagraphFont"/>
    <w:uiPriority w:val="99"/>
    <w:semiHidden/>
    <w:unhideWhenUsed/>
    <w:rsid w:val="00DB1E9F"/>
    <w:rPr>
      <w:vertAlign w:val="superscript"/>
    </w:rPr>
  </w:style>
  <w:style w:type="paragraph" w:customStyle="1" w:styleId="Default">
    <w:name w:val="Default"/>
    <w:rsid w:val="005B5AFF"/>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94882"/>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30774"/>
    <w:pPr>
      <w:keepNext/>
      <w:spacing w:after="60" w:line="180" w:lineRule="atLeast"/>
      <w:ind w:left="397"/>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730774"/>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30774"/>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table">
    <w:name w:val="table"/>
    <w:basedOn w:val="Normal"/>
    <w:qFormat/>
    <w:rsid w:val="001E3EF1"/>
    <w:pPr>
      <w:adjustRightInd w:val="0"/>
      <w:snapToGrid w:val="0"/>
      <w:spacing w:before="0" w:after="0" w:line="240" w:lineRule="auto"/>
    </w:pPr>
    <w:rPr>
      <w:rFonts w:ascii="Times New Roman" w:eastAsia="MS Mincho" w:hAnsi="Times New Roman"/>
      <w:sz w:val="18"/>
      <w:szCs w:val="20"/>
      <w:lang w:eastAsia="ja-JP"/>
    </w:rPr>
  </w:style>
  <w:style w:type="paragraph" w:styleId="NoSpacing">
    <w:name w:val="No Spacing"/>
    <w:uiPriority w:val="1"/>
    <w:qFormat/>
    <w:rsid w:val="001E3EF1"/>
    <w:pPr>
      <w:spacing w:after="0" w:line="240" w:lineRule="auto"/>
    </w:pPr>
    <w:rPr>
      <w:rFonts w:ascii="Times New Roman" w:hAnsi="Times New Roman"/>
      <w:sz w:val="24"/>
    </w:rPr>
  </w:style>
  <w:style w:type="paragraph" w:styleId="FootnoteText">
    <w:name w:val="footnote text"/>
    <w:basedOn w:val="Normal"/>
    <w:link w:val="FootnoteTextChar"/>
    <w:uiPriority w:val="99"/>
    <w:semiHidden/>
    <w:unhideWhenUsed/>
    <w:rsid w:val="00DB1E9F"/>
    <w:pPr>
      <w:spacing w:before="0"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DB1E9F"/>
    <w:rPr>
      <w:sz w:val="20"/>
      <w:szCs w:val="20"/>
    </w:rPr>
  </w:style>
  <w:style w:type="character" w:styleId="FootnoteReference">
    <w:name w:val="footnote reference"/>
    <w:basedOn w:val="DefaultParagraphFont"/>
    <w:uiPriority w:val="99"/>
    <w:semiHidden/>
    <w:unhideWhenUsed/>
    <w:rsid w:val="00DB1E9F"/>
    <w:rPr>
      <w:vertAlign w:val="superscript"/>
    </w:rPr>
  </w:style>
  <w:style w:type="paragraph" w:customStyle="1" w:styleId="Default">
    <w:name w:val="Default"/>
    <w:rsid w:val="005B5AF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header" Target="header4.xml"/><Relationship Id="rId76" Type="http://schemas.openxmlformats.org/officeDocument/2006/relationships/header" Target="header8.xml"/><Relationship Id="rId84" Type="http://schemas.microsoft.com/office/2011/relationships/people" Target="people.xml"/><Relationship Id="rId7" Type="http://schemas.openxmlformats.org/officeDocument/2006/relationships/footnotes" Target="footnotes.xml"/><Relationship Id="rId71" Type="http://schemas.openxmlformats.org/officeDocument/2006/relationships/hyperlink" Target="mailto:info@tga.gov.au"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header" Target="header7.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9.png"/><Relationship Id="rId82" Type="http://schemas.microsoft.com/office/2011/relationships/commentsExtended" Target="commentsExtended.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header" Target="header6.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eader" Target="header5.xml"/><Relationship Id="rId77"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hyperlink" Target="https://www.tga.gov.au"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eader" Target="header3.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footer" Target="footer2.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8136\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40C5F-86A7-45F0-8729-4E05DC33F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108</TotalTime>
  <Pages>61</Pages>
  <Words>15650</Words>
  <Characters>83262</Characters>
  <Application>Microsoft Office Word</Application>
  <DocSecurity>0</DocSecurity>
  <Lines>1982</Lines>
  <Paragraphs>1336</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Desmopressin</vt:lpstr>
    </vt:vector>
  </TitlesOfParts>
  <Company>TGA</Company>
  <LinksUpToDate>false</LinksUpToDate>
  <CharactersWithSpaces>97576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Desmopressin</dc:title>
  <dc:subject>Prescription medicines</dc:subject>
  <dc:creator>Therapeutic Goods Administration</dc:creator>
  <cp:keywords>AusPARs</cp:keywords>
  <cp:lastModifiedBy>SHEPPARD, Fran</cp:lastModifiedBy>
  <cp:revision>12</cp:revision>
  <cp:lastPrinted>2015-09-22T23:53:00Z</cp:lastPrinted>
  <dcterms:created xsi:type="dcterms:W3CDTF">2017-11-26T23:20:00Z</dcterms:created>
  <dcterms:modified xsi:type="dcterms:W3CDTF">2017-12-11T23:47:00Z</dcterms:modified>
</cp:coreProperties>
</file>