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43C" w:rsidRPr="00051DD7" w:rsidRDefault="00AA55E4" w:rsidP="00BE741B">
      <w:pPr>
        <w:pStyle w:val="Heading1"/>
      </w:pPr>
      <w:bookmarkStart w:id="0" w:name="_GoBack"/>
      <w:bookmarkEnd w:id="0"/>
      <w:r>
        <w:t>OZURDEX</w:t>
      </w:r>
      <w:r w:rsidR="0088143C" w:rsidRPr="00051DD7">
        <w:rPr>
          <w:vertAlign w:val="superscript"/>
        </w:rPr>
        <w:t>®</w:t>
      </w:r>
      <w:r w:rsidR="0088143C" w:rsidRPr="00051DD7">
        <w:t xml:space="preserve"> </w:t>
      </w:r>
      <w:r>
        <w:t>(dexamethasone) 700 µg implan</w:t>
      </w:r>
      <w:r w:rsidR="00456488">
        <w:t>t</w:t>
      </w:r>
    </w:p>
    <w:p w:rsidR="0088143C" w:rsidRDefault="0088143C" w:rsidP="00843810">
      <w:pPr>
        <w:jc w:val="both"/>
        <w:rPr>
          <w:rFonts w:ascii="Arial" w:hAnsi="Arial"/>
          <w:sz w:val="22"/>
          <w:lang w:val="en-GB"/>
        </w:rPr>
      </w:pPr>
    </w:p>
    <w:p w:rsidR="0088143C" w:rsidRDefault="0088143C" w:rsidP="00BE741B">
      <w:pPr>
        <w:pStyle w:val="Heading1"/>
      </w:pPr>
      <w:r>
        <w:t xml:space="preserve">NAME OF THE </w:t>
      </w:r>
      <w:r w:rsidR="00051DD7">
        <w:t>MEDICINE</w:t>
      </w:r>
    </w:p>
    <w:p w:rsidR="0088143C" w:rsidRDefault="0088143C" w:rsidP="00843810">
      <w:pPr>
        <w:jc w:val="both"/>
        <w:rPr>
          <w:lang w:val="en-GB"/>
        </w:rPr>
      </w:pPr>
      <w:r>
        <w:rPr>
          <w:lang w:val="en-GB"/>
        </w:rPr>
        <w:t xml:space="preserve">The active constituent of </w:t>
      </w:r>
      <w:r w:rsidR="00AA55E4">
        <w:rPr>
          <w:rFonts w:ascii="Times" w:hAnsi="Times"/>
          <w:lang w:val="en-GB"/>
        </w:rPr>
        <w:t>OZURDEX</w:t>
      </w:r>
      <w:r>
        <w:rPr>
          <w:rFonts w:ascii="Times" w:hAnsi="Times"/>
          <w:position w:val="4"/>
          <w:sz w:val="18"/>
          <w:lang w:val="en-GB"/>
        </w:rPr>
        <w:sym w:font="Symbol" w:char="F0D2"/>
      </w:r>
      <w:r w:rsidR="00051DD7">
        <w:rPr>
          <w:rFonts w:ascii="Times" w:hAnsi="Times"/>
          <w:position w:val="4"/>
          <w:sz w:val="18"/>
          <w:lang w:val="en-GB"/>
        </w:rPr>
        <w:t xml:space="preserve"> </w:t>
      </w:r>
      <w:r w:rsidR="00051DD7">
        <w:rPr>
          <w:rFonts w:ascii="Times" w:hAnsi="Times"/>
          <w:position w:val="4"/>
          <w:sz w:val="18"/>
          <w:vertAlign w:val="superscript"/>
          <w:lang w:val="en-GB"/>
        </w:rPr>
        <w:t xml:space="preserve"> </w:t>
      </w:r>
      <w:r w:rsidR="00AA55E4">
        <w:rPr>
          <w:rFonts w:ascii="Times" w:hAnsi="Times"/>
          <w:lang w:val="en-GB"/>
        </w:rPr>
        <w:t>intravitreal implant is dexamethasone</w:t>
      </w:r>
      <w:r>
        <w:rPr>
          <w:lang w:val="en-GB"/>
        </w:rPr>
        <w:t xml:space="preserve">.  </w:t>
      </w:r>
    </w:p>
    <w:p w:rsidR="0088143C" w:rsidRDefault="0088143C" w:rsidP="00843810">
      <w:pPr>
        <w:jc w:val="both"/>
        <w:rPr>
          <w:lang w:val="en-GB"/>
        </w:rPr>
      </w:pPr>
      <w:r>
        <w:rPr>
          <w:lang w:val="en-GB"/>
        </w:rPr>
        <w:t>Chemical structure:</w:t>
      </w:r>
      <w:r>
        <w:rPr>
          <w:lang w:val="en-GB"/>
        </w:rPr>
        <w:tab/>
      </w:r>
    </w:p>
    <w:p w:rsidR="0088143C" w:rsidRDefault="0088143C" w:rsidP="00843810">
      <w:pPr>
        <w:jc w:val="both"/>
        <w:rPr>
          <w:lang w:val="en-GB"/>
        </w:rPr>
      </w:pPr>
    </w:p>
    <w:p w:rsidR="0088143C" w:rsidRDefault="005F58EF" w:rsidP="00843810">
      <w:pPr>
        <w:jc w:val="both"/>
        <w:rPr>
          <w:lang w:val="en-GB"/>
        </w:rPr>
      </w:pPr>
      <w:r>
        <w:rPr>
          <w:noProof/>
          <w:lang w:eastAsia="en-AU"/>
        </w:rPr>
        <w:drawing>
          <wp:inline distT="0" distB="0" distL="0" distR="0" wp14:anchorId="3EA49593" wp14:editId="4B0AF9ED">
            <wp:extent cx="4762500" cy="2695575"/>
            <wp:effectExtent l="0" t="0" r="0" b="0"/>
            <wp:docPr id="2" name="Picture 2" descr="C:\Users\al-badry_zainab\AppData\Local\Microsoft\Windows\Temporary Internet Files\Content.Outlook\BRWIK3W3\USPUSAN Dexamethasone Chemical Struc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badry_zainab\AppData\Local\Microsoft\Windows\Temporary Internet Files\Content.Outlook\BRWIK3W3\USPUSAN Dexamethasone Chemical Structur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2695575"/>
                    </a:xfrm>
                    <a:prstGeom prst="rect">
                      <a:avLst/>
                    </a:prstGeom>
                    <a:noFill/>
                    <a:ln>
                      <a:noFill/>
                    </a:ln>
                  </pic:spPr>
                </pic:pic>
              </a:graphicData>
            </a:graphic>
          </wp:inline>
        </w:drawing>
      </w:r>
    </w:p>
    <w:p w:rsidR="0088143C" w:rsidRDefault="0088143C" w:rsidP="00843810">
      <w:pPr>
        <w:pStyle w:val="Header"/>
        <w:tabs>
          <w:tab w:val="clear" w:pos="4153"/>
          <w:tab w:val="clear" w:pos="8306"/>
        </w:tabs>
        <w:jc w:val="both"/>
        <w:rPr>
          <w:lang w:val="en-GB"/>
        </w:rPr>
      </w:pPr>
    </w:p>
    <w:p w:rsidR="007D7FE2" w:rsidRDefault="007D7FE2" w:rsidP="00843810">
      <w:pPr>
        <w:jc w:val="both"/>
        <w:rPr>
          <w:rFonts w:ascii="Times" w:hAnsi="Times"/>
          <w:lang w:val="en-GB"/>
        </w:rPr>
      </w:pPr>
      <w:r>
        <w:rPr>
          <w:rFonts w:ascii="Times" w:hAnsi="Times"/>
          <w:b/>
          <w:lang w:val="en-GB"/>
        </w:rPr>
        <w:t>Chemical name:</w:t>
      </w:r>
      <w:r>
        <w:rPr>
          <w:rFonts w:ascii="Times" w:hAnsi="Times"/>
          <w:lang w:val="en-GB"/>
        </w:rPr>
        <w:t xml:space="preserve"> </w:t>
      </w:r>
    </w:p>
    <w:p w:rsidR="007D7FE2" w:rsidRPr="0019032E" w:rsidRDefault="00AA55E4" w:rsidP="00843810">
      <w:pPr>
        <w:ind w:right="-816"/>
        <w:jc w:val="both"/>
        <w:rPr>
          <w:rFonts w:eastAsia="SimSun"/>
          <w:szCs w:val="24"/>
        </w:rPr>
      </w:pPr>
      <w:r w:rsidRPr="0019032E">
        <w:rPr>
          <w:rFonts w:eastAsia="SimSun"/>
          <w:szCs w:val="24"/>
        </w:rPr>
        <w:t>pregna-1,4-diene-3,20-dione, 9-fluoro-11,17,21-trihydroxy-16-methyl-(11β,16α)</w:t>
      </w:r>
    </w:p>
    <w:p w:rsidR="00AA55E4" w:rsidRDefault="00AA55E4" w:rsidP="00843810">
      <w:pPr>
        <w:ind w:right="-816"/>
        <w:jc w:val="both"/>
        <w:rPr>
          <w:rFonts w:ascii="Times" w:hAnsi="Times"/>
          <w:lang w:val="en-GB"/>
        </w:rPr>
      </w:pPr>
    </w:p>
    <w:p w:rsidR="007D7FE2" w:rsidRDefault="007D7FE2" w:rsidP="00843810">
      <w:pPr>
        <w:jc w:val="both"/>
        <w:rPr>
          <w:rFonts w:ascii="Times" w:hAnsi="Times"/>
          <w:lang w:val="en-GB"/>
        </w:rPr>
      </w:pPr>
      <w:r>
        <w:rPr>
          <w:rFonts w:ascii="Times" w:hAnsi="Times"/>
          <w:b/>
          <w:lang w:val="en-GB"/>
        </w:rPr>
        <w:t>Molecular weight:</w:t>
      </w:r>
      <w:r>
        <w:rPr>
          <w:rFonts w:ascii="Times" w:hAnsi="Times"/>
          <w:lang w:val="en-GB"/>
        </w:rPr>
        <w:t xml:space="preserve"> </w:t>
      </w:r>
      <w:r w:rsidR="00AA55E4">
        <w:rPr>
          <w:rFonts w:ascii="Times" w:hAnsi="Times"/>
          <w:lang w:val="en-GB"/>
        </w:rPr>
        <w:t>392.47</w:t>
      </w:r>
    </w:p>
    <w:p w:rsidR="007D7FE2" w:rsidRDefault="007D7FE2" w:rsidP="00843810">
      <w:pPr>
        <w:jc w:val="both"/>
        <w:rPr>
          <w:rFonts w:ascii="Times" w:hAnsi="Times"/>
          <w:lang w:val="en-GB"/>
        </w:rPr>
      </w:pPr>
    </w:p>
    <w:p w:rsidR="007D7FE2" w:rsidRDefault="007D7FE2" w:rsidP="00843810">
      <w:pPr>
        <w:ind w:right="850"/>
        <w:jc w:val="both"/>
        <w:rPr>
          <w:rFonts w:ascii="Times" w:hAnsi="Times"/>
          <w:lang w:val="en-GB"/>
        </w:rPr>
      </w:pPr>
      <w:r>
        <w:rPr>
          <w:rFonts w:ascii="Times" w:hAnsi="Times"/>
          <w:b/>
          <w:lang w:val="en-GB"/>
        </w:rPr>
        <w:t>Empirical formula:</w:t>
      </w:r>
      <w:r>
        <w:rPr>
          <w:rFonts w:ascii="Times" w:hAnsi="Times"/>
          <w:lang w:val="en-GB"/>
        </w:rPr>
        <w:t xml:space="preserve"> </w:t>
      </w:r>
      <w:r w:rsidR="00AA55E4">
        <w:rPr>
          <w:rFonts w:ascii="TimesNewRoman" w:eastAsia="SimSun" w:hAnsi="TimesNewRoman" w:cs="TimesNewRoman"/>
          <w:szCs w:val="24"/>
        </w:rPr>
        <w:t>C</w:t>
      </w:r>
      <w:r w:rsidR="00AA55E4">
        <w:rPr>
          <w:rFonts w:ascii="TimesNewRoman" w:eastAsia="SimSun" w:hAnsi="TimesNewRoman" w:cs="TimesNewRoman"/>
          <w:sz w:val="16"/>
          <w:szCs w:val="16"/>
        </w:rPr>
        <w:t>22</w:t>
      </w:r>
      <w:r w:rsidR="00AA55E4">
        <w:rPr>
          <w:rFonts w:ascii="TimesNewRoman" w:eastAsia="SimSun" w:hAnsi="TimesNewRoman" w:cs="TimesNewRoman"/>
          <w:szCs w:val="24"/>
        </w:rPr>
        <w:t>H</w:t>
      </w:r>
      <w:r w:rsidR="00AA55E4">
        <w:rPr>
          <w:rFonts w:ascii="TimesNewRoman" w:eastAsia="SimSun" w:hAnsi="TimesNewRoman" w:cs="TimesNewRoman"/>
          <w:sz w:val="16"/>
          <w:szCs w:val="16"/>
        </w:rPr>
        <w:t>29</w:t>
      </w:r>
      <w:r w:rsidR="00AA55E4">
        <w:rPr>
          <w:rFonts w:ascii="TimesNewRoman" w:eastAsia="SimSun" w:hAnsi="TimesNewRoman" w:cs="TimesNewRoman"/>
          <w:szCs w:val="24"/>
        </w:rPr>
        <w:t>FO</w:t>
      </w:r>
      <w:r w:rsidR="00AA55E4">
        <w:rPr>
          <w:rFonts w:ascii="TimesNewRoman" w:eastAsia="SimSun" w:hAnsi="TimesNewRoman" w:cs="TimesNewRoman"/>
          <w:sz w:val="16"/>
          <w:szCs w:val="16"/>
        </w:rPr>
        <w:t>5</w:t>
      </w:r>
    </w:p>
    <w:p w:rsidR="0088143C" w:rsidRDefault="0088143C" w:rsidP="00843810">
      <w:pPr>
        <w:jc w:val="both"/>
        <w:rPr>
          <w:rFonts w:ascii="Times" w:hAnsi="Times"/>
          <w:lang w:val="en-GB"/>
        </w:rPr>
      </w:pPr>
    </w:p>
    <w:p w:rsidR="0088143C" w:rsidRDefault="0088143C" w:rsidP="00BE741B">
      <w:pPr>
        <w:pStyle w:val="Heading1"/>
      </w:pPr>
      <w:r>
        <w:t>DESCRIPTION</w:t>
      </w:r>
    </w:p>
    <w:p w:rsidR="008820CA" w:rsidRDefault="008820CA" w:rsidP="00843810">
      <w:pPr>
        <w:autoSpaceDE w:val="0"/>
        <w:autoSpaceDN w:val="0"/>
        <w:adjustRightInd w:val="0"/>
        <w:jc w:val="both"/>
        <w:rPr>
          <w:rFonts w:eastAsia="SimSun"/>
          <w:szCs w:val="24"/>
        </w:rPr>
      </w:pPr>
      <w:r w:rsidRPr="00BF7250">
        <w:rPr>
          <w:rFonts w:eastAsia="SimSun"/>
          <w:szCs w:val="24"/>
        </w:rPr>
        <w:t xml:space="preserve">Dexamethasone </w:t>
      </w:r>
      <w:r>
        <w:rPr>
          <w:rFonts w:eastAsia="SimSun"/>
          <w:szCs w:val="24"/>
        </w:rPr>
        <w:t>is</w:t>
      </w:r>
      <w:r w:rsidRPr="00BF7250">
        <w:rPr>
          <w:rFonts w:eastAsia="SimSun"/>
          <w:szCs w:val="24"/>
        </w:rPr>
        <w:t xml:space="preserve"> a white to cream-colo</w:t>
      </w:r>
      <w:r>
        <w:rPr>
          <w:rFonts w:eastAsia="SimSun"/>
          <w:szCs w:val="24"/>
        </w:rPr>
        <w:t>u</w:t>
      </w:r>
      <w:r w:rsidRPr="00BF7250">
        <w:rPr>
          <w:rFonts w:eastAsia="SimSun"/>
          <w:szCs w:val="24"/>
        </w:rPr>
        <w:t xml:space="preserve">red crystalline powder </w:t>
      </w:r>
      <w:r>
        <w:rPr>
          <w:rFonts w:eastAsia="SimSun"/>
          <w:szCs w:val="24"/>
        </w:rPr>
        <w:t xml:space="preserve">with </w:t>
      </w:r>
      <w:r w:rsidRPr="00BF7250">
        <w:rPr>
          <w:rFonts w:eastAsia="SimSun"/>
          <w:szCs w:val="24"/>
        </w:rPr>
        <w:t>not more than a slight odour, and is practically insoluble in wat</w:t>
      </w:r>
      <w:r>
        <w:rPr>
          <w:rFonts w:eastAsia="SimSun"/>
          <w:szCs w:val="24"/>
        </w:rPr>
        <w:t>er and very soluble in alcohol.</w:t>
      </w:r>
    </w:p>
    <w:p w:rsidR="008820CA" w:rsidRDefault="008820CA" w:rsidP="00843810">
      <w:pPr>
        <w:autoSpaceDE w:val="0"/>
        <w:autoSpaceDN w:val="0"/>
        <w:adjustRightInd w:val="0"/>
        <w:jc w:val="both"/>
        <w:rPr>
          <w:rFonts w:eastAsia="SimSun"/>
          <w:szCs w:val="24"/>
        </w:rPr>
      </w:pPr>
    </w:p>
    <w:p w:rsidR="0088143C" w:rsidRDefault="008820CA" w:rsidP="00843810">
      <w:pPr>
        <w:autoSpaceDE w:val="0"/>
        <w:autoSpaceDN w:val="0"/>
        <w:adjustRightInd w:val="0"/>
        <w:jc w:val="both"/>
        <w:rPr>
          <w:rFonts w:ascii="Times" w:hAnsi="Times"/>
          <w:lang w:val="en-GB"/>
        </w:rPr>
      </w:pPr>
      <w:r>
        <w:rPr>
          <w:rFonts w:eastAsia="SimSun"/>
          <w:bCs/>
          <w:szCs w:val="24"/>
        </w:rPr>
        <w:t>OZURDEX</w:t>
      </w:r>
      <w:r w:rsidRPr="00BF7250">
        <w:rPr>
          <w:rFonts w:eastAsia="SimSun"/>
          <w:szCs w:val="24"/>
          <w:vertAlign w:val="superscript"/>
        </w:rPr>
        <w:t>®</w:t>
      </w:r>
      <w:r w:rsidRPr="00BF7250">
        <w:rPr>
          <w:rFonts w:eastAsia="SimSun"/>
          <w:sz w:val="16"/>
          <w:szCs w:val="16"/>
        </w:rPr>
        <w:t xml:space="preserve"> </w:t>
      </w:r>
      <w:r w:rsidRPr="00BF7250">
        <w:rPr>
          <w:rFonts w:eastAsia="SimSun"/>
          <w:szCs w:val="24"/>
        </w:rPr>
        <w:t xml:space="preserve">is a biodegradable intravitreal implant containing 700 </w:t>
      </w:r>
      <w:proofErr w:type="spellStart"/>
      <w:r w:rsidRPr="00BF7250">
        <w:rPr>
          <w:rFonts w:eastAsia="SimSun"/>
          <w:szCs w:val="24"/>
        </w:rPr>
        <w:t>μg</w:t>
      </w:r>
      <w:proofErr w:type="spellEnd"/>
      <w:r w:rsidRPr="00BF7250">
        <w:rPr>
          <w:rFonts w:eastAsia="SimSun"/>
          <w:szCs w:val="24"/>
        </w:rPr>
        <w:t xml:space="preserve"> dexamethasone in a solid polymer drug delivery system</w:t>
      </w:r>
      <w:r w:rsidR="00771CAB">
        <w:rPr>
          <w:rFonts w:eastAsia="SimSun"/>
          <w:szCs w:val="24"/>
        </w:rPr>
        <w:t xml:space="preserve"> (DDS)</w:t>
      </w:r>
      <w:r w:rsidRPr="00BF7250">
        <w:rPr>
          <w:rFonts w:eastAsia="SimSun"/>
          <w:szCs w:val="24"/>
        </w:rPr>
        <w:t xml:space="preserve">. </w:t>
      </w:r>
      <w:r>
        <w:rPr>
          <w:rFonts w:eastAsia="SimSun"/>
          <w:bCs/>
          <w:szCs w:val="24"/>
        </w:rPr>
        <w:t>OZURDEX</w:t>
      </w:r>
      <w:r w:rsidRPr="00BF7250">
        <w:rPr>
          <w:rFonts w:eastAsia="SimSun"/>
          <w:szCs w:val="24"/>
          <w:vertAlign w:val="superscript"/>
        </w:rPr>
        <w:t>®</w:t>
      </w:r>
      <w:r w:rsidRPr="00BF7250">
        <w:rPr>
          <w:rFonts w:eastAsia="SimSun"/>
          <w:sz w:val="16"/>
          <w:szCs w:val="16"/>
        </w:rPr>
        <w:t xml:space="preserve"> </w:t>
      </w:r>
      <w:r w:rsidRPr="00BF7250">
        <w:rPr>
          <w:rFonts w:eastAsia="SimSun"/>
          <w:szCs w:val="24"/>
        </w:rPr>
        <w:t>is preloaded into a single-use, specially</w:t>
      </w:r>
      <w:r>
        <w:rPr>
          <w:rFonts w:eastAsia="SimSun"/>
          <w:szCs w:val="24"/>
        </w:rPr>
        <w:t xml:space="preserve"> </w:t>
      </w:r>
      <w:r w:rsidRPr="00BF7250">
        <w:rPr>
          <w:rFonts w:eastAsia="SimSun"/>
          <w:szCs w:val="24"/>
        </w:rPr>
        <w:t xml:space="preserve">designed </w:t>
      </w:r>
      <w:r w:rsidR="00771CAB">
        <w:rPr>
          <w:rFonts w:eastAsia="SimSun"/>
          <w:szCs w:val="24"/>
        </w:rPr>
        <w:t>DDS</w:t>
      </w:r>
      <w:r w:rsidRPr="00BF7250">
        <w:rPr>
          <w:rFonts w:eastAsia="SimSun"/>
          <w:szCs w:val="24"/>
        </w:rPr>
        <w:t xml:space="preserve"> applicator to facilitate injection of the rod-shaped implant directly into the vitreous. The</w:t>
      </w:r>
      <w:r w:rsidRPr="00BF7250">
        <w:rPr>
          <w:rFonts w:eastAsia="SimSun"/>
          <w:bCs/>
          <w:szCs w:val="24"/>
        </w:rPr>
        <w:t xml:space="preserve"> polymer </w:t>
      </w:r>
      <w:r w:rsidR="00053A69">
        <w:rPr>
          <w:rFonts w:eastAsia="SimSun"/>
          <w:bCs/>
          <w:szCs w:val="24"/>
        </w:rPr>
        <w:t>DDS</w:t>
      </w:r>
      <w:r w:rsidRPr="00BF7250">
        <w:rPr>
          <w:rFonts w:eastAsia="SimSun"/>
          <w:szCs w:val="24"/>
        </w:rPr>
        <w:t xml:space="preserve"> contains </w:t>
      </w:r>
      <w:r w:rsidR="00895B08">
        <w:rPr>
          <w:rFonts w:eastAsia="SimSun"/>
          <w:szCs w:val="24"/>
        </w:rPr>
        <w:t>polyglactin [</w:t>
      </w:r>
      <w:r w:rsidRPr="00BF7250">
        <w:rPr>
          <w:rFonts w:eastAsia="SimSun"/>
          <w:szCs w:val="24"/>
        </w:rPr>
        <w:t>poly (D</w:t>
      </w:r>
      <w:proofErr w:type="gramStart"/>
      <w:r w:rsidRPr="00BF7250">
        <w:rPr>
          <w:rFonts w:eastAsia="SimSun"/>
          <w:szCs w:val="24"/>
        </w:rPr>
        <w:t>,L</w:t>
      </w:r>
      <w:proofErr w:type="gramEnd"/>
      <w:r w:rsidRPr="00BF7250">
        <w:rPr>
          <w:rFonts w:eastAsia="SimSun"/>
          <w:szCs w:val="24"/>
        </w:rPr>
        <w:t>-lactide-coglycolide)</w:t>
      </w:r>
      <w:r w:rsidR="00895B08">
        <w:rPr>
          <w:rFonts w:eastAsia="SimSun"/>
          <w:szCs w:val="24"/>
        </w:rPr>
        <w:t>]</w:t>
      </w:r>
      <w:r w:rsidRPr="00BF7250">
        <w:rPr>
          <w:rFonts w:eastAsia="SimSun"/>
          <w:szCs w:val="24"/>
        </w:rPr>
        <w:t xml:space="preserve"> PLGA biodegradable polymer matrix.  </w:t>
      </w:r>
      <w:r>
        <w:rPr>
          <w:rFonts w:eastAsia="SimSun"/>
          <w:bCs/>
          <w:szCs w:val="24"/>
        </w:rPr>
        <w:t>OZURDEX</w:t>
      </w:r>
      <w:r w:rsidRPr="00BF7250">
        <w:rPr>
          <w:rFonts w:eastAsia="SimSun"/>
          <w:szCs w:val="24"/>
          <w:vertAlign w:val="superscript"/>
        </w:rPr>
        <w:t>®</w:t>
      </w:r>
      <w:r w:rsidRPr="00BF7250">
        <w:rPr>
          <w:rFonts w:eastAsia="SimSun"/>
          <w:sz w:val="16"/>
          <w:szCs w:val="16"/>
        </w:rPr>
        <w:t xml:space="preserve"> </w:t>
      </w:r>
      <w:r w:rsidRPr="00BF7250">
        <w:rPr>
          <w:rFonts w:eastAsia="SimSun"/>
          <w:szCs w:val="24"/>
        </w:rPr>
        <w:t>is preservative-free.</w:t>
      </w:r>
      <w:r w:rsidR="0088143C">
        <w:rPr>
          <w:rFonts w:ascii="Times" w:hAnsi="Times"/>
          <w:lang w:val="en-GB"/>
        </w:rPr>
        <w:t xml:space="preserve">  </w:t>
      </w:r>
    </w:p>
    <w:p w:rsidR="00693A69" w:rsidRDefault="00693A69" w:rsidP="00843810">
      <w:pPr>
        <w:autoSpaceDE w:val="0"/>
        <w:autoSpaceDN w:val="0"/>
        <w:adjustRightInd w:val="0"/>
        <w:jc w:val="both"/>
        <w:rPr>
          <w:rFonts w:ascii="Times" w:hAnsi="Times"/>
          <w:lang w:val="en-GB"/>
        </w:rPr>
      </w:pPr>
    </w:p>
    <w:p w:rsidR="0088143C" w:rsidRDefault="0088143C" w:rsidP="00BE741B">
      <w:pPr>
        <w:pStyle w:val="Heading1"/>
      </w:pPr>
      <w:r>
        <w:t>PHARMACOLOGY</w:t>
      </w:r>
    </w:p>
    <w:p w:rsidR="00836209" w:rsidRDefault="00836209" w:rsidP="00843810">
      <w:pPr>
        <w:jc w:val="both"/>
        <w:rPr>
          <w:rFonts w:ascii="Times" w:hAnsi="Times"/>
          <w:b/>
          <w:lang w:val="en-GB"/>
        </w:rPr>
      </w:pPr>
    </w:p>
    <w:p w:rsidR="0088143C" w:rsidRPr="00693A69" w:rsidRDefault="0088143C" w:rsidP="00BE741B">
      <w:pPr>
        <w:rPr>
          <w:i/>
        </w:rPr>
      </w:pPr>
      <w:r w:rsidRPr="00693A69">
        <w:t>Mechanism of action</w:t>
      </w:r>
    </w:p>
    <w:p w:rsidR="00693A69" w:rsidRPr="00BF7250" w:rsidRDefault="00693A69" w:rsidP="00843810">
      <w:pPr>
        <w:autoSpaceDE w:val="0"/>
        <w:autoSpaceDN w:val="0"/>
        <w:adjustRightInd w:val="0"/>
        <w:jc w:val="both"/>
        <w:rPr>
          <w:rFonts w:eastAsia="SimSun"/>
          <w:szCs w:val="24"/>
        </w:rPr>
      </w:pPr>
      <w:r w:rsidRPr="00BF7250">
        <w:rPr>
          <w:rFonts w:eastAsia="SimSun"/>
          <w:szCs w:val="24"/>
        </w:rPr>
        <w:t xml:space="preserve">Dexamethasone, a potent corticosteroid, has been shown to suppress inflammation by inhibiting multiple inflammatory cytokines resulting in decreased </w:t>
      </w:r>
      <w:r w:rsidR="004555E3">
        <w:rPr>
          <w:rFonts w:eastAsia="SimSun"/>
          <w:szCs w:val="24"/>
        </w:rPr>
        <w:t>o</w:t>
      </w:r>
      <w:r w:rsidR="005166A6">
        <w:rPr>
          <w:rFonts w:eastAsia="SimSun"/>
          <w:szCs w:val="24"/>
        </w:rPr>
        <w:t>edema</w:t>
      </w:r>
      <w:r w:rsidRPr="00BF7250">
        <w:rPr>
          <w:rFonts w:eastAsia="SimSun"/>
          <w:szCs w:val="24"/>
        </w:rPr>
        <w:t xml:space="preserve">, fibrin deposition, capillary leakage, and migration of the inflammatory cells. Vascular endothelial growth factor (VEGF) is a cytokine which is expressed at increased concentrations in the setting of macular </w:t>
      </w:r>
      <w:r w:rsidR="004555E3">
        <w:rPr>
          <w:rFonts w:eastAsia="SimSun"/>
          <w:szCs w:val="24"/>
        </w:rPr>
        <w:t>o</w:t>
      </w:r>
      <w:r w:rsidR="005166A6">
        <w:rPr>
          <w:rFonts w:eastAsia="SimSun"/>
          <w:szCs w:val="24"/>
        </w:rPr>
        <w:t>edema</w:t>
      </w:r>
      <w:r w:rsidRPr="00BF7250">
        <w:rPr>
          <w:rFonts w:eastAsia="SimSun"/>
          <w:szCs w:val="24"/>
        </w:rPr>
        <w:t>. It is a potent promoter of vascular permeability. Corticosteroids have been shown to inhibit the expression of VEGF</w:t>
      </w:r>
      <w:r w:rsidR="00726E82">
        <w:rPr>
          <w:rFonts w:eastAsia="SimSun"/>
          <w:szCs w:val="24"/>
        </w:rPr>
        <w:t xml:space="preserve"> and modulate VEGF-mediated responses</w:t>
      </w:r>
      <w:r w:rsidRPr="00BF7250">
        <w:rPr>
          <w:rFonts w:eastAsia="SimSun"/>
          <w:szCs w:val="24"/>
        </w:rPr>
        <w:t xml:space="preserve">. </w:t>
      </w:r>
      <w:r w:rsidRPr="00BF7250">
        <w:rPr>
          <w:rFonts w:eastAsia="SimSun"/>
          <w:szCs w:val="24"/>
        </w:rPr>
        <w:lastRenderedPageBreak/>
        <w:t xml:space="preserve">Additionally, corticosteroids prevent the release of prostaglandins, some of which have been identified as mediators of cystoid macular </w:t>
      </w:r>
      <w:r w:rsidR="004555E3">
        <w:rPr>
          <w:rFonts w:eastAsia="SimSun"/>
          <w:szCs w:val="24"/>
        </w:rPr>
        <w:t>o</w:t>
      </w:r>
      <w:r w:rsidR="005166A6">
        <w:rPr>
          <w:rFonts w:eastAsia="SimSun"/>
          <w:szCs w:val="24"/>
        </w:rPr>
        <w:t>edema</w:t>
      </w:r>
      <w:r w:rsidRPr="00BF7250">
        <w:rPr>
          <w:rFonts w:eastAsia="SimSun"/>
          <w:szCs w:val="24"/>
        </w:rPr>
        <w:t>.</w:t>
      </w:r>
    </w:p>
    <w:p w:rsidR="0088143C" w:rsidRDefault="0088143C" w:rsidP="00843810">
      <w:pPr>
        <w:jc w:val="both"/>
        <w:rPr>
          <w:rFonts w:ascii="Times" w:hAnsi="Times"/>
          <w:lang w:val="en-GB"/>
        </w:rPr>
      </w:pPr>
    </w:p>
    <w:p w:rsidR="003473A6" w:rsidRDefault="00C33C98" w:rsidP="00843810">
      <w:pPr>
        <w:jc w:val="both"/>
        <w:rPr>
          <w:rFonts w:ascii="Times" w:hAnsi="Times"/>
          <w:lang w:val="en-GB"/>
        </w:rPr>
      </w:pPr>
      <w:r>
        <w:t>OZURDEX</w:t>
      </w:r>
      <w:r w:rsidRPr="00C33C98">
        <w:rPr>
          <w:vertAlign w:val="superscript"/>
        </w:rPr>
        <w:t>®</w:t>
      </w:r>
      <w:r w:rsidR="003473A6">
        <w:t xml:space="preserve"> </w:t>
      </w:r>
      <w:r w:rsidR="003473A6" w:rsidRPr="009F4993">
        <w:t>contain</w:t>
      </w:r>
      <w:r w:rsidR="003473A6">
        <w:t>s</w:t>
      </w:r>
      <w:r w:rsidR="003473A6" w:rsidRPr="009F4993">
        <w:t xml:space="preserve"> 700 µg </w:t>
      </w:r>
      <w:proofErr w:type="spellStart"/>
      <w:r w:rsidR="004555E3" w:rsidRPr="009F4993">
        <w:t>microni</w:t>
      </w:r>
      <w:r w:rsidR="004555E3">
        <w:t>s</w:t>
      </w:r>
      <w:r w:rsidR="004555E3" w:rsidRPr="009F4993">
        <w:t>ed</w:t>
      </w:r>
      <w:proofErr w:type="spellEnd"/>
      <w:r w:rsidR="004555E3" w:rsidRPr="009F4993">
        <w:t xml:space="preserve"> </w:t>
      </w:r>
      <w:r w:rsidR="003473A6" w:rsidRPr="009F4993">
        <w:t xml:space="preserve">dexamethasone </w:t>
      </w:r>
      <w:r w:rsidR="003473A6">
        <w:t>in a biodegradable polymer matrix that is injected</w:t>
      </w:r>
      <w:r w:rsidR="003473A6" w:rsidRPr="009F4993">
        <w:t xml:space="preserve"> directly into the posterior segment of the eye with an applicator.  The polymer degrades </w:t>
      </w:r>
      <w:r w:rsidR="003473A6">
        <w:t xml:space="preserve">into water and carbon dioxide </w:t>
      </w:r>
      <w:r w:rsidR="003473A6" w:rsidRPr="009F4993">
        <w:t xml:space="preserve">over time, gradually releasing dexamethasone to the vitreous, allowing for sustained drug levels in the target area with a smaller total amount of drug </w:t>
      </w:r>
      <w:r w:rsidR="003473A6">
        <w:t xml:space="preserve">administered </w:t>
      </w:r>
      <w:r w:rsidR="003473A6" w:rsidRPr="009F4993">
        <w:t xml:space="preserve">than </w:t>
      </w:r>
      <w:r w:rsidR="003473A6">
        <w:t xml:space="preserve">via </w:t>
      </w:r>
      <w:r w:rsidR="003473A6" w:rsidRPr="009F4993">
        <w:t xml:space="preserve">other routes of corticosteroid administration. </w:t>
      </w:r>
      <w:r w:rsidR="003473A6">
        <w:t>Furthermore, d</w:t>
      </w:r>
      <w:r w:rsidR="003473A6" w:rsidRPr="009F4993">
        <w:t>elive</w:t>
      </w:r>
      <w:r w:rsidR="003473A6">
        <w:t xml:space="preserve">ry of </w:t>
      </w:r>
      <w:r w:rsidR="00A90050">
        <w:t>OZUR</w:t>
      </w:r>
      <w:r w:rsidR="003473A6">
        <w:t>DEX</w:t>
      </w:r>
      <w:r w:rsidR="00A90050" w:rsidRPr="00F62F38">
        <w:rPr>
          <w:vertAlign w:val="superscript"/>
        </w:rPr>
        <w:t>®</w:t>
      </w:r>
      <w:r w:rsidR="003473A6" w:rsidRPr="009F4993">
        <w:t xml:space="preserve"> </w:t>
      </w:r>
      <w:r w:rsidR="003473A6">
        <w:t>700</w:t>
      </w:r>
      <w:r w:rsidR="00A90050">
        <w:t xml:space="preserve"> µg</w:t>
      </w:r>
      <w:r w:rsidR="003473A6">
        <w:t xml:space="preserve"> </w:t>
      </w:r>
      <w:r w:rsidR="003473A6" w:rsidRPr="009F4993">
        <w:t xml:space="preserve">directly into the vitreous </w:t>
      </w:r>
      <w:r w:rsidR="003473A6">
        <w:t xml:space="preserve">cavity </w:t>
      </w:r>
      <w:r w:rsidR="003473A6" w:rsidRPr="009F4993">
        <w:t xml:space="preserve">reduces the potential for systemic effects compared </w:t>
      </w:r>
      <w:r w:rsidR="003473A6">
        <w:t>to</w:t>
      </w:r>
      <w:r w:rsidR="003473A6" w:rsidRPr="009F4993">
        <w:t xml:space="preserve"> other routes of administration.  The dose of dexamethasone delivered by </w:t>
      </w:r>
      <w:r w:rsidR="00A90050">
        <w:t>OZUR</w:t>
      </w:r>
      <w:r w:rsidR="003473A6">
        <w:t>DEX</w:t>
      </w:r>
      <w:r w:rsidR="00A90050" w:rsidRPr="00F62F38">
        <w:rPr>
          <w:vertAlign w:val="superscript"/>
        </w:rPr>
        <w:t>®</w:t>
      </w:r>
      <w:r w:rsidR="003473A6">
        <w:t xml:space="preserve"> </w:t>
      </w:r>
      <w:r w:rsidR="003473A6" w:rsidRPr="009F4993">
        <w:t xml:space="preserve">700 </w:t>
      </w:r>
      <w:r w:rsidR="00A90050">
        <w:t xml:space="preserve">µg </w:t>
      </w:r>
      <w:r w:rsidR="003473A6" w:rsidRPr="009F4993">
        <w:t>every 6 months is less than the usual single daily physiologic replacement dose (0.75 mg)</w:t>
      </w:r>
      <w:r>
        <w:t>.</w:t>
      </w:r>
      <w:r w:rsidR="003473A6">
        <w:t xml:space="preserve"> </w:t>
      </w:r>
    </w:p>
    <w:p w:rsidR="00867370" w:rsidRDefault="00867370" w:rsidP="00BE741B"/>
    <w:p w:rsidR="007D7FE2" w:rsidRPr="00693A69" w:rsidRDefault="007D7FE2" w:rsidP="00BE741B">
      <w:pPr>
        <w:rPr>
          <w:i/>
        </w:rPr>
      </w:pPr>
      <w:r w:rsidRPr="00693A69">
        <w:t>Pharmacokinetics</w:t>
      </w:r>
      <w:r w:rsidRPr="00693A69">
        <w:tab/>
      </w:r>
    </w:p>
    <w:p w:rsidR="0062661D" w:rsidRDefault="008632FE" w:rsidP="008632FE">
      <w:pPr>
        <w:tabs>
          <w:tab w:val="left" w:pos="9180"/>
        </w:tabs>
        <w:jc w:val="both"/>
      </w:pPr>
      <w:r>
        <w:rPr>
          <w:i/>
          <w:u w:val="single"/>
        </w:rPr>
        <w:t xml:space="preserve">Absorption and </w:t>
      </w:r>
      <w:r w:rsidRPr="00867370">
        <w:rPr>
          <w:i/>
          <w:u w:val="single"/>
        </w:rPr>
        <w:t>Distribution:</w:t>
      </w:r>
      <w:r>
        <w:t xml:space="preserve"> </w:t>
      </w:r>
      <w:r w:rsidRPr="00D00387">
        <w:t>I</w:t>
      </w:r>
      <w:r>
        <w:t>n two P</w:t>
      </w:r>
      <w:r w:rsidRPr="00D00387">
        <w:t xml:space="preserve">hase 3 </w:t>
      </w:r>
      <w:r>
        <w:t>diabetic macular oedema</w:t>
      </w:r>
      <w:r w:rsidRPr="00D00387">
        <w:t xml:space="preserve"> studies</w:t>
      </w:r>
      <w:r w:rsidR="0047335A">
        <w:t xml:space="preserve"> (</w:t>
      </w:r>
      <w:r w:rsidR="00D75528">
        <w:t>DME</w:t>
      </w:r>
      <w:r w:rsidR="003A51D0">
        <w:t>1</w:t>
      </w:r>
      <w:r w:rsidR="00216CAD">
        <w:t xml:space="preserve"> and</w:t>
      </w:r>
      <w:r w:rsidR="003A51D0">
        <w:t xml:space="preserve"> DME</w:t>
      </w:r>
      <w:r w:rsidR="00D75528">
        <w:t>2</w:t>
      </w:r>
      <w:r w:rsidR="0047335A">
        <w:t>)</w:t>
      </w:r>
      <w:r w:rsidRPr="005B4969">
        <w:t xml:space="preserve">, adult patients with a diagnosis of </w:t>
      </w:r>
      <w:r w:rsidR="000840F3">
        <w:t>T</w:t>
      </w:r>
      <w:r w:rsidRPr="005B4969">
        <w:t xml:space="preserve">ype 1 or </w:t>
      </w:r>
      <w:r w:rsidR="000840F3">
        <w:t>T</w:t>
      </w:r>
      <w:r w:rsidRPr="005B4969">
        <w:t>ype 2 diabetes mellitus and clinically observable macular oedema associated with diabetic retinopathy were randomi</w:t>
      </w:r>
      <w:r w:rsidR="00383651">
        <w:t>s</w:t>
      </w:r>
      <w:r w:rsidRPr="005B4969">
        <w:t>ed in a 1:1:1 ratio to OZURDEX</w:t>
      </w:r>
      <w:r w:rsidRPr="005B4969">
        <w:rPr>
          <w:vertAlign w:val="superscript"/>
        </w:rPr>
        <w:t>®</w:t>
      </w:r>
      <w:r w:rsidRPr="005B4969">
        <w:t xml:space="preserve">, 350 µg </w:t>
      </w:r>
      <w:r w:rsidR="00B87CB6">
        <w:t>dexamethasone</w:t>
      </w:r>
      <w:r w:rsidRPr="005B4969">
        <w:t>, or Sham DEX PS DDS needleless applicator.</w:t>
      </w:r>
      <w:r>
        <w:t xml:space="preserve"> B</w:t>
      </w:r>
      <w:r w:rsidRPr="00D00387">
        <w:t xml:space="preserve">lood samples were obtained from a subgroup of patients at </w:t>
      </w:r>
      <w:proofErr w:type="spellStart"/>
      <w:r w:rsidRPr="00D00387">
        <w:t>predose</w:t>
      </w:r>
      <w:proofErr w:type="spellEnd"/>
      <w:r w:rsidRPr="00D00387">
        <w:t xml:space="preserve">, days 1, 7, and 21, and months 1.5 and 3 to determine plasma dexamethasone concentrations. </w:t>
      </w:r>
      <w:r>
        <w:t xml:space="preserve"> </w:t>
      </w:r>
      <w:r w:rsidRPr="00D00387">
        <w:t xml:space="preserve">In both studies, the majority of concentrations were below the </w:t>
      </w:r>
      <w:r>
        <w:t>lower limit of quantitation (</w:t>
      </w:r>
      <w:r w:rsidRPr="00D00387">
        <w:t>LLOQ</w:t>
      </w:r>
      <w:r>
        <w:t>)</w:t>
      </w:r>
      <w:r w:rsidRPr="00D00387">
        <w:t xml:space="preserve"> </w:t>
      </w:r>
      <w:proofErr w:type="gramStart"/>
      <w:r w:rsidRPr="00D00387">
        <w:t>of 0.05 ng/</w:t>
      </w:r>
      <w:proofErr w:type="spellStart"/>
      <w:r w:rsidRPr="00D00387">
        <w:t>mL</w:t>
      </w:r>
      <w:proofErr w:type="gramEnd"/>
      <w:r w:rsidRPr="00D00387">
        <w:t>.</w:t>
      </w:r>
      <w:proofErr w:type="spellEnd"/>
      <w:r w:rsidRPr="00D00387">
        <w:t xml:space="preserve"> Plasma dexamethasone concentrations from 5 of 52 samples in the </w:t>
      </w:r>
      <w:r>
        <w:t>OZURDEX</w:t>
      </w:r>
      <w:r w:rsidRPr="00E5046C">
        <w:rPr>
          <w:vertAlign w:val="superscript"/>
        </w:rPr>
        <w:t>®</w:t>
      </w:r>
      <w:r w:rsidRPr="00D00387">
        <w:t xml:space="preserve"> group and from 0 of 60 samples in the </w:t>
      </w:r>
      <w:r w:rsidR="00B87CB6">
        <w:t>dexamethasone</w:t>
      </w:r>
      <w:r w:rsidRPr="00D00387">
        <w:t xml:space="preserve"> 350 </w:t>
      </w:r>
      <w:r>
        <w:t xml:space="preserve">µg </w:t>
      </w:r>
      <w:r w:rsidRPr="00D00387">
        <w:t>group were above the LLOQ, ranging from 0.0599 ng/mL to 0.102 ng/</w:t>
      </w:r>
      <w:proofErr w:type="spellStart"/>
      <w:r w:rsidRPr="00D00387">
        <w:t>mL.</w:t>
      </w:r>
      <w:proofErr w:type="spellEnd"/>
      <w:r>
        <w:t xml:space="preserve"> </w:t>
      </w:r>
      <w:r w:rsidRPr="008747B6">
        <w:t xml:space="preserve">The highest plasma concentration value of </w:t>
      </w:r>
      <w:r>
        <w:t>0.102</w:t>
      </w:r>
      <w:r w:rsidRPr="008747B6">
        <w:t xml:space="preserve"> </w:t>
      </w:r>
      <w:r>
        <w:t>n</w:t>
      </w:r>
      <w:r w:rsidRPr="008747B6">
        <w:t>g/mL was observed in one subject from the 0.7 mg group. Plasma dexamethasone concentration did not appear to be related to age, body weigh</w:t>
      </w:r>
      <w:r>
        <w:t>t, or sex of patients.</w:t>
      </w:r>
    </w:p>
    <w:p w:rsidR="001A3EBB" w:rsidRDefault="001A3EBB" w:rsidP="008632FE">
      <w:pPr>
        <w:tabs>
          <w:tab w:val="left" w:pos="9180"/>
        </w:tabs>
        <w:jc w:val="both"/>
      </w:pPr>
    </w:p>
    <w:p w:rsidR="001A3EBB" w:rsidRDefault="001A3EBB" w:rsidP="001A3EBB">
      <w:pPr>
        <w:jc w:val="both"/>
      </w:pPr>
      <w:r>
        <w:t>In the P</w:t>
      </w:r>
      <w:r w:rsidRPr="00156737">
        <w:t xml:space="preserve">hase 3 </w:t>
      </w:r>
      <w:r w:rsidR="007673EA">
        <w:t>retinal vein o</w:t>
      </w:r>
      <w:r>
        <w:t xml:space="preserve">cclusion </w:t>
      </w:r>
      <w:r w:rsidR="00185081">
        <w:t xml:space="preserve">Studies </w:t>
      </w:r>
      <w:r w:rsidR="003A51D0">
        <w:t>RVO</w:t>
      </w:r>
      <w:r w:rsidR="00D75528">
        <w:t>1 and RVO</w:t>
      </w:r>
      <w:r w:rsidR="003A51D0">
        <w:t>2</w:t>
      </w:r>
      <w:r w:rsidR="00DD45EA">
        <w:t>,</w:t>
      </w:r>
      <w:r w:rsidR="0047335A">
        <w:t xml:space="preserve"> </w:t>
      </w:r>
      <w:r w:rsidRPr="00156737">
        <w:t xml:space="preserve">blood samples were obtained from a subgroup of patients at </w:t>
      </w:r>
      <w:proofErr w:type="spellStart"/>
      <w:r w:rsidRPr="00156737">
        <w:t>predose</w:t>
      </w:r>
      <w:proofErr w:type="spellEnd"/>
      <w:r w:rsidRPr="00156737">
        <w:t xml:space="preserve"> and days 1, 7, 30, 60, and 90 to determine plasma dexamethasone concentrations.  In both studies, the majority of concentrations were below the LLOQ </w:t>
      </w:r>
      <w:proofErr w:type="gramStart"/>
      <w:r w:rsidRPr="00156737">
        <w:t>of 0.05 ng/</w:t>
      </w:r>
      <w:proofErr w:type="spellStart"/>
      <w:r w:rsidRPr="00156737">
        <w:t>mL</w:t>
      </w:r>
      <w:proofErr w:type="gramEnd"/>
      <w:r w:rsidRPr="00156737">
        <w:t>.</w:t>
      </w:r>
      <w:proofErr w:type="spellEnd"/>
      <w:r w:rsidRPr="00156737">
        <w:rPr>
          <w:rFonts w:eastAsia="SimSun"/>
        </w:rPr>
        <w:t xml:space="preserve">  Both studies showed that </w:t>
      </w:r>
      <w:r w:rsidR="00D75528">
        <w:rPr>
          <w:rFonts w:eastAsia="SimSun"/>
        </w:rPr>
        <w:t>Pl</w:t>
      </w:r>
      <w:r w:rsidRPr="00156737">
        <w:rPr>
          <w:rFonts w:eastAsia="SimSun"/>
        </w:rPr>
        <w:t>asma concentrations</w:t>
      </w:r>
      <w:r w:rsidRPr="00156737">
        <w:t xml:space="preserve"> from 10 of 73 samples in the </w:t>
      </w:r>
      <w:r>
        <w:t>OZURDEX</w:t>
      </w:r>
      <w:r w:rsidRPr="001A3EBB">
        <w:rPr>
          <w:vertAlign w:val="superscript"/>
        </w:rPr>
        <w:t>®</w:t>
      </w:r>
      <w:r w:rsidRPr="00156737">
        <w:t xml:space="preserve"> group and from 2 of 42 samples in the </w:t>
      </w:r>
      <w:r>
        <w:t>dexamethasone</w:t>
      </w:r>
      <w:r w:rsidRPr="00156737">
        <w:t xml:space="preserve"> 350</w:t>
      </w:r>
      <w:r w:rsidRPr="001A3EBB">
        <w:t xml:space="preserve"> </w:t>
      </w:r>
      <w:r>
        <w:t>µg</w:t>
      </w:r>
      <w:r w:rsidRPr="00156737">
        <w:t xml:space="preserve"> group were above the LLOQ, ranging from 0.0</w:t>
      </w:r>
      <w:r>
        <w:t>521 ng/mL to 0.0940 ng/</w:t>
      </w:r>
      <w:proofErr w:type="spellStart"/>
      <w:r>
        <w:t>mL</w:t>
      </w:r>
      <w:r w:rsidRPr="00156737">
        <w:t>.</w:t>
      </w:r>
      <w:proofErr w:type="spellEnd"/>
      <w:r w:rsidRPr="00156737">
        <w:t xml:space="preserve">  </w:t>
      </w:r>
    </w:p>
    <w:p w:rsidR="0062661D" w:rsidRDefault="0062661D" w:rsidP="001A3EBB">
      <w:pPr>
        <w:tabs>
          <w:tab w:val="left" w:pos="9180"/>
        </w:tabs>
        <w:jc w:val="both"/>
      </w:pPr>
    </w:p>
    <w:p w:rsidR="008632FE" w:rsidRDefault="00FE6805" w:rsidP="008632FE">
      <w:pPr>
        <w:tabs>
          <w:tab w:val="left" w:pos="9180"/>
        </w:tabs>
        <w:jc w:val="both"/>
      </w:pPr>
      <w:r>
        <w:t>In monkeys, following single bilateral intravitreal implantation of OZURDEX</w:t>
      </w:r>
      <w:r w:rsidRPr="00A03CAA">
        <w:rPr>
          <w:vertAlign w:val="superscript"/>
        </w:rPr>
        <w:t>®</w:t>
      </w:r>
      <w:r>
        <w:t xml:space="preserve">, dexamethasone was released in two phases. The </w:t>
      </w:r>
      <w:r w:rsidR="00383651">
        <w:t xml:space="preserve">first </w:t>
      </w:r>
      <w:r>
        <w:t>phase provided high concentrations of dexamethasone, with pea</w:t>
      </w:r>
      <w:r w:rsidR="000F4B96">
        <w:t>k</w:t>
      </w:r>
      <w:r>
        <w:t xml:space="preserve"> concentrations of dexamethasone observed in the </w:t>
      </w:r>
      <w:r w:rsidR="000F4B96">
        <w:t xml:space="preserve">vitreous </w:t>
      </w:r>
      <w:r>
        <w:t>humour and retina 60 days post-injection. This was followed by a second phase in which low concentrations of dexamethasone were released, extending the therapeutic period to 6 months.</w:t>
      </w:r>
    </w:p>
    <w:p w:rsidR="00FE6805" w:rsidRDefault="00FE6805" w:rsidP="008632FE">
      <w:pPr>
        <w:tabs>
          <w:tab w:val="left" w:pos="9180"/>
        </w:tabs>
        <w:jc w:val="both"/>
      </w:pPr>
    </w:p>
    <w:p w:rsidR="008632FE" w:rsidRDefault="008632FE" w:rsidP="008632FE">
      <w:pPr>
        <w:tabs>
          <w:tab w:val="left" w:pos="9180"/>
        </w:tabs>
        <w:jc w:val="both"/>
      </w:pPr>
      <w:r w:rsidRPr="00867370">
        <w:rPr>
          <w:i/>
          <w:u w:val="single"/>
        </w:rPr>
        <w:t>Metabolism:</w:t>
      </w:r>
      <w:r w:rsidRPr="000520C7">
        <w:rPr>
          <w:i/>
        </w:rPr>
        <w:t xml:space="preserve"> </w:t>
      </w:r>
      <w:r>
        <w:t xml:space="preserve">In an </w:t>
      </w:r>
      <w:r w:rsidRPr="00867370">
        <w:rPr>
          <w:i/>
        </w:rPr>
        <w:t>in vitro</w:t>
      </w:r>
      <w:r>
        <w:t xml:space="preserve"> metabolism study, following the incubation of [</w:t>
      </w:r>
      <w:r>
        <w:rPr>
          <w:vertAlign w:val="superscript"/>
        </w:rPr>
        <w:t>14</w:t>
      </w:r>
      <w:r>
        <w:t>C]-dexamethasone with human cornea, iris-ciliary body, choroid, retina, vitreous humo</w:t>
      </w:r>
      <w:r w:rsidR="00383651">
        <w:t>u</w:t>
      </w:r>
      <w:r>
        <w:t>r, and sclera tissues for 18 hours, no metabolites were observed. This is consistent with results from rabbit and monkey ocular metabolism studies.</w:t>
      </w:r>
      <w:r w:rsidR="00BA194D">
        <w:t xml:space="preserve"> Systemically, dexamethasone is subject to metabolism by CYP3A4 in the liver.</w:t>
      </w:r>
      <w:r>
        <w:t xml:space="preserve"> </w:t>
      </w:r>
    </w:p>
    <w:p w:rsidR="008632FE" w:rsidRDefault="008632FE" w:rsidP="008632FE">
      <w:pPr>
        <w:tabs>
          <w:tab w:val="left" w:pos="9180"/>
        </w:tabs>
        <w:jc w:val="both"/>
      </w:pPr>
    </w:p>
    <w:p w:rsidR="008632FE" w:rsidRPr="00867370" w:rsidRDefault="00BA194D" w:rsidP="008632FE">
      <w:pPr>
        <w:tabs>
          <w:tab w:val="left" w:pos="9180"/>
        </w:tabs>
        <w:jc w:val="both"/>
        <w:rPr>
          <w:rFonts w:ascii="Times" w:hAnsi="Times"/>
          <w:lang w:val="en-GB"/>
        </w:rPr>
      </w:pPr>
      <w:r>
        <w:rPr>
          <w:i/>
          <w:u w:val="single"/>
        </w:rPr>
        <w:lastRenderedPageBreak/>
        <w:t>Excretion</w:t>
      </w:r>
      <w:r w:rsidR="008632FE" w:rsidRPr="000520C7">
        <w:rPr>
          <w:i/>
          <w:u w:val="single"/>
        </w:rPr>
        <w:t>:</w:t>
      </w:r>
      <w:r w:rsidR="008632FE">
        <w:t xml:space="preserve"> </w:t>
      </w:r>
      <w:r>
        <w:t xml:space="preserve">Dexamethasone is predominantly cleared from the vitreous humour by diffusion into the retina/choroid/sclera membrane. </w:t>
      </w:r>
      <w:r w:rsidR="008632FE">
        <w:t>Dexamethasone is ultimately metabolised to lipid and water soluble metabolites that can be excreted in bile and urine.</w:t>
      </w:r>
      <w:r w:rsidR="008632FE" w:rsidRPr="00867370" w:rsidDel="00180ACE">
        <w:t xml:space="preserve"> </w:t>
      </w:r>
    </w:p>
    <w:p w:rsidR="008632FE" w:rsidRDefault="008632FE" w:rsidP="00700056">
      <w:pPr>
        <w:tabs>
          <w:tab w:val="left" w:pos="9180"/>
        </w:tabs>
        <w:jc w:val="both"/>
        <w:rPr>
          <w:i/>
          <w:u w:val="single"/>
        </w:rPr>
      </w:pPr>
    </w:p>
    <w:p w:rsidR="00B45769" w:rsidRDefault="00B45769" w:rsidP="00B45769">
      <w:pPr>
        <w:jc w:val="both"/>
      </w:pPr>
      <w:r>
        <w:t>Renal impairment: No formal studies have been conducted to examine the pharmacokinetics of OZURDEX</w:t>
      </w:r>
      <w:r w:rsidRPr="00B45769">
        <w:rPr>
          <w:vertAlign w:val="superscript"/>
        </w:rPr>
        <w:t>®</w:t>
      </w:r>
      <w:r>
        <w:t xml:space="preserve"> in patients with renal impairment. </w:t>
      </w:r>
    </w:p>
    <w:p w:rsidR="00B45769" w:rsidRDefault="00B45769" w:rsidP="00B45769">
      <w:pPr>
        <w:jc w:val="both"/>
      </w:pPr>
    </w:p>
    <w:p w:rsidR="00B45769" w:rsidRPr="00B45769" w:rsidRDefault="00B45769" w:rsidP="00B45769">
      <w:pPr>
        <w:jc w:val="both"/>
      </w:pPr>
      <w:r>
        <w:t>Hepatic impairment: No formal studies have been conducted to examine the pharmacokinetics of OZURDEX</w:t>
      </w:r>
      <w:proofErr w:type="gramStart"/>
      <w:r w:rsidRPr="00B45769">
        <w:rPr>
          <w:vertAlign w:val="superscript"/>
        </w:rPr>
        <w:t>®</w:t>
      </w:r>
      <w:r>
        <w:t xml:space="preserve"> </w:t>
      </w:r>
      <w:r>
        <w:rPr>
          <w:vertAlign w:val="superscript"/>
        </w:rPr>
        <w:t xml:space="preserve"> </w:t>
      </w:r>
      <w:r>
        <w:t>in</w:t>
      </w:r>
      <w:proofErr w:type="gramEnd"/>
      <w:r>
        <w:t xml:space="preserve"> patients with hepatic impairment.</w:t>
      </w:r>
    </w:p>
    <w:p w:rsidR="000D5E41" w:rsidRDefault="000D5E41" w:rsidP="00843810">
      <w:pPr>
        <w:jc w:val="both"/>
        <w:rPr>
          <w:rFonts w:ascii="Times" w:hAnsi="Times"/>
          <w:b/>
          <w:lang w:val="en-GB"/>
        </w:rPr>
      </w:pPr>
    </w:p>
    <w:p w:rsidR="0088143C" w:rsidRDefault="00051DD7" w:rsidP="00BE741B">
      <w:pPr>
        <w:pStyle w:val="Heading1"/>
      </w:pPr>
      <w:r>
        <w:t>CLINICAL TRIALS</w:t>
      </w:r>
    </w:p>
    <w:p w:rsidR="00257353" w:rsidRPr="00E760A9" w:rsidRDefault="00257353" w:rsidP="00843810">
      <w:pPr>
        <w:jc w:val="both"/>
        <w:rPr>
          <w:b/>
          <w:u w:val="single"/>
        </w:rPr>
      </w:pPr>
      <w:r w:rsidRPr="00E760A9">
        <w:rPr>
          <w:b/>
          <w:u w:val="single"/>
        </w:rPr>
        <w:t>DME</w:t>
      </w:r>
    </w:p>
    <w:p w:rsidR="004C4F86" w:rsidRDefault="00BB17FB" w:rsidP="00843810">
      <w:pPr>
        <w:jc w:val="both"/>
      </w:pPr>
      <w:r w:rsidRPr="00BE6BE8">
        <w:t xml:space="preserve">The clinical efficacy of </w:t>
      </w:r>
      <w:r w:rsidR="00E00F1C">
        <w:t>OZURDEX</w:t>
      </w:r>
      <w:r w:rsidR="00E00F1C" w:rsidRPr="00E00F1C">
        <w:rPr>
          <w:vertAlign w:val="superscript"/>
        </w:rPr>
        <w:t>®</w:t>
      </w:r>
      <w:r w:rsidRPr="00BE6BE8">
        <w:t xml:space="preserve"> </w:t>
      </w:r>
      <w:r w:rsidR="00E00F1C">
        <w:t xml:space="preserve">was assessed in </w:t>
      </w:r>
      <w:r w:rsidR="00BE043D">
        <w:t>two</w:t>
      </w:r>
      <w:r w:rsidR="00E00F1C">
        <w:t xml:space="preserve"> P</w:t>
      </w:r>
      <w:r w:rsidRPr="00B3210A">
        <w:t xml:space="preserve">hase 3 </w:t>
      </w:r>
      <w:r w:rsidR="00D5050B" w:rsidRPr="00B3210A">
        <w:t>randomi</w:t>
      </w:r>
      <w:r w:rsidR="00D5050B">
        <w:t>s</w:t>
      </w:r>
      <w:r w:rsidR="00D5050B" w:rsidRPr="00B3210A">
        <w:t>ed</w:t>
      </w:r>
      <w:r w:rsidRPr="00B3210A">
        <w:t xml:space="preserve">, masked, </w:t>
      </w:r>
      <w:r w:rsidR="005F5AEF">
        <w:t>S</w:t>
      </w:r>
      <w:r w:rsidR="005F5AEF" w:rsidRPr="00B3210A">
        <w:t>ham</w:t>
      </w:r>
      <w:r w:rsidRPr="00B3210A">
        <w:t xml:space="preserve">-controlled studies in patients with diabetic macular </w:t>
      </w:r>
      <w:r w:rsidR="00D5050B">
        <w:t>o</w:t>
      </w:r>
      <w:r w:rsidR="005166A6">
        <w:t>edema</w:t>
      </w:r>
      <w:r w:rsidRPr="00B3210A">
        <w:t xml:space="preserve">. A total of 1,048 patients (351 </w:t>
      </w:r>
      <w:r w:rsidR="00E00F1C">
        <w:t>OZURDEX</w:t>
      </w:r>
      <w:r w:rsidR="00E00F1C" w:rsidRPr="00E00F1C">
        <w:rPr>
          <w:vertAlign w:val="superscript"/>
        </w:rPr>
        <w:t>®</w:t>
      </w:r>
      <w:r w:rsidR="00D5050B">
        <w:t xml:space="preserve"> </w:t>
      </w:r>
      <w:r w:rsidR="00E966C9">
        <w:t>[</w:t>
      </w:r>
      <w:r w:rsidR="00D5050B">
        <w:t>700 µg</w:t>
      </w:r>
      <w:r w:rsidR="00E966C9">
        <w:t>]</w:t>
      </w:r>
      <w:r w:rsidRPr="00B3210A">
        <w:t xml:space="preserve">, 347 </w:t>
      </w:r>
      <w:r w:rsidR="00975F8B">
        <w:t>dexamethasone</w:t>
      </w:r>
      <w:r w:rsidRPr="00B3210A">
        <w:t xml:space="preserve"> 350</w:t>
      </w:r>
      <w:r w:rsidR="00EB6A4B">
        <w:t xml:space="preserve"> µg</w:t>
      </w:r>
      <w:r w:rsidRPr="00B3210A">
        <w:t xml:space="preserve">, and 350 </w:t>
      </w:r>
      <w:r w:rsidR="00EB6A4B">
        <w:t>S</w:t>
      </w:r>
      <w:r w:rsidR="00EB6A4B" w:rsidRPr="00B3210A">
        <w:t>ham</w:t>
      </w:r>
      <w:r w:rsidRPr="00B3210A">
        <w:t xml:space="preserve">) were evaluated as the </w:t>
      </w:r>
      <w:r w:rsidR="00E966C9">
        <w:t>intent-to-treat (</w:t>
      </w:r>
      <w:r w:rsidRPr="00B3210A">
        <w:t>ITT</w:t>
      </w:r>
      <w:r w:rsidR="00E966C9">
        <w:t>)</w:t>
      </w:r>
      <w:r w:rsidRPr="00B3210A">
        <w:t xml:space="preserve"> population</w:t>
      </w:r>
      <w:r>
        <w:t xml:space="preserve"> and received up to 7 treatments during the 3-year study period.</w:t>
      </w:r>
    </w:p>
    <w:p w:rsidR="00BB17FB" w:rsidRDefault="00BB17FB" w:rsidP="00843810">
      <w:pPr>
        <w:jc w:val="both"/>
        <w:rPr>
          <w:rFonts w:ascii="Times" w:hAnsi="Times"/>
          <w:lang w:val="en-GB"/>
        </w:rPr>
      </w:pPr>
    </w:p>
    <w:p w:rsidR="00BE043D" w:rsidRPr="005556D0" w:rsidRDefault="00AE3ACB" w:rsidP="00AE3ACB">
      <w:pPr>
        <w:autoSpaceDE w:val="0"/>
        <w:autoSpaceDN w:val="0"/>
        <w:adjustRightInd w:val="0"/>
        <w:jc w:val="both"/>
      </w:pPr>
      <w:r w:rsidRPr="005556D0">
        <w:t xml:space="preserve">The primary endpoint in </w:t>
      </w:r>
      <w:r w:rsidR="00007C52" w:rsidRPr="005556D0">
        <w:t>both studies</w:t>
      </w:r>
      <w:r w:rsidRPr="005556D0">
        <w:t xml:space="preserve"> was </w:t>
      </w:r>
      <w:r w:rsidR="00B87CB6">
        <w:t>B</w:t>
      </w:r>
      <w:r w:rsidRPr="005556D0">
        <w:t xml:space="preserve">est </w:t>
      </w:r>
      <w:r w:rsidR="00B87CB6">
        <w:t>Corrected</w:t>
      </w:r>
      <w:r w:rsidR="00B87CB6" w:rsidRPr="005556D0">
        <w:t xml:space="preserve"> </w:t>
      </w:r>
      <w:r w:rsidR="00B87CB6">
        <w:t>V</w:t>
      </w:r>
      <w:r w:rsidRPr="005556D0">
        <w:t xml:space="preserve">isual </w:t>
      </w:r>
      <w:r w:rsidR="00B87CB6">
        <w:t>A</w:t>
      </w:r>
      <w:r w:rsidRPr="005556D0">
        <w:t>cuity (BCVA) using early treatment diabetic retinopathy study (</w:t>
      </w:r>
      <w:r w:rsidR="000D5E41">
        <w:t>ETDRS</w:t>
      </w:r>
      <w:r w:rsidRPr="005556D0">
        <w:t>) method in the study eye at the qualification/baseline visit and each follow-up visi</w:t>
      </w:r>
      <w:r w:rsidR="00D54FA8" w:rsidRPr="005556D0">
        <w:t>t</w:t>
      </w:r>
      <w:r w:rsidRPr="005556D0">
        <w:t>.</w:t>
      </w:r>
    </w:p>
    <w:p w:rsidR="00AE3ACB" w:rsidRPr="00AE3ACB" w:rsidRDefault="00AE3ACB" w:rsidP="00AE3ACB">
      <w:pPr>
        <w:autoSpaceDE w:val="0"/>
        <w:autoSpaceDN w:val="0"/>
        <w:adjustRightInd w:val="0"/>
        <w:jc w:val="both"/>
        <w:rPr>
          <w:rFonts w:ascii="TimesNewRomanPSMT" w:hAnsi="TimesNewRomanPSMT" w:cs="TimesNewRomanPSMT"/>
          <w:szCs w:val="24"/>
          <w:lang w:val="en-US"/>
        </w:rPr>
      </w:pPr>
    </w:p>
    <w:p w:rsidR="00BB17FB" w:rsidRDefault="00BB17FB" w:rsidP="00843810">
      <w:pPr>
        <w:pStyle w:val="NoSpacing"/>
        <w:jc w:val="both"/>
        <w:rPr>
          <w:sz w:val="20"/>
          <w:szCs w:val="20"/>
        </w:rPr>
      </w:pPr>
      <w:r>
        <w:rPr>
          <w:szCs w:val="22"/>
        </w:rPr>
        <w:t>Patients were eligible for retreatment</w:t>
      </w:r>
      <w:r>
        <w:t xml:space="preserve"> </w:t>
      </w:r>
      <w:r>
        <w:rPr>
          <w:szCs w:val="22"/>
        </w:rPr>
        <w:t xml:space="preserve">based upon </w:t>
      </w:r>
      <w:r>
        <w:t xml:space="preserve">central </w:t>
      </w:r>
      <w:r w:rsidR="00E966C9">
        <w:t>subfield retinal thickness &gt; 175 </w:t>
      </w:r>
      <w:r>
        <w:t xml:space="preserve">microns by optical coherence tomography (OCT) or upon physician’s interpretation for any evidence of residual retinal </w:t>
      </w:r>
      <w:proofErr w:type="spellStart"/>
      <w:r w:rsidR="00EB6A4B">
        <w:t>o</w:t>
      </w:r>
      <w:r w:rsidR="005166A6">
        <w:t>edema</w:t>
      </w:r>
      <w:proofErr w:type="spellEnd"/>
      <w:r>
        <w:t xml:space="preserve"> consisting of </w:t>
      </w:r>
      <w:proofErr w:type="spellStart"/>
      <w:r>
        <w:t>intraretinal</w:t>
      </w:r>
      <w:proofErr w:type="spellEnd"/>
      <w:r>
        <w:t xml:space="preserve"> cysts or any regions of increased retinal thickening within or outside of the central subfield. </w:t>
      </w:r>
    </w:p>
    <w:p w:rsidR="00A5768A" w:rsidRDefault="00A5768A" w:rsidP="00326632">
      <w:pPr>
        <w:pStyle w:val="NoSpacing"/>
        <w:jc w:val="both"/>
        <w:rPr>
          <w:u w:val="single"/>
        </w:rPr>
      </w:pPr>
    </w:p>
    <w:p w:rsidR="00326632" w:rsidRPr="006E6D6F" w:rsidRDefault="00326632" w:rsidP="00326632">
      <w:pPr>
        <w:pStyle w:val="NoSpacing"/>
        <w:jc w:val="both"/>
        <w:rPr>
          <w:u w:val="single"/>
        </w:rPr>
      </w:pPr>
      <w:r w:rsidRPr="006E6D6F">
        <w:rPr>
          <w:u w:val="single"/>
        </w:rPr>
        <w:t>BCVA Average Change from Baseline (</w:t>
      </w:r>
      <w:r w:rsidR="00E966C9">
        <w:rPr>
          <w:u w:val="single"/>
        </w:rPr>
        <w:t>area under the curve [</w:t>
      </w:r>
      <w:r w:rsidRPr="006E6D6F">
        <w:rPr>
          <w:u w:val="single"/>
        </w:rPr>
        <w:t>AUC</w:t>
      </w:r>
      <w:r w:rsidR="00E966C9">
        <w:rPr>
          <w:u w:val="single"/>
        </w:rPr>
        <w:t>]</w:t>
      </w:r>
      <w:r w:rsidRPr="006E6D6F">
        <w:rPr>
          <w:u w:val="single"/>
        </w:rPr>
        <w:t xml:space="preserve"> approach) </w:t>
      </w:r>
    </w:p>
    <w:p w:rsidR="00326632" w:rsidRPr="006E6D6F" w:rsidRDefault="00326632" w:rsidP="00326632">
      <w:pPr>
        <w:jc w:val="both"/>
      </w:pPr>
      <w:r w:rsidRPr="0047335A">
        <w:t xml:space="preserve">In </w:t>
      </w:r>
      <w:r w:rsidR="00185081">
        <w:t xml:space="preserve">Study </w:t>
      </w:r>
      <w:r w:rsidR="00D75528">
        <w:t>DME</w:t>
      </w:r>
      <w:r w:rsidR="001D7CDC">
        <w:t>1</w:t>
      </w:r>
      <w:r w:rsidRPr="006E6D6F">
        <w:t>, the mean BCVA average change from baseline during the study was significantly greater with OZURDEX</w:t>
      </w:r>
      <w:r w:rsidRPr="006E6D6F">
        <w:rPr>
          <w:vertAlign w:val="superscript"/>
        </w:rPr>
        <w:t>®</w:t>
      </w:r>
      <w:r w:rsidRPr="006E6D6F">
        <w:t xml:space="preserve"> compared to Sham (4.1 letters </w:t>
      </w:r>
      <w:r w:rsidR="00E966C9">
        <w:t>versus 1.9 letters, p = 0.016).</w:t>
      </w:r>
    </w:p>
    <w:p w:rsidR="00326632" w:rsidRPr="006E6D6F" w:rsidRDefault="00326632" w:rsidP="00326632">
      <w:pPr>
        <w:jc w:val="both"/>
      </w:pPr>
    </w:p>
    <w:p w:rsidR="00326632" w:rsidRPr="006E6D6F" w:rsidRDefault="00326632" w:rsidP="00326632">
      <w:pPr>
        <w:jc w:val="both"/>
      </w:pPr>
      <w:r w:rsidRPr="0047335A">
        <w:t xml:space="preserve">In </w:t>
      </w:r>
      <w:r w:rsidR="00185081">
        <w:t>Study</w:t>
      </w:r>
      <w:r w:rsidR="00D75528">
        <w:t xml:space="preserve"> DME</w:t>
      </w:r>
      <w:r w:rsidR="001D7CDC">
        <w:t xml:space="preserve">2 </w:t>
      </w:r>
      <w:r w:rsidRPr="006E6D6F">
        <w:t>, the mean BCVA average change from baseline during the study was 2.9 letters with OZURDEX</w:t>
      </w:r>
      <w:r w:rsidRPr="006E6D6F">
        <w:rPr>
          <w:vertAlign w:val="superscript"/>
        </w:rPr>
        <w:t>®</w:t>
      </w:r>
      <w:r w:rsidRPr="006E6D6F">
        <w:t xml:space="preserve"> compared to 2.0 letters with Sham; the difference was not statisti</w:t>
      </w:r>
      <w:r w:rsidR="00E966C9">
        <w:t>cally significant (p = 0.366).</w:t>
      </w:r>
    </w:p>
    <w:p w:rsidR="00326632" w:rsidRPr="006E6D6F" w:rsidRDefault="00326632" w:rsidP="00326632">
      <w:pPr>
        <w:pStyle w:val="NoSpacing"/>
        <w:jc w:val="both"/>
        <w:rPr>
          <w:u w:val="single"/>
        </w:rPr>
      </w:pPr>
    </w:p>
    <w:p w:rsidR="00326632" w:rsidRDefault="00326632" w:rsidP="00326632">
      <w:pPr>
        <w:pStyle w:val="NoSpacing"/>
        <w:jc w:val="both"/>
      </w:pPr>
      <w:r w:rsidRPr="006E6D6F">
        <w:t>In the pooled analysis, the mean BCVA average change from baseline during the study was significantly greater with OZURDEX</w:t>
      </w:r>
      <w:r w:rsidRPr="006E6D6F">
        <w:rPr>
          <w:vertAlign w:val="superscript"/>
        </w:rPr>
        <w:t>®</w:t>
      </w:r>
      <w:r w:rsidRPr="006E6D6F">
        <w:t xml:space="preserve"> compared to Sham (3.5 letters versus 2.0 letters, p = 0.023).</w:t>
      </w:r>
    </w:p>
    <w:p w:rsidR="00326632" w:rsidRDefault="00326632" w:rsidP="00843810">
      <w:pPr>
        <w:pStyle w:val="NoSpacing"/>
        <w:jc w:val="both"/>
        <w:rPr>
          <w:kern w:val="0"/>
          <w:u w:val="single"/>
          <w:lang w:eastAsia="en-US"/>
        </w:rPr>
      </w:pPr>
    </w:p>
    <w:p w:rsidR="00BB17FB" w:rsidRPr="009212D2" w:rsidRDefault="00BB17FB" w:rsidP="00843810">
      <w:pPr>
        <w:pStyle w:val="NoSpacing"/>
        <w:jc w:val="both"/>
        <w:rPr>
          <w:kern w:val="0"/>
          <w:u w:val="single"/>
          <w:lang w:eastAsia="en-US"/>
        </w:rPr>
      </w:pPr>
      <w:r w:rsidRPr="009212D2">
        <w:rPr>
          <w:kern w:val="0"/>
          <w:u w:val="single"/>
          <w:lang w:eastAsia="en-US"/>
        </w:rPr>
        <w:t xml:space="preserve">BCVA Improvement ≥ 15 Letters from Baseline </w:t>
      </w:r>
    </w:p>
    <w:p w:rsidR="00BB17FB" w:rsidRDefault="00BB17FB" w:rsidP="00843810">
      <w:pPr>
        <w:jc w:val="both"/>
      </w:pPr>
      <w:r w:rsidRPr="0047335A">
        <w:t xml:space="preserve">In </w:t>
      </w:r>
      <w:r w:rsidR="00185081">
        <w:t>Study</w:t>
      </w:r>
      <w:r w:rsidR="00D75528">
        <w:t xml:space="preserve"> DME</w:t>
      </w:r>
      <w:r w:rsidR="001D7CDC">
        <w:t>1</w:t>
      </w:r>
      <w:r w:rsidR="00B018FD">
        <w:t xml:space="preserve"> </w:t>
      </w:r>
      <w:r>
        <w:t xml:space="preserve">the </w:t>
      </w:r>
      <w:r w:rsidRPr="00A161E7">
        <w:t>proportion of patients with 1</w:t>
      </w:r>
      <w:r>
        <w:t>5</w:t>
      </w:r>
      <w:r w:rsidRPr="00A161E7">
        <w:t xml:space="preserve"> or more letters improvement </w:t>
      </w:r>
      <w:r>
        <w:t xml:space="preserve">in BCVA </w:t>
      </w:r>
      <w:r w:rsidRPr="00A161E7">
        <w:t xml:space="preserve">from </w:t>
      </w:r>
      <w:r w:rsidRPr="002D17E6">
        <w:t xml:space="preserve">baseline was significantly higher with </w:t>
      </w:r>
      <w:r w:rsidR="00E00F1C">
        <w:t>OZURDEX</w:t>
      </w:r>
      <w:r w:rsidR="00E00F1C" w:rsidRPr="00E00F1C">
        <w:rPr>
          <w:vertAlign w:val="superscript"/>
        </w:rPr>
        <w:t>®</w:t>
      </w:r>
      <w:r w:rsidRPr="002D17E6">
        <w:t xml:space="preserve"> (</w:t>
      </w:r>
      <w:r>
        <w:t>22.1</w:t>
      </w:r>
      <w:r w:rsidRPr="002D17E6">
        <w:t>%) compared with Sham (</w:t>
      </w:r>
      <w:r>
        <w:t>13.3</w:t>
      </w:r>
      <w:r w:rsidRPr="002D17E6">
        <w:t xml:space="preserve">%) at </w:t>
      </w:r>
      <w:r>
        <w:t>the year 3 final visit</w:t>
      </w:r>
      <w:r w:rsidRPr="002D17E6">
        <w:t>, p = 0.0</w:t>
      </w:r>
      <w:r>
        <w:t>38</w:t>
      </w:r>
      <w:r w:rsidR="00E966C9">
        <w:t>.</w:t>
      </w:r>
    </w:p>
    <w:p w:rsidR="00BB17FB" w:rsidRDefault="00BB17FB" w:rsidP="00843810">
      <w:pPr>
        <w:jc w:val="both"/>
      </w:pPr>
    </w:p>
    <w:p w:rsidR="00BB17FB" w:rsidRDefault="00BB17FB" w:rsidP="00843810">
      <w:pPr>
        <w:jc w:val="both"/>
      </w:pPr>
      <w:r>
        <w:t xml:space="preserve">In </w:t>
      </w:r>
      <w:r w:rsidR="00185081">
        <w:t>Study</w:t>
      </w:r>
      <w:r w:rsidR="001D7CDC">
        <w:t xml:space="preserve"> DME</w:t>
      </w:r>
      <w:r w:rsidR="00185081">
        <w:t>2</w:t>
      </w:r>
      <w:r w:rsidR="001D7CDC">
        <w:t xml:space="preserve"> </w:t>
      </w:r>
      <w:r>
        <w:t xml:space="preserve">the </w:t>
      </w:r>
      <w:r w:rsidRPr="00A161E7">
        <w:t>proportion of patients with 1</w:t>
      </w:r>
      <w:r>
        <w:t>5</w:t>
      </w:r>
      <w:r w:rsidRPr="00A161E7">
        <w:t xml:space="preserve"> or more letters improvement </w:t>
      </w:r>
      <w:r>
        <w:t xml:space="preserve">in BCVA </w:t>
      </w:r>
      <w:r w:rsidRPr="00A161E7">
        <w:t xml:space="preserve">from </w:t>
      </w:r>
      <w:r w:rsidRPr="002D17E6">
        <w:t xml:space="preserve">baseline was significantly higher with </w:t>
      </w:r>
      <w:r w:rsidR="00E00F1C">
        <w:t>OZURDEX</w:t>
      </w:r>
      <w:r w:rsidR="00E00F1C" w:rsidRPr="00E00F1C">
        <w:rPr>
          <w:vertAlign w:val="superscript"/>
        </w:rPr>
        <w:t>®</w:t>
      </w:r>
      <w:r w:rsidRPr="002D17E6">
        <w:t xml:space="preserve"> (</w:t>
      </w:r>
      <w:r>
        <w:t>22.3</w:t>
      </w:r>
      <w:r w:rsidRPr="002D17E6">
        <w:t>%) compared with Sham (</w:t>
      </w:r>
      <w:r>
        <w:t>10.8</w:t>
      </w:r>
      <w:r w:rsidRPr="002D17E6">
        <w:t xml:space="preserve">%) at </w:t>
      </w:r>
      <w:r>
        <w:t>the year 3 final visit</w:t>
      </w:r>
      <w:r w:rsidRPr="002D17E6">
        <w:t>, p = 0.0</w:t>
      </w:r>
      <w:r w:rsidR="00E966C9">
        <w:t>03.</w:t>
      </w:r>
    </w:p>
    <w:p w:rsidR="00BB17FB" w:rsidRPr="00B3210A" w:rsidRDefault="00BB17FB" w:rsidP="00843810">
      <w:pPr>
        <w:pStyle w:val="NoSpacing"/>
        <w:jc w:val="both"/>
        <w:rPr>
          <w:sz w:val="20"/>
          <w:szCs w:val="20"/>
        </w:rPr>
      </w:pPr>
    </w:p>
    <w:p w:rsidR="00BB17FB" w:rsidRDefault="00BB17FB" w:rsidP="00843810">
      <w:pPr>
        <w:jc w:val="both"/>
      </w:pPr>
      <w:r w:rsidRPr="00B3210A">
        <w:lastRenderedPageBreak/>
        <w:t xml:space="preserve">In the pooled analysis, the proportion of patients with 15 or more letters improvement from baseline was significantly higher with </w:t>
      </w:r>
      <w:r w:rsidR="00E00F1C">
        <w:t>OZURDEX</w:t>
      </w:r>
      <w:r w:rsidR="00E00F1C" w:rsidRPr="00E00F1C">
        <w:rPr>
          <w:vertAlign w:val="superscript"/>
        </w:rPr>
        <w:t>®</w:t>
      </w:r>
      <w:r w:rsidRPr="00B3210A">
        <w:t xml:space="preserve"> (22.2%) compared to Sham (12.0%) at the year 3 final visit</w:t>
      </w:r>
      <w:r>
        <w:t xml:space="preserve"> (</w:t>
      </w:r>
      <w:r w:rsidRPr="00B3210A">
        <w:t>p &lt; 0.001</w:t>
      </w:r>
      <w:r>
        <w:t>)</w:t>
      </w:r>
      <w:r w:rsidRPr="00B3210A">
        <w:t xml:space="preserve"> </w:t>
      </w:r>
      <w:r>
        <w:t>and</w:t>
      </w:r>
      <w:r w:rsidRPr="00A161E7">
        <w:t xml:space="preserve"> significantly higher with </w:t>
      </w:r>
      <w:r w:rsidR="00E00F1C">
        <w:t>OZURDEX</w:t>
      </w:r>
      <w:r w:rsidR="00E00F1C" w:rsidRPr="00E00F1C">
        <w:rPr>
          <w:vertAlign w:val="superscript"/>
        </w:rPr>
        <w:t>®</w:t>
      </w:r>
      <w:r w:rsidR="00E00F1C">
        <w:rPr>
          <w:vertAlign w:val="superscript"/>
        </w:rPr>
        <w:t xml:space="preserve"> </w:t>
      </w:r>
      <w:r w:rsidRPr="00A161E7">
        <w:t xml:space="preserve">compared </w:t>
      </w:r>
      <w:r>
        <w:t xml:space="preserve">to </w:t>
      </w:r>
      <w:r w:rsidRPr="00A161E7">
        <w:t xml:space="preserve">Sham </w:t>
      </w:r>
      <w:r w:rsidRPr="00F25684">
        <w:t xml:space="preserve">at </w:t>
      </w:r>
      <w:r w:rsidRPr="008B1DB8">
        <w:t>15 of the 17 study visits</w:t>
      </w:r>
      <w:r w:rsidRPr="00000D07">
        <w:t xml:space="preserve">. The treatment benefit of </w:t>
      </w:r>
      <w:r w:rsidR="00E00F1C">
        <w:t>OZURDEX</w:t>
      </w:r>
      <w:r w:rsidR="00E00F1C" w:rsidRPr="00E00F1C">
        <w:rPr>
          <w:vertAlign w:val="superscript"/>
        </w:rPr>
        <w:t>®</w:t>
      </w:r>
      <w:r>
        <w:t xml:space="preserve"> </w:t>
      </w:r>
      <w:r w:rsidRPr="00000D07">
        <w:t xml:space="preserve">in vision improvement was seen </w:t>
      </w:r>
      <w:r>
        <w:t>throughout the 3</w:t>
      </w:r>
      <w:r>
        <w:noBreakHyphen/>
        <w:t>year study period.</w:t>
      </w:r>
    </w:p>
    <w:p w:rsidR="005D3192" w:rsidRDefault="005D3192" w:rsidP="00843810">
      <w:pPr>
        <w:jc w:val="both"/>
      </w:pPr>
    </w:p>
    <w:p w:rsidR="00927ECA" w:rsidRPr="00927ECA" w:rsidRDefault="00927ECA" w:rsidP="00927ECA">
      <w:pPr>
        <w:pStyle w:val="TableText"/>
        <w:rPr>
          <w:b/>
          <w:sz w:val="20"/>
        </w:rPr>
      </w:pPr>
      <w:bookmarkStart w:id="1" w:name="_Ref351706063"/>
      <w:bookmarkStart w:id="2" w:name="_Toc351197775"/>
      <w:bookmarkStart w:id="3" w:name="_Toc354386240"/>
      <w:r w:rsidRPr="00927ECA">
        <w:rPr>
          <w:b/>
          <w:sz w:val="20"/>
        </w:rPr>
        <w:t xml:space="preserve">Figure </w:t>
      </w:r>
      <w:bookmarkEnd w:id="1"/>
      <w:r>
        <w:rPr>
          <w:b/>
          <w:sz w:val="20"/>
        </w:rPr>
        <w:t>1</w:t>
      </w:r>
      <w:r w:rsidRPr="00927ECA">
        <w:rPr>
          <w:b/>
          <w:sz w:val="20"/>
        </w:rPr>
        <w:t xml:space="preserve">          Percent of Patients with ≥ 15 Letters Improvement from Baseline BCVA in the Study Eye             </w:t>
      </w:r>
    </w:p>
    <w:p w:rsidR="00927ECA" w:rsidRPr="00927ECA" w:rsidRDefault="00927ECA" w:rsidP="00927ECA">
      <w:pPr>
        <w:pStyle w:val="TableText"/>
        <w:rPr>
          <w:b/>
          <w:sz w:val="20"/>
        </w:rPr>
      </w:pPr>
      <w:r w:rsidRPr="00927ECA">
        <w:rPr>
          <w:b/>
          <w:sz w:val="20"/>
        </w:rPr>
        <w:t xml:space="preserve">                          (Pooled Studies, ITT Population)</w:t>
      </w:r>
      <w:bookmarkEnd w:id="2"/>
      <w:bookmarkEnd w:id="3"/>
    </w:p>
    <w:p w:rsidR="00927ECA" w:rsidRDefault="009A7460" w:rsidP="00927ECA">
      <w:pPr>
        <w:jc w:val="center"/>
      </w:pPr>
      <w:r>
        <w:rPr>
          <w:noProof/>
          <w:lang w:eastAsia="en-AU"/>
        </w:rPr>
        <w:drawing>
          <wp:inline distT="0" distB="0" distL="0" distR="0" wp14:anchorId="2080DA9E" wp14:editId="2080DA9F">
            <wp:extent cx="5076825" cy="2266563"/>
            <wp:effectExtent l="0" t="0" r="0" b="63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0536" cy="2268220"/>
                    </a:xfrm>
                    <a:prstGeom prst="rect">
                      <a:avLst/>
                    </a:prstGeom>
                    <a:noFill/>
                  </pic:spPr>
                </pic:pic>
              </a:graphicData>
            </a:graphic>
          </wp:inline>
        </w:drawing>
      </w:r>
    </w:p>
    <w:p w:rsidR="00927ECA" w:rsidRPr="00927ECA" w:rsidRDefault="00927ECA" w:rsidP="00927ECA">
      <w:pPr>
        <w:pStyle w:val="NoSpacing"/>
        <w:rPr>
          <w:sz w:val="18"/>
          <w:szCs w:val="18"/>
        </w:rPr>
      </w:pPr>
      <w:r w:rsidRPr="00927ECA">
        <w:rPr>
          <w:sz w:val="18"/>
          <w:szCs w:val="18"/>
        </w:rPr>
        <w:t xml:space="preserve">* indicates statistically significant (p ≤ 0.05) difference between </w:t>
      </w:r>
      <w:r>
        <w:rPr>
          <w:sz w:val="18"/>
          <w:szCs w:val="18"/>
        </w:rPr>
        <w:t>OZURDEX</w:t>
      </w:r>
      <w:r w:rsidRPr="00927ECA">
        <w:rPr>
          <w:sz w:val="18"/>
          <w:szCs w:val="18"/>
          <w:vertAlign w:val="superscript"/>
        </w:rPr>
        <w:t xml:space="preserve">® </w:t>
      </w:r>
      <w:r w:rsidRPr="00927ECA">
        <w:rPr>
          <w:sz w:val="18"/>
          <w:szCs w:val="18"/>
        </w:rPr>
        <w:t>versus Sham</w:t>
      </w:r>
    </w:p>
    <w:p w:rsidR="00927ECA" w:rsidRDefault="00927ECA" w:rsidP="00927ECA">
      <w:pPr>
        <w:pStyle w:val="NoSpacing"/>
        <w:rPr>
          <w:sz w:val="18"/>
          <w:szCs w:val="18"/>
        </w:rPr>
      </w:pPr>
      <w:r w:rsidRPr="00927ECA">
        <w:rPr>
          <w:sz w:val="18"/>
          <w:szCs w:val="18"/>
        </w:rPr>
        <w:t xml:space="preserve">Note:  Missing values are imputed by last observation carried forward at the follow-up visits.  </w:t>
      </w:r>
    </w:p>
    <w:p w:rsidR="00E966C9" w:rsidRPr="00927ECA" w:rsidRDefault="00E966C9" w:rsidP="00927ECA">
      <w:pPr>
        <w:pStyle w:val="NoSpacing"/>
        <w:rPr>
          <w:sz w:val="18"/>
          <w:szCs w:val="18"/>
          <w:highlight w:val="yellow"/>
        </w:rPr>
      </w:pPr>
    </w:p>
    <w:p w:rsidR="001D459B" w:rsidRDefault="001D459B" w:rsidP="00843810">
      <w:pPr>
        <w:pStyle w:val="NoSpacing"/>
        <w:jc w:val="both"/>
        <w:rPr>
          <w:u w:val="single"/>
        </w:rPr>
      </w:pPr>
      <w:r w:rsidRPr="00E34C04">
        <w:rPr>
          <w:u w:val="single"/>
        </w:rPr>
        <w:t xml:space="preserve">BCVA Improvement of 10 or More Letters from Baseline </w:t>
      </w:r>
    </w:p>
    <w:p w:rsidR="001D459B" w:rsidRDefault="001D459B" w:rsidP="00843810">
      <w:pPr>
        <w:jc w:val="both"/>
      </w:pPr>
      <w:r>
        <w:t xml:space="preserve">In </w:t>
      </w:r>
      <w:r w:rsidR="00185081">
        <w:t>Study</w:t>
      </w:r>
      <w:r w:rsidR="00D75528">
        <w:t xml:space="preserve"> </w:t>
      </w:r>
      <w:proofErr w:type="gramStart"/>
      <w:r w:rsidR="00D75528">
        <w:t>DME</w:t>
      </w:r>
      <w:r w:rsidR="001D7CDC">
        <w:t xml:space="preserve">1 </w:t>
      </w:r>
      <w:r>
        <w:t>,</w:t>
      </w:r>
      <w:proofErr w:type="gramEnd"/>
      <w:r>
        <w:t xml:space="preserve"> t</w:t>
      </w:r>
      <w:r w:rsidRPr="0073624F">
        <w:t>he</w:t>
      </w:r>
      <w:r w:rsidRPr="00A161E7">
        <w:t xml:space="preserve"> proportion of patients </w:t>
      </w:r>
      <w:r>
        <w:t xml:space="preserve">with 10 or more letters improvement in BCVA </w:t>
      </w:r>
      <w:r w:rsidRPr="000B2694">
        <w:t>was</w:t>
      </w:r>
      <w:r w:rsidRPr="00A161E7">
        <w:t xml:space="preserve"> significantly higher with </w:t>
      </w:r>
      <w:r w:rsidR="00E00F1C">
        <w:t>OZURDEX</w:t>
      </w:r>
      <w:r w:rsidR="00E00F1C" w:rsidRPr="00E00F1C">
        <w:rPr>
          <w:vertAlign w:val="superscript"/>
        </w:rPr>
        <w:t>®</w:t>
      </w:r>
      <w:r>
        <w:t xml:space="preserve"> </w:t>
      </w:r>
      <w:r w:rsidRPr="00A161E7">
        <w:t xml:space="preserve">compared </w:t>
      </w:r>
      <w:r>
        <w:t xml:space="preserve">to </w:t>
      </w:r>
      <w:r w:rsidRPr="00A161E7">
        <w:t xml:space="preserve">Sham </w:t>
      </w:r>
      <w:r w:rsidRPr="00F25684">
        <w:t xml:space="preserve">at </w:t>
      </w:r>
      <w:r>
        <w:t>14</w:t>
      </w:r>
      <w:r w:rsidRPr="00F25684">
        <w:t xml:space="preserve"> of the 17 study visits</w:t>
      </w:r>
      <w:r w:rsidRPr="00000D07">
        <w:t xml:space="preserve">.  </w:t>
      </w:r>
      <w:r>
        <w:t>At the end of the study,</w:t>
      </w:r>
      <w:r w:rsidRPr="001A1ECB">
        <w:t xml:space="preserve"> significantly greater proportion</w:t>
      </w:r>
      <w:r>
        <w:t>s</w:t>
      </w:r>
      <w:r w:rsidRPr="001A1ECB">
        <w:t xml:space="preserve"> of patients receiving </w:t>
      </w:r>
      <w:r w:rsidR="00E00F1C">
        <w:t>OZURDEX</w:t>
      </w:r>
      <w:r w:rsidR="00E00F1C" w:rsidRPr="00E00F1C">
        <w:rPr>
          <w:vertAlign w:val="superscript"/>
        </w:rPr>
        <w:t>®</w:t>
      </w:r>
      <w:r>
        <w:t xml:space="preserve"> (38.7%) showed a 10</w:t>
      </w:r>
      <w:r>
        <w:noBreakHyphen/>
        <w:t>letter improvement compared to Sham (23.0%), p = 0.002.</w:t>
      </w:r>
    </w:p>
    <w:p w:rsidR="001D459B" w:rsidRDefault="001D459B" w:rsidP="00843810">
      <w:pPr>
        <w:pStyle w:val="NoSpacing"/>
        <w:jc w:val="both"/>
      </w:pPr>
    </w:p>
    <w:p w:rsidR="001D459B" w:rsidRDefault="001D459B" w:rsidP="00843810">
      <w:pPr>
        <w:jc w:val="both"/>
      </w:pPr>
      <w:r>
        <w:t xml:space="preserve">In </w:t>
      </w:r>
      <w:r w:rsidR="00185081">
        <w:t>Study</w:t>
      </w:r>
      <w:r w:rsidR="00D75528">
        <w:t xml:space="preserve"> </w:t>
      </w:r>
      <w:proofErr w:type="gramStart"/>
      <w:r w:rsidR="00D75528">
        <w:t>DME</w:t>
      </w:r>
      <w:r w:rsidR="001D7CDC">
        <w:t xml:space="preserve">2 </w:t>
      </w:r>
      <w:r>
        <w:t>,</w:t>
      </w:r>
      <w:proofErr w:type="gramEnd"/>
      <w:r>
        <w:t xml:space="preserve"> t</w:t>
      </w:r>
      <w:r w:rsidRPr="001A1ECB">
        <w:t xml:space="preserve">he proportion of patients with 10 or more letters improvement in BCVA was significantly higher with </w:t>
      </w:r>
      <w:r w:rsidR="00E00F1C">
        <w:t>OZURDEX</w:t>
      </w:r>
      <w:r w:rsidR="00E00F1C" w:rsidRPr="00E00F1C">
        <w:rPr>
          <w:vertAlign w:val="superscript"/>
        </w:rPr>
        <w:t>®</w:t>
      </w:r>
      <w:r w:rsidRPr="001A1ECB">
        <w:t xml:space="preserve"> compared to Sham at 10 of the 17 study visits.  At the end of the </w:t>
      </w:r>
      <w:r>
        <w:t xml:space="preserve">3-year </w:t>
      </w:r>
      <w:r w:rsidRPr="001A1ECB">
        <w:t xml:space="preserve">study, a significantly greater proportion of patients receiving </w:t>
      </w:r>
      <w:r w:rsidR="00E00F1C">
        <w:t>OZURDEX</w:t>
      </w:r>
      <w:r w:rsidR="00E00F1C" w:rsidRPr="00E00F1C">
        <w:rPr>
          <w:vertAlign w:val="superscript"/>
        </w:rPr>
        <w:t>®</w:t>
      </w:r>
      <w:r>
        <w:t xml:space="preserve"> (34.6%) </w:t>
      </w:r>
      <w:r w:rsidRPr="001A1ECB">
        <w:t>showed a ≥ 10</w:t>
      </w:r>
      <w:r w:rsidRPr="001A1ECB">
        <w:noBreakHyphen/>
        <w:t xml:space="preserve">letter improvement compared </w:t>
      </w:r>
      <w:r>
        <w:t>to</w:t>
      </w:r>
      <w:r w:rsidRPr="001A1ECB">
        <w:t xml:space="preserve"> Sham (24.9%</w:t>
      </w:r>
      <w:r>
        <w:t>)</w:t>
      </w:r>
      <w:r w:rsidRPr="001A1ECB">
        <w:t>, p = 0.040.</w:t>
      </w:r>
    </w:p>
    <w:p w:rsidR="001D459B" w:rsidRPr="003C065E" w:rsidRDefault="001D459B" w:rsidP="00843810">
      <w:pPr>
        <w:pStyle w:val="NoSpacing"/>
        <w:jc w:val="both"/>
      </w:pPr>
    </w:p>
    <w:p w:rsidR="001D459B" w:rsidRDefault="00AD71BC" w:rsidP="00843810">
      <w:pPr>
        <w:jc w:val="both"/>
      </w:pPr>
      <w:r>
        <w:t>In the pooled analysis, t</w:t>
      </w:r>
      <w:r w:rsidR="001D459B" w:rsidRPr="00ED1FA5">
        <w:t xml:space="preserve">he proportion of patients with 10 or more letters improvement in BCVA was significantly higher with </w:t>
      </w:r>
      <w:r w:rsidR="00E00F1C">
        <w:t>OZURDEX</w:t>
      </w:r>
      <w:r w:rsidR="00E00F1C" w:rsidRPr="00E00F1C">
        <w:rPr>
          <w:vertAlign w:val="superscript"/>
        </w:rPr>
        <w:t>®</w:t>
      </w:r>
      <w:r w:rsidR="001D459B" w:rsidRPr="00ED1FA5">
        <w:t xml:space="preserve"> compared with Sham </w:t>
      </w:r>
      <w:r w:rsidR="001D459B">
        <w:t xml:space="preserve">at 16 of the 17 study visits.  </w:t>
      </w:r>
      <w:r w:rsidR="001D459B" w:rsidRPr="00ED1FA5">
        <w:t>By the end of the 3-year study, 36.5% of patients receiving</w:t>
      </w:r>
      <w:r w:rsidR="001D459B">
        <w:t xml:space="preserve"> </w:t>
      </w:r>
      <w:r w:rsidR="00E00F1C">
        <w:t>OZURDEX</w:t>
      </w:r>
      <w:r w:rsidR="00E00F1C" w:rsidRPr="00E00F1C">
        <w:rPr>
          <w:vertAlign w:val="superscript"/>
        </w:rPr>
        <w:t>®</w:t>
      </w:r>
      <w:r w:rsidR="001D459B">
        <w:t xml:space="preserve"> showed a 10</w:t>
      </w:r>
      <w:r w:rsidR="001D459B">
        <w:noBreakHyphen/>
        <w:t>letter improvement compared to 24.0% of patients receiving Sham (p &lt; 0.001).</w:t>
      </w:r>
    </w:p>
    <w:p w:rsidR="001D459B" w:rsidRDefault="001D459B" w:rsidP="00843810">
      <w:pPr>
        <w:pStyle w:val="NoSpacing"/>
        <w:jc w:val="both"/>
      </w:pPr>
    </w:p>
    <w:p w:rsidR="00F034AB" w:rsidRPr="00F034AB" w:rsidRDefault="00F034AB" w:rsidP="00F034AB">
      <w:pPr>
        <w:pStyle w:val="TableText"/>
        <w:rPr>
          <w:b/>
          <w:sz w:val="20"/>
        </w:rPr>
      </w:pPr>
      <w:bookmarkStart w:id="4" w:name="_Ref351706041"/>
      <w:bookmarkStart w:id="5" w:name="_Toc351197778"/>
      <w:bookmarkStart w:id="6" w:name="_Toc354386244"/>
      <w:r w:rsidRPr="00F034AB">
        <w:rPr>
          <w:b/>
          <w:sz w:val="20"/>
        </w:rPr>
        <w:lastRenderedPageBreak/>
        <w:t xml:space="preserve">Figure </w:t>
      </w:r>
      <w:bookmarkEnd w:id="4"/>
      <w:r>
        <w:rPr>
          <w:b/>
          <w:sz w:val="20"/>
        </w:rPr>
        <w:t>2</w:t>
      </w:r>
      <w:r w:rsidRPr="00F034AB">
        <w:rPr>
          <w:b/>
          <w:sz w:val="20"/>
        </w:rPr>
        <w:t xml:space="preserve">          Percent of Patients with ≥ 10 Letters Improvement from Baseline BCVA in the Study Eye  </w:t>
      </w:r>
    </w:p>
    <w:p w:rsidR="00F034AB" w:rsidRPr="00F034AB" w:rsidRDefault="00F034AB" w:rsidP="00F034AB">
      <w:pPr>
        <w:pStyle w:val="TableText"/>
        <w:rPr>
          <w:b/>
          <w:sz w:val="20"/>
        </w:rPr>
      </w:pPr>
      <w:r w:rsidRPr="00F034AB">
        <w:rPr>
          <w:b/>
          <w:sz w:val="20"/>
        </w:rPr>
        <w:t xml:space="preserve">                          (Pooled Studies, ITT Population)</w:t>
      </w:r>
      <w:bookmarkEnd w:id="5"/>
      <w:bookmarkEnd w:id="6"/>
    </w:p>
    <w:p w:rsidR="00F034AB" w:rsidRPr="00F034AB" w:rsidRDefault="009A7460" w:rsidP="000F7F30">
      <w:pPr>
        <w:pStyle w:val="NoSpacing"/>
        <w:rPr>
          <w:sz w:val="18"/>
          <w:szCs w:val="18"/>
        </w:rPr>
      </w:pPr>
      <w:r>
        <w:rPr>
          <w:sz w:val="18"/>
          <w:szCs w:val="18"/>
        </w:rPr>
        <w:br/>
      </w:r>
      <w:r w:rsidRPr="00BF766A">
        <w:rPr>
          <w:noProof/>
          <w:sz w:val="18"/>
          <w:szCs w:val="18"/>
          <w:lang w:val="en-AU" w:eastAsia="en-AU"/>
        </w:rPr>
        <w:drawing>
          <wp:inline distT="0" distB="0" distL="0" distR="0" wp14:anchorId="2080DAA0" wp14:editId="2080DAA1">
            <wp:extent cx="4714875" cy="211455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4044" cy="2114177"/>
                    </a:xfrm>
                    <a:prstGeom prst="rect">
                      <a:avLst/>
                    </a:prstGeom>
                    <a:noFill/>
                  </pic:spPr>
                </pic:pic>
              </a:graphicData>
            </a:graphic>
          </wp:inline>
        </w:drawing>
      </w:r>
      <w:r>
        <w:rPr>
          <w:sz w:val="18"/>
          <w:szCs w:val="18"/>
        </w:rPr>
        <w:br/>
      </w:r>
      <w:r w:rsidR="00F034AB" w:rsidRPr="00F034AB">
        <w:rPr>
          <w:sz w:val="18"/>
          <w:szCs w:val="18"/>
        </w:rPr>
        <w:t xml:space="preserve">* indicates statistically significant (p ≤ 0.05) difference between </w:t>
      </w:r>
      <w:r w:rsidR="00F034AB">
        <w:rPr>
          <w:sz w:val="18"/>
          <w:szCs w:val="18"/>
        </w:rPr>
        <w:t>OZURDEX</w:t>
      </w:r>
      <w:r w:rsidR="00F034AB" w:rsidRPr="00097BB4">
        <w:rPr>
          <w:sz w:val="18"/>
          <w:szCs w:val="18"/>
          <w:vertAlign w:val="superscript"/>
        </w:rPr>
        <w:t>®</w:t>
      </w:r>
      <w:r w:rsidR="00F034AB" w:rsidRPr="00F034AB">
        <w:rPr>
          <w:sz w:val="18"/>
          <w:szCs w:val="18"/>
        </w:rPr>
        <w:t xml:space="preserve"> versus Sham</w:t>
      </w:r>
    </w:p>
    <w:p w:rsidR="00F034AB" w:rsidRDefault="00F034AB" w:rsidP="000F7F30">
      <w:pPr>
        <w:pStyle w:val="NoSpacing"/>
        <w:rPr>
          <w:sz w:val="18"/>
          <w:szCs w:val="18"/>
        </w:rPr>
      </w:pPr>
      <w:r w:rsidRPr="00F034AB">
        <w:rPr>
          <w:sz w:val="18"/>
          <w:szCs w:val="18"/>
        </w:rPr>
        <w:t>Note:  Missing values are imputed by last observation carried forward at the follow-up visits</w:t>
      </w:r>
    </w:p>
    <w:p w:rsidR="00B07D1B" w:rsidRDefault="00B07D1B" w:rsidP="00843810">
      <w:pPr>
        <w:pStyle w:val="NoSpacing"/>
        <w:jc w:val="both"/>
        <w:rPr>
          <w:u w:val="single"/>
        </w:rPr>
      </w:pPr>
    </w:p>
    <w:p w:rsidR="001D459B" w:rsidRDefault="001D459B" w:rsidP="00843810">
      <w:pPr>
        <w:pStyle w:val="NoSpacing"/>
        <w:jc w:val="both"/>
      </w:pPr>
      <w:r>
        <w:rPr>
          <w:u w:val="single"/>
        </w:rPr>
        <w:t>BCVA 20/40 or Better</w:t>
      </w:r>
    </w:p>
    <w:p w:rsidR="001D459B" w:rsidRDefault="001D459B" w:rsidP="00843810">
      <w:pPr>
        <w:pStyle w:val="NoSpacing"/>
        <w:jc w:val="both"/>
      </w:pPr>
      <w:r>
        <w:t xml:space="preserve">In the pooled analysis, the proportion of patients achieving a BCVA of 20/40 or better in the study eye was significantly greater with </w:t>
      </w:r>
      <w:r w:rsidR="00E00F1C">
        <w:t>OZURDEX</w:t>
      </w:r>
      <w:r w:rsidR="00E00F1C" w:rsidRPr="00E00F1C">
        <w:rPr>
          <w:vertAlign w:val="superscript"/>
        </w:rPr>
        <w:t>®</w:t>
      </w:r>
      <w:r w:rsidR="00E00F1C">
        <w:rPr>
          <w:vertAlign w:val="superscript"/>
        </w:rPr>
        <w:t xml:space="preserve"> </w:t>
      </w:r>
      <w:r>
        <w:t xml:space="preserve">compared to Sham at 10 of the 17 study visits. At the year 3/final visit, the proportion of patients achieving BCVA 20/40 or better was significantly higher with </w:t>
      </w:r>
      <w:r w:rsidR="00E00F1C">
        <w:t>OZURDEX</w:t>
      </w:r>
      <w:r w:rsidR="00E00F1C" w:rsidRPr="00E00F1C">
        <w:rPr>
          <w:vertAlign w:val="superscript"/>
        </w:rPr>
        <w:t>®</w:t>
      </w:r>
      <w:r>
        <w:t xml:space="preserve"> (28.8% [101/351]) compared to Sham (21.4% [75/350]), p = 0.025.</w:t>
      </w:r>
    </w:p>
    <w:p w:rsidR="00526713" w:rsidRDefault="00526713" w:rsidP="00843810">
      <w:pPr>
        <w:pStyle w:val="NoSpacing"/>
        <w:jc w:val="both"/>
      </w:pPr>
    </w:p>
    <w:p w:rsidR="001D459B" w:rsidRPr="00BE7DEE" w:rsidRDefault="001D459B" w:rsidP="00843810">
      <w:pPr>
        <w:pStyle w:val="NoSpacing"/>
        <w:jc w:val="both"/>
        <w:rPr>
          <w:u w:val="single"/>
        </w:rPr>
      </w:pPr>
      <w:r w:rsidRPr="00BE7DEE">
        <w:rPr>
          <w:u w:val="single"/>
        </w:rPr>
        <w:t>Time to BCVA ≥ 15 Letters Improvement</w:t>
      </w:r>
    </w:p>
    <w:p w:rsidR="001D459B" w:rsidRDefault="001D459B" w:rsidP="00097BB4">
      <w:pPr>
        <w:pStyle w:val="ListBullet"/>
        <w:keepLines w:val="0"/>
        <w:numPr>
          <w:ilvl w:val="0"/>
          <w:numId w:val="0"/>
        </w:numPr>
        <w:spacing w:before="0" w:after="0" w:line="240" w:lineRule="auto"/>
        <w:jc w:val="both"/>
      </w:pPr>
      <w:r>
        <w:t xml:space="preserve">In each of the </w:t>
      </w:r>
      <w:r w:rsidR="00B87CB6">
        <w:t>P</w:t>
      </w:r>
      <w:r>
        <w:t xml:space="preserve">hase 3 studies and the pooled analysis, </w:t>
      </w:r>
      <w:r w:rsidR="00E00F1C">
        <w:t>OZURDEX</w:t>
      </w:r>
      <w:r w:rsidR="00E00F1C" w:rsidRPr="00E00F1C">
        <w:rPr>
          <w:vertAlign w:val="superscript"/>
        </w:rPr>
        <w:t>®</w:t>
      </w:r>
      <w:r w:rsidRPr="007903E6">
        <w:t xml:space="preserve"> was shown to have a rapid onset of action, as demonstrated by the time to BCVA 15</w:t>
      </w:r>
      <w:r w:rsidRPr="007903E6">
        <w:noBreakHyphen/>
        <w:t>letter improvement from baseline in the study eye</w:t>
      </w:r>
      <w:r>
        <w:t>. T</w:t>
      </w:r>
      <w:r w:rsidRPr="007903E6">
        <w:t xml:space="preserve">he response time distributions in the </w:t>
      </w:r>
      <w:r w:rsidR="00E00F1C">
        <w:t>OZURDEX</w:t>
      </w:r>
      <w:r w:rsidR="00E00F1C" w:rsidRPr="00E00F1C">
        <w:rPr>
          <w:vertAlign w:val="superscript"/>
        </w:rPr>
        <w:t>®</w:t>
      </w:r>
      <w:r>
        <w:t xml:space="preserve"> group</w:t>
      </w:r>
      <w:r w:rsidRPr="007903E6">
        <w:t xml:space="preserve"> </w:t>
      </w:r>
      <w:r>
        <w:t>was</w:t>
      </w:r>
      <w:r w:rsidRPr="007903E6">
        <w:t xml:space="preserve"> significantly earlier compared with Sham</w:t>
      </w:r>
      <w:r>
        <w:t>,</w:t>
      </w:r>
      <w:r w:rsidRPr="007903E6">
        <w:t xml:space="preserve"> indicating an earlier onset of BCVA improvement in the </w:t>
      </w:r>
      <w:r w:rsidR="00E00F1C">
        <w:t>OZURDEX</w:t>
      </w:r>
      <w:r w:rsidR="00E00F1C" w:rsidRPr="00E00F1C">
        <w:rPr>
          <w:vertAlign w:val="superscript"/>
        </w:rPr>
        <w:t>®</w:t>
      </w:r>
      <w:r>
        <w:t xml:space="preserve"> </w:t>
      </w:r>
      <w:r w:rsidRPr="007903E6">
        <w:t xml:space="preserve">group, with separation of curves </w:t>
      </w:r>
      <w:r>
        <w:t xml:space="preserve">at </w:t>
      </w:r>
      <w:r w:rsidRPr="007903E6">
        <w:t>the first efficacy visit</w:t>
      </w:r>
      <w:r>
        <w:t xml:space="preserve"> and no crossover during the study. </w:t>
      </w:r>
    </w:p>
    <w:p w:rsidR="00257353" w:rsidRDefault="00257353" w:rsidP="00843810">
      <w:pPr>
        <w:pStyle w:val="NoSpacing"/>
        <w:jc w:val="both"/>
        <w:rPr>
          <w:u w:val="single"/>
        </w:rPr>
      </w:pPr>
    </w:p>
    <w:p w:rsidR="001D459B" w:rsidRDefault="001D459B" w:rsidP="00843810">
      <w:pPr>
        <w:pStyle w:val="NoSpacing"/>
        <w:jc w:val="both"/>
        <w:rPr>
          <w:u w:val="single"/>
        </w:rPr>
      </w:pPr>
      <w:r w:rsidRPr="00E34951">
        <w:rPr>
          <w:u w:val="single"/>
        </w:rPr>
        <w:t>Retinal Thickness in the Center Subfield using O</w:t>
      </w:r>
      <w:r>
        <w:rPr>
          <w:u w:val="single"/>
        </w:rPr>
        <w:t>CT</w:t>
      </w:r>
    </w:p>
    <w:p w:rsidR="001D459B" w:rsidRDefault="001D459B" w:rsidP="00843810">
      <w:pPr>
        <w:jc w:val="both"/>
      </w:pPr>
      <w:r>
        <w:t xml:space="preserve">In </w:t>
      </w:r>
      <w:r w:rsidR="00185081">
        <w:t>Study</w:t>
      </w:r>
      <w:r w:rsidR="00D75528">
        <w:t xml:space="preserve"> </w:t>
      </w:r>
      <w:proofErr w:type="gramStart"/>
      <w:r w:rsidR="00D75528">
        <w:t>DME</w:t>
      </w:r>
      <w:r w:rsidR="00750C82">
        <w:t xml:space="preserve">1 </w:t>
      </w:r>
      <w:r>
        <w:t>,</w:t>
      </w:r>
      <w:proofErr w:type="gramEnd"/>
      <w:r>
        <w:t xml:space="preserve"> t</w:t>
      </w:r>
      <w:r w:rsidRPr="00B97CF6">
        <w:t xml:space="preserve">he mean average decrease from baseline during the study in central subfield retinal thickness was significantly greater with </w:t>
      </w:r>
      <w:r w:rsidR="00E00F1C">
        <w:t>OZURDEX</w:t>
      </w:r>
      <w:r w:rsidR="00E00F1C" w:rsidRPr="00E00F1C">
        <w:rPr>
          <w:vertAlign w:val="superscript"/>
        </w:rPr>
        <w:t>®</w:t>
      </w:r>
      <w:r w:rsidR="00E966C9">
        <w:t xml:space="preserve"> (101.1 µm) versus Sham (37.8 </w:t>
      </w:r>
      <w:r w:rsidRPr="00B97CF6">
        <w:t>µm), p &lt; 0.001.</w:t>
      </w:r>
    </w:p>
    <w:p w:rsidR="001D459B" w:rsidRDefault="001D459B" w:rsidP="00843810">
      <w:pPr>
        <w:jc w:val="both"/>
      </w:pPr>
    </w:p>
    <w:p w:rsidR="001D459B" w:rsidRDefault="001D459B" w:rsidP="00843810">
      <w:pPr>
        <w:jc w:val="both"/>
      </w:pPr>
      <w:r>
        <w:t xml:space="preserve">In </w:t>
      </w:r>
      <w:r w:rsidR="00185081">
        <w:t>Study</w:t>
      </w:r>
      <w:r w:rsidR="00D75528">
        <w:t xml:space="preserve"> </w:t>
      </w:r>
      <w:proofErr w:type="gramStart"/>
      <w:r w:rsidR="00D75528">
        <w:t>DME</w:t>
      </w:r>
      <w:r w:rsidR="00750C82">
        <w:t xml:space="preserve">2 </w:t>
      </w:r>
      <w:r w:rsidRPr="0047335A">
        <w:t>,</w:t>
      </w:r>
      <w:proofErr w:type="gramEnd"/>
      <w:r>
        <w:t xml:space="preserve"> t</w:t>
      </w:r>
      <w:r w:rsidRPr="00B97CF6">
        <w:t xml:space="preserve">he mean average decrease from baseline during the study in central subfield retinal thickness was significantly greater with </w:t>
      </w:r>
      <w:r w:rsidR="00E00F1C">
        <w:t>OZURDEX</w:t>
      </w:r>
      <w:r w:rsidR="00E00F1C" w:rsidRPr="00E00F1C">
        <w:rPr>
          <w:vertAlign w:val="superscript"/>
        </w:rPr>
        <w:t>®</w:t>
      </w:r>
      <w:r w:rsidRPr="00B97CF6">
        <w:t xml:space="preserve"> (120.7 µm) versus Sham (45.8 µm), p &lt; 0.001.</w:t>
      </w:r>
    </w:p>
    <w:p w:rsidR="001D459B" w:rsidRDefault="001D459B" w:rsidP="00843810">
      <w:pPr>
        <w:jc w:val="both"/>
      </w:pPr>
    </w:p>
    <w:p w:rsidR="001D459B" w:rsidRPr="00E966C9" w:rsidRDefault="001D459B" w:rsidP="00843810">
      <w:pPr>
        <w:jc w:val="both"/>
        <w:rPr>
          <w:rStyle w:val="Hyperlink"/>
          <w:color w:val="auto"/>
        </w:rPr>
      </w:pPr>
      <w:r>
        <w:t>In the pooled studies, t</w:t>
      </w:r>
      <w:r w:rsidRPr="007903E6">
        <w:t xml:space="preserve">he improvement in vision with </w:t>
      </w:r>
      <w:r w:rsidR="00E00F1C">
        <w:t>OZURDEX</w:t>
      </w:r>
      <w:r w:rsidR="00E00F1C" w:rsidRPr="00E00F1C">
        <w:rPr>
          <w:vertAlign w:val="superscript"/>
        </w:rPr>
        <w:t>®</w:t>
      </w:r>
      <w:r>
        <w:t xml:space="preserve"> </w:t>
      </w:r>
      <w:r w:rsidRPr="007903E6">
        <w:t>during the 3-year study was associated with a rapid and sustained improvement in anatomical o</w:t>
      </w:r>
      <w:r>
        <w:t xml:space="preserve">utcomes, as demonstrated by OCT. </w:t>
      </w:r>
      <w:r w:rsidRPr="00E36D70">
        <w:t xml:space="preserve">The mean average decrease from baseline during the study in the central subfield retinal thickness was significantly greater with </w:t>
      </w:r>
      <w:r w:rsidR="00E00F1C">
        <w:t>OZURDEX</w:t>
      </w:r>
      <w:r w:rsidR="00E00F1C" w:rsidRPr="00E00F1C">
        <w:rPr>
          <w:vertAlign w:val="superscript"/>
        </w:rPr>
        <w:t>®</w:t>
      </w:r>
      <w:r w:rsidRPr="00E36D70">
        <w:t xml:space="preserve"> (111.6 µm) </w:t>
      </w:r>
      <w:r w:rsidRPr="00E966C9">
        <w:t>compared to Sham (41.9 µm), p &lt; 0.001</w:t>
      </w:r>
      <w:r w:rsidRPr="00E966C9">
        <w:rPr>
          <w:rStyle w:val="Hyperlink"/>
          <w:color w:val="auto"/>
        </w:rPr>
        <w:t>.</w:t>
      </w:r>
    </w:p>
    <w:p w:rsidR="001D459B" w:rsidRPr="00E966C9" w:rsidRDefault="001D459B" w:rsidP="00843810">
      <w:pPr>
        <w:jc w:val="both"/>
        <w:rPr>
          <w:rStyle w:val="Hyperlink"/>
          <w:color w:val="auto"/>
        </w:rPr>
      </w:pPr>
    </w:p>
    <w:p w:rsidR="00FB110D" w:rsidRPr="00E966C9" w:rsidRDefault="008962B6" w:rsidP="00843810">
      <w:pPr>
        <w:jc w:val="both"/>
        <w:rPr>
          <w:rStyle w:val="Hyperlink"/>
          <w:b/>
          <w:strike/>
          <w:color w:val="auto"/>
          <w:sz w:val="20"/>
        </w:rPr>
      </w:pPr>
      <w:r>
        <w:t>In the pooled studies, m</w:t>
      </w:r>
      <w:r w:rsidR="001D459B" w:rsidRPr="00E966C9">
        <w:t xml:space="preserve">ean decreases in retinal thickness at the </w:t>
      </w:r>
      <w:proofErr w:type="spellStart"/>
      <w:r w:rsidR="001D459B" w:rsidRPr="00E966C9">
        <w:t>center</w:t>
      </w:r>
      <w:proofErr w:type="spellEnd"/>
      <w:r w:rsidR="001D459B" w:rsidRPr="00E966C9">
        <w:t xml:space="preserve"> subfield were consistently greater with </w:t>
      </w:r>
      <w:r w:rsidR="00E00F1C" w:rsidRPr="00E966C9">
        <w:t>OZURDEX</w:t>
      </w:r>
      <w:r w:rsidR="00E00F1C" w:rsidRPr="00E966C9">
        <w:rPr>
          <w:vertAlign w:val="superscript"/>
        </w:rPr>
        <w:t xml:space="preserve">® </w:t>
      </w:r>
      <w:r w:rsidR="001D459B" w:rsidRPr="00E966C9">
        <w:t>than with Sham throughout the stud</w:t>
      </w:r>
      <w:r w:rsidR="00025BD7">
        <w:t>ies</w:t>
      </w:r>
      <w:r w:rsidR="001D459B" w:rsidRPr="00E966C9">
        <w:t xml:space="preserve">. Statistically </w:t>
      </w:r>
      <w:r w:rsidR="001D459B" w:rsidRPr="00E966C9">
        <w:lastRenderedPageBreak/>
        <w:t xml:space="preserve">significant mean improvements with </w:t>
      </w:r>
      <w:r w:rsidR="00E00F1C" w:rsidRPr="00E966C9">
        <w:t>OZURDEX</w:t>
      </w:r>
      <w:r w:rsidR="00E00F1C" w:rsidRPr="00E966C9">
        <w:rPr>
          <w:vertAlign w:val="superscript"/>
        </w:rPr>
        <w:t>®</w:t>
      </w:r>
      <w:r w:rsidR="001D459B" w:rsidRPr="00E966C9">
        <w:t xml:space="preserve"> compared to Sham were observed at every visit during the 3-year study.</w:t>
      </w:r>
    </w:p>
    <w:p w:rsidR="0062661D" w:rsidRPr="00E966C9" w:rsidRDefault="0062661D" w:rsidP="00843810">
      <w:pPr>
        <w:jc w:val="both"/>
      </w:pPr>
    </w:p>
    <w:p w:rsidR="001D459B" w:rsidRPr="005B075D" w:rsidRDefault="001D459B" w:rsidP="00843810">
      <w:pPr>
        <w:widowControl w:val="0"/>
        <w:ind w:right="180"/>
        <w:jc w:val="both"/>
        <w:rPr>
          <w:u w:val="single"/>
        </w:rPr>
      </w:pPr>
      <w:r w:rsidRPr="005B075D">
        <w:rPr>
          <w:u w:val="single"/>
        </w:rPr>
        <w:t>Retreatment</w:t>
      </w:r>
      <w:r>
        <w:rPr>
          <w:u w:val="single"/>
        </w:rPr>
        <w:t xml:space="preserve"> intervals </w:t>
      </w:r>
    </w:p>
    <w:p w:rsidR="001D459B" w:rsidRDefault="001D459B" w:rsidP="00843810">
      <w:pPr>
        <w:jc w:val="both"/>
      </w:pPr>
      <w:r w:rsidRPr="00A92186">
        <w:t xml:space="preserve">In the pooled </w:t>
      </w:r>
      <w:r w:rsidR="00B87CB6">
        <w:t>P</w:t>
      </w:r>
      <w:r w:rsidRPr="00A92186">
        <w:t>hase 3 studies, during the course of the 3-yea</w:t>
      </w:r>
      <w:r w:rsidR="00452305">
        <w:t>r study period, a total of 1080 </w:t>
      </w:r>
      <w:r w:rsidRPr="00A92186">
        <w:t xml:space="preserve">study retreatments for </w:t>
      </w:r>
      <w:r w:rsidR="00E00F1C" w:rsidRPr="00A92186">
        <w:t>OZURDEX</w:t>
      </w:r>
      <w:r w:rsidR="00E00F1C" w:rsidRPr="00A92186">
        <w:rPr>
          <w:vertAlign w:val="superscript"/>
        </w:rPr>
        <w:t>®</w:t>
      </w:r>
      <w:r w:rsidRPr="00A92186">
        <w:t xml:space="preserve"> were administered.</w:t>
      </w:r>
      <w:r w:rsidR="00452305">
        <w:t xml:space="preserve"> </w:t>
      </w:r>
      <w:r w:rsidRPr="00A92186">
        <w:t xml:space="preserve"> Approximately 80% of the retreatments were administered between 5 to 7 months after the prior treatment </w:t>
      </w:r>
      <w:r w:rsidRPr="005556D0">
        <w:t>and 19.9% were after 7 months.</w:t>
      </w:r>
    </w:p>
    <w:p w:rsidR="001D459B" w:rsidRDefault="001D459B" w:rsidP="00843810">
      <w:pPr>
        <w:jc w:val="both"/>
      </w:pPr>
    </w:p>
    <w:p w:rsidR="001D459B" w:rsidRDefault="001D459B" w:rsidP="00843810">
      <w:pPr>
        <w:pStyle w:val="NoSpacing"/>
        <w:jc w:val="both"/>
      </w:pPr>
      <w:r>
        <w:rPr>
          <w:u w:val="single"/>
        </w:rPr>
        <w:t>Discontinuations</w:t>
      </w:r>
    </w:p>
    <w:p w:rsidR="001D459B" w:rsidRDefault="001D459B" w:rsidP="00843810">
      <w:pPr>
        <w:pStyle w:val="NoSpacing"/>
        <w:jc w:val="both"/>
      </w:pPr>
      <w:r>
        <w:t>A total of 35.9% of OZURDEX</w:t>
      </w:r>
      <w:r w:rsidR="007208FE" w:rsidRPr="007208FE">
        <w:rPr>
          <w:vertAlign w:val="superscript"/>
        </w:rPr>
        <w:t>®</w:t>
      </w:r>
      <w:r>
        <w:t xml:space="preserve"> treated patients discontinued study participation for any reason during the study compared with 56.6% of </w:t>
      </w:r>
      <w:r w:rsidR="003470A0">
        <w:t xml:space="preserve">Sham </w:t>
      </w:r>
      <w:r>
        <w:t xml:space="preserve">patients.  </w:t>
      </w:r>
      <w:r w:rsidRPr="00016A30">
        <w:t xml:space="preserve">Discontinuation rates due to adverse events were similar across treatment and </w:t>
      </w:r>
      <w:r w:rsidR="003470A0">
        <w:t>S</w:t>
      </w:r>
      <w:r w:rsidR="003470A0" w:rsidRPr="00016A30">
        <w:t xml:space="preserve">ham </w:t>
      </w:r>
      <w:r w:rsidRPr="00016A30">
        <w:t>groups</w:t>
      </w:r>
      <w:r>
        <w:t xml:space="preserve"> (12.8% vs 11.1%)</w:t>
      </w:r>
      <w:r w:rsidRPr="00016A30">
        <w:t xml:space="preserve">. Discontinuation due to lack of efficacy was higher in the </w:t>
      </w:r>
      <w:r w:rsidR="003470A0">
        <w:t>S</w:t>
      </w:r>
      <w:r w:rsidR="003470A0" w:rsidRPr="00016A30">
        <w:t xml:space="preserve">ham </w:t>
      </w:r>
      <w:r w:rsidRPr="00016A30">
        <w:t>group (6.6% vs 24</w:t>
      </w:r>
      <w:r>
        <w:t>.0</w:t>
      </w:r>
      <w:r w:rsidRPr="00016A30">
        <w:t>%).</w:t>
      </w:r>
    </w:p>
    <w:p w:rsidR="0047335A" w:rsidRDefault="0047335A" w:rsidP="00021737">
      <w:pPr>
        <w:pStyle w:val="NoSpacing"/>
        <w:jc w:val="both"/>
        <w:rPr>
          <w:b/>
          <w:u w:val="single"/>
        </w:rPr>
      </w:pPr>
    </w:p>
    <w:p w:rsidR="00E760A9" w:rsidRPr="00E662B1" w:rsidRDefault="00E662B1" w:rsidP="00021737">
      <w:pPr>
        <w:pStyle w:val="NoSpacing"/>
        <w:jc w:val="both"/>
        <w:rPr>
          <w:b/>
          <w:u w:val="single"/>
        </w:rPr>
      </w:pPr>
      <w:r>
        <w:rPr>
          <w:b/>
          <w:u w:val="single"/>
        </w:rPr>
        <w:t>RVO</w:t>
      </w:r>
    </w:p>
    <w:p w:rsidR="00E760A9" w:rsidRDefault="00675A83" w:rsidP="00021737">
      <w:pPr>
        <w:jc w:val="both"/>
      </w:pPr>
      <w:r w:rsidRPr="006E65D3">
        <w:t>A branch retinal vein occlusion</w:t>
      </w:r>
      <w:r w:rsidR="00720949">
        <w:t xml:space="preserve"> (BR</w:t>
      </w:r>
      <w:r w:rsidR="007C76CC">
        <w:t>V</w:t>
      </w:r>
      <w:r w:rsidR="00720949">
        <w:t>O</w:t>
      </w:r>
      <w:r w:rsidR="007C76CC">
        <w:t>)</w:t>
      </w:r>
      <w:r w:rsidRPr="006E65D3">
        <w:t xml:space="preserve"> is a blockage of the portion of the circulation that drains the retina of blood. Central retinal vein occlusion </w:t>
      </w:r>
      <w:r w:rsidR="007C76CC">
        <w:t xml:space="preserve">(CRVO) </w:t>
      </w:r>
      <w:r w:rsidRPr="006E65D3">
        <w:t>is closure of the central retinal vein (located at the optic nerve) which collects all of the blood after it passes through the capillaries.</w:t>
      </w:r>
      <w:r>
        <w:t xml:space="preserve"> </w:t>
      </w:r>
      <w:r w:rsidR="00E760A9" w:rsidRPr="00156737">
        <w:t xml:space="preserve">The clinical efficacy of </w:t>
      </w:r>
      <w:r w:rsidR="00025BD7">
        <w:t xml:space="preserve">a single administration of </w:t>
      </w:r>
      <w:r w:rsidR="00E760A9">
        <w:t>OZURDEX</w:t>
      </w:r>
      <w:r w:rsidR="00E760A9" w:rsidRPr="007C1809">
        <w:rPr>
          <w:vertAlign w:val="superscript"/>
        </w:rPr>
        <w:t>®</w:t>
      </w:r>
      <w:r w:rsidR="00E760A9" w:rsidRPr="00156737">
        <w:t xml:space="preserve"> </w:t>
      </w:r>
      <w:r w:rsidR="00A21259" w:rsidRPr="00156737">
        <w:t xml:space="preserve">in patients with macular </w:t>
      </w:r>
      <w:r w:rsidR="00A21259">
        <w:t>o</w:t>
      </w:r>
      <w:r w:rsidR="00A21259" w:rsidRPr="00156737">
        <w:t>edema following CRVO or BRVO</w:t>
      </w:r>
      <w:r w:rsidR="00A21259">
        <w:t xml:space="preserve"> </w:t>
      </w:r>
      <w:r w:rsidR="00E760A9" w:rsidRPr="00156737">
        <w:t>wa</w:t>
      </w:r>
      <w:r w:rsidR="00E760A9">
        <w:t xml:space="preserve">s assessed </w:t>
      </w:r>
      <w:r w:rsidR="00021737">
        <w:t xml:space="preserve">in </w:t>
      </w:r>
      <w:r w:rsidR="00B87CB6">
        <w:t>three</w:t>
      </w:r>
      <w:r w:rsidR="00021737">
        <w:t xml:space="preserve"> P</w:t>
      </w:r>
      <w:r w:rsidR="00E760A9">
        <w:t>hase 3 randomised, masked, S</w:t>
      </w:r>
      <w:r w:rsidR="00E760A9" w:rsidRPr="00156737">
        <w:t>ham-controlled studies</w:t>
      </w:r>
      <w:r w:rsidR="00BB0286">
        <w:t xml:space="preserve"> </w:t>
      </w:r>
      <w:r w:rsidR="00025BD7">
        <w:t>with masked treatment for 6 months</w:t>
      </w:r>
      <w:r w:rsidR="003844C5">
        <w:t xml:space="preserve">. </w:t>
      </w:r>
      <w:r w:rsidR="007C76CC">
        <w:t>Study enrolment included m</w:t>
      </w:r>
      <w:r w:rsidRPr="00675A83">
        <w:t>ale or female</w:t>
      </w:r>
      <w:r w:rsidR="007C76CC">
        <w:t xml:space="preserve"> patients</w:t>
      </w:r>
      <w:r w:rsidR="00720949">
        <w:t>,</w:t>
      </w:r>
      <w:r w:rsidR="007C76CC">
        <w:t xml:space="preserve"> at least 18 years or age with</w:t>
      </w:r>
      <w:r w:rsidRPr="00675A83">
        <w:t xml:space="preserve"> mac</w:t>
      </w:r>
      <w:r w:rsidR="007C76CC">
        <w:t xml:space="preserve">ular </w:t>
      </w:r>
      <w:r w:rsidR="00F21F3D">
        <w:t>o</w:t>
      </w:r>
      <w:r w:rsidR="007C76CC">
        <w:t>edema due to BRVO or CRVO, b</w:t>
      </w:r>
      <w:r w:rsidRPr="00675A83">
        <w:t xml:space="preserve">est-corrected visual acuity </w:t>
      </w:r>
      <w:r w:rsidR="007C76CC">
        <w:t>(</w:t>
      </w:r>
      <w:r w:rsidRPr="00675A83">
        <w:t>BCVA) baseline score between 34 an</w:t>
      </w:r>
      <w:r w:rsidR="007C76CC">
        <w:t>d 68 letters by ETDRS</w:t>
      </w:r>
      <w:r w:rsidRPr="00675A83">
        <w:t xml:space="preserve">, </w:t>
      </w:r>
      <w:r w:rsidR="007C76CC">
        <w:t xml:space="preserve">and </w:t>
      </w:r>
      <w:r w:rsidRPr="00675A83">
        <w:t>retin</w:t>
      </w:r>
      <w:r w:rsidR="007C76CC">
        <w:t>al thickness of ≥300µ</w:t>
      </w:r>
      <w:r w:rsidRPr="00675A83">
        <w:t xml:space="preserve">m by optical coherence tomography </w:t>
      </w:r>
      <w:r w:rsidR="007C76CC">
        <w:t>(</w:t>
      </w:r>
      <w:r w:rsidRPr="00675A83">
        <w:t>OCT</w:t>
      </w:r>
      <w:r w:rsidR="007C76CC">
        <w:t>)</w:t>
      </w:r>
      <w:r w:rsidRPr="00675A83">
        <w:t>.</w:t>
      </w:r>
      <w:r>
        <w:t xml:space="preserve"> </w:t>
      </w:r>
      <w:r w:rsidR="003844C5">
        <w:t xml:space="preserve">Patients were eligible to receive a second treatment during </w:t>
      </w:r>
      <w:r w:rsidR="00025BD7">
        <w:t>open-label extensions for 2 to 6 months</w:t>
      </w:r>
      <w:r w:rsidR="00E760A9" w:rsidRPr="00156737">
        <w:t xml:space="preserve">. </w:t>
      </w:r>
      <w:r w:rsidR="00F11BE4">
        <w:t xml:space="preserve"> </w:t>
      </w:r>
      <w:r w:rsidR="00E760A9">
        <w:t xml:space="preserve">In </w:t>
      </w:r>
      <w:r w:rsidR="009A5BF1">
        <w:t>Study</w:t>
      </w:r>
      <w:r w:rsidR="00211308">
        <w:t xml:space="preserve"> </w:t>
      </w:r>
      <w:r w:rsidR="00D75528">
        <w:t>RVO</w:t>
      </w:r>
      <w:r w:rsidR="007A5574">
        <w:t>3</w:t>
      </w:r>
      <w:r w:rsidR="00E760A9">
        <w:t xml:space="preserve"> a total of </w:t>
      </w:r>
      <w:r w:rsidR="009A13CA">
        <w:t>259</w:t>
      </w:r>
      <w:r w:rsidR="00E760A9">
        <w:t xml:space="preserve"> patients (</w:t>
      </w:r>
      <w:r w:rsidR="007A5574">
        <w:t>129</w:t>
      </w:r>
      <w:r w:rsidR="00E760A9">
        <w:t> OZURDEX</w:t>
      </w:r>
      <w:r w:rsidR="00E760A9" w:rsidRPr="008A6DD5">
        <w:rPr>
          <w:vertAlign w:val="superscript"/>
        </w:rPr>
        <w:t>®</w:t>
      </w:r>
      <w:r w:rsidR="00E760A9">
        <w:t xml:space="preserve"> and </w:t>
      </w:r>
      <w:r w:rsidR="007A5574">
        <w:t>130</w:t>
      </w:r>
      <w:r w:rsidR="00E760A9">
        <w:t xml:space="preserve"> Sham) were </w:t>
      </w:r>
      <w:r w:rsidR="009A13CA">
        <w:t>treated</w:t>
      </w:r>
      <w:r w:rsidR="00E760A9">
        <w:t xml:space="preserve">. </w:t>
      </w:r>
      <w:r w:rsidR="00F11BE4">
        <w:t xml:space="preserve"> </w:t>
      </w:r>
      <w:r w:rsidR="00E760A9">
        <w:t xml:space="preserve">In </w:t>
      </w:r>
      <w:r w:rsidR="009A5BF1">
        <w:t>Studies</w:t>
      </w:r>
      <w:r w:rsidR="00211308">
        <w:t xml:space="preserve"> </w:t>
      </w:r>
      <w:r w:rsidR="00D75528">
        <w:t>RVO1 and RVO</w:t>
      </w:r>
      <w:r w:rsidR="00365E6C">
        <w:t>2</w:t>
      </w:r>
      <w:r w:rsidR="00E760A9">
        <w:t>, a</w:t>
      </w:r>
      <w:r w:rsidR="00E760A9" w:rsidRPr="00156737">
        <w:t xml:space="preserve"> total of 1,267</w:t>
      </w:r>
      <w:r w:rsidR="00E760A9">
        <w:t> </w:t>
      </w:r>
      <w:r w:rsidR="00E760A9" w:rsidRPr="00156737">
        <w:t xml:space="preserve">patients (427 </w:t>
      </w:r>
      <w:r w:rsidR="00E760A9">
        <w:t>OZURDEX</w:t>
      </w:r>
      <w:proofErr w:type="gramStart"/>
      <w:r w:rsidR="00E760A9" w:rsidRPr="007C1809">
        <w:rPr>
          <w:vertAlign w:val="superscript"/>
        </w:rPr>
        <w:t>®</w:t>
      </w:r>
      <w:r w:rsidR="00E760A9" w:rsidRPr="00156737">
        <w:t> ,</w:t>
      </w:r>
      <w:proofErr w:type="gramEnd"/>
      <w:r w:rsidR="00E760A9" w:rsidRPr="00156737">
        <w:t xml:space="preserve"> 414 </w:t>
      </w:r>
      <w:r w:rsidR="00E760A9">
        <w:t>dexamethasone 350</w:t>
      </w:r>
      <w:r w:rsidR="00E760A9" w:rsidRPr="007215D4">
        <w:t xml:space="preserve"> </w:t>
      </w:r>
      <w:r w:rsidR="00E760A9">
        <w:t>µg, and 426 S</w:t>
      </w:r>
      <w:r w:rsidR="00E760A9" w:rsidRPr="00156737">
        <w:t xml:space="preserve">ham) were </w:t>
      </w:r>
      <w:r w:rsidR="00216CAD">
        <w:t>treated</w:t>
      </w:r>
      <w:r w:rsidR="00E760A9" w:rsidRPr="00156737">
        <w:t>.</w:t>
      </w:r>
    </w:p>
    <w:p w:rsidR="00E760A9" w:rsidRPr="00156737" w:rsidRDefault="00E760A9" w:rsidP="00021737">
      <w:pPr>
        <w:jc w:val="both"/>
      </w:pPr>
    </w:p>
    <w:p w:rsidR="00E760A9" w:rsidRPr="00156737" w:rsidRDefault="00E760A9">
      <w:pPr>
        <w:jc w:val="both"/>
      </w:pPr>
      <w:r>
        <w:t>Primary e</w:t>
      </w:r>
      <w:r w:rsidRPr="00156737">
        <w:t xml:space="preserve">fficacy endpoints were the following: </w:t>
      </w:r>
    </w:p>
    <w:p w:rsidR="00E760A9" w:rsidRPr="00156737" w:rsidRDefault="00E760A9" w:rsidP="005B6E0A">
      <w:pPr>
        <w:numPr>
          <w:ilvl w:val="0"/>
          <w:numId w:val="13"/>
        </w:numPr>
        <w:ind w:left="714" w:hanging="357"/>
        <w:jc w:val="both"/>
      </w:pPr>
      <w:r w:rsidRPr="00156737">
        <w:t xml:space="preserve">the time to achieve a response of 15 or more letters improvement in BCVA from baseline in the study eye during the initial treatment period from day 0 to day 180 using the Kaplan Meier survival analysis </w:t>
      </w:r>
      <w:r w:rsidRPr="00211308">
        <w:t>(</w:t>
      </w:r>
      <w:r w:rsidR="004B4658">
        <w:t xml:space="preserve">Studies </w:t>
      </w:r>
      <w:r w:rsidR="00365E6C">
        <w:t>R</w:t>
      </w:r>
      <w:r w:rsidR="00D75528">
        <w:t>VO</w:t>
      </w:r>
      <w:r w:rsidR="00365E6C">
        <w:t>3 and R</w:t>
      </w:r>
      <w:r w:rsidR="00D75528">
        <w:t>VO</w:t>
      </w:r>
      <w:r w:rsidR="00365E6C">
        <w:t>1</w:t>
      </w:r>
      <w:r w:rsidRPr="00211308">
        <w:t>)</w:t>
      </w:r>
    </w:p>
    <w:p w:rsidR="00E760A9" w:rsidRPr="00156737" w:rsidRDefault="00E760A9" w:rsidP="005B6E0A">
      <w:pPr>
        <w:numPr>
          <w:ilvl w:val="0"/>
          <w:numId w:val="13"/>
        </w:numPr>
        <w:spacing w:after="240"/>
        <w:ind w:left="714" w:hanging="357"/>
        <w:jc w:val="both"/>
      </w:pPr>
      <w:r w:rsidRPr="00156737">
        <w:t xml:space="preserve">the proportion of patients with a BCVA improvement of 15 or more letters from baseline in the study eye at initial treatment day </w:t>
      </w:r>
      <w:r w:rsidR="00365E6C">
        <w:t>180</w:t>
      </w:r>
      <w:r w:rsidRPr="00156737">
        <w:t xml:space="preserve"> </w:t>
      </w:r>
      <w:r w:rsidRPr="00211308">
        <w:t>(</w:t>
      </w:r>
      <w:r w:rsidR="004B4658">
        <w:t xml:space="preserve">Study </w:t>
      </w:r>
      <w:r w:rsidR="00D75528">
        <w:t>RVO</w:t>
      </w:r>
      <w:r w:rsidR="00365E6C">
        <w:t>2</w:t>
      </w:r>
      <w:r w:rsidRPr="00211308">
        <w:t>)</w:t>
      </w:r>
    </w:p>
    <w:p w:rsidR="00E760A9" w:rsidRDefault="00E760A9">
      <w:pPr>
        <w:pStyle w:val="NoSpacing"/>
        <w:jc w:val="both"/>
        <w:rPr>
          <w:u w:val="single"/>
        </w:rPr>
      </w:pPr>
      <w:r w:rsidRPr="00BE7DEE">
        <w:rPr>
          <w:u w:val="single"/>
        </w:rPr>
        <w:t xml:space="preserve">Time to </w:t>
      </w:r>
      <w:r w:rsidR="00747EB8">
        <w:rPr>
          <w:u w:val="single"/>
        </w:rPr>
        <w:t xml:space="preserve">achieve </w:t>
      </w:r>
      <w:r w:rsidRPr="00BE7DEE">
        <w:rPr>
          <w:u w:val="single"/>
        </w:rPr>
        <w:t>≥ 15 Letters Improvement</w:t>
      </w:r>
      <w:r w:rsidR="00747EB8">
        <w:rPr>
          <w:u w:val="single"/>
        </w:rPr>
        <w:t xml:space="preserve"> in BCVA</w:t>
      </w:r>
    </w:p>
    <w:p w:rsidR="00E760A9" w:rsidRPr="00156737" w:rsidRDefault="00747EB8">
      <w:pPr>
        <w:jc w:val="both"/>
      </w:pPr>
      <w:r>
        <w:t>OZURDEX</w:t>
      </w:r>
      <w:r w:rsidRPr="00747EB8">
        <w:rPr>
          <w:vertAlign w:val="superscript"/>
        </w:rPr>
        <w:t>®</w:t>
      </w:r>
      <w:r>
        <w:t xml:space="preserve"> was shown to have a rapid onset of action, as demonstrated by the time to BCVA 15-letter improvement from baseline in the study eye. </w:t>
      </w:r>
      <w:r w:rsidR="00E760A9">
        <w:t>T</w:t>
      </w:r>
      <w:r w:rsidR="00E760A9" w:rsidRPr="00156737">
        <w:t>he time to achieve ≥ 15 letters improvement in BCVA w</w:t>
      </w:r>
      <w:r w:rsidR="00E760A9">
        <w:t>as</w:t>
      </w:r>
      <w:r w:rsidR="00E760A9" w:rsidRPr="00156737">
        <w:t xml:space="preserve"> significantly </w:t>
      </w:r>
      <w:r>
        <w:t xml:space="preserve">improved </w:t>
      </w:r>
      <w:r w:rsidR="00E760A9" w:rsidRPr="00156737">
        <w:t xml:space="preserve">with </w:t>
      </w:r>
      <w:r w:rsidR="00E760A9">
        <w:t>OZURDEX</w:t>
      </w:r>
      <w:r w:rsidR="00E760A9" w:rsidRPr="007C1809">
        <w:rPr>
          <w:vertAlign w:val="superscript"/>
        </w:rPr>
        <w:t>®</w:t>
      </w:r>
      <w:r w:rsidR="00E760A9" w:rsidRPr="00156737">
        <w:t xml:space="preserve"> compared to </w:t>
      </w:r>
      <w:r w:rsidR="00E760A9">
        <w:t>S</w:t>
      </w:r>
      <w:r w:rsidR="00E760A9" w:rsidRPr="00156737">
        <w:t>ham</w:t>
      </w:r>
      <w:r w:rsidR="005507E0">
        <w:t xml:space="preserve">. </w:t>
      </w:r>
      <w:r w:rsidR="00E760A9" w:rsidRPr="00156737">
        <w:t xml:space="preserve">The cumulative response rates of patients achieving a 3-line improvement were consistently higher with </w:t>
      </w:r>
      <w:r>
        <w:t>OZURDEX</w:t>
      </w:r>
      <w:r w:rsidRPr="00747EB8">
        <w:rPr>
          <w:vertAlign w:val="superscript"/>
        </w:rPr>
        <w:t xml:space="preserve">® </w:t>
      </w:r>
      <w:r w:rsidR="00E760A9" w:rsidRPr="00156737">
        <w:t xml:space="preserve">starting from </w:t>
      </w:r>
      <w:r w:rsidR="00E760A9">
        <w:t xml:space="preserve">day 30 (month 1) to the end of the initial treatment period for </w:t>
      </w:r>
      <w:r w:rsidR="004B4658">
        <w:t xml:space="preserve">the </w:t>
      </w:r>
      <w:r w:rsidR="00D75528">
        <w:t>RVO</w:t>
      </w:r>
      <w:r w:rsidR="00365E6C">
        <w:t>3 s</w:t>
      </w:r>
      <w:r w:rsidR="00E760A9" w:rsidRPr="00211308">
        <w:t>tudy</w:t>
      </w:r>
      <w:r w:rsidR="00E760A9">
        <w:t xml:space="preserve"> </w:t>
      </w:r>
      <w:r>
        <w:t xml:space="preserve">(see Figure </w:t>
      </w:r>
      <w:r w:rsidR="003727B5">
        <w:t>3</w:t>
      </w:r>
      <w:r>
        <w:t xml:space="preserve">), </w:t>
      </w:r>
      <w:r w:rsidR="00E760A9">
        <w:t xml:space="preserve">and </w:t>
      </w:r>
      <w:r w:rsidR="00E760A9" w:rsidRPr="00156737">
        <w:t xml:space="preserve">consistently higher with </w:t>
      </w:r>
      <w:r>
        <w:t>OZURDEX</w:t>
      </w:r>
      <w:r w:rsidRPr="00747EB8">
        <w:rPr>
          <w:vertAlign w:val="superscript"/>
        </w:rPr>
        <w:t>®</w:t>
      </w:r>
      <w:r>
        <w:t xml:space="preserve"> </w:t>
      </w:r>
      <w:r w:rsidR="00E760A9" w:rsidRPr="00156737">
        <w:t xml:space="preserve">starting from day 30, further separated at day 60, </w:t>
      </w:r>
      <w:r w:rsidR="00E760A9">
        <w:t>with</w:t>
      </w:r>
      <w:r w:rsidR="00E760A9" w:rsidRPr="00156737">
        <w:t xml:space="preserve"> the treatment difference maintained through the end of day 180</w:t>
      </w:r>
      <w:r w:rsidR="00E760A9">
        <w:t xml:space="preserve">, for pooled </w:t>
      </w:r>
      <w:r w:rsidR="00D75528">
        <w:t>RVO</w:t>
      </w:r>
      <w:r w:rsidR="00365E6C">
        <w:t>1</w:t>
      </w:r>
      <w:r w:rsidR="00211308">
        <w:t xml:space="preserve"> and </w:t>
      </w:r>
      <w:r w:rsidR="00D75528">
        <w:t>RVO2</w:t>
      </w:r>
      <w:r w:rsidR="00365E6C">
        <w:t xml:space="preserve"> s</w:t>
      </w:r>
      <w:r w:rsidR="00E760A9" w:rsidRPr="00211308">
        <w:t xml:space="preserve">tudies </w:t>
      </w:r>
      <w:r>
        <w:t xml:space="preserve">(see Figure </w:t>
      </w:r>
      <w:r w:rsidR="003727B5">
        <w:t>4</w:t>
      </w:r>
      <w:r>
        <w:t>)</w:t>
      </w:r>
      <w:r w:rsidR="00E760A9" w:rsidRPr="00156737">
        <w:t>.</w:t>
      </w:r>
    </w:p>
    <w:p w:rsidR="00E760A9" w:rsidRPr="00E760A9" w:rsidRDefault="00E760A9">
      <w:pPr>
        <w:pStyle w:val="Caption"/>
        <w:ind w:left="0" w:firstLine="0"/>
        <w:rPr>
          <w:sz w:val="20"/>
        </w:rPr>
      </w:pPr>
      <w:r w:rsidRPr="00E760A9">
        <w:rPr>
          <w:sz w:val="20"/>
        </w:rPr>
        <w:lastRenderedPageBreak/>
        <w:t xml:space="preserve">Figure </w:t>
      </w:r>
      <w:r w:rsidR="003727B5">
        <w:rPr>
          <w:sz w:val="20"/>
        </w:rPr>
        <w:t>3</w:t>
      </w:r>
      <w:r w:rsidR="003878B4">
        <w:rPr>
          <w:sz w:val="20"/>
        </w:rPr>
        <w:t xml:space="preserve"> </w:t>
      </w:r>
      <w:r w:rsidRPr="00E760A9">
        <w:rPr>
          <w:sz w:val="20"/>
        </w:rPr>
        <w:t xml:space="preserve">Time to </w:t>
      </w:r>
      <w:r w:rsidR="00F954FD">
        <w:rPr>
          <w:sz w:val="20"/>
        </w:rPr>
        <w:t xml:space="preserve">Achieve ≥ </w:t>
      </w:r>
      <w:r w:rsidRPr="00E760A9">
        <w:rPr>
          <w:sz w:val="20"/>
        </w:rPr>
        <w:t xml:space="preserve">15 Letters Improvement </w:t>
      </w:r>
      <w:r w:rsidR="00F954FD">
        <w:rPr>
          <w:sz w:val="20"/>
        </w:rPr>
        <w:t xml:space="preserve">in BCVA </w:t>
      </w:r>
      <w:r w:rsidRPr="00E760A9">
        <w:rPr>
          <w:sz w:val="20"/>
        </w:rPr>
        <w:t>(</w:t>
      </w:r>
      <w:r w:rsidR="004B4658">
        <w:rPr>
          <w:sz w:val="20"/>
        </w:rPr>
        <w:t xml:space="preserve">Study </w:t>
      </w:r>
      <w:r w:rsidR="00D75528">
        <w:rPr>
          <w:sz w:val="20"/>
        </w:rPr>
        <w:t>RVO</w:t>
      </w:r>
      <w:r w:rsidR="00365E6C">
        <w:rPr>
          <w:sz w:val="20"/>
        </w:rPr>
        <w:t>3</w:t>
      </w:r>
      <w:r w:rsidRPr="00E760A9">
        <w:rPr>
          <w:sz w:val="20"/>
        </w:rPr>
        <w:t xml:space="preserve">, </w:t>
      </w:r>
      <w:proofErr w:type="spellStart"/>
      <w:r w:rsidR="005507E0">
        <w:rPr>
          <w:sz w:val="20"/>
        </w:rPr>
        <w:t>mITT</w:t>
      </w:r>
      <w:proofErr w:type="spellEnd"/>
      <w:r w:rsidRPr="00E760A9">
        <w:rPr>
          <w:sz w:val="20"/>
        </w:rPr>
        <w:t xml:space="preserve"> Population</w:t>
      </w:r>
      <w:r w:rsidR="00FF2E84">
        <w:rPr>
          <w:sz w:val="20"/>
        </w:rPr>
        <w:t>*</w:t>
      </w:r>
      <w:r w:rsidRPr="00E760A9">
        <w:rPr>
          <w:sz w:val="20"/>
        </w:rPr>
        <w:t>)</w:t>
      </w:r>
    </w:p>
    <w:p w:rsidR="00E760A9" w:rsidRPr="00156737" w:rsidRDefault="00E760A9" w:rsidP="00021737">
      <w:pPr>
        <w:widowControl w:val="0"/>
        <w:jc w:val="both"/>
      </w:pPr>
      <w:r w:rsidRPr="00652E0A">
        <w:rPr>
          <w:noProof/>
          <w:lang w:eastAsia="en-AU"/>
        </w:rPr>
        <w:drawing>
          <wp:inline distT="0" distB="0" distL="0" distR="0" wp14:anchorId="3E46231F" wp14:editId="23BE3D5F">
            <wp:extent cx="4951562" cy="3401715"/>
            <wp:effectExtent l="0" t="0" r="190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7010" cy="3405458"/>
                    </a:xfrm>
                    <a:prstGeom prst="rect">
                      <a:avLst/>
                    </a:prstGeom>
                    <a:noFill/>
                    <a:ln>
                      <a:noFill/>
                    </a:ln>
                  </pic:spPr>
                </pic:pic>
              </a:graphicData>
            </a:graphic>
          </wp:inline>
        </w:drawing>
      </w:r>
    </w:p>
    <w:p w:rsidR="0047275A" w:rsidRPr="00D13D96" w:rsidRDefault="00FF2E84" w:rsidP="0047275A">
      <w:pPr>
        <w:spacing w:line="300" w:lineRule="auto"/>
        <w:jc w:val="both"/>
        <w:rPr>
          <w:sz w:val="18"/>
          <w:szCs w:val="18"/>
          <w:lang w:val="en-US"/>
        </w:rPr>
      </w:pPr>
      <w:r w:rsidRPr="00D13D96">
        <w:rPr>
          <w:sz w:val="18"/>
          <w:szCs w:val="18"/>
        </w:rPr>
        <w:t xml:space="preserve">* </w:t>
      </w:r>
      <w:proofErr w:type="spellStart"/>
      <w:r w:rsidRPr="00D13D96">
        <w:rPr>
          <w:sz w:val="18"/>
          <w:szCs w:val="18"/>
        </w:rPr>
        <w:t>mITT</w:t>
      </w:r>
      <w:proofErr w:type="spellEnd"/>
      <w:r w:rsidRPr="00D13D96">
        <w:rPr>
          <w:sz w:val="18"/>
          <w:szCs w:val="18"/>
        </w:rPr>
        <w:t xml:space="preserve"> (modified intent-to-treat): all randomised and treated patients</w:t>
      </w:r>
      <w:r w:rsidR="0047275A" w:rsidRPr="00D13D96">
        <w:rPr>
          <w:sz w:val="18"/>
          <w:szCs w:val="18"/>
        </w:rPr>
        <w:t xml:space="preserve">. </w:t>
      </w:r>
      <w:r w:rsidR="0047275A" w:rsidRPr="00D13D96">
        <w:rPr>
          <w:sz w:val="18"/>
          <w:szCs w:val="18"/>
          <w:lang w:val="en-US"/>
        </w:rPr>
        <w:t xml:space="preserve">A total of 262 patients were </w:t>
      </w:r>
      <w:proofErr w:type="spellStart"/>
      <w:r w:rsidR="0047275A" w:rsidRPr="00D13D96">
        <w:rPr>
          <w:sz w:val="18"/>
          <w:szCs w:val="18"/>
          <w:lang w:val="en-US"/>
        </w:rPr>
        <w:t>randomi</w:t>
      </w:r>
      <w:r w:rsidR="00365E6C" w:rsidRPr="00D13D96">
        <w:rPr>
          <w:sz w:val="18"/>
          <w:szCs w:val="18"/>
          <w:lang w:val="en-US"/>
        </w:rPr>
        <w:t>s</w:t>
      </w:r>
      <w:r w:rsidR="0047275A" w:rsidRPr="00D13D96">
        <w:rPr>
          <w:sz w:val="18"/>
          <w:szCs w:val="18"/>
          <w:lang w:val="en-US"/>
        </w:rPr>
        <w:t>ed</w:t>
      </w:r>
      <w:proofErr w:type="spellEnd"/>
      <w:r w:rsidR="0047275A" w:rsidRPr="00D13D96">
        <w:rPr>
          <w:sz w:val="18"/>
          <w:szCs w:val="18"/>
          <w:lang w:val="en-US"/>
        </w:rPr>
        <w:t xml:space="preserve"> and enrolled in the study.  There were 129 patients treated in the DEX 700 group, and 130 patients treated in the Sham group.  Three patients were enrolled and </w:t>
      </w:r>
      <w:proofErr w:type="spellStart"/>
      <w:r w:rsidR="0047275A" w:rsidRPr="00D13D96">
        <w:rPr>
          <w:sz w:val="18"/>
          <w:szCs w:val="18"/>
          <w:lang w:val="en-US"/>
        </w:rPr>
        <w:t>randomi</w:t>
      </w:r>
      <w:r w:rsidR="00365E6C" w:rsidRPr="00D13D96">
        <w:rPr>
          <w:sz w:val="18"/>
          <w:szCs w:val="18"/>
          <w:lang w:val="en-US"/>
        </w:rPr>
        <w:t>s</w:t>
      </w:r>
      <w:r w:rsidR="0047275A" w:rsidRPr="00D13D96">
        <w:rPr>
          <w:sz w:val="18"/>
          <w:szCs w:val="18"/>
          <w:lang w:val="en-US"/>
        </w:rPr>
        <w:t>ed</w:t>
      </w:r>
      <w:proofErr w:type="spellEnd"/>
      <w:r w:rsidR="0047275A" w:rsidRPr="00D13D96">
        <w:rPr>
          <w:sz w:val="18"/>
          <w:szCs w:val="18"/>
          <w:lang w:val="en-US"/>
        </w:rPr>
        <w:t xml:space="preserve"> but not treated.</w:t>
      </w:r>
    </w:p>
    <w:p w:rsidR="00E760A9" w:rsidRPr="00FF2E84" w:rsidRDefault="00E760A9" w:rsidP="00021737">
      <w:pPr>
        <w:spacing w:line="300" w:lineRule="auto"/>
        <w:jc w:val="both"/>
        <w:rPr>
          <w:sz w:val="18"/>
          <w:szCs w:val="18"/>
          <w:u w:val="single"/>
        </w:rPr>
      </w:pPr>
    </w:p>
    <w:p w:rsidR="00E760A9" w:rsidRDefault="00E760A9" w:rsidP="003878B4">
      <w:pPr>
        <w:pStyle w:val="Caption"/>
        <w:ind w:left="0" w:firstLine="0"/>
        <w:rPr>
          <w:sz w:val="20"/>
        </w:rPr>
      </w:pPr>
      <w:r w:rsidRPr="00E760A9">
        <w:rPr>
          <w:sz w:val="20"/>
        </w:rPr>
        <w:t xml:space="preserve">Figure </w:t>
      </w:r>
      <w:r w:rsidR="003727B5">
        <w:rPr>
          <w:sz w:val="20"/>
        </w:rPr>
        <w:t>4</w:t>
      </w:r>
      <w:r w:rsidRPr="00E760A9">
        <w:rPr>
          <w:sz w:val="20"/>
        </w:rPr>
        <w:t xml:space="preserve"> Time to Achieve ≥ 15 Letters Improvement</w:t>
      </w:r>
      <w:r w:rsidR="00F954FD">
        <w:rPr>
          <w:sz w:val="20"/>
        </w:rPr>
        <w:t xml:space="preserve"> in BCVA</w:t>
      </w:r>
      <w:r w:rsidRPr="00E760A9">
        <w:rPr>
          <w:sz w:val="20"/>
        </w:rPr>
        <w:t xml:space="preserve"> (Pooled </w:t>
      </w:r>
      <w:r w:rsidRPr="003727B5">
        <w:rPr>
          <w:sz w:val="20"/>
        </w:rPr>
        <w:t xml:space="preserve">Studies </w:t>
      </w:r>
      <w:r w:rsidR="00D75528">
        <w:rPr>
          <w:sz w:val="20"/>
        </w:rPr>
        <w:t>RVO</w:t>
      </w:r>
      <w:r w:rsidR="00365E6C">
        <w:rPr>
          <w:sz w:val="20"/>
        </w:rPr>
        <w:t>1</w:t>
      </w:r>
      <w:r w:rsidRPr="003727B5">
        <w:rPr>
          <w:sz w:val="20"/>
        </w:rPr>
        <w:t xml:space="preserve"> and </w:t>
      </w:r>
      <w:r w:rsidR="00D75528">
        <w:rPr>
          <w:sz w:val="20"/>
        </w:rPr>
        <w:t>RVO</w:t>
      </w:r>
      <w:r w:rsidR="00365E6C">
        <w:rPr>
          <w:sz w:val="20"/>
        </w:rPr>
        <w:t>2</w:t>
      </w:r>
      <w:r w:rsidRPr="00E760A9">
        <w:rPr>
          <w:sz w:val="20"/>
        </w:rPr>
        <w:t>, ITT Population)</w:t>
      </w:r>
    </w:p>
    <w:p w:rsidR="00021737" w:rsidRPr="00021737" w:rsidRDefault="00021737" w:rsidP="003878B4">
      <w:pPr>
        <w:jc w:val="both"/>
        <w:rPr>
          <w:lang w:val="en-US" w:eastAsia="ja-JP"/>
        </w:rPr>
      </w:pPr>
      <w:r>
        <w:rPr>
          <w:noProof/>
          <w:lang w:eastAsia="en-AU"/>
        </w:rPr>
        <w:drawing>
          <wp:inline distT="0" distB="0" distL="0" distR="0" wp14:anchorId="558AD2BF" wp14:editId="7D55E077">
            <wp:extent cx="5705475" cy="2779421"/>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03580" cy="2778498"/>
                    </a:xfrm>
                    <a:prstGeom prst="rect">
                      <a:avLst/>
                    </a:prstGeom>
                  </pic:spPr>
                </pic:pic>
              </a:graphicData>
            </a:graphic>
          </wp:inline>
        </w:drawing>
      </w:r>
    </w:p>
    <w:p w:rsidR="00E760A9" w:rsidRPr="00156737" w:rsidRDefault="00E760A9" w:rsidP="00021737">
      <w:pPr>
        <w:widowControl w:val="0"/>
        <w:jc w:val="both"/>
      </w:pPr>
    </w:p>
    <w:p w:rsidR="00E760A9" w:rsidRDefault="00E760A9" w:rsidP="00021737">
      <w:pPr>
        <w:widowControl w:val="0"/>
        <w:jc w:val="both"/>
      </w:pPr>
    </w:p>
    <w:p w:rsidR="00E760A9" w:rsidRDefault="00E760A9">
      <w:pPr>
        <w:widowControl w:val="0"/>
        <w:jc w:val="both"/>
        <w:rPr>
          <w:u w:val="single"/>
        </w:rPr>
      </w:pPr>
      <w:r>
        <w:rPr>
          <w:u w:val="single"/>
        </w:rPr>
        <w:t xml:space="preserve">Proportion of Patients with BCVA </w:t>
      </w:r>
      <w:r w:rsidRPr="00BE7DEE">
        <w:rPr>
          <w:u w:val="single"/>
        </w:rPr>
        <w:t>≥ 15 Letters</w:t>
      </w:r>
      <w:r>
        <w:rPr>
          <w:u w:val="single"/>
        </w:rPr>
        <w:t xml:space="preserve"> Improvement </w:t>
      </w:r>
    </w:p>
    <w:p w:rsidR="00E760A9" w:rsidRPr="00156737" w:rsidRDefault="00E760A9">
      <w:pPr>
        <w:widowControl w:val="0"/>
        <w:jc w:val="both"/>
      </w:pPr>
      <w:bookmarkStart w:id="7" w:name="_Ref210528203"/>
      <w:bookmarkStart w:id="8" w:name="_Toc197144645"/>
      <w:bookmarkStart w:id="9" w:name="_Toc212367459"/>
      <w:bookmarkStart w:id="10" w:name="_Toc212416642"/>
      <w:bookmarkStart w:id="11" w:name="_Toc213037372"/>
      <w:bookmarkStart w:id="12" w:name="_Toc213041337"/>
      <w:bookmarkStart w:id="13" w:name="_Toc213051616"/>
      <w:bookmarkStart w:id="14" w:name="_Toc213051860"/>
      <w:bookmarkStart w:id="15" w:name="_Toc213052132"/>
      <w:bookmarkStart w:id="16" w:name="_Toc213054448"/>
      <w:bookmarkStart w:id="17" w:name="_Toc213054542"/>
      <w:bookmarkStart w:id="18" w:name="_Toc213054611"/>
      <w:bookmarkStart w:id="19" w:name="_Toc213135457"/>
      <w:bookmarkStart w:id="20" w:name="_Toc213136301"/>
      <w:bookmarkStart w:id="21" w:name="_Toc213142707"/>
      <w:bookmarkStart w:id="22" w:name="_Toc213144744"/>
      <w:bookmarkStart w:id="23" w:name="_Toc213145456"/>
      <w:r w:rsidRPr="00156737">
        <w:t xml:space="preserve">In </w:t>
      </w:r>
      <w:r>
        <w:t xml:space="preserve">all </w:t>
      </w:r>
      <w:r w:rsidR="00F954FD">
        <w:t>three</w:t>
      </w:r>
      <w:r>
        <w:t xml:space="preserve"> studies</w:t>
      </w:r>
      <w:r w:rsidRPr="00156737">
        <w:t xml:space="preserve">, the proportion of patients with ≥ 15 letters improvement in BCVA from baseline was significantly higher with </w:t>
      </w:r>
      <w:r>
        <w:t>OZURDEX</w:t>
      </w:r>
      <w:r w:rsidRPr="007C1809">
        <w:rPr>
          <w:vertAlign w:val="superscript"/>
        </w:rPr>
        <w:t>®</w:t>
      </w:r>
      <w:r w:rsidRPr="00156737">
        <w:t xml:space="preserve"> </w:t>
      </w:r>
      <w:r>
        <w:t>compared to S</w:t>
      </w:r>
      <w:r w:rsidRPr="00156737">
        <w:t xml:space="preserve">ham at days 30, 60, and 90 (p &lt; 0.001), as shown in Table </w:t>
      </w:r>
      <w:r w:rsidR="003727B5">
        <w:t>1</w:t>
      </w:r>
      <w:r w:rsidRPr="00156737">
        <w:t xml:space="preserve">.  A treatment effect was seen at the first observation time </w:t>
      </w:r>
      <w:r w:rsidRPr="00156737">
        <w:lastRenderedPageBreak/>
        <w:t>point of day 30.  The maximum treatment effect was observed at day 60 and the difference in respon</w:t>
      </w:r>
      <w:r w:rsidR="00272D71">
        <w:t>se rates was</w:t>
      </w:r>
      <w:r w:rsidRPr="00156737">
        <w:t xml:space="preserve"> statistically significant </w:t>
      </w:r>
      <w:r w:rsidR="00F954FD">
        <w:t>favour</w:t>
      </w:r>
      <w:r w:rsidR="00272D71">
        <w:t>ing</w:t>
      </w:r>
      <w:r w:rsidR="00F954FD">
        <w:t xml:space="preserve"> </w:t>
      </w:r>
      <w:r>
        <w:t>OZURDEX</w:t>
      </w:r>
      <w:r w:rsidRPr="007C1809">
        <w:rPr>
          <w:vertAlign w:val="superscript"/>
        </w:rPr>
        <w:t>®</w:t>
      </w:r>
      <w:r>
        <w:t xml:space="preserve"> compared with S</w:t>
      </w:r>
      <w:r w:rsidRPr="00156737">
        <w:t>ham at all</w:t>
      </w:r>
      <w:r>
        <w:t xml:space="preserve"> </w:t>
      </w:r>
      <w:r w:rsidRPr="00156737">
        <w:t>time</w:t>
      </w:r>
      <w:r w:rsidR="000840F3">
        <w:t>-</w:t>
      </w:r>
      <w:r w:rsidRPr="00156737">
        <w:t xml:space="preserve">points to day 90 following injection.  </w:t>
      </w:r>
      <w:r>
        <w:t>There continued to be a</w:t>
      </w:r>
      <w:r w:rsidRPr="00156737">
        <w:t xml:space="preserve"> numerically greater proportion of responders for a ≥ 15 letter improvement from baseline in BCVA in patients treated with </w:t>
      </w:r>
      <w:r>
        <w:t>OZUR</w:t>
      </w:r>
      <w:r w:rsidRPr="00156737">
        <w:t>DEX</w:t>
      </w:r>
      <w:r w:rsidRPr="007C1809">
        <w:rPr>
          <w:vertAlign w:val="superscript"/>
        </w:rPr>
        <w:t>®</w:t>
      </w:r>
      <w:r w:rsidRPr="00156737">
        <w:t xml:space="preserve"> </w:t>
      </w:r>
      <w:r>
        <w:t>compared with S</w:t>
      </w:r>
      <w:r w:rsidRPr="00156737">
        <w:t xml:space="preserve">ham </w:t>
      </w:r>
      <w:r w:rsidRPr="002F29E9">
        <w:t>at day 180</w:t>
      </w:r>
      <w:r w:rsidRPr="00156737">
        <w:t>.</w:t>
      </w:r>
    </w:p>
    <w:p w:rsidR="00E760A9" w:rsidRPr="00E760A9" w:rsidRDefault="00E760A9" w:rsidP="00594B3D">
      <w:pPr>
        <w:pStyle w:val="Caption"/>
        <w:ind w:left="0" w:firstLine="0"/>
        <w:jc w:val="center"/>
        <w:rPr>
          <w:sz w:val="20"/>
        </w:rPr>
      </w:pPr>
      <w:r w:rsidRPr="00E760A9">
        <w:rPr>
          <w:sz w:val="20"/>
        </w:rPr>
        <w:t xml:space="preserve">Table </w:t>
      </w:r>
      <w:bookmarkEnd w:id="7"/>
      <w:r w:rsidR="003727B5">
        <w:rPr>
          <w:sz w:val="20"/>
        </w:rPr>
        <w:t>1</w:t>
      </w:r>
      <w:r w:rsidRPr="00E760A9">
        <w:rPr>
          <w:sz w:val="20"/>
        </w:rPr>
        <w:t xml:space="preserve"> </w:t>
      </w:r>
      <w:r w:rsidRPr="00E760A9">
        <w:rPr>
          <w:sz w:val="20"/>
        </w:rPr>
        <w:tab/>
        <w:t>Proportion of Patients with</w:t>
      </w:r>
      <w:r w:rsidR="00F954FD">
        <w:rPr>
          <w:sz w:val="20"/>
        </w:rPr>
        <w:t xml:space="preserve"> ≥</w:t>
      </w:r>
      <w:r w:rsidRPr="00E760A9">
        <w:rPr>
          <w:sz w:val="20"/>
        </w:rPr>
        <w:t xml:space="preserve"> 15 Letters Improvement</w:t>
      </w:r>
      <w:r w:rsidR="00F954FD">
        <w:rPr>
          <w:sz w:val="20"/>
        </w:rPr>
        <w:t xml:space="preserve"> in BCVA</w:t>
      </w:r>
      <w:r w:rsidRPr="00E760A9">
        <w:rPr>
          <w:sz w:val="20"/>
        </w:rPr>
        <w:t xml:space="preserve"> in the Study Eye </w:t>
      </w:r>
      <w:r w:rsidRPr="004B4658">
        <w:rPr>
          <w:sz w:val="20"/>
        </w:rPr>
        <w:t xml:space="preserve">(Study </w:t>
      </w:r>
      <w:r w:rsidR="00BE2467">
        <w:rPr>
          <w:sz w:val="20"/>
        </w:rPr>
        <w:t>RVO</w:t>
      </w:r>
      <w:r w:rsidR="00365E6C">
        <w:rPr>
          <w:sz w:val="20"/>
        </w:rPr>
        <w:t>3</w:t>
      </w:r>
      <w:r w:rsidR="00620437">
        <w:rPr>
          <w:sz w:val="20"/>
        </w:rPr>
        <w:t xml:space="preserve">, </w:t>
      </w:r>
      <w:proofErr w:type="spellStart"/>
      <w:r w:rsidR="00620437">
        <w:rPr>
          <w:sz w:val="20"/>
        </w:rPr>
        <w:t>mITT</w:t>
      </w:r>
      <w:proofErr w:type="spellEnd"/>
      <w:r w:rsidR="00620437">
        <w:rPr>
          <w:sz w:val="20"/>
        </w:rPr>
        <w:t>* Populat</w:t>
      </w:r>
      <w:r w:rsidR="005507E0">
        <w:rPr>
          <w:sz w:val="20"/>
        </w:rPr>
        <w:t xml:space="preserve">ion; </w:t>
      </w:r>
      <w:r w:rsidRPr="004B4658">
        <w:rPr>
          <w:sz w:val="20"/>
        </w:rPr>
        <w:t xml:space="preserve">Studies </w:t>
      </w:r>
      <w:r w:rsidR="00BE2467">
        <w:rPr>
          <w:sz w:val="20"/>
        </w:rPr>
        <w:t>RVO</w:t>
      </w:r>
      <w:r w:rsidR="00365E6C">
        <w:rPr>
          <w:sz w:val="20"/>
        </w:rPr>
        <w:t>1</w:t>
      </w:r>
      <w:r w:rsidRPr="004B4658">
        <w:rPr>
          <w:sz w:val="20"/>
        </w:rPr>
        <w:t xml:space="preserve"> and </w:t>
      </w:r>
      <w:r w:rsidR="00BE2467">
        <w:rPr>
          <w:sz w:val="20"/>
        </w:rPr>
        <w:t>RVO</w:t>
      </w:r>
      <w:r w:rsidR="00365E6C">
        <w:rPr>
          <w:sz w:val="20"/>
        </w:rPr>
        <w:t>2</w:t>
      </w:r>
      <w:r w:rsidRPr="00E760A9">
        <w:rPr>
          <w:sz w:val="20"/>
        </w:rPr>
        <w:t>, ITT Population)</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tbl>
      <w:tblPr>
        <w:tblW w:w="902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30"/>
        <w:gridCol w:w="2412"/>
        <w:gridCol w:w="1607"/>
        <w:gridCol w:w="2013"/>
        <w:gridCol w:w="1659"/>
      </w:tblGrid>
      <w:tr w:rsidR="001D49C9" w:rsidRPr="00156737" w:rsidTr="001D49C9">
        <w:trPr>
          <w:trHeight w:val="305"/>
        </w:trPr>
        <w:tc>
          <w:tcPr>
            <w:tcW w:w="1330" w:type="dxa"/>
            <w:tcBorders>
              <w:right w:val="single" w:sz="4" w:space="0" w:color="auto"/>
            </w:tcBorders>
          </w:tcPr>
          <w:p w:rsidR="001D49C9" w:rsidRPr="00156737" w:rsidRDefault="001D49C9" w:rsidP="003878B4">
            <w:pPr>
              <w:pStyle w:val="TableHeadingsSmall"/>
              <w:jc w:val="both"/>
            </w:pPr>
          </w:p>
        </w:tc>
        <w:tc>
          <w:tcPr>
            <w:tcW w:w="4019" w:type="dxa"/>
            <w:gridSpan w:val="2"/>
            <w:tcBorders>
              <w:top w:val="single" w:sz="4" w:space="0" w:color="auto"/>
              <w:bottom w:val="nil"/>
              <w:right w:val="single" w:sz="4" w:space="0" w:color="auto"/>
            </w:tcBorders>
          </w:tcPr>
          <w:p w:rsidR="001D49C9" w:rsidRPr="004B4658" w:rsidRDefault="001D49C9" w:rsidP="00365E6C">
            <w:pPr>
              <w:pStyle w:val="TableHeadingsSmall"/>
            </w:pPr>
            <w:r w:rsidRPr="00156737">
              <w:t xml:space="preserve">Pooled </w:t>
            </w:r>
            <w:r>
              <w:t>Studies RVO 1</w:t>
            </w:r>
            <w:r w:rsidRPr="004B4658">
              <w:t xml:space="preserve"> and </w:t>
            </w:r>
            <w:r>
              <w:t>RVO 2</w:t>
            </w:r>
          </w:p>
        </w:tc>
        <w:tc>
          <w:tcPr>
            <w:tcW w:w="3672" w:type="dxa"/>
            <w:gridSpan w:val="2"/>
            <w:tcBorders>
              <w:left w:val="single" w:sz="4" w:space="0" w:color="auto"/>
              <w:right w:val="single" w:sz="4" w:space="0" w:color="auto"/>
            </w:tcBorders>
          </w:tcPr>
          <w:p w:rsidR="001D49C9" w:rsidRPr="00156737" w:rsidRDefault="001D49C9" w:rsidP="00365E6C">
            <w:pPr>
              <w:pStyle w:val="TableHeadingsSmall"/>
            </w:pPr>
            <w:r w:rsidRPr="004B4658">
              <w:t xml:space="preserve">Study </w:t>
            </w:r>
            <w:r>
              <w:t>RVO 3</w:t>
            </w:r>
          </w:p>
        </w:tc>
      </w:tr>
      <w:tr w:rsidR="001D49C9" w:rsidRPr="00156737" w:rsidTr="001D49C9">
        <w:trPr>
          <w:trHeight w:val="369"/>
        </w:trPr>
        <w:tc>
          <w:tcPr>
            <w:tcW w:w="1330" w:type="dxa"/>
            <w:tcBorders>
              <w:bottom w:val="nil"/>
              <w:right w:val="single" w:sz="4" w:space="0" w:color="auto"/>
            </w:tcBorders>
          </w:tcPr>
          <w:p w:rsidR="001D49C9" w:rsidRPr="00156737" w:rsidRDefault="001D49C9" w:rsidP="003878B4">
            <w:pPr>
              <w:pStyle w:val="TableHeadingsSmall"/>
              <w:jc w:val="both"/>
            </w:pPr>
          </w:p>
        </w:tc>
        <w:tc>
          <w:tcPr>
            <w:tcW w:w="2412" w:type="dxa"/>
            <w:tcBorders>
              <w:top w:val="nil"/>
              <w:left w:val="single" w:sz="4" w:space="0" w:color="auto"/>
              <w:bottom w:val="nil"/>
              <w:right w:val="nil"/>
            </w:tcBorders>
          </w:tcPr>
          <w:p w:rsidR="001D49C9" w:rsidRDefault="001D49C9" w:rsidP="00452305">
            <w:pPr>
              <w:pStyle w:val="TableHeadingsSmall"/>
            </w:pPr>
            <w:r>
              <w:t>OZURDEX</w:t>
            </w:r>
            <w:r w:rsidRPr="00652E0A">
              <w:rPr>
                <w:vertAlign w:val="superscript"/>
              </w:rPr>
              <w:t>®</w:t>
            </w:r>
          </w:p>
        </w:tc>
        <w:tc>
          <w:tcPr>
            <w:tcW w:w="1607" w:type="dxa"/>
            <w:tcBorders>
              <w:top w:val="nil"/>
              <w:left w:val="nil"/>
              <w:bottom w:val="nil"/>
              <w:right w:val="single" w:sz="4" w:space="0" w:color="auto"/>
            </w:tcBorders>
          </w:tcPr>
          <w:p w:rsidR="001D49C9" w:rsidRDefault="001D49C9" w:rsidP="00452305">
            <w:pPr>
              <w:pStyle w:val="TableHeadingsSmall"/>
            </w:pPr>
            <w:r w:rsidRPr="00156737">
              <w:t>Sham</w:t>
            </w:r>
          </w:p>
        </w:tc>
        <w:tc>
          <w:tcPr>
            <w:tcW w:w="2013" w:type="dxa"/>
            <w:tcBorders>
              <w:top w:val="nil"/>
              <w:left w:val="single" w:sz="4" w:space="0" w:color="auto"/>
              <w:bottom w:val="nil"/>
              <w:right w:val="nil"/>
            </w:tcBorders>
          </w:tcPr>
          <w:p w:rsidR="001D49C9" w:rsidRPr="00156737" w:rsidRDefault="001D49C9" w:rsidP="00452305">
            <w:pPr>
              <w:pStyle w:val="TableHeadingsSmall"/>
            </w:pPr>
            <w:r>
              <w:t>OZURDEX</w:t>
            </w:r>
            <w:r w:rsidRPr="00652E0A">
              <w:rPr>
                <w:vertAlign w:val="superscript"/>
              </w:rPr>
              <w:t>®</w:t>
            </w:r>
          </w:p>
        </w:tc>
        <w:tc>
          <w:tcPr>
            <w:tcW w:w="1659" w:type="dxa"/>
            <w:tcBorders>
              <w:left w:val="nil"/>
              <w:bottom w:val="nil"/>
              <w:right w:val="single" w:sz="4" w:space="0" w:color="auto"/>
            </w:tcBorders>
          </w:tcPr>
          <w:p w:rsidR="001D49C9" w:rsidRPr="00156737" w:rsidRDefault="001D49C9" w:rsidP="00452305">
            <w:pPr>
              <w:pStyle w:val="TableHeadingsSmall"/>
            </w:pPr>
            <w:r w:rsidRPr="00156737">
              <w:t>Sham</w:t>
            </w:r>
          </w:p>
        </w:tc>
      </w:tr>
      <w:tr w:rsidR="001D49C9" w:rsidRPr="00156737" w:rsidTr="001D49C9">
        <w:trPr>
          <w:trHeight w:val="21"/>
        </w:trPr>
        <w:tc>
          <w:tcPr>
            <w:tcW w:w="1330" w:type="dxa"/>
            <w:tcBorders>
              <w:top w:val="nil"/>
              <w:bottom w:val="single" w:sz="4" w:space="0" w:color="auto"/>
              <w:right w:val="single" w:sz="4" w:space="0" w:color="auto"/>
            </w:tcBorders>
          </w:tcPr>
          <w:p w:rsidR="001D49C9" w:rsidRPr="00156737" w:rsidRDefault="001D49C9" w:rsidP="003878B4">
            <w:pPr>
              <w:pStyle w:val="TableHeadingsSmall"/>
              <w:jc w:val="both"/>
            </w:pPr>
            <w:r w:rsidRPr="00156737">
              <w:t>Visit</w:t>
            </w:r>
          </w:p>
        </w:tc>
        <w:tc>
          <w:tcPr>
            <w:tcW w:w="2412" w:type="dxa"/>
            <w:tcBorders>
              <w:top w:val="nil"/>
              <w:left w:val="single" w:sz="4" w:space="0" w:color="auto"/>
              <w:bottom w:val="single" w:sz="4" w:space="0" w:color="auto"/>
              <w:right w:val="nil"/>
            </w:tcBorders>
          </w:tcPr>
          <w:p w:rsidR="001D49C9" w:rsidRDefault="001D49C9" w:rsidP="00452305">
            <w:pPr>
              <w:pStyle w:val="TableHeadingsSmall"/>
              <w:ind w:left="-96"/>
            </w:pPr>
            <w:r w:rsidRPr="00156737">
              <w:t>N = 427</w:t>
            </w:r>
          </w:p>
        </w:tc>
        <w:tc>
          <w:tcPr>
            <w:tcW w:w="1607" w:type="dxa"/>
            <w:tcBorders>
              <w:top w:val="nil"/>
              <w:left w:val="nil"/>
              <w:bottom w:val="single" w:sz="4" w:space="0" w:color="auto"/>
              <w:right w:val="single" w:sz="4" w:space="0" w:color="auto"/>
            </w:tcBorders>
          </w:tcPr>
          <w:p w:rsidR="001D49C9" w:rsidRDefault="001D49C9" w:rsidP="00452305">
            <w:pPr>
              <w:pStyle w:val="TableHeadingsSmall"/>
              <w:ind w:left="-96"/>
            </w:pPr>
            <w:r w:rsidRPr="00156737">
              <w:t>N = 426</w:t>
            </w:r>
          </w:p>
        </w:tc>
        <w:tc>
          <w:tcPr>
            <w:tcW w:w="2013" w:type="dxa"/>
            <w:tcBorders>
              <w:top w:val="nil"/>
              <w:left w:val="single" w:sz="4" w:space="0" w:color="auto"/>
              <w:bottom w:val="single" w:sz="4" w:space="0" w:color="auto"/>
              <w:right w:val="nil"/>
            </w:tcBorders>
          </w:tcPr>
          <w:p w:rsidR="001D49C9" w:rsidRPr="00156737" w:rsidRDefault="001D49C9" w:rsidP="00452305">
            <w:pPr>
              <w:pStyle w:val="TableHeadingsSmall"/>
              <w:ind w:left="-96"/>
            </w:pPr>
            <w:r>
              <w:t>N = 129</w:t>
            </w:r>
          </w:p>
        </w:tc>
        <w:tc>
          <w:tcPr>
            <w:tcW w:w="1659" w:type="dxa"/>
            <w:tcBorders>
              <w:top w:val="nil"/>
              <w:left w:val="nil"/>
              <w:bottom w:val="single" w:sz="4" w:space="0" w:color="auto"/>
              <w:right w:val="single" w:sz="4" w:space="0" w:color="auto"/>
            </w:tcBorders>
          </w:tcPr>
          <w:p w:rsidR="001D49C9" w:rsidRPr="00156737" w:rsidRDefault="001D49C9" w:rsidP="00452305">
            <w:pPr>
              <w:pStyle w:val="TableHeadingsSmall"/>
              <w:ind w:left="-96"/>
            </w:pPr>
            <w:r>
              <w:t>N = 130</w:t>
            </w:r>
          </w:p>
        </w:tc>
      </w:tr>
      <w:tr w:rsidR="001D49C9" w:rsidRPr="00156737" w:rsidTr="001D49C9">
        <w:trPr>
          <w:trHeight w:val="21"/>
        </w:trPr>
        <w:tc>
          <w:tcPr>
            <w:tcW w:w="1330" w:type="dxa"/>
            <w:tcBorders>
              <w:top w:val="single" w:sz="4" w:space="0" w:color="auto"/>
              <w:bottom w:val="single" w:sz="4" w:space="0" w:color="auto"/>
              <w:right w:val="single" w:sz="4" w:space="0" w:color="auto"/>
            </w:tcBorders>
          </w:tcPr>
          <w:p w:rsidR="001D49C9" w:rsidRPr="00156737" w:rsidRDefault="001D49C9" w:rsidP="003878B4">
            <w:pPr>
              <w:pStyle w:val="TableText10pt"/>
              <w:jc w:val="both"/>
            </w:pPr>
            <w:r w:rsidRPr="00156737">
              <w:t>Day 30</w:t>
            </w:r>
          </w:p>
        </w:tc>
        <w:tc>
          <w:tcPr>
            <w:tcW w:w="2412" w:type="dxa"/>
            <w:tcBorders>
              <w:top w:val="single" w:sz="4" w:space="0" w:color="auto"/>
              <w:left w:val="single" w:sz="4" w:space="0" w:color="auto"/>
              <w:bottom w:val="single" w:sz="4" w:space="0" w:color="auto"/>
              <w:right w:val="nil"/>
            </w:tcBorders>
          </w:tcPr>
          <w:p w:rsidR="001D49C9" w:rsidRDefault="001D49C9" w:rsidP="00452305">
            <w:pPr>
              <w:pStyle w:val="TableText10pt"/>
              <w:jc w:val="center"/>
            </w:pPr>
            <w:r w:rsidRPr="00156737">
              <w:t>21.3%</w:t>
            </w:r>
            <w:r w:rsidRPr="00156737">
              <w:rPr>
                <w:vertAlign w:val="superscript"/>
              </w:rPr>
              <w:t>a</w:t>
            </w:r>
          </w:p>
        </w:tc>
        <w:tc>
          <w:tcPr>
            <w:tcW w:w="1607" w:type="dxa"/>
            <w:tcBorders>
              <w:top w:val="single" w:sz="4" w:space="0" w:color="auto"/>
              <w:left w:val="nil"/>
              <w:bottom w:val="single" w:sz="4" w:space="0" w:color="auto"/>
              <w:right w:val="single" w:sz="4" w:space="0" w:color="auto"/>
            </w:tcBorders>
          </w:tcPr>
          <w:p w:rsidR="001D49C9" w:rsidRDefault="001D49C9" w:rsidP="00452305">
            <w:pPr>
              <w:pStyle w:val="TableText10pt"/>
              <w:jc w:val="center"/>
            </w:pPr>
            <w:r w:rsidRPr="00156737">
              <w:t>7.5%</w:t>
            </w:r>
          </w:p>
        </w:tc>
        <w:tc>
          <w:tcPr>
            <w:tcW w:w="2013" w:type="dxa"/>
            <w:tcBorders>
              <w:top w:val="single" w:sz="4" w:space="0" w:color="auto"/>
              <w:left w:val="single" w:sz="4" w:space="0" w:color="auto"/>
              <w:bottom w:val="single" w:sz="4" w:space="0" w:color="auto"/>
              <w:right w:val="nil"/>
            </w:tcBorders>
          </w:tcPr>
          <w:p w:rsidR="001D49C9" w:rsidRPr="00156737" w:rsidRDefault="001D49C9" w:rsidP="00452305">
            <w:pPr>
              <w:pStyle w:val="TableText10pt"/>
              <w:jc w:val="center"/>
            </w:pPr>
            <w:r>
              <w:t>28.7%</w:t>
            </w:r>
            <w:r w:rsidRPr="00652E0A">
              <w:rPr>
                <w:vertAlign w:val="superscript"/>
              </w:rPr>
              <w:t>a</w:t>
            </w:r>
          </w:p>
        </w:tc>
        <w:tc>
          <w:tcPr>
            <w:tcW w:w="1659" w:type="dxa"/>
            <w:tcBorders>
              <w:top w:val="single" w:sz="4" w:space="0" w:color="auto"/>
              <w:left w:val="nil"/>
              <w:bottom w:val="single" w:sz="4" w:space="0" w:color="auto"/>
              <w:right w:val="single" w:sz="4" w:space="0" w:color="auto"/>
            </w:tcBorders>
          </w:tcPr>
          <w:p w:rsidR="001D49C9" w:rsidRPr="00156737" w:rsidRDefault="001D49C9" w:rsidP="00452305">
            <w:pPr>
              <w:pStyle w:val="TableText10pt"/>
              <w:jc w:val="center"/>
            </w:pPr>
            <w:r>
              <w:t>5.4%</w:t>
            </w:r>
          </w:p>
        </w:tc>
      </w:tr>
      <w:tr w:rsidR="001D49C9" w:rsidRPr="00156737" w:rsidTr="001D49C9">
        <w:trPr>
          <w:trHeight w:val="21"/>
        </w:trPr>
        <w:tc>
          <w:tcPr>
            <w:tcW w:w="1330" w:type="dxa"/>
            <w:tcBorders>
              <w:top w:val="single" w:sz="4" w:space="0" w:color="auto"/>
              <w:bottom w:val="single" w:sz="4" w:space="0" w:color="auto"/>
              <w:right w:val="single" w:sz="4" w:space="0" w:color="auto"/>
            </w:tcBorders>
          </w:tcPr>
          <w:p w:rsidR="001D49C9" w:rsidRPr="00156737" w:rsidRDefault="001D49C9" w:rsidP="003878B4">
            <w:pPr>
              <w:pStyle w:val="TableText10pt"/>
              <w:jc w:val="both"/>
            </w:pPr>
            <w:r w:rsidRPr="00156737">
              <w:t>Day 60</w:t>
            </w:r>
          </w:p>
        </w:tc>
        <w:tc>
          <w:tcPr>
            <w:tcW w:w="2412" w:type="dxa"/>
            <w:tcBorders>
              <w:top w:val="single" w:sz="4" w:space="0" w:color="auto"/>
              <w:left w:val="single" w:sz="4" w:space="0" w:color="auto"/>
              <w:bottom w:val="single" w:sz="4" w:space="0" w:color="auto"/>
              <w:right w:val="nil"/>
            </w:tcBorders>
          </w:tcPr>
          <w:p w:rsidR="001D49C9" w:rsidRDefault="001D49C9" w:rsidP="00452305">
            <w:pPr>
              <w:pStyle w:val="TableText10pt"/>
              <w:jc w:val="center"/>
            </w:pPr>
            <w:r w:rsidRPr="00156737">
              <w:t>29.3%</w:t>
            </w:r>
            <w:r w:rsidRPr="00156737">
              <w:rPr>
                <w:vertAlign w:val="superscript"/>
              </w:rPr>
              <w:t>a</w:t>
            </w:r>
          </w:p>
        </w:tc>
        <w:tc>
          <w:tcPr>
            <w:tcW w:w="1607" w:type="dxa"/>
            <w:tcBorders>
              <w:top w:val="single" w:sz="4" w:space="0" w:color="auto"/>
              <w:left w:val="nil"/>
              <w:bottom w:val="single" w:sz="4" w:space="0" w:color="auto"/>
              <w:right w:val="single" w:sz="4" w:space="0" w:color="auto"/>
            </w:tcBorders>
          </w:tcPr>
          <w:p w:rsidR="001D49C9" w:rsidRDefault="001D49C9" w:rsidP="00452305">
            <w:pPr>
              <w:pStyle w:val="TableText10pt"/>
              <w:jc w:val="center"/>
            </w:pPr>
            <w:r w:rsidRPr="00156737">
              <w:t>11.3%</w:t>
            </w:r>
          </w:p>
        </w:tc>
        <w:tc>
          <w:tcPr>
            <w:tcW w:w="2013" w:type="dxa"/>
            <w:tcBorders>
              <w:top w:val="single" w:sz="4" w:space="0" w:color="auto"/>
              <w:left w:val="single" w:sz="4" w:space="0" w:color="auto"/>
              <w:bottom w:val="single" w:sz="4" w:space="0" w:color="auto"/>
              <w:right w:val="nil"/>
            </w:tcBorders>
          </w:tcPr>
          <w:p w:rsidR="001D49C9" w:rsidRPr="00156737" w:rsidRDefault="001D49C9" w:rsidP="00452305">
            <w:pPr>
              <w:pStyle w:val="TableText10pt"/>
              <w:jc w:val="center"/>
            </w:pPr>
            <w:r>
              <w:t>34.9%</w:t>
            </w:r>
            <w:r w:rsidRPr="00652E0A">
              <w:rPr>
                <w:vertAlign w:val="superscript"/>
              </w:rPr>
              <w:t>a</w:t>
            </w:r>
          </w:p>
        </w:tc>
        <w:tc>
          <w:tcPr>
            <w:tcW w:w="1659" w:type="dxa"/>
            <w:tcBorders>
              <w:top w:val="single" w:sz="4" w:space="0" w:color="auto"/>
              <w:left w:val="nil"/>
              <w:bottom w:val="single" w:sz="4" w:space="0" w:color="auto"/>
              <w:right w:val="single" w:sz="4" w:space="0" w:color="auto"/>
            </w:tcBorders>
          </w:tcPr>
          <w:p w:rsidR="001D49C9" w:rsidRPr="00156737" w:rsidRDefault="001D49C9" w:rsidP="00452305">
            <w:pPr>
              <w:pStyle w:val="TableText10pt"/>
              <w:jc w:val="center"/>
            </w:pPr>
            <w:r>
              <w:t>11.5%</w:t>
            </w:r>
          </w:p>
        </w:tc>
      </w:tr>
      <w:tr w:rsidR="001D49C9" w:rsidRPr="00156737" w:rsidTr="001D49C9">
        <w:trPr>
          <w:trHeight w:val="21"/>
        </w:trPr>
        <w:tc>
          <w:tcPr>
            <w:tcW w:w="1330" w:type="dxa"/>
            <w:tcBorders>
              <w:top w:val="single" w:sz="4" w:space="0" w:color="auto"/>
              <w:bottom w:val="single" w:sz="4" w:space="0" w:color="auto"/>
              <w:right w:val="single" w:sz="4" w:space="0" w:color="auto"/>
            </w:tcBorders>
          </w:tcPr>
          <w:p w:rsidR="001D49C9" w:rsidRPr="00156737" w:rsidRDefault="001D49C9" w:rsidP="003878B4">
            <w:pPr>
              <w:pStyle w:val="TableText10pt"/>
              <w:jc w:val="both"/>
            </w:pPr>
            <w:r w:rsidRPr="00156737">
              <w:t>Day 90</w:t>
            </w:r>
          </w:p>
        </w:tc>
        <w:tc>
          <w:tcPr>
            <w:tcW w:w="2412" w:type="dxa"/>
            <w:tcBorders>
              <w:top w:val="single" w:sz="4" w:space="0" w:color="auto"/>
              <w:left w:val="single" w:sz="4" w:space="0" w:color="auto"/>
              <w:bottom w:val="single" w:sz="4" w:space="0" w:color="auto"/>
              <w:right w:val="nil"/>
            </w:tcBorders>
          </w:tcPr>
          <w:p w:rsidR="001D49C9" w:rsidRDefault="001D49C9" w:rsidP="00452305">
            <w:pPr>
              <w:pStyle w:val="TableText10pt"/>
              <w:jc w:val="center"/>
            </w:pPr>
            <w:r w:rsidRPr="00156737">
              <w:t>21.8%</w:t>
            </w:r>
            <w:r w:rsidRPr="00156737">
              <w:rPr>
                <w:vertAlign w:val="superscript"/>
              </w:rPr>
              <w:t>a</w:t>
            </w:r>
          </w:p>
        </w:tc>
        <w:tc>
          <w:tcPr>
            <w:tcW w:w="1607" w:type="dxa"/>
            <w:tcBorders>
              <w:top w:val="single" w:sz="4" w:space="0" w:color="auto"/>
              <w:left w:val="nil"/>
              <w:bottom w:val="single" w:sz="4" w:space="0" w:color="auto"/>
              <w:right w:val="single" w:sz="4" w:space="0" w:color="auto"/>
            </w:tcBorders>
          </w:tcPr>
          <w:p w:rsidR="001D49C9" w:rsidRDefault="001D49C9" w:rsidP="00452305">
            <w:pPr>
              <w:pStyle w:val="TableText10pt"/>
              <w:jc w:val="center"/>
            </w:pPr>
            <w:r w:rsidRPr="00156737">
              <w:t>13.1%</w:t>
            </w:r>
          </w:p>
        </w:tc>
        <w:tc>
          <w:tcPr>
            <w:tcW w:w="2013" w:type="dxa"/>
            <w:tcBorders>
              <w:top w:val="single" w:sz="4" w:space="0" w:color="auto"/>
              <w:left w:val="single" w:sz="4" w:space="0" w:color="auto"/>
              <w:bottom w:val="single" w:sz="4" w:space="0" w:color="auto"/>
              <w:right w:val="nil"/>
            </w:tcBorders>
          </w:tcPr>
          <w:p w:rsidR="001D49C9" w:rsidRPr="00156737" w:rsidRDefault="001D49C9" w:rsidP="00452305">
            <w:pPr>
              <w:pStyle w:val="TableText10pt"/>
              <w:jc w:val="center"/>
            </w:pPr>
            <w:r>
              <w:t>33.3%</w:t>
            </w:r>
            <w:r w:rsidRPr="00652E0A">
              <w:rPr>
                <w:vertAlign w:val="superscript"/>
              </w:rPr>
              <w:t>a</w:t>
            </w:r>
          </w:p>
        </w:tc>
        <w:tc>
          <w:tcPr>
            <w:tcW w:w="1659" w:type="dxa"/>
            <w:tcBorders>
              <w:top w:val="single" w:sz="4" w:space="0" w:color="auto"/>
              <w:left w:val="nil"/>
              <w:bottom w:val="single" w:sz="4" w:space="0" w:color="auto"/>
              <w:right w:val="single" w:sz="4" w:space="0" w:color="auto"/>
            </w:tcBorders>
          </w:tcPr>
          <w:p w:rsidR="001D49C9" w:rsidRPr="00156737" w:rsidRDefault="001D49C9" w:rsidP="00452305">
            <w:pPr>
              <w:pStyle w:val="TableText10pt"/>
              <w:jc w:val="center"/>
            </w:pPr>
            <w:r>
              <w:t>13.1%</w:t>
            </w:r>
          </w:p>
        </w:tc>
      </w:tr>
      <w:tr w:rsidR="001D49C9" w:rsidRPr="00156737" w:rsidTr="001D49C9">
        <w:trPr>
          <w:trHeight w:val="433"/>
        </w:trPr>
        <w:tc>
          <w:tcPr>
            <w:tcW w:w="1330" w:type="dxa"/>
            <w:tcBorders>
              <w:top w:val="single" w:sz="4" w:space="0" w:color="auto"/>
              <w:right w:val="single" w:sz="4" w:space="0" w:color="auto"/>
            </w:tcBorders>
          </w:tcPr>
          <w:p w:rsidR="001D49C9" w:rsidRPr="00156737" w:rsidRDefault="001D49C9" w:rsidP="003878B4">
            <w:pPr>
              <w:pStyle w:val="TableText10pt"/>
              <w:ind w:right="-111"/>
              <w:jc w:val="both"/>
            </w:pPr>
            <w:r w:rsidRPr="00156737">
              <w:t>Day 180</w:t>
            </w:r>
          </w:p>
        </w:tc>
        <w:tc>
          <w:tcPr>
            <w:tcW w:w="2412" w:type="dxa"/>
            <w:tcBorders>
              <w:top w:val="single" w:sz="4" w:space="0" w:color="auto"/>
              <w:left w:val="single" w:sz="4" w:space="0" w:color="auto"/>
              <w:bottom w:val="single" w:sz="4" w:space="0" w:color="auto"/>
              <w:right w:val="nil"/>
            </w:tcBorders>
          </w:tcPr>
          <w:p w:rsidR="001D49C9" w:rsidRDefault="001D49C9" w:rsidP="00452305">
            <w:pPr>
              <w:pStyle w:val="TableText10pt"/>
              <w:jc w:val="center"/>
            </w:pPr>
            <w:r w:rsidRPr="00156737">
              <w:t>21.5%</w:t>
            </w:r>
          </w:p>
        </w:tc>
        <w:tc>
          <w:tcPr>
            <w:tcW w:w="1607" w:type="dxa"/>
            <w:tcBorders>
              <w:top w:val="single" w:sz="4" w:space="0" w:color="auto"/>
              <w:left w:val="nil"/>
              <w:bottom w:val="single" w:sz="4" w:space="0" w:color="auto"/>
              <w:right w:val="single" w:sz="4" w:space="0" w:color="auto"/>
            </w:tcBorders>
          </w:tcPr>
          <w:p w:rsidR="001D49C9" w:rsidRDefault="001D49C9" w:rsidP="00452305">
            <w:pPr>
              <w:pStyle w:val="TableText10pt"/>
              <w:jc w:val="center"/>
            </w:pPr>
            <w:r w:rsidRPr="00156737">
              <w:t>17.6%</w:t>
            </w:r>
          </w:p>
        </w:tc>
        <w:tc>
          <w:tcPr>
            <w:tcW w:w="2013" w:type="dxa"/>
            <w:tcBorders>
              <w:top w:val="single" w:sz="4" w:space="0" w:color="auto"/>
              <w:left w:val="single" w:sz="4" w:space="0" w:color="auto"/>
              <w:bottom w:val="single" w:sz="4" w:space="0" w:color="auto"/>
              <w:right w:val="nil"/>
            </w:tcBorders>
          </w:tcPr>
          <w:p w:rsidR="001D49C9" w:rsidRPr="00156737" w:rsidRDefault="001D49C9" w:rsidP="00452305">
            <w:pPr>
              <w:pStyle w:val="TableText10pt"/>
              <w:jc w:val="center"/>
            </w:pPr>
            <w:r>
              <w:t>23.3%</w:t>
            </w:r>
          </w:p>
        </w:tc>
        <w:tc>
          <w:tcPr>
            <w:tcW w:w="1659" w:type="dxa"/>
            <w:tcBorders>
              <w:top w:val="single" w:sz="4" w:space="0" w:color="auto"/>
              <w:left w:val="nil"/>
              <w:right w:val="single" w:sz="4" w:space="0" w:color="auto"/>
            </w:tcBorders>
          </w:tcPr>
          <w:p w:rsidR="001D49C9" w:rsidRPr="00156737" w:rsidRDefault="001D49C9" w:rsidP="00452305">
            <w:pPr>
              <w:pStyle w:val="TableText10pt"/>
              <w:jc w:val="center"/>
            </w:pPr>
            <w:r>
              <w:t>20.8%</w:t>
            </w:r>
          </w:p>
        </w:tc>
      </w:tr>
    </w:tbl>
    <w:p w:rsidR="00E760A9" w:rsidRPr="00975F8B" w:rsidRDefault="00620437" w:rsidP="003878B4">
      <w:pPr>
        <w:pStyle w:val="TableFootnote"/>
        <w:jc w:val="both"/>
        <w:rPr>
          <w:sz w:val="18"/>
          <w:szCs w:val="18"/>
        </w:rPr>
      </w:pPr>
      <w:proofErr w:type="gramStart"/>
      <w:r>
        <w:rPr>
          <w:sz w:val="18"/>
          <w:szCs w:val="18"/>
        </w:rPr>
        <w:t xml:space="preserve">a  </w:t>
      </w:r>
      <w:r w:rsidR="00E760A9" w:rsidRPr="00975F8B">
        <w:rPr>
          <w:sz w:val="18"/>
          <w:szCs w:val="18"/>
        </w:rPr>
        <w:t>Proportion</w:t>
      </w:r>
      <w:proofErr w:type="gramEnd"/>
      <w:r w:rsidR="00E760A9" w:rsidRPr="00975F8B">
        <w:rPr>
          <w:sz w:val="18"/>
          <w:szCs w:val="18"/>
        </w:rPr>
        <w:t xml:space="preserve"> significantly higher </w:t>
      </w:r>
      <w:r>
        <w:rPr>
          <w:sz w:val="18"/>
          <w:szCs w:val="18"/>
        </w:rPr>
        <w:t>with dexamethasone compared to S</w:t>
      </w:r>
      <w:r w:rsidR="00E760A9" w:rsidRPr="00975F8B">
        <w:rPr>
          <w:sz w:val="18"/>
          <w:szCs w:val="18"/>
        </w:rPr>
        <w:t>ham (p &lt; 0.001)</w:t>
      </w:r>
    </w:p>
    <w:p w:rsidR="00620437" w:rsidRPr="00FF2E84" w:rsidRDefault="00620437" w:rsidP="00620437">
      <w:pPr>
        <w:spacing w:line="300" w:lineRule="auto"/>
        <w:jc w:val="both"/>
        <w:rPr>
          <w:sz w:val="18"/>
          <w:szCs w:val="18"/>
          <w:u w:val="single"/>
        </w:rPr>
      </w:pPr>
      <w:r w:rsidRPr="00FF2E84">
        <w:rPr>
          <w:sz w:val="18"/>
          <w:szCs w:val="18"/>
          <w:u w:val="single"/>
        </w:rPr>
        <w:t xml:space="preserve">* </w:t>
      </w:r>
      <w:proofErr w:type="spellStart"/>
      <w:r w:rsidRPr="00FF2E84">
        <w:rPr>
          <w:sz w:val="18"/>
          <w:szCs w:val="18"/>
          <w:u w:val="single"/>
        </w:rPr>
        <w:t>mITT</w:t>
      </w:r>
      <w:proofErr w:type="spellEnd"/>
      <w:r w:rsidRPr="00FF2E84">
        <w:rPr>
          <w:sz w:val="18"/>
          <w:szCs w:val="18"/>
          <w:u w:val="single"/>
        </w:rPr>
        <w:t xml:space="preserve"> (modified intent-to-treat): all randomised and treated patients</w:t>
      </w:r>
    </w:p>
    <w:p w:rsidR="005507E0" w:rsidRDefault="005507E0">
      <w:pPr>
        <w:jc w:val="both"/>
        <w:rPr>
          <w:u w:val="single"/>
        </w:rPr>
      </w:pPr>
    </w:p>
    <w:p w:rsidR="00F04E0D" w:rsidRDefault="00F04E0D">
      <w:pPr>
        <w:rPr>
          <w:u w:val="single"/>
        </w:rPr>
      </w:pPr>
      <w:r>
        <w:rPr>
          <w:u w:val="single"/>
        </w:rPr>
        <w:br w:type="page"/>
      </w:r>
    </w:p>
    <w:p w:rsidR="00E760A9" w:rsidRPr="00F954FD" w:rsidRDefault="00F954FD">
      <w:pPr>
        <w:jc w:val="both"/>
        <w:rPr>
          <w:u w:val="single"/>
        </w:rPr>
      </w:pPr>
      <w:r>
        <w:rPr>
          <w:u w:val="single"/>
        </w:rPr>
        <w:lastRenderedPageBreak/>
        <w:t>Mean Change from Baseline in BCVA</w:t>
      </w:r>
    </w:p>
    <w:p w:rsidR="00E760A9" w:rsidRDefault="00E760A9">
      <w:pPr>
        <w:jc w:val="both"/>
      </w:pPr>
      <w:r>
        <w:t xml:space="preserve">In </w:t>
      </w:r>
      <w:r w:rsidR="009A5BF1">
        <w:t>Study</w:t>
      </w:r>
      <w:r w:rsidR="00BE2467">
        <w:t xml:space="preserve"> RVO</w:t>
      </w:r>
      <w:r w:rsidR="00185081">
        <w:t>3</w:t>
      </w:r>
      <w:r>
        <w:t xml:space="preserve">, the mean changes from baseline BCVA in the study eye peaked at day 60, and </w:t>
      </w:r>
      <w:r w:rsidRPr="00AA3547">
        <w:t>were significantly greater</w:t>
      </w:r>
      <w:r>
        <w:t xml:space="preserve"> with OZUR</w:t>
      </w:r>
      <w:r w:rsidRPr="00156737">
        <w:t>DEX</w:t>
      </w:r>
      <w:r w:rsidRPr="007C1809">
        <w:rPr>
          <w:vertAlign w:val="superscript"/>
        </w:rPr>
        <w:t>®</w:t>
      </w:r>
      <w:r>
        <w:rPr>
          <w:vertAlign w:val="superscript"/>
        </w:rPr>
        <w:t xml:space="preserve"> </w:t>
      </w:r>
      <w:r>
        <w:t>compared to Sham at initial treatment days 30, 60, and 90 (</w:t>
      </w:r>
      <w:r w:rsidRPr="002C1608">
        <w:t>p &lt; 0.001</w:t>
      </w:r>
      <w:r>
        <w:t>)</w:t>
      </w:r>
      <w:r w:rsidR="00C75ED9">
        <w:t xml:space="preserve"> (see Table 2).</w:t>
      </w:r>
      <w:r>
        <w:t xml:space="preserve"> </w:t>
      </w:r>
    </w:p>
    <w:p w:rsidR="00BE2467" w:rsidRPr="00260309" w:rsidRDefault="00BE2467">
      <w:pPr>
        <w:jc w:val="both"/>
        <w:rPr>
          <w:u w:val="single"/>
        </w:rPr>
      </w:pPr>
    </w:p>
    <w:p w:rsidR="00E760A9" w:rsidRPr="00156737" w:rsidRDefault="00E760A9">
      <w:pPr>
        <w:jc w:val="both"/>
      </w:pPr>
      <w:r w:rsidRPr="00156737">
        <w:t xml:space="preserve">For the pooled analysis of </w:t>
      </w:r>
      <w:r>
        <w:t xml:space="preserve">Studies </w:t>
      </w:r>
      <w:r w:rsidR="00BE2467">
        <w:t>RVO1 and RVO</w:t>
      </w:r>
      <w:r w:rsidR="00185081">
        <w:t>2</w:t>
      </w:r>
      <w:r w:rsidRPr="00156737">
        <w:t xml:space="preserve">, the mean change from baseline BCVA was significantly greater with </w:t>
      </w:r>
      <w:r>
        <w:t>OZUR</w:t>
      </w:r>
      <w:r w:rsidRPr="00156737">
        <w:t>DEX</w:t>
      </w:r>
      <w:r w:rsidRPr="007C1809">
        <w:rPr>
          <w:vertAlign w:val="superscript"/>
        </w:rPr>
        <w:t>®</w:t>
      </w:r>
      <w:r w:rsidRPr="00156737">
        <w:t xml:space="preserve"> compared to </w:t>
      </w:r>
      <w:r>
        <w:t>S</w:t>
      </w:r>
      <w:r w:rsidRPr="00156737">
        <w:t xml:space="preserve">ham </w:t>
      </w:r>
      <w:r w:rsidR="00C75ED9">
        <w:t xml:space="preserve">at </w:t>
      </w:r>
      <w:r w:rsidRPr="00156737">
        <w:t>day</w:t>
      </w:r>
      <w:r>
        <w:t>s</w:t>
      </w:r>
      <w:r w:rsidRPr="00156737">
        <w:t xml:space="preserve"> 30, 60, 90, and 180</w:t>
      </w:r>
      <w:r>
        <w:t xml:space="preserve"> </w:t>
      </w:r>
      <w:r w:rsidRPr="00156737">
        <w:t xml:space="preserve">(see Table </w:t>
      </w:r>
      <w:r w:rsidR="003727B5">
        <w:t>2</w:t>
      </w:r>
      <w:r w:rsidRPr="00156737">
        <w:t xml:space="preserve">).  The magnitude of improvement peaked at day 60 with nearly 10 letters with </w:t>
      </w:r>
      <w:r>
        <w:t>OZURDEX</w:t>
      </w:r>
      <w:r w:rsidRPr="00A25C6C">
        <w:rPr>
          <w:vertAlign w:val="superscript"/>
        </w:rPr>
        <w:t>®</w:t>
      </w:r>
      <w:r>
        <w:t xml:space="preserve"> </w:t>
      </w:r>
      <w:r w:rsidRPr="00156737">
        <w:t>compared to approxi</w:t>
      </w:r>
      <w:r>
        <w:t>mately 3 letters with S</w:t>
      </w:r>
      <w:r w:rsidRPr="00156737">
        <w:t xml:space="preserve">ham.  At day 90, improvements of more than 7 letters increase were maintained with </w:t>
      </w:r>
      <w:r>
        <w:t>OZUR</w:t>
      </w:r>
      <w:r w:rsidRPr="00156737">
        <w:t>DEX</w:t>
      </w:r>
      <w:r w:rsidRPr="007C1809">
        <w:rPr>
          <w:vertAlign w:val="superscript"/>
        </w:rPr>
        <w:t>®</w:t>
      </w:r>
      <w:r w:rsidRPr="00156737">
        <w:t> compared to the nearly constant change to</w:t>
      </w:r>
      <w:r>
        <w:t xml:space="preserve"> 3 letters at every visit with Sham</w:t>
      </w:r>
      <w:r w:rsidRPr="00156737">
        <w:t>.</w:t>
      </w:r>
      <w:r>
        <w:t xml:space="preserve"> </w:t>
      </w:r>
    </w:p>
    <w:p w:rsidR="00E760A9" w:rsidRDefault="00E760A9" w:rsidP="00594B3D">
      <w:pPr>
        <w:pStyle w:val="Caption"/>
        <w:ind w:left="1440" w:hanging="1440"/>
        <w:jc w:val="center"/>
        <w:rPr>
          <w:sz w:val="20"/>
        </w:rPr>
      </w:pPr>
      <w:r w:rsidRPr="00975F8B">
        <w:rPr>
          <w:sz w:val="20"/>
        </w:rPr>
        <w:t xml:space="preserve">Table </w:t>
      </w:r>
      <w:r w:rsidR="003727B5">
        <w:rPr>
          <w:sz w:val="20"/>
        </w:rPr>
        <w:t>2</w:t>
      </w:r>
      <w:r w:rsidR="00594B3D">
        <w:rPr>
          <w:sz w:val="20"/>
        </w:rPr>
        <w:t xml:space="preserve"> </w:t>
      </w:r>
      <w:r w:rsidRPr="00975F8B">
        <w:rPr>
          <w:sz w:val="20"/>
        </w:rPr>
        <w:t xml:space="preserve">Mean Change from Baseline in </w:t>
      </w:r>
      <w:r w:rsidR="004960E3">
        <w:rPr>
          <w:sz w:val="20"/>
        </w:rPr>
        <w:t xml:space="preserve">BCVA </w:t>
      </w:r>
      <w:r w:rsidRPr="00975F8B">
        <w:rPr>
          <w:sz w:val="20"/>
        </w:rPr>
        <w:t>in the Study Eye (</w:t>
      </w:r>
      <w:r w:rsidRPr="004B4658">
        <w:rPr>
          <w:sz w:val="20"/>
        </w:rPr>
        <w:t>Study </w:t>
      </w:r>
      <w:r w:rsidR="00185081">
        <w:rPr>
          <w:sz w:val="20"/>
        </w:rPr>
        <w:t>RVO 3</w:t>
      </w:r>
      <w:r w:rsidRPr="00975F8B">
        <w:rPr>
          <w:sz w:val="20"/>
        </w:rPr>
        <w:t xml:space="preserve">, </w:t>
      </w:r>
      <w:proofErr w:type="spellStart"/>
      <w:r w:rsidRPr="00975F8B">
        <w:rPr>
          <w:sz w:val="20"/>
        </w:rPr>
        <w:t>mITT</w:t>
      </w:r>
      <w:proofErr w:type="spellEnd"/>
      <w:r w:rsidR="00620437">
        <w:rPr>
          <w:sz w:val="20"/>
        </w:rPr>
        <w:t>*</w:t>
      </w:r>
      <w:r w:rsidRPr="00975F8B">
        <w:rPr>
          <w:sz w:val="20"/>
        </w:rPr>
        <w:t xml:space="preserve"> Population; </w:t>
      </w:r>
      <w:r w:rsidRPr="004B4658">
        <w:rPr>
          <w:sz w:val="20"/>
        </w:rPr>
        <w:t xml:space="preserve">Studies </w:t>
      </w:r>
      <w:r w:rsidR="00185081">
        <w:rPr>
          <w:sz w:val="20"/>
        </w:rPr>
        <w:t>RVO 1</w:t>
      </w:r>
      <w:r w:rsidRPr="004B4658">
        <w:rPr>
          <w:sz w:val="20"/>
        </w:rPr>
        <w:t xml:space="preserve"> and </w:t>
      </w:r>
      <w:r w:rsidR="00185081">
        <w:rPr>
          <w:sz w:val="20"/>
        </w:rPr>
        <w:t>RVO 2</w:t>
      </w:r>
      <w:r w:rsidRPr="00975F8B">
        <w:rPr>
          <w:sz w:val="20"/>
        </w:rPr>
        <w:t>, ITT Population)</w:t>
      </w:r>
    </w:p>
    <w:tbl>
      <w:tblPr>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1844"/>
        <w:gridCol w:w="1679"/>
        <w:gridCol w:w="1975"/>
        <w:gridCol w:w="2073"/>
      </w:tblGrid>
      <w:tr w:rsidR="000A50CF" w:rsidRPr="00156737" w:rsidTr="000A50CF">
        <w:trPr>
          <w:trHeight w:val="290"/>
        </w:trPr>
        <w:tc>
          <w:tcPr>
            <w:tcW w:w="1434" w:type="dxa"/>
            <w:tcBorders>
              <w:bottom w:val="nil"/>
            </w:tcBorders>
          </w:tcPr>
          <w:p w:rsidR="000A50CF" w:rsidRPr="00156737" w:rsidRDefault="000A50CF" w:rsidP="0011125A">
            <w:pPr>
              <w:pStyle w:val="TableHeadingsSmall"/>
              <w:jc w:val="both"/>
            </w:pPr>
          </w:p>
        </w:tc>
        <w:tc>
          <w:tcPr>
            <w:tcW w:w="3523" w:type="dxa"/>
            <w:gridSpan w:val="2"/>
            <w:tcBorders>
              <w:bottom w:val="nil"/>
            </w:tcBorders>
          </w:tcPr>
          <w:p w:rsidR="000A50CF" w:rsidRPr="00156737" w:rsidRDefault="000A50CF" w:rsidP="0011125A">
            <w:pPr>
              <w:pStyle w:val="TableHeadingsSmall"/>
            </w:pPr>
            <w:r w:rsidRPr="00156737">
              <w:t xml:space="preserve">Pooled </w:t>
            </w:r>
            <w:r w:rsidRPr="004B4658">
              <w:t xml:space="preserve">Studies </w:t>
            </w:r>
            <w:r>
              <w:t>RVO 1</w:t>
            </w:r>
            <w:r w:rsidRPr="004B4658">
              <w:t xml:space="preserve"> and </w:t>
            </w:r>
            <w:r>
              <w:t>RVO 2</w:t>
            </w:r>
          </w:p>
        </w:tc>
        <w:tc>
          <w:tcPr>
            <w:tcW w:w="4048" w:type="dxa"/>
            <w:gridSpan w:val="2"/>
            <w:tcBorders>
              <w:bottom w:val="nil"/>
            </w:tcBorders>
          </w:tcPr>
          <w:p w:rsidR="000A50CF" w:rsidRPr="00156737" w:rsidRDefault="000A50CF" w:rsidP="0011125A">
            <w:pPr>
              <w:pStyle w:val="TableHeadingsSmall"/>
            </w:pPr>
            <w:r w:rsidRPr="004B4658">
              <w:t xml:space="preserve">Study </w:t>
            </w:r>
            <w:r>
              <w:t>RVO 3</w:t>
            </w:r>
          </w:p>
        </w:tc>
      </w:tr>
      <w:tr w:rsidR="000A50CF" w:rsidRPr="00156737" w:rsidTr="000A50CF">
        <w:trPr>
          <w:trHeight w:val="20"/>
        </w:trPr>
        <w:tc>
          <w:tcPr>
            <w:tcW w:w="1434" w:type="dxa"/>
            <w:tcBorders>
              <w:top w:val="nil"/>
            </w:tcBorders>
          </w:tcPr>
          <w:p w:rsidR="000A50CF" w:rsidRPr="00156737" w:rsidRDefault="000A50CF" w:rsidP="0011125A">
            <w:pPr>
              <w:pStyle w:val="TableHeadingsSmall"/>
            </w:pPr>
            <w:r>
              <w:br/>
            </w:r>
            <w:r w:rsidRPr="00156737">
              <w:t>Visit</w:t>
            </w:r>
          </w:p>
        </w:tc>
        <w:tc>
          <w:tcPr>
            <w:tcW w:w="1844" w:type="dxa"/>
            <w:tcBorders>
              <w:top w:val="nil"/>
              <w:right w:val="nil"/>
            </w:tcBorders>
          </w:tcPr>
          <w:p w:rsidR="000A50CF" w:rsidRPr="002634EF" w:rsidRDefault="000A50CF" w:rsidP="0011125A">
            <w:pPr>
              <w:pStyle w:val="TableHeadingsSmall"/>
            </w:pPr>
            <w:r>
              <w:t>OZURDEX</w:t>
            </w:r>
            <w:r w:rsidRPr="00652E0A">
              <w:rPr>
                <w:vertAlign w:val="superscript"/>
              </w:rPr>
              <w:t>®</w:t>
            </w:r>
            <w:r>
              <w:rPr>
                <w:vertAlign w:val="superscript"/>
              </w:rPr>
              <w:br/>
            </w:r>
            <w:r w:rsidRPr="00156737">
              <w:t>N = 226</w:t>
            </w:r>
          </w:p>
        </w:tc>
        <w:tc>
          <w:tcPr>
            <w:tcW w:w="1678" w:type="dxa"/>
            <w:tcBorders>
              <w:top w:val="nil"/>
              <w:left w:val="nil"/>
            </w:tcBorders>
          </w:tcPr>
          <w:p w:rsidR="000A50CF" w:rsidRPr="00156737" w:rsidRDefault="000A50CF" w:rsidP="0011125A">
            <w:pPr>
              <w:pStyle w:val="TableHeadingsSmall"/>
            </w:pPr>
            <w:r w:rsidRPr="00156737">
              <w:t xml:space="preserve">Sham </w:t>
            </w:r>
            <w:r>
              <w:br/>
            </w:r>
            <w:r w:rsidRPr="00156737">
              <w:t>N = 224</w:t>
            </w:r>
          </w:p>
        </w:tc>
        <w:tc>
          <w:tcPr>
            <w:tcW w:w="1975" w:type="dxa"/>
            <w:tcBorders>
              <w:top w:val="nil"/>
              <w:right w:val="nil"/>
            </w:tcBorders>
          </w:tcPr>
          <w:p w:rsidR="000A50CF" w:rsidRPr="00156737" w:rsidRDefault="000A50CF" w:rsidP="0011125A">
            <w:pPr>
              <w:pStyle w:val="TableHeadingsSmall"/>
            </w:pPr>
            <w:r>
              <w:t>OZURDEX</w:t>
            </w:r>
            <w:r w:rsidRPr="00652E0A">
              <w:rPr>
                <w:vertAlign w:val="superscript"/>
              </w:rPr>
              <w:t>®</w:t>
            </w:r>
            <w:r>
              <w:rPr>
                <w:vertAlign w:val="superscript"/>
              </w:rPr>
              <w:br/>
            </w:r>
            <w:r>
              <w:t>N = 129</w:t>
            </w:r>
          </w:p>
        </w:tc>
        <w:tc>
          <w:tcPr>
            <w:tcW w:w="2073" w:type="dxa"/>
            <w:tcBorders>
              <w:top w:val="nil"/>
              <w:left w:val="nil"/>
            </w:tcBorders>
          </w:tcPr>
          <w:p w:rsidR="000A50CF" w:rsidRPr="00156737" w:rsidRDefault="000A50CF" w:rsidP="0011125A">
            <w:pPr>
              <w:pStyle w:val="TableHeadingsSmall"/>
            </w:pPr>
            <w:r w:rsidRPr="00156737">
              <w:t>Sham</w:t>
            </w:r>
            <w:r>
              <w:br/>
              <w:t>N = 130</w:t>
            </w:r>
          </w:p>
        </w:tc>
      </w:tr>
      <w:tr w:rsidR="000A50CF" w:rsidRPr="00156737" w:rsidTr="000A50CF">
        <w:trPr>
          <w:trHeight w:val="227"/>
        </w:trPr>
        <w:tc>
          <w:tcPr>
            <w:tcW w:w="1434" w:type="dxa"/>
          </w:tcPr>
          <w:p w:rsidR="000A50CF" w:rsidRPr="00156737" w:rsidRDefault="000A50CF" w:rsidP="0011125A">
            <w:pPr>
              <w:pStyle w:val="TableHeadingsSmall"/>
            </w:pPr>
            <w:r w:rsidRPr="00156737">
              <w:t>Day 30</w:t>
            </w:r>
          </w:p>
        </w:tc>
        <w:tc>
          <w:tcPr>
            <w:tcW w:w="1844" w:type="dxa"/>
            <w:tcBorders>
              <w:right w:val="nil"/>
            </w:tcBorders>
          </w:tcPr>
          <w:p w:rsidR="000A50CF" w:rsidRPr="002634EF" w:rsidRDefault="000A50CF" w:rsidP="0011125A">
            <w:pPr>
              <w:pStyle w:val="TableText10pt"/>
              <w:jc w:val="center"/>
              <w:rPr>
                <w:vertAlign w:val="superscript"/>
              </w:rPr>
            </w:pPr>
            <w:r w:rsidRPr="00156737">
              <w:t>8.1</w:t>
            </w:r>
            <w:r w:rsidRPr="00156737">
              <w:rPr>
                <w:sz w:val="24"/>
                <w:vertAlign w:val="superscript"/>
              </w:rPr>
              <w:t>a</w:t>
            </w:r>
          </w:p>
        </w:tc>
        <w:tc>
          <w:tcPr>
            <w:tcW w:w="1678" w:type="dxa"/>
            <w:tcBorders>
              <w:left w:val="nil"/>
            </w:tcBorders>
          </w:tcPr>
          <w:p w:rsidR="000A50CF" w:rsidRPr="00156737" w:rsidRDefault="000A50CF" w:rsidP="0011125A">
            <w:pPr>
              <w:pStyle w:val="TableText10pt"/>
              <w:jc w:val="center"/>
            </w:pPr>
            <w:r w:rsidRPr="00156737">
              <w:t>2.6</w:t>
            </w:r>
          </w:p>
        </w:tc>
        <w:tc>
          <w:tcPr>
            <w:tcW w:w="1975" w:type="dxa"/>
            <w:tcBorders>
              <w:right w:val="nil"/>
            </w:tcBorders>
          </w:tcPr>
          <w:p w:rsidR="000A50CF" w:rsidRPr="00156737" w:rsidRDefault="000A50CF" w:rsidP="0011125A">
            <w:pPr>
              <w:pStyle w:val="TableText10pt"/>
              <w:jc w:val="center"/>
            </w:pPr>
            <w:r>
              <w:t>9.1</w:t>
            </w:r>
            <w:r>
              <w:rPr>
                <w:vertAlign w:val="superscript"/>
              </w:rPr>
              <w:t>a</w:t>
            </w:r>
          </w:p>
        </w:tc>
        <w:tc>
          <w:tcPr>
            <w:tcW w:w="2073" w:type="dxa"/>
            <w:tcBorders>
              <w:left w:val="nil"/>
            </w:tcBorders>
          </w:tcPr>
          <w:p w:rsidR="000A50CF" w:rsidRPr="00156737" w:rsidRDefault="000A50CF" w:rsidP="0011125A">
            <w:pPr>
              <w:pStyle w:val="TableText10pt"/>
              <w:jc w:val="center"/>
            </w:pPr>
            <w:r>
              <w:t>2.0</w:t>
            </w:r>
          </w:p>
        </w:tc>
      </w:tr>
      <w:tr w:rsidR="000A50CF" w:rsidRPr="00156737" w:rsidTr="000A50CF">
        <w:trPr>
          <w:trHeight w:val="227"/>
        </w:trPr>
        <w:tc>
          <w:tcPr>
            <w:tcW w:w="1434" w:type="dxa"/>
          </w:tcPr>
          <w:p w:rsidR="000A50CF" w:rsidRPr="00156737" w:rsidRDefault="000A50CF" w:rsidP="0011125A">
            <w:pPr>
              <w:pStyle w:val="TableHeadingsSmall"/>
            </w:pPr>
            <w:r w:rsidRPr="00156737">
              <w:t>Day 60</w:t>
            </w:r>
          </w:p>
        </w:tc>
        <w:tc>
          <w:tcPr>
            <w:tcW w:w="1844" w:type="dxa"/>
            <w:tcBorders>
              <w:right w:val="nil"/>
            </w:tcBorders>
          </w:tcPr>
          <w:p w:rsidR="000A50CF" w:rsidRPr="00156737" w:rsidRDefault="000A50CF" w:rsidP="0011125A">
            <w:pPr>
              <w:pStyle w:val="TableText10pt"/>
              <w:jc w:val="center"/>
            </w:pPr>
            <w:r w:rsidRPr="00156737">
              <w:t>9.8</w:t>
            </w:r>
            <w:r w:rsidRPr="00156737">
              <w:rPr>
                <w:sz w:val="24"/>
                <w:vertAlign w:val="superscript"/>
              </w:rPr>
              <w:t>a</w:t>
            </w:r>
          </w:p>
        </w:tc>
        <w:tc>
          <w:tcPr>
            <w:tcW w:w="1678" w:type="dxa"/>
            <w:tcBorders>
              <w:left w:val="nil"/>
            </w:tcBorders>
          </w:tcPr>
          <w:p w:rsidR="000A50CF" w:rsidRPr="00156737" w:rsidRDefault="000A50CF" w:rsidP="0011125A">
            <w:pPr>
              <w:pStyle w:val="TableText10pt"/>
              <w:jc w:val="center"/>
            </w:pPr>
            <w:r w:rsidRPr="00156737">
              <w:t>3.1</w:t>
            </w:r>
          </w:p>
        </w:tc>
        <w:tc>
          <w:tcPr>
            <w:tcW w:w="1975" w:type="dxa"/>
            <w:tcBorders>
              <w:right w:val="nil"/>
            </w:tcBorders>
          </w:tcPr>
          <w:p w:rsidR="000A50CF" w:rsidRPr="00156737" w:rsidRDefault="000A50CF" w:rsidP="0011125A">
            <w:pPr>
              <w:pStyle w:val="TableText10pt"/>
              <w:jc w:val="center"/>
            </w:pPr>
            <w:r>
              <w:t>10.6</w:t>
            </w:r>
            <w:r w:rsidRPr="002634EF">
              <w:rPr>
                <w:vertAlign w:val="superscript"/>
              </w:rPr>
              <w:t>a</w:t>
            </w:r>
          </w:p>
        </w:tc>
        <w:tc>
          <w:tcPr>
            <w:tcW w:w="2073" w:type="dxa"/>
            <w:tcBorders>
              <w:left w:val="nil"/>
            </w:tcBorders>
          </w:tcPr>
          <w:p w:rsidR="000A50CF" w:rsidRPr="00156737" w:rsidRDefault="000A50CF" w:rsidP="0011125A">
            <w:pPr>
              <w:pStyle w:val="TableText10pt"/>
              <w:jc w:val="center"/>
            </w:pPr>
            <w:r>
              <w:t>1.7</w:t>
            </w:r>
          </w:p>
        </w:tc>
      </w:tr>
      <w:tr w:rsidR="000A50CF" w:rsidRPr="00156737" w:rsidTr="000A50CF">
        <w:trPr>
          <w:trHeight w:val="227"/>
        </w:trPr>
        <w:tc>
          <w:tcPr>
            <w:tcW w:w="1434" w:type="dxa"/>
          </w:tcPr>
          <w:p w:rsidR="000A50CF" w:rsidRPr="00156737" w:rsidRDefault="000A50CF" w:rsidP="0011125A">
            <w:pPr>
              <w:pStyle w:val="TableHeadingsSmall"/>
            </w:pPr>
            <w:r w:rsidRPr="00156737">
              <w:t>Day 90</w:t>
            </w:r>
          </w:p>
        </w:tc>
        <w:tc>
          <w:tcPr>
            <w:tcW w:w="1844" w:type="dxa"/>
            <w:tcBorders>
              <w:right w:val="nil"/>
            </w:tcBorders>
          </w:tcPr>
          <w:p w:rsidR="000A50CF" w:rsidRPr="002634EF" w:rsidRDefault="000A50CF" w:rsidP="0011125A">
            <w:pPr>
              <w:pStyle w:val="TableText10pt"/>
              <w:jc w:val="center"/>
            </w:pPr>
            <w:r w:rsidRPr="00156737">
              <w:t>7.2</w:t>
            </w:r>
            <w:r w:rsidRPr="00156737">
              <w:rPr>
                <w:sz w:val="24"/>
                <w:vertAlign w:val="superscript"/>
              </w:rPr>
              <w:t>a</w:t>
            </w:r>
          </w:p>
        </w:tc>
        <w:tc>
          <w:tcPr>
            <w:tcW w:w="1678" w:type="dxa"/>
            <w:tcBorders>
              <w:left w:val="nil"/>
            </w:tcBorders>
          </w:tcPr>
          <w:p w:rsidR="000A50CF" w:rsidRPr="002634EF" w:rsidRDefault="000A50CF" w:rsidP="0011125A">
            <w:pPr>
              <w:pStyle w:val="TableText10pt"/>
              <w:jc w:val="center"/>
            </w:pPr>
            <w:r w:rsidRPr="00156737">
              <w:t>3.2</w:t>
            </w:r>
          </w:p>
        </w:tc>
        <w:tc>
          <w:tcPr>
            <w:tcW w:w="1975" w:type="dxa"/>
            <w:tcBorders>
              <w:right w:val="nil"/>
            </w:tcBorders>
          </w:tcPr>
          <w:p w:rsidR="000A50CF" w:rsidRPr="00156737" w:rsidRDefault="000A50CF" w:rsidP="0011125A">
            <w:pPr>
              <w:pStyle w:val="TableText10pt"/>
              <w:jc w:val="center"/>
            </w:pPr>
            <w:r w:rsidRPr="002634EF">
              <w:t>7.7</w:t>
            </w:r>
            <w:r w:rsidRPr="002634EF">
              <w:rPr>
                <w:vertAlign w:val="superscript"/>
              </w:rPr>
              <w:t>a</w:t>
            </w:r>
          </w:p>
        </w:tc>
        <w:tc>
          <w:tcPr>
            <w:tcW w:w="2073" w:type="dxa"/>
            <w:tcBorders>
              <w:left w:val="nil"/>
            </w:tcBorders>
          </w:tcPr>
          <w:p w:rsidR="000A50CF" w:rsidRPr="00156737" w:rsidRDefault="000A50CF" w:rsidP="0011125A">
            <w:pPr>
              <w:pStyle w:val="TableText10pt"/>
              <w:jc w:val="center"/>
            </w:pPr>
            <w:r w:rsidRPr="002634EF">
              <w:t>1.8</w:t>
            </w:r>
          </w:p>
        </w:tc>
      </w:tr>
      <w:tr w:rsidR="000A50CF" w:rsidRPr="00156737" w:rsidTr="000A50CF">
        <w:trPr>
          <w:trHeight w:val="227"/>
        </w:trPr>
        <w:tc>
          <w:tcPr>
            <w:tcW w:w="1434" w:type="dxa"/>
          </w:tcPr>
          <w:p w:rsidR="000A50CF" w:rsidRPr="00156737" w:rsidRDefault="000A50CF" w:rsidP="0011125A">
            <w:pPr>
              <w:pStyle w:val="TableHeadingsSmall"/>
            </w:pPr>
            <w:r w:rsidRPr="00156737">
              <w:t>Day 180</w:t>
            </w:r>
          </w:p>
        </w:tc>
        <w:tc>
          <w:tcPr>
            <w:tcW w:w="1844" w:type="dxa"/>
            <w:tcBorders>
              <w:right w:val="nil"/>
            </w:tcBorders>
          </w:tcPr>
          <w:p w:rsidR="000A50CF" w:rsidRPr="00156737" w:rsidRDefault="000A50CF" w:rsidP="0011125A">
            <w:pPr>
              <w:pStyle w:val="TableText10pt"/>
              <w:jc w:val="center"/>
            </w:pPr>
            <w:r w:rsidRPr="00156737">
              <w:t>5.1</w:t>
            </w:r>
            <w:r>
              <w:rPr>
                <w:sz w:val="24"/>
                <w:vertAlign w:val="superscript"/>
              </w:rPr>
              <w:t>b</w:t>
            </w:r>
          </w:p>
        </w:tc>
        <w:tc>
          <w:tcPr>
            <w:tcW w:w="1678" w:type="dxa"/>
            <w:tcBorders>
              <w:left w:val="nil"/>
            </w:tcBorders>
          </w:tcPr>
          <w:p w:rsidR="000A50CF" w:rsidRPr="00156737" w:rsidRDefault="000A50CF" w:rsidP="0011125A">
            <w:pPr>
              <w:pStyle w:val="TableText10pt"/>
              <w:jc w:val="center"/>
            </w:pPr>
            <w:r w:rsidRPr="00156737">
              <w:t>2.6</w:t>
            </w:r>
          </w:p>
        </w:tc>
        <w:tc>
          <w:tcPr>
            <w:tcW w:w="1975" w:type="dxa"/>
            <w:tcBorders>
              <w:right w:val="nil"/>
            </w:tcBorders>
          </w:tcPr>
          <w:p w:rsidR="000A50CF" w:rsidRPr="00156737" w:rsidRDefault="000A50CF" w:rsidP="0011125A">
            <w:pPr>
              <w:pStyle w:val="TableText10pt"/>
              <w:jc w:val="center"/>
            </w:pPr>
            <w:r>
              <w:t>3.2</w:t>
            </w:r>
          </w:p>
        </w:tc>
        <w:tc>
          <w:tcPr>
            <w:tcW w:w="2073" w:type="dxa"/>
            <w:tcBorders>
              <w:left w:val="nil"/>
            </w:tcBorders>
          </w:tcPr>
          <w:p w:rsidR="000A50CF" w:rsidRPr="00156737" w:rsidRDefault="000A50CF" w:rsidP="0011125A">
            <w:pPr>
              <w:pStyle w:val="TableText10pt"/>
              <w:jc w:val="center"/>
            </w:pPr>
            <w:r>
              <w:t>4.0</w:t>
            </w:r>
          </w:p>
        </w:tc>
      </w:tr>
    </w:tbl>
    <w:p w:rsidR="00E760A9" w:rsidRPr="00975F8B" w:rsidRDefault="00620437" w:rsidP="00594B3D">
      <w:pPr>
        <w:pStyle w:val="TableFootnote"/>
        <w:jc w:val="both"/>
        <w:rPr>
          <w:kern w:val="0"/>
          <w:sz w:val="18"/>
          <w:szCs w:val="18"/>
          <w:lang w:eastAsia="en-US"/>
        </w:rPr>
      </w:pPr>
      <w:r>
        <w:rPr>
          <w:kern w:val="0"/>
          <w:sz w:val="18"/>
          <w:szCs w:val="18"/>
          <w:lang w:eastAsia="en-US"/>
        </w:rPr>
        <w:tab/>
        <w:t xml:space="preserve">a </w:t>
      </w:r>
      <w:r w:rsidR="00E760A9" w:rsidRPr="00975F8B">
        <w:rPr>
          <w:kern w:val="0"/>
          <w:sz w:val="18"/>
          <w:szCs w:val="18"/>
          <w:lang w:eastAsia="en-US"/>
        </w:rPr>
        <w:t xml:space="preserve">Mean change from baseline significantly greater with </w:t>
      </w:r>
      <w:r w:rsidR="002E43E7">
        <w:t>OZURDEX</w:t>
      </w:r>
      <w:r w:rsidR="002E43E7" w:rsidRPr="00652E0A">
        <w:rPr>
          <w:vertAlign w:val="superscript"/>
        </w:rPr>
        <w:t>®</w:t>
      </w:r>
      <w:r w:rsidR="002E43E7">
        <w:t xml:space="preserve"> </w:t>
      </w:r>
      <w:r w:rsidR="000840F3">
        <w:rPr>
          <w:kern w:val="0"/>
          <w:sz w:val="18"/>
          <w:szCs w:val="18"/>
          <w:lang w:eastAsia="en-US"/>
        </w:rPr>
        <w:t>compared to S</w:t>
      </w:r>
      <w:r w:rsidR="00E760A9" w:rsidRPr="00975F8B">
        <w:rPr>
          <w:kern w:val="0"/>
          <w:sz w:val="18"/>
          <w:szCs w:val="18"/>
          <w:lang w:eastAsia="en-US"/>
        </w:rPr>
        <w:t>ham (p &lt; 0.001)</w:t>
      </w:r>
    </w:p>
    <w:p w:rsidR="00E760A9" w:rsidRPr="00975F8B" w:rsidRDefault="00620437" w:rsidP="00594B3D">
      <w:pPr>
        <w:pStyle w:val="TableFootnote"/>
        <w:jc w:val="both"/>
        <w:rPr>
          <w:kern w:val="0"/>
          <w:sz w:val="18"/>
          <w:szCs w:val="18"/>
          <w:lang w:eastAsia="en-US"/>
        </w:rPr>
      </w:pPr>
      <w:r>
        <w:rPr>
          <w:kern w:val="0"/>
          <w:sz w:val="18"/>
          <w:szCs w:val="18"/>
          <w:lang w:eastAsia="en-US"/>
        </w:rPr>
        <w:tab/>
        <w:t xml:space="preserve">b </w:t>
      </w:r>
      <w:r w:rsidR="00E760A9" w:rsidRPr="00975F8B">
        <w:rPr>
          <w:kern w:val="0"/>
          <w:sz w:val="18"/>
          <w:szCs w:val="18"/>
          <w:lang w:eastAsia="en-US"/>
        </w:rPr>
        <w:t xml:space="preserve">Mean change from baseline significantly greater with </w:t>
      </w:r>
      <w:r w:rsidR="002E43E7">
        <w:t>OZURDEX</w:t>
      </w:r>
      <w:r w:rsidR="002E43E7" w:rsidRPr="00652E0A">
        <w:rPr>
          <w:vertAlign w:val="superscript"/>
        </w:rPr>
        <w:t>®</w:t>
      </w:r>
      <w:r w:rsidR="000840F3">
        <w:rPr>
          <w:kern w:val="0"/>
          <w:sz w:val="18"/>
          <w:szCs w:val="18"/>
          <w:lang w:eastAsia="en-US"/>
        </w:rPr>
        <w:t xml:space="preserve"> compared to S</w:t>
      </w:r>
      <w:r w:rsidR="00E760A9" w:rsidRPr="00975F8B">
        <w:rPr>
          <w:kern w:val="0"/>
          <w:sz w:val="18"/>
          <w:szCs w:val="18"/>
          <w:lang w:eastAsia="en-US"/>
        </w:rPr>
        <w:t>ham (p = 0.006)</w:t>
      </w:r>
    </w:p>
    <w:p w:rsidR="00620437" w:rsidRPr="00FF2E84" w:rsidRDefault="00620437" w:rsidP="00620437">
      <w:pPr>
        <w:spacing w:line="300" w:lineRule="auto"/>
        <w:ind w:firstLine="360"/>
        <w:jc w:val="both"/>
        <w:rPr>
          <w:sz w:val="18"/>
          <w:szCs w:val="18"/>
          <w:u w:val="single"/>
        </w:rPr>
      </w:pPr>
      <w:r w:rsidRPr="00FF2E84">
        <w:rPr>
          <w:sz w:val="18"/>
          <w:szCs w:val="18"/>
          <w:u w:val="single"/>
        </w:rPr>
        <w:t xml:space="preserve">* </w:t>
      </w:r>
      <w:proofErr w:type="spellStart"/>
      <w:r w:rsidRPr="00FF2E84">
        <w:rPr>
          <w:sz w:val="18"/>
          <w:szCs w:val="18"/>
          <w:u w:val="single"/>
        </w:rPr>
        <w:t>mITT</w:t>
      </w:r>
      <w:proofErr w:type="spellEnd"/>
      <w:r w:rsidRPr="00FF2E84">
        <w:rPr>
          <w:sz w:val="18"/>
          <w:szCs w:val="18"/>
          <w:u w:val="single"/>
        </w:rPr>
        <w:t xml:space="preserve"> (modified intent-to-treat): all randomised and treated patients</w:t>
      </w:r>
    </w:p>
    <w:p w:rsidR="00E760A9" w:rsidRDefault="00E760A9" w:rsidP="00594B3D">
      <w:pPr>
        <w:jc w:val="both"/>
      </w:pPr>
    </w:p>
    <w:p w:rsidR="00E760A9" w:rsidRDefault="00E760A9" w:rsidP="00021737">
      <w:pPr>
        <w:pStyle w:val="NoSpacing"/>
        <w:keepNext/>
        <w:keepLines/>
        <w:jc w:val="both"/>
        <w:rPr>
          <w:u w:val="single"/>
        </w:rPr>
      </w:pPr>
      <w:r w:rsidRPr="00E34951">
        <w:rPr>
          <w:u w:val="single"/>
        </w:rPr>
        <w:t>Retinal Thickness in the Center Subfield using O</w:t>
      </w:r>
      <w:r>
        <w:rPr>
          <w:u w:val="single"/>
        </w:rPr>
        <w:t>CT</w:t>
      </w:r>
    </w:p>
    <w:p w:rsidR="00E760A9" w:rsidRDefault="004B4658" w:rsidP="00021737">
      <w:pPr>
        <w:jc w:val="both"/>
        <w:rPr>
          <w:szCs w:val="22"/>
        </w:rPr>
      </w:pPr>
      <w:r>
        <w:t xml:space="preserve">In </w:t>
      </w:r>
      <w:r w:rsidR="009A5BF1">
        <w:t>Study</w:t>
      </w:r>
      <w:r w:rsidR="00BE2467">
        <w:t xml:space="preserve"> RVO</w:t>
      </w:r>
      <w:r w:rsidR="00185081">
        <w:t>3</w:t>
      </w:r>
      <w:r w:rsidR="00E760A9">
        <w:t>, m</w:t>
      </w:r>
      <w:r w:rsidR="00E760A9" w:rsidRPr="00E36D70">
        <w:t xml:space="preserve">ean decreases in retinal thickness at the </w:t>
      </w:r>
      <w:proofErr w:type="spellStart"/>
      <w:r w:rsidR="00E760A9" w:rsidRPr="00E36D70">
        <w:t>center</w:t>
      </w:r>
      <w:proofErr w:type="spellEnd"/>
      <w:r w:rsidR="00E760A9" w:rsidRPr="00E36D70">
        <w:t xml:space="preserve"> subfield were </w:t>
      </w:r>
      <w:r w:rsidR="00E760A9">
        <w:t xml:space="preserve">significantly </w:t>
      </w:r>
      <w:r w:rsidR="00E760A9" w:rsidRPr="00E36D70">
        <w:t xml:space="preserve">greater with </w:t>
      </w:r>
      <w:r w:rsidR="00E760A9">
        <w:t>OZURDEX</w:t>
      </w:r>
      <w:r w:rsidR="00E760A9" w:rsidRPr="00E00F1C">
        <w:rPr>
          <w:vertAlign w:val="superscript"/>
        </w:rPr>
        <w:t>®</w:t>
      </w:r>
      <w:r w:rsidR="00E760A9">
        <w:rPr>
          <w:vertAlign w:val="superscript"/>
        </w:rPr>
        <w:t xml:space="preserve"> </w:t>
      </w:r>
      <w:r w:rsidR="00E760A9" w:rsidRPr="00E36D70">
        <w:t>than with Sham</w:t>
      </w:r>
      <w:r w:rsidR="00E760A9">
        <w:t xml:space="preserve"> at days 30, 60, and 90 (p &lt; 0.001), though </w:t>
      </w:r>
      <w:r>
        <w:t xml:space="preserve">not at day 180.  In the pooled </w:t>
      </w:r>
      <w:r w:rsidR="00BE2467">
        <w:t>RVO1 and RVO</w:t>
      </w:r>
      <w:r w:rsidR="00185081">
        <w:t>2 studies</w:t>
      </w:r>
      <w:r w:rsidR="00E760A9">
        <w:t xml:space="preserve">, the </w:t>
      </w:r>
      <w:r w:rsidR="00E760A9" w:rsidRPr="00584A11">
        <w:t>mean decrease in retinal thickness was significantly greater with</w:t>
      </w:r>
      <w:r w:rsidR="00E760A9">
        <w:t xml:space="preserve"> OZURDEX</w:t>
      </w:r>
      <w:r w:rsidR="00E760A9" w:rsidRPr="00E00F1C">
        <w:rPr>
          <w:vertAlign w:val="superscript"/>
        </w:rPr>
        <w:t>®</w:t>
      </w:r>
      <w:r w:rsidR="00E760A9">
        <w:rPr>
          <w:vertAlign w:val="superscript"/>
        </w:rPr>
        <w:t xml:space="preserve"> </w:t>
      </w:r>
      <w:r w:rsidR="00E760A9" w:rsidRPr="00584A11">
        <w:t>(</w:t>
      </w:r>
      <w:r w:rsidR="00E760A9" w:rsidRPr="00584A11">
        <w:noBreakHyphen/>
        <w:t xml:space="preserve">207.9 </w:t>
      </w:r>
      <w:r w:rsidR="004960E3">
        <w:t>µm</w:t>
      </w:r>
      <w:r w:rsidR="00E760A9" w:rsidRPr="00584A11">
        <w:t xml:space="preserve">) </w:t>
      </w:r>
      <w:r w:rsidR="00E760A9" w:rsidRPr="00E36D70">
        <w:t>than with Sham</w:t>
      </w:r>
      <w:r w:rsidR="00E760A9">
        <w:t xml:space="preserve"> </w:t>
      </w:r>
      <w:r w:rsidR="00E760A9" w:rsidRPr="00584A11">
        <w:t>(</w:t>
      </w:r>
      <w:r w:rsidR="00E760A9" w:rsidRPr="00584A11">
        <w:noBreakHyphen/>
        <w:t>95.0 </w:t>
      </w:r>
      <w:r w:rsidR="004960E3">
        <w:t>µm</w:t>
      </w:r>
      <w:r w:rsidR="00E760A9" w:rsidRPr="00584A11">
        <w:t xml:space="preserve">) at day 90 </w:t>
      </w:r>
      <w:r w:rsidR="00E760A9">
        <w:t>(</w:t>
      </w:r>
      <w:r w:rsidR="00E760A9" w:rsidRPr="00584A11">
        <w:t>p </w:t>
      </w:r>
      <w:r w:rsidR="00E760A9" w:rsidRPr="00584A11">
        <w:rPr>
          <w:sz w:val="22"/>
        </w:rPr>
        <w:t>&lt; </w:t>
      </w:r>
      <w:r w:rsidR="00E760A9" w:rsidRPr="00584A11">
        <w:t>0.001</w:t>
      </w:r>
      <w:r w:rsidR="00E760A9">
        <w:t>), though not at day 180.</w:t>
      </w:r>
    </w:p>
    <w:p w:rsidR="00675A83" w:rsidRDefault="00675A83" w:rsidP="00021737">
      <w:pPr>
        <w:jc w:val="both"/>
        <w:rPr>
          <w:szCs w:val="22"/>
        </w:rPr>
      </w:pPr>
    </w:p>
    <w:p w:rsidR="00331FF2" w:rsidRDefault="00E760A9" w:rsidP="00021737">
      <w:pPr>
        <w:jc w:val="both"/>
        <w:rPr>
          <w:b/>
          <w:szCs w:val="22"/>
          <w:u w:val="single"/>
        </w:rPr>
      </w:pPr>
      <w:r w:rsidRPr="00021737">
        <w:rPr>
          <w:b/>
          <w:szCs w:val="22"/>
          <w:u w:val="single"/>
        </w:rPr>
        <w:t>6-month Open-label Extension (</w:t>
      </w:r>
      <w:r w:rsidRPr="004B4658">
        <w:rPr>
          <w:b/>
          <w:szCs w:val="22"/>
          <w:u w:val="single"/>
        </w:rPr>
        <w:t xml:space="preserve">Studies </w:t>
      </w:r>
      <w:r w:rsidR="00BE2467">
        <w:rPr>
          <w:b/>
          <w:szCs w:val="22"/>
          <w:u w:val="single"/>
        </w:rPr>
        <w:t>RVO1 and RVO</w:t>
      </w:r>
      <w:r w:rsidR="00185081">
        <w:rPr>
          <w:b/>
          <w:szCs w:val="22"/>
          <w:u w:val="single"/>
        </w:rPr>
        <w:t>2</w:t>
      </w:r>
      <w:r w:rsidRPr="00021737">
        <w:rPr>
          <w:b/>
          <w:szCs w:val="22"/>
          <w:u w:val="single"/>
        </w:rPr>
        <w:t>)</w:t>
      </w:r>
    </w:p>
    <w:p w:rsidR="00C11A65" w:rsidRPr="00AC675D" w:rsidRDefault="00C11A65" w:rsidP="00021737">
      <w:pPr>
        <w:jc w:val="both"/>
        <w:rPr>
          <w:b/>
          <w:i/>
          <w:szCs w:val="22"/>
        </w:rPr>
      </w:pPr>
      <w:r w:rsidRPr="00AC675D">
        <w:rPr>
          <w:b/>
          <w:i/>
          <w:szCs w:val="22"/>
        </w:rPr>
        <w:t xml:space="preserve">Eligibility criteria for second injection: </w:t>
      </w:r>
    </w:p>
    <w:p w:rsidR="00E760A9" w:rsidRDefault="00C11A65" w:rsidP="00950CF5">
      <w:pPr>
        <w:jc w:val="both"/>
      </w:pPr>
      <w:r>
        <w:rPr>
          <w:szCs w:val="22"/>
        </w:rPr>
        <w:t>W</w:t>
      </w:r>
      <w:r w:rsidR="00675A83">
        <w:rPr>
          <w:szCs w:val="22"/>
        </w:rPr>
        <w:t>hile remaining masked of the initial randomi</w:t>
      </w:r>
      <w:r w:rsidR="006E14CE">
        <w:rPr>
          <w:szCs w:val="22"/>
        </w:rPr>
        <w:t>s</w:t>
      </w:r>
      <w:r w:rsidR="00675A83">
        <w:rPr>
          <w:szCs w:val="22"/>
        </w:rPr>
        <w:t>ed treatment</w:t>
      </w:r>
      <w:r>
        <w:rPr>
          <w:szCs w:val="22"/>
        </w:rPr>
        <w:t>, patients were eligible for an OZURDEX</w:t>
      </w:r>
      <w:r w:rsidR="006E14CE" w:rsidRPr="006E14CE">
        <w:rPr>
          <w:szCs w:val="22"/>
          <w:vertAlign w:val="superscript"/>
        </w:rPr>
        <w:t>®</w:t>
      </w:r>
      <w:r>
        <w:rPr>
          <w:szCs w:val="22"/>
        </w:rPr>
        <w:t xml:space="preserve"> treatment at day 180</w:t>
      </w:r>
      <w:r w:rsidR="00702A53">
        <w:rPr>
          <w:szCs w:val="22"/>
        </w:rPr>
        <w:t xml:space="preserve">if they </w:t>
      </w:r>
      <w:r w:rsidR="00E760A9" w:rsidRPr="00950754">
        <w:rPr>
          <w:szCs w:val="22"/>
        </w:rPr>
        <w:t xml:space="preserve">had a BCVA score of &lt;84 OR retinal thickness &gt; 250 </w:t>
      </w:r>
      <w:r w:rsidR="004960E3">
        <w:t>µm</w:t>
      </w:r>
      <w:r w:rsidR="00E760A9" w:rsidRPr="00950754">
        <w:rPr>
          <w:szCs w:val="22"/>
        </w:rPr>
        <w:t xml:space="preserve"> by OCT</w:t>
      </w:r>
      <w:r w:rsidR="007F2F5C">
        <w:rPr>
          <w:szCs w:val="22"/>
        </w:rPr>
        <w:t xml:space="preserve">. </w:t>
      </w:r>
      <w:r w:rsidR="00E760A9" w:rsidRPr="00950754">
        <w:t>98% received an OZURDEX</w:t>
      </w:r>
      <w:r w:rsidR="00E760A9" w:rsidRPr="00950754">
        <w:rPr>
          <w:szCs w:val="22"/>
          <w:vertAlign w:val="superscript"/>
        </w:rPr>
        <w:t>®</w:t>
      </w:r>
      <w:r w:rsidR="00E760A9" w:rsidRPr="00950754">
        <w:t xml:space="preserve"> injection between 5 and 7 months after the initial treatment.</w:t>
      </w:r>
      <w:r>
        <w:t xml:space="preserve"> </w:t>
      </w:r>
      <w:r w:rsidR="00950CF5">
        <w:t>Of the</w:t>
      </w:r>
      <w:r w:rsidR="009C5E90">
        <w:t xml:space="preserve"> 427 patients who received an initial treatment of OZURDEX</w:t>
      </w:r>
      <w:r w:rsidR="006E14CE" w:rsidRPr="006E14CE">
        <w:rPr>
          <w:vertAlign w:val="superscript"/>
        </w:rPr>
        <w:t>®</w:t>
      </w:r>
      <w:r w:rsidR="009C5E90">
        <w:t xml:space="preserve">, </w:t>
      </w:r>
      <w:r w:rsidR="00950CF5">
        <w:t xml:space="preserve">341 patients were retreated at day 180. </w:t>
      </w:r>
      <w:bookmarkStart w:id="24" w:name="here"/>
      <w:bookmarkEnd w:id="24"/>
    </w:p>
    <w:p w:rsidR="006A389B" w:rsidRPr="00950754" w:rsidRDefault="006A389B" w:rsidP="00021737">
      <w:pPr>
        <w:jc w:val="both"/>
        <w:rPr>
          <w:szCs w:val="22"/>
        </w:rPr>
      </w:pPr>
    </w:p>
    <w:p w:rsidR="006A389B" w:rsidRDefault="00702A53" w:rsidP="00021737">
      <w:pPr>
        <w:jc w:val="both"/>
        <w:rPr>
          <w:szCs w:val="22"/>
        </w:rPr>
      </w:pPr>
      <w:r>
        <w:rPr>
          <w:szCs w:val="22"/>
        </w:rPr>
        <w:t>P</w:t>
      </w:r>
      <w:r w:rsidR="00E760A9" w:rsidRPr="00950754">
        <w:rPr>
          <w:szCs w:val="22"/>
        </w:rPr>
        <w:t>eak</w:t>
      </w:r>
      <w:r>
        <w:rPr>
          <w:szCs w:val="22"/>
        </w:rPr>
        <w:t xml:space="preserve"> BCVA improvement</w:t>
      </w:r>
      <w:r w:rsidR="00E760A9" w:rsidRPr="00950754">
        <w:rPr>
          <w:szCs w:val="22"/>
        </w:rPr>
        <w:t xml:space="preserve"> was seen at Day 60 in the open</w:t>
      </w:r>
      <w:r w:rsidR="00BE2467">
        <w:rPr>
          <w:szCs w:val="22"/>
        </w:rPr>
        <w:t>-</w:t>
      </w:r>
      <w:r w:rsidR="00E760A9" w:rsidRPr="00950754">
        <w:rPr>
          <w:szCs w:val="22"/>
        </w:rPr>
        <w:t xml:space="preserve">label phase. </w:t>
      </w:r>
    </w:p>
    <w:p w:rsidR="006A389B" w:rsidRDefault="006A389B" w:rsidP="00021737">
      <w:pPr>
        <w:jc w:val="both"/>
        <w:rPr>
          <w:szCs w:val="22"/>
        </w:rPr>
      </w:pPr>
    </w:p>
    <w:p w:rsidR="00E760A9" w:rsidRPr="001C075B" w:rsidRDefault="00E760A9" w:rsidP="00021737">
      <w:pPr>
        <w:jc w:val="both"/>
        <w:rPr>
          <w:szCs w:val="22"/>
        </w:rPr>
      </w:pPr>
      <w:r w:rsidRPr="00950754">
        <w:rPr>
          <w:szCs w:val="22"/>
        </w:rPr>
        <w:t xml:space="preserve">The cumulative response rates </w:t>
      </w:r>
      <w:r w:rsidR="00702A53">
        <w:rPr>
          <w:szCs w:val="22"/>
        </w:rPr>
        <w:t>were higher throughout the open-</w:t>
      </w:r>
      <w:r w:rsidRPr="00950754">
        <w:rPr>
          <w:szCs w:val="22"/>
        </w:rPr>
        <w:t>label phase in those patients receiving two consecutive OZURDEX</w:t>
      </w:r>
      <w:r w:rsidRPr="00950754">
        <w:rPr>
          <w:szCs w:val="22"/>
          <w:vertAlign w:val="superscript"/>
        </w:rPr>
        <w:t>®</w:t>
      </w:r>
      <w:r w:rsidRPr="00950754">
        <w:rPr>
          <w:szCs w:val="22"/>
        </w:rPr>
        <w:t xml:space="preserve"> injections compared with those patients who had not received an OZURDEX</w:t>
      </w:r>
      <w:r w:rsidRPr="00950754">
        <w:rPr>
          <w:szCs w:val="22"/>
          <w:vertAlign w:val="superscript"/>
        </w:rPr>
        <w:t>®</w:t>
      </w:r>
      <w:r w:rsidRPr="00950754">
        <w:rPr>
          <w:szCs w:val="22"/>
        </w:rPr>
        <w:t xml:space="preserve"> injection in the initial phase.</w:t>
      </w:r>
      <w:r w:rsidR="006A389B">
        <w:rPr>
          <w:szCs w:val="22"/>
        </w:rPr>
        <w:t xml:space="preserve">  </w:t>
      </w:r>
      <w:r w:rsidRPr="00950754">
        <w:rPr>
          <w:szCs w:val="22"/>
        </w:rPr>
        <w:t>The proportion of responders at each time point was always greater after the second treatment compared with the first treatment</w:t>
      </w:r>
      <w:r w:rsidR="000B5C5A">
        <w:rPr>
          <w:szCs w:val="22"/>
        </w:rPr>
        <w:t xml:space="preserve">. </w:t>
      </w:r>
      <w:r w:rsidRPr="00950754">
        <w:rPr>
          <w:szCs w:val="22"/>
        </w:rPr>
        <w:t xml:space="preserve">Whereas, delaying treatment for 6 months (i.e. patients who received Sham as their first </w:t>
      </w:r>
      <w:r w:rsidRPr="00950754">
        <w:rPr>
          <w:szCs w:val="22"/>
        </w:rPr>
        <w:lastRenderedPageBreak/>
        <w:t>treatment) resulted in a lower proportion of responders at all timepoints in the open label phase when compared with those first receiving OZURDEX</w:t>
      </w:r>
      <w:r w:rsidRPr="00950754">
        <w:rPr>
          <w:szCs w:val="22"/>
          <w:vertAlign w:val="superscript"/>
        </w:rPr>
        <w:t>®</w:t>
      </w:r>
      <w:r w:rsidRPr="00950754">
        <w:rPr>
          <w:szCs w:val="22"/>
        </w:rPr>
        <w:t>.</w:t>
      </w:r>
    </w:p>
    <w:p w:rsidR="00452305" w:rsidRDefault="00452305" w:rsidP="00843810">
      <w:pPr>
        <w:pStyle w:val="NoSpacing"/>
        <w:jc w:val="both"/>
        <w:rPr>
          <w:b/>
        </w:rPr>
      </w:pPr>
    </w:p>
    <w:p w:rsidR="00257353" w:rsidRPr="00092EFE" w:rsidRDefault="00257353" w:rsidP="00843810">
      <w:pPr>
        <w:pStyle w:val="NoSpacing"/>
        <w:jc w:val="both"/>
        <w:rPr>
          <w:b/>
          <w:u w:val="single"/>
        </w:rPr>
      </w:pPr>
      <w:r w:rsidRPr="00092EFE">
        <w:rPr>
          <w:b/>
          <w:u w:val="single"/>
        </w:rPr>
        <w:t>Uveitis</w:t>
      </w:r>
    </w:p>
    <w:p w:rsidR="00257353" w:rsidRDefault="00257353" w:rsidP="00843810">
      <w:pPr>
        <w:pStyle w:val="NoSpacing"/>
        <w:jc w:val="both"/>
      </w:pPr>
      <w:r>
        <w:t>The clinical efficacy of OZURDEX</w:t>
      </w:r>
      <w:r w:rsidRPr="008B410C">
        <w:rPr>
          <w:vertAlign w:val="superscript"/>
        </w:rPr>
        <w:t>®</w:t>
      </w:r>
      <w:r>
        <w:t xml:space="preserve"> has been assessed in a single, </w:t>
      </w:r>
      <w:proofErr w:type="spellStart"/>
      <w:r>
        <w:t>multicentre</w:t>
      </w:r>
      <w:proofErr w:type="spellEnd"/>
      <w:r>
        <w:t xml:space="preserve">, masked, </w:t>
      </w:r>
      <w:proofErr w:type="spellStart"/>
      <w:r>
        <w:t>randomised</w:t>
      </w:r>
      <w:proofErr w:type="spellEnd"/>
      <w:r>
        <w:t xml:space="preserve"> </w:t>
      </w:r>
      <w:r w:rsidR="00021737">
        <w:t>P</w:t>
      </w:r>
      <w:r w:rsidR="009D5EC2">
        <w:t xml:space="preserve">hase 3 </w:t>
      </w:r>
      <w:r>
        <w:t xml:space="preserve">study for the treatment of </w:t>
      </w:r>
      <w:r w:rsidR="00CD07D6">
        <w:rPr>
          <w:rFonts w:ascii="Times" w:hAnsi="Times"/>
          <w:lang w:val="en-GB"/>
        </w:rPr>
        <w:t>n</w:t>
      </w:r>
      <w:r w:rsidR="00CD07D6" w:rsidRPr="00257353">
        <w:rPr>
          <w:rFonts w:ascii="Times" w:hAnsi="Times"/>
          <w:lang w:val="en-GB"/>
        </w:rPr>
        <w:t>on-infectious uveitis affecting the posterior segment of the eye</w:t>
      </w:r>
      <w:r>
        <w:t>.</w:t>
      </w:r>
      <w:r w:rsidR="00F81403">
        <w:t xml:space="preserve"> </w:t>
      </w:r>
      <w:r w:rsidR="00720949">
        <w:t>Study enrolment included m</w:t>
      </w:r>
      <w:r w:rsidR="00F81403" w:rsidRPr="00F81403">
        <w:t>ale or female</w:t>
      </w:r>
      <w:r w:rsidR="00720949">
        <w:t xml:space="preserve"> patients,</w:t>
      </w:r>
      <w:r w:rsidR="00F81403" w:rsidRPr="00F81403">
        <w:t xml:space="preserve"> at least 18 years of age, vitreous haze ≥+1.5 at both screening and b</w:t>
      </w:r>
      <w:r w:rsidR="00720949">
        <w:t>aseline visits in the study eye,</w:t>
      </w:r>
      <w:r w:rsidR="00F81403" w:rsidRPr="00F81403">
        <w:t xml:space="preserve"> BCVA in the study eye</w:t>
      </w:r>
      <w:r w:rsidR="00720949">
        <w:t xml:space="preserve"> of 10 to 75 letters using ETDRS method. </w:t>
      </w:r>
    </w:p>
    <w:p w:rsidR="00BE2467" w:rsidRDefault="00BE2467" w:rsidP="00843810">
      <w:pPr>
        <w:pStyle w:val="NoSpacing"/>
        <w:jc w:val="both"/>
      </w:pPr>
    </w:p>
    <w:p w:rsidR="00257353" w:rsidRDefault="00257353" w:rsidP="00843810">
      <w:pPr>
        <w:pStyle w:val="NoSpacing"/>
        <w:jc w:val="both"/>
      </w:pPr>
      <w:r>
        <w:t xml:space="preserve">A </w:t>
      </w:r>
      <w:r w:rsidR="009D5EC2">
        <w:t>total of 22</w:t>
      </w:r>
      <w:r w:rsidR="003B3A28">
        <w:t>9</w:t>
      </w:r>
      <w:r>
        <w:t xml:space="preserve"> patients were </w:t>
      </w:r>
      <w:proofErr w:type="spellStart"/>
      <w:r>
        <w:t>randomised</w:t>
      </w:r>
      <w:proofErr w:type="spellEnd"/>
      <w:r>
        <w:t xml:space="preserve"> to receive </w:t>
      </w:r>
      <w:r w:rsidR="00321F8A">
        <w:t>a single treatment of OZURDEX</w:t>
      </w:r>
      <w:r w:rsidR="00321F8A" w:rsidRPr="00321F8A">
        <w:rPr>
          <w:vertAlign w:val="superscript"/>
        </w:rPr>
        <w:t>®</w:t>
      </w:r>
      <w:r w:rsidR="00321F8A">
        <w:t xml:space="preserve">, </w:t>
      </w:r>
      <w:r w:rsidR="00975F8B">
        <w:t>dexamethasone</w:t>
      </w:r>
      <w:r>
        <w:t xml:space="preserve"> 350 µ</w:t>
      </w:r>
      <w:r w:rsidR="009B21B7">
        <w:t xml:space="preserve">g or Sham. Of </w:t>
      </w:r>
      <w:r w:rsidR="009D5EC2">
        <w:t>these, a total of 7</w:t>
      </w:r>
      <w:r w:rsidR="003B3A28">
        <w:t>7</w:t>
      </w:r>
      <w:r w:rsidR="00975F8B">
        <w:t xml:space="preserve"> </w:t>
      </w:r>
      <w:r w:rsidR="009B21B7">
        <w:t xml:space="preserve">were </w:t>
      </w:r>
      <w:proofErr w:type="spellStart"/>
      <w:r w:rsidR="009B21B7">
        <w:t>randomi</w:t>
      </w:r>
      <w:r w:rsidR="003F306D">
        <w:t>s</w:t>
      </w:r>
      <w:r w:rsidR="009B21B7">
        <w:t>ed</w:t>
      </w:r>
      <w:proofErr w:type="spellEnd"/>
      <w:r w:rsidR="009B21B7">
        <w:t xml:space="preserve"> to receive OZURDEX</w:t>
      </w:r>
      <w:r w:rsidR="009B21B7" w:rsidRPr="008B410C">
        <w:rPr>
          <w:vertAlign w:val="superscript"/>
        </w:rPr>
        <w:t>®</w:t>
      </w:r>
      <w:r w:rsidR="009B21B7">
        <w:t xml:space="preserve">, 76 to </w:t>
      </w:r>
      <w:r w:rsidR="00975F8B">
        <w:t>dexamethasone</w:t>
      </w:r>
      <w:r w:rsidR="009B21B7">
        <w:t xml:space="preserve"> 350 µg and 76 to Sham</w:t>
      </w:r>
      <w:r w:rsidR="003F306D">
        <w:t>, and evaluated as the ITT population</w:t>
      </w:r>
      <w:r w:rsidR="009B21B7">
        <w:t xml:space="preserve">. </w:t>
      </w:r>
    </w:p>
    <w:p w:rsidR="003F306D" w:rsidRDefault="003F306D" w:rsidP="00843810">
      <w:pPr>
        <w:pStyle w:val="NoSpacing"/>
        <w:jc w:val="both"/>
      </w:pPr>
    </w:p>
    <w:p w:rsidR="003F306D" w:rsidRDefault="003F306D" w:rsidP="00843810">
      <w:pPr>
        <w:pStyle w:val="NoSpacing"/>
        <w:jc w:val="both"/>
      </w:pPr>
      <w:r>
        <w:t>The primary endpoint was the proportion of patients with vitreous haze score of 0 in the study eye at week 8. Vitreous haze was graded by assigning scores ranging from 0 = no inflammation to +4 = optic nerve head not visible.</w:t>
      </w:r>
    </w:p>
    <w:p w:rsidR="006938DF" w:rsidRDefault="006938DF" w:rsidP="00843810">
      <w:pPr>
        <w:pStyle w:val="NoSpacing"/>
        <w:jc w:val="both"/>
      </w:pPr>
    </w:p>
    <w:p w:rsidR="006938DF" w:rsidRDefault="006938DF" w:rsidP="00843810">
      <w:pPr>
        <w:pStyle w:val="NoSpacing"/>
        <w:jc w:val="both"/>
      </w:pPr>
      <w:r>
        <w:t>The proportion of patients with vitreous haze score of 0 in the study eye at week 8 (primary endpoint) was 4-fold higher with OZURDEX</w:t>
      </w:r>
      <w:r w:rsidRPr="008B410C">
        <w:rPr>
          <w:vertAlign w:val="superscript"/>
        </w:rPr>
        <w:t>®</w:t>
      </w:r>
      <w:r>
        <w:t xml:space="preserve"> (46.8%) compared to Sham</w:t>
      </w:r>
      <w:r w:rsidR="00620437">
        <w:t xml:space="preserve"> (11.8%), p &lt; 0.001. S</w:t>
      </w:r>
      <w:r>
        <w:t xml:space="preserve">tatistical superiority was </w:t>
      </w:r>
      <w:r w:rsidR="00C75ED9">
        <w:t xml:space="preserve">observed at week 6 and </w:t>
      </w:r>
      <w:r>
        <w:t xml:space="preserve">maintained up to and including week 26 (p ≤ 0.014) as shown in Table </w:t>
      </w:r>
      <w:r w:rsidR="003727B5">
        <w:t>3</w:t>
      </w:r>
      <w:r>
        <w:t xml:space="preserve">. </w:t>
      </w:r>
    </w:p>
    <w:p w:rsidR="003F306D" w:rsidRDefault="003F306D" w:rsidP="00843810">
      <w:pPr>
        <w:pStyle w:val="NoSpacing"/>
        <w:jc w:val="both"/>
      </w:pPr>
    </w:p>
    <w:p w:rsidR="003F306D" w:rsidRDefault="003F306D" w:rsidP="00843810">
      <w:pPr>
        <w:pStyle w:val="NoSpacing"/>
        <w:jc w:val="both"/>
      </w:pPr>
      <w:r>
        <w:t>Secondary endpoints included the</w:t>
      </w:r>
      <w:r w:rsidR="00321F8A">
        <w:t xml:space="preserve"> time to vitreous haze score of 0,</w:t>
      </w:r>
      <w:r>
        <w:t xml:space="preserve"> and patients demonstrating at least 15 letters improvement from baseline BCVA throughout the 26-week period.</w:t>
      </w:r>
    </w:p>
    <w:p w:rsidR="00BE2467" w:rsidRDefault="00BE2467" w:rsidP="00843810">
      <w:pPr>
        <w:pStyle w:val="NoSpacing"/>
        <w:jc w:val="both"/>
      </w:pPr>
    </w:p>
    <w:p w:rsidR="0062661D" w:rsidRPr="000B5C5A" w:rsidRDefault="00620437" w:rsidP="00843810">
      <w:pPr>
        <w:jc w:val="both"/>
        <w:rPr>
          <w:lang w:val="en-GB"/>
        </w:rPr>
      </w:pPr>
      <w:r>
        <w:rPr>
          <w:lang w:val="en-GB"/>
        </w:rPr>
        <w:t>Time to vitreous haze score of 0</w:t>
      </w:r>
      <w:r w:rsidR="009B21B7" w:rsidRPr="000B5C5A">
        <w:rPr>
          <w:lang w:val="en-GB"/>
        </w:rPr>
        <w:t xml:space="preserve"> </w:t>
      </w:r>
      <w:r w:rsidR="005B6E0A">
        <w:rPr>
          <w:lang w:val="en-GB"/>
        </w:rPr>
        <w:t>was</w:t>
      </w:r>
      <w:r w:rsidR="009B21B7" w:rsidRPr="000B5C5A">
        <w:rPr>
          <w:lang w:val="en-GB"/>
        </w:rPr>
        <w:t xml:space="preserve"> significantly different for the OZURDEX</w:t>
      </w:r>
      <w:r w:rsidR="009B21B7" w:rsidRPr="000B5C5A">
        <w:rPr>
          <w:vertAlign w:val="superscript"/>
          <w:lang w:val="en-GB"/>
        </w:rPr>
        <w:t>®</w:t>
      </w:r>
      <w:r w:rsidR="009B21B7" w:rsidRPr="000B5C5A">
        <w:rPr>
          <w:lang w:val="en-GB"/>
        </w:rPr>
        <w:t xml:space="preserve"> group compared to Sham group (p &lt; 0.001), with patients receiving dexamethasone showing an earlier onset and greater treatment response.</w:t>
      </w:r>
    </w:p>
    <w:p w:rsidR="009B21B7" w:rsidRDefault="009B21B7" w:rsidP="00843810">
      <w:pPr>
        <w:jc w:val="both"/>
        <w:rPr>
          <w:lang w:val="en-GB"/>
        </w:rPr>
      </w:pPr>
    </w:p>
    <w:p w:rsidR="009B21B7" w:rsidRDefault="009B21B7" w:rsidP="00843810">
      <w:pPr>
        <w:jc w:val="both"/>
        <w:rPr>
          <w:lang w:val="en-GB"/>
        </w:rPr>
      </w:pPr>
      <w:r>
        <w:rPr>
          <w:lang w:val="en-GB"/>
        </w:rPr>
        <w:t xml:space="preserve">The reduction in vitreous haze was accompanied by an improvement in visual acuity. The proportion of patients with at least 15 letters improvement from baseline BCVA in the </w:t>
      </w:r>
      <w:r w:rsidR="009D5EC2">
        <w:rPr>
          <w:lang w:val="en-GB"/>
        </w:rPr>
        <w:t>study eye at week 8 was more than 6-fold higher with OZURDEX</w:t>
      </w:r>
      <w:r w:rsidR="009D5EC2" w:rsidRPr="008B410C">
        <w:rPr>
          <w:vertAlign w:val="superscript"/>
          <w:lang w:val="en-GB"/>
        </w:rPr>
        <w:t>®</w:t>
      </w:r>
      <w:r w:rsidR="009D5EC2">
        <w:rPr>
          <w:lang w:val="en-GB"/>
        </w:rPr>
        <w:t xml:space="preserve"> (42.9%) compared to Sham (6.6%), p &lt; 0.001. Statistical superiority was achieved at week 3 and maintained up to and including week 26 (p &lt; 0.001) as shown in Table </w:t>
      </w:r>
      <w:r w:rsidR="003727B5">
        <w:rPr>
          <w:lang w:val="en-GB"/>
        </w:rPr>
        <w:t>3</w:t>
      </w:r>
      <w:r w:rsidR="009D5EC2">
        <w:rPr>
          <w:lang w:val="en-GB"/>
        </w:rPr>
        <w:t xml:space="preserve">. </w:t>
      </w:r>
    </w:p>
    <w:p w:rsidR="006938DF" w:rsidRDefault="006938DF" w:rsidP="00843810">
      <w:pPr>
        <w:jc w:val="both"/>
        <w:rPr>
          <w:lang w:val="en-GB"/>
        </w:rPr>
      </w:pPr>
    </w:p>
    <w:p w:rsidR="003F306D" w:rsidRPr="00594B3D" w:rsidRDefault="003F306D" w:rsidP="00594B3D">
      <w:pPr>
        <w:jc w:val="center"/>
        <w:rPr>
          <w:b/>
          <w:sz w:val="20"/>
          <w:lang w:val="en-GB"/>
        </w:rPr>
      </w:pPr>
      <w:r w:rsidRPr="003912F2">
        <w:rPr>
          <w:b/>
          <w:sz w:val="20"/>
          <w:lang w:val="en-GB"/>
        </w:rPr>
        <w:t xml:space="preserve">Table </w:t>
      </w:r>
      <w:r w:rsidR="003727B5">
        <w:rPr>
          <w:b/>
          <w:sz w:val="20"/>
          <w:lang w:val="en-GB"/>
        </w:rPr>
        <w:t>3</w:t>
      </w:r>
      <w:r w:rsidRPr="003912F2">
        <w:rPr>
          <w:b/>
          <w:sz w:val="20"/>
          <w:lang w:val="en-GB"/>
        </w:rPr>
        <w:t xml:space="preserve"> Proportion of Patients with Vitreous Haze Score of Zero </w:t>
      </w:r>
      <w:r w:rsidR="00620437">
        <w:rPr>
          <w:b/>
          <w:sz w:val="20"/>
          <w:lang w:val="en-GB"/>
        </w:rPr>
        <w:t>or</w:t>
      </w:r>
      <w:r w:rsidRPr="003912F2">
        <w:rPr>
          <w:b/>
          <w:sz w:val="20"/>
          <w:lang w:val="en-GB"/>
        </w:rPr>
        <w:t xml:space="preserve"> </w:t>
      </w:r>
      <w:r w:rsidR="003912F2" w:rsidRPr="003912F2">
        <w:rPr>
          <w:b/>
          <w:sz w:val="20"/>
          <w:lang w:val="en-GB"/>
        </w:rPr>
        <w:t>≥ 15 Letters Improvement from Baseline Best Corrected Visual Acuity in the Study Eye (ITT Population)</w:t>
      </w:r>
    </w:p>
    <w:tbl>
      <w:tblPr>
        <w:tblStyle w:val="TableGrid"/>
        <w:tblW w:w="0" w:type="auto"/>
        <w:jc w:val="center"/>
        <w:tblLook w:val="04A0" w:firstRow="1" w:lastRow="0" w:firstColumn="1" w:lastColumn="0" w:noHBand="0" w:noVBand="1"/>
      </w:tblPr>
      <w:tblGrid>
        <w:gridCol w:w="1848"/>
        <w:gridCol w:w="1848"/>
        <w:gridCol w:w="1849"/>
        <w:gridCol w:w="1849"/>
        <w:gridCol w:w="1849"/>
      </w:tblGrid>
      <w:tr w:rsidR="003912F2" w:rsidRPr="003912F2" w:rsidTr="003912F2">
        <w:trPr>
          <w:jc w:val="center"/>
        </w:trPr>
        <w:tc>
          <w:tcPr>
            <w:tcW w:w="1848" w:type="dxa"/>
          </w:tcPr>
          <w:p w:rsidR="003912F2" w:rsidRPr="003912F2" w:rsidRDefault="003912F2" w:rsidP="003912F2">
            <w:pPr>
              <w:jc w:val="center"/>
              <w:rPr>
                <w:b/>
                <w:sz w:val="20"/>
                <w:lang w:val="en-GB"/>
              </w:rPr>
            </w:pPr>
            <w:r w:rsidRPr="003912F2">
              <w:rPr>
                <w:b/>
                <w:sz w:val="20"/>
                <w:lang w:val="en-GB"/>
              </w:rPr>
              <w:t>Visit</w:t>
            </w:r>
          </w:p>
        </w:tc>
        <w:tc>
          <w:tcPr>
            <w:tcW w:w="3697" w:type="dxa"/>
            <w:gridSpan w:val="2"/>
          </w:tcPr>
          <w:p w:rsidR="003912F2" w:rsidRPr="003912F2" w:rsidRDefault="003912F2" w:rsidP="003912F2">
            <w:pPr>
              <w:jc w:val="center"/>
              <w:rPr>
                <w:b/>
                <w:sz w:val="20"/>
                <w:lang w:val="en-GB"/>
              </w:rPr>
            </w:pPr>
            <w:r w:rsidRPr="003912F2">
              <w:rPr>
                <w:b/>
                <w:sz w:val="20"/>
                <w:lang w:val="en-GB"/>
              </w:rPr>
              <w:t>Vitreous Haze Score of Zero</w:t>
            </w:r>
          </w:p>
        </w:tc>
        <w:tc>
          <w:tcPr>
            <w:tcW w:w="3698" w:type="dxa"/>
            <w:gridSpan w:val="2"/>
          </w:tcPr>
          <w:p w:rsidR="003912F2" w:rsidRPr="006938DF" w:rsidRDefault="006938DF" w:rsidP="003912F2">
            <w:pPr>
              <w:jc w:val="center"/>
              <w:rPr>
                <w:b/>
                <w:strike/>
                <w:sz w:val="20"/>
                <w:lang w:val="en-GB"/>
              </w:rPr>
            </w:pPr>
            <w:r w:rsidRPr="006938DF">
              <w:rPr>
                <w:b/>
                <w:sz w:val="20"/>
              </w:rPr>
              <w:t>Proportion of Patients with BCVA ≥ 15 Letters Improvement</w:t>
            </w:r>
            <w:r w:rsidR="003912F2" w:rsidRPr="006938DF">
              <w:rPr>
                <w:b/>
                <w:strike/>
                <w:sz w:val="20"/>
                <w:lang w:val="en-GB"/>
              </w:rPr>
              <w:t xml:space="preserve"> </w:t>
            </w:r>
          </w:p>
        </w:tc>
      </w:tr>
      <w:tr w:rsidR="003912F2" w:rsidRPr="003912F2" w:rsidTr="003912F2">
        <w:trPr>
          <w:jc w:val="center"/>
        </w:trPr>
        <w:tc>
          <w:tcPr>
            <w:tcW w:w="1848" w:type="dxa"/>
          </w:tcPr>
          <w:p w:rsidR="003912F2" w:rsidRPr="003912F2" w:rsidRDefault="003912F2" w:rsidP="003912F2">
            <w:pPr>
              <w:jc w:val="center"/>
              <w:rPr>
                <w:b/>
                <w:sz w:val="20"/>
                <w:lang w:val="en-GB"/>
              </w:rPr>
            </w:pPr>
          </w:p>
        </w:tc>
        <w:tc>
          <w:tcPr>
            <w:tcW w:w="1848" w:type="dxa"/>
          </w:tcPr>
          <w:p w:rsidR="003912F2" w:rsidRPr="003912F2" w:rsidRDefault="003912F2" w:rsidP="003912F2">
            <w:pPr>
              <w:jc w:val="center"/>
              <w:rPr>
                <w:b/>
                <w:sz w:val="20"/>
                <w:lang w:val="en-GB"/>
              </w:rPr>
            </w:pPr>
            <w:r w:rsidRPr="003912F2">
              <w:rPr>
                <w:b/>
                <w:sz w:val="20"/>
                <w:lang w:val="en-GB"/>
              </w:rPr>
              <w:t>OZURDEX</w:t>
            </w:r>
            <w:r w:rsidRPr="008B410C">
              <w:rPr>
                <w:b/>
                <w:sz w:val="20"/>
                <w:vertAlign w:val="superscript"/>
                <w:lang w:val="en-GB"/>
              </w:rPr>
              <w:t>®</w:t>
            </w:r>
          </w:p>
          <w:p w:rsidR="003912F2" w:rsidRPr="003912F2" w:rsidRDefault="003912F2" w:rsidP="00CD07D6">
            <w:pPr>
              <w:jc w:val="center"/>
              <w:rPr>
                <w:b/>
                <w:sz w:val="20"/>
                <w:lang w:val="en-GB"/>
              </w:rPr>
            </w:pPr>
            <w:r w:rsidRPr="003912F2">
              <w:rPr>
                <w:b/>
                <w:sz w:val="20"/>
                <w:lang w:val="en-GB"/>
              </w:rPr>
              <w:t xml:space="preserve">N = </w:t>
            </w:r>
            <w:r w:rsidR="00CD07D6">
              <w:rPr>
                <w:b/>
                <w:sz w:val="20"/>
                <w:lang w:val="en-GB"/>
              </w:rPr>
              <w:t>77</w:t>
            </w:r>
          </w:p>
        </w:tc>
        <w:tc>
          <w:tcPr>
            <w:tcW w:w="1849" w:type="dxa"/>
          </w:tcPr>
          <w:p w:rsidR="003912F2" w:rsidRPr="003912F2" w:rsidRDefault="003912F2" w:rsidP="003912F2">
            <w:pPr>
              <w:jc w:val="center"/>
              <w:rPr>
                <w:b/>
                <w:sz w:val="20"/>
                <w:lang w:val="en-GB"/>
              </w:rPr>
            </w:pPr>
            <w:r w:rsidRPr="003912F2">
              <w:rPr>
                <w:b/>
                <w:sz w:val="20"/>
                <w:lang w:val="en-GB"/>
              </w:rPr>
              <w:t>Sham</w:t>
            </w:r>
          </w:p>
          <w:p w:rsidR="003912F2" w:rsidRPr="003912F2" w:rsidRDefault="003912F2" w:rsidP="003912F2">
            <w:pPr>
              <w:jc w:val="center"/>
              <w:rPr>
                <w:b/>
                <w:sz w:val="20"/>
                <w:lang w:val="en-GB"/>
              </w:rPr>
            </w:pPr>
            <w:r w:rsidRPr="003912F2">
              <w:rPr>
                <w:b/>
                <w:sz w:val="20"/>
                <w:lang w:val="en-GB"/>
              </w:rPr>
              <w:t>N = 76</w:t>
            </w:r>
          </w:p>
        </w:tc>
        <w:tc>
          <w:tcPr>
            <w:tcW w:w="1849" w:type="dxa"/>
          </w:tcPr>
          <w:p w:rsidR="003912F2" w:rsidRPr="003912F2" w:rsidRDefault="003912F2" w:rsidP="003912F2">
            <w:pPr>
              <w:jc w:val="center"/>
              <w:rPr>
                <w:b/>
                <w:sz w:val="20"/>
                <w:lang w:val="en-GB"/>
              </w:rPr>
            </w:pPr>
            <w:r w:rsidRPr="003912F2">
              <w:rPr>
                <w:b/>
                <w:sz w:val="20"/>
                <w:lang w:val="en-GB"/>
              </w:rPr>
              <w:t>OZURDEX</w:t>
            </w:r>
            <w:r w:rsidRPr="008B410C">
              <w:rPr>
                <w:b/>
                <w:sz w:val="20"/>
                <w:vertAlign w:val="superscript"/>
                <w:lang w:val="en-GB"/>
              </w:rPr>
              <w:t>®</w:t>
            </w:r>
          </w:p>
          <w:p w:rsidR="003912F2" w:rsidRPr="003912F2" w:rsidRDefault="003912F2" w:rsidP="00625767">
            <w:pPr>
              <w:jc w:val="center"/>
              <w:rPr>
                <w:b/>
                <w:sz w:val="20"/>
                <w:lang w:val="en-GB"/>
              </w:rPr>
            </w:pPr>
            <w:r w:rsidRPr="003912F2">
              <w:rPr>
                <w:b/>
                <w:sz w:val="20"/>
                <w:lang w:val="en-GB"/>
              </w:rPr>
              <w:t xml:space="preserve">N = </w:t>
            </w:r>
            <w:r w:rsidR="00625767">
              <w:rPr>
                <w:b/>
                <w:sz w:val="20"/>
                <w:lang w:val="en-GB"/>
              </w:rPr>
              <w:t>77</w:t>
            </w:r>
          </w:p>
        </w:tc>
        <w:tc>
          <w:tcPr>
            <w:tcW w:w="1849" w:type="dxa"/>
          </w:tcPr>
          <w:p w:rsidR="003912F2" w:rsidRPr="003912F2" w:rsidRDefault="003912F2" w:rsidP="003912F2">
            <w:pPr>
              <w:jc w:val="center"/>
              <w:rPr>
                <w:b/>
                <w:sz w:val="20"/>
                <w:lang w:val="en-GB"/>
              </w:rPr>
            </w:pPr>
            <w:r w:rsidRPr="003912F2">
              <w:rPr>
                <w:b/>
                <w:sz w:val="20"/>
                <w:lang w:val="en-GB"/>
              </w:rPr>
              <w:t>Sham</w:t>
            </w:r>
          </w:p>
          <w:p w:rsidR="003912F2" w:rsidRPr="003912F2" w:rsidRDefault="003912F2" w:rsidP="003912F2">
            <w:pPr>
              <w:jc w:val="center"/>
              <w:rPr>
                <w:b/>
                <w:sz w:val="20"/>
                <w:lang w:val="en-GB"/>
              </w:rPr>
            </w:pPr>
            <w:r w:rsidRPr="003912F2">
              <w:rPr>
                <w:b/>
                <w:sz w:val="20"/>
                <w:lang w:val="en-GB"/>
              </w:rPr>
              <w:t>N = 76</w:t>
            </w:r>
          </w:p>
        </w:tc>
      </w:tr>
      <w:tr w:rsidR="003912F2" w:rsidRPr="003912F2" w:rsidTr="003912F2">
        <w:trPr>
          <w:jc w:val="center"/>
        </w:trPr>
        <w:tc>
          <w:tcPr>
            <w:tcW w:w="1848" w:type="dxa"/>
          </w:tcPr>
          <w:p w:rsidR="003912F2" w:rsidRPr="003912F2" w:rsidRDefault="003912F2" w:rsidP="003912F2">
            <w:pPr>
              <w:jc w:val="center"/>
              <w:rPr>
                <w:sz w:val="20"/>
                <w:lang w:val="en-GB"/>
              </w:rPr>
            </w:pPr>
            <w:r>
              <w:rPr>
                <w:sz w:val="20"/>
                <w:lang w:val="en-GB"/>
              </w:rPr>
              <w:t>Week 3</w:t>
            </w:r>
          </w:p>
        </w:tc>
        <w:tc>
          <w:tcPr>
            <w:tcW w:w="1848" w:type="dxa"/>
          </w:tcPr>
          <w:p w:rsidR="003912F2" w:rsidRPr="003912F2" w:rsidRDefault="003912F2" w:rsidP="003912F2">
            <w:pPr>
              <w:jc w:val="center"/>
              <w:rPr>
                <w:sz w:val="20"/>
                <w:lang w:val="en-GB"/>
              </w:rPr>
            </w:pPr>
            <w:r>
              <w:rPr>
                <w:sz w:val="20"/>
                <w:lang w:val="en-GB"/>
              </w:rPr>
              <w:t>23.4%</w:t>
            </w:r>
          </w:p>
        </w:tc>
        <w:tc>
          <w:tcPr>
            <w:tcW w:w="1849" w:type="dxa"/>
          </w:tcPr>
          <w:p w:rsidR="003912F2" w:rsidRPr="003912F2" w:rsidRDefault="003912F2" w:rsidP="003912F2">
            <w:pPr>
              <w:jc w:val="center"/>
              <w:rPr>
                <w:sz w:val="20"/>
                <w:lang w:val="en-GB"/>
              </w:rPr>
            </w:pPr>
            <w:r>
              <w:rPr>
                <w:sz w:val="20"/>
                <w:lang w:val="en-GB"/>
              </w:rPr>
              <w:t>11.8%</w:t>
            </w:r>
          </w:p>
        </w:tc>
        <w:tc>
          <w:tcPr>
            <w:tcW w:w="1849" w:type="dxa"/>
          </w:tcPr>
          <w:p w:rsidR="003912F2" w:rsidRPr="006512FE" w:rsidRDefault="003912F2" w:rsidP="003912F2">
            <w:pPr>
              <w:jc w:val="center"/>
              <w:rPr>
                <w:sz w:val="20"/>
                <w:vertAlign w:val="superscript"/>
                <w:lang w:val="en-GB"/>
              </w:rPr>
            </w:pPr>
            <w:r>
              <w:rPr>
                <w:sz w:val="20"/>
                <w:lang w:val="en-GB"/>
              </w:rPr>
              <w:t>32.5%</w:t>
            </w:r>
            <w:r w:rsidR="006512FE">
              <w:rPr>
                <w:sz w:val="20"/>
                <w:vertAlign w:val="superscript"/>
                <w:lang w:val="en-GB"/>
              </w:rPr>
              <w:t>a</w:t>
            </w:r>
          </w:p>
        </w:tc>
        <w:tc>
          <w:tcPr>
            <w:tcW w:w="1849" w:type="dxa"/>
          </w:tcPr>
          <w:p w:rsidR="003912F2" w:rsidRPr="003912F2" w:rsidRDefault="003912F2" w:rsidP="003912F2">
            <w:pPr>
              <w:jc w:val="center"/>
              <w:rPr>
                <w:sz w:val="20"/>
                <w:lang w:val="en-GB"/>
              </w:rPr>
            </w:pPr>
            <w:r>
              <w:rPr>
                <w:sz w:val="20"/>
                <w:lang w:val="en-GB"/>
              </w:rPr>
              <w:t>3.9%</w:t>
            </w:r>
          </w:p>
        </w:tc>
      </w:tr>
      <w:tr w:rsidR="003912F2" w:rsidRPr="003912F2" w:rsidTr="003912F2">
        <w:trPr>
          <w:jc w:val="center"/>
        </w:trPr>
        <w:tc>
          <w:tcPr>
            <w:tcW w:w="1848" w:type="dxa"/>
          </w:tcPr>
          <w:p w:rsidR="003912F2" w:rsidRPr="003912F2" w:rsidRDefault="003912F2" w:rsidP="003912F2">
            <w:pPr>
              <w:jc w:val="center"/>
              <w:rPr>
                <w:sz w:val="20"/>
                <w:lang w:val="en-GB"/>
              </w:rPr>
            </w:pPr>
            <w:r>
              <w:rPr>
                <w:sz w:val="20"/>
                <w:lang w:val="en-GB"/>
              </w:rPr>
              <w:t>Week 6</w:t>
            </w:r>
          </w:p>
        </w:tc>
        <w:tc>
          <w:tcPr>
            <w:tcW w:w="1848" w:type="dxa"/>
          </w:tcPr>
          <w:p w:rsidR="003912F2" w:rsidRPr="006512FE" w:rsidRDefault="003912F2" w:rsidP="003912F2">
            <w:pPr>
              <w:jc w:val="center"/>
              <w:rPr>
                <w:sz w:val="20"/>
                <w:vertAlign w:val="superscript"/>
                <w:lang w:val="en-GB"/>
              </w:rPr>
            </w:pPr>
            <w:r>
              <w:rPr>
                <w:sz w:val="20"/>
                <w:lang w:val="en-GB"/>
              </w:rPr>
              <w:t>42.9%</w:t>
            </w:r>
            <w:r w:rsidR="006512FE">
              <w:rPr>
                <w:sz w:val="20"/>
                <w:vertAlign w:val="superscript"/>
                <w:lang w:val="en-GB"/>
              </w:rPr>
              <w:t>a</w:t>
            </w:r>
          </w:p>
        </w:tc>
        <w:tc>
          <w:tcPr>
            <w:tcW w:w="1849" w:type="dxa"/>
          </w:tcPr>
          <w:p w:rsidR="003912F2" w:rsidRPr="003912F2" w:rsidRDefault="003912F2" w:rsidP="003912F2">
            <w:pPr>
              <w:jc w:val="center"/>
              <w:rPr>
                <w:sz w:val="20"/>
                <w:lang w:val="en-GB"/>
              </w:rPr>
            </w:pPr>
            <w:r>
              <w:rPr>
                <w:sz w:val="20"/>
                <w:lang w:val="en-GB"/>
              </w:rPr>
              <w:t>9.2%</w:t>
            </w:r>
          </w:p>
        </w:tc>
        <w:tc>
          <w:tcPr>
            <w:tcW w:w="1849" w:type="dxa"/>
          </w:tcPr>
          <w:p w:rsidR="003912F2" w:rsidRPr="006512FE" w:rsidRDefault="003912F2" w:rsidP="003912F2">
            <w:pPr>
              <w:jc w:val="center"/>
              <w:rPr>
                <w:sz w:val="20"/>
                <w:vertAlign w:val="superscript"/>
                <w:lang w:val="en-GB"/>
              </w:rPr>
            </w:pPr>
            <w:r>
              <w:rPr>
                <w:sz w:val="20"/>
                <w:lang w:val="en-GB"/>
              </w:rPr>
              <w:t>41.6%</w:t>
            </w:r>
            <w:r w:rsidR="006512FE">
              <w:rPr>
                <w:sz w:val="20"/>
                <w:vertAlign w:val="superscript"/>
                <w:lang w:val="en-GB"/>
              </w:rPr>
              <w:t>a</w:t>
            </w:r>
          </w:p>
        </w:tc>
        <w:tc>
          <w:tcPr>
            <w:tcW w:w="1849" w:type="dxa"/>
          </w:tcPr>
          <w:p w:rsidR="003912F2" w:rsidRPr="003912F2" w:rsidRDefault="003912F2" w:rsidP="003912F2">
            <w:pPr>
              <w:jc w:val="center"/>
              <w:rPr>
                <w:sz w:val="20"/>
                <w:lang w:val="en-GB"/>
              </w:rPr>
            </w:pPr>
            <w:r>
              <w:rPr>
                <w:sz w:val="20"/>
                <w:lang w:val="en-GB"/>
              </w:rPr>
              <w:t>7.9%</w:t>
            </w:r>
          </w:p>
        </w:tc>
      </w:tr>
      <w:tr w:rsidR="003912F2" w:rsidRPr="003912F2" w:rsidTr="003912F2">
        <w:trPr>
          <w:jc w:val="center"/>
        </w:trPr>
        <w:tc>
          <w:tcPr>
            <w:tcW w:w="1848" w:type="dxa"/>
          </w:tcPr>
          <w:p w:rsidR="003912F2" w:rsidRPr="003912F2" w:rsidRDefault="003912F2" w:rsidP="003912F2">
            <w:pPr>
              <w:jc w:val="center"/>
              <w:rPr>
                <w:sz w:val="20"/>
                <w:lang w:val="en-GB"/>
              </w:rPr>
            </w:pPr>
            <w:r>
              <w:rPr>
                <w:sz w:val="20"/>
                <w:lang w:val="en-GB"/>
              </w:rPr>
              <w:t>Week 8</w:t>
            </w:r>
          </w:p>
        </w:tc>
        <w:tc>
          <w:tcPr>
            <w:tcW w:w="1848" w:type="dxa"/>
          </w:tcPr>
          <w:p w:rsidR="003912F2" w:rsidRPr="006512FE" w:rsidRDefault="003912F2" w:rsidP="003912F2">
            <w:pPr>
              <w:jc w:val="center"/>
              <w:rPr>
                <w:sz w:val="20"/>
                <w:vertAlign w:val="superscript"/>
                <w:lang w:val="en-GB"/>
              </w:rPr>
            </w:pPr>
            <w:r>
              <w:rPr>
                <w:sz w:val="20"/>
                <w:lang w:val="en-GB"/>
              </w:rPr>
              <w:t>46.8%</w:t>
            </w:r>
            <w:r w:rsidR="006512FE">
              <w:rPr>
                <w:sz w:val="20"/>
                <w:vertAlign w:val="superscript"/>
                <w:lang w:val="en-GB"/>
              </w:rPr>
              <w:t>a</w:t>
            </w:r>
          </w:p>
        </w:tc>
        <w:tc>
          <w:tcPr>
            <w:tcW w:w="1849" w:type="dxa"/>
          </w:tcPr>
          <w:p w:rsidR="003912F2" w:rsidRPr="003912F2" w:rsidRDefault="003912F2" w:rsidP="003912F2">
            <w:pPr>
              <w:jc w:val="center"/>
              <w:rPr>
                <w:sz w:val="20"/>
                <w:lang w:val="en-GB"/>
              </w:rPr>
            </w:pPr>
            <w:r>
              <w:rPr>
                <w:sz w:val="20"/>
                <w:lang w:val="en-GB"/>
              </w:rPr>
              <w:t>11.8%</w:t>
            </w:r>
          </w:p>
        </w:tc>
        <w:tc>
          <w:tcPr>
            <w:tcW w:w="1849" w:type="dxa"/>
          </w:tcPr>
          <w:p w:rsidR="003912F2" w:rsidRPr="006512FE" w:rsidRDefault="003912F2" w:rsidP="003912F2">
            <w:pPr>
              <w:jc w:val="center"/>
              <w:rPr>
                <w:sz w:val="20"/>
                <w:vertAlign w:val="superscript"/>
                <w:lang w:val="en-GB"/>
              </w:rPr>
            </w:pPr>
            <w:r>
              <w:rPr>
                <w:sz w:val="20"/>
                <w:lang w:val="en-GB"/>
              </w:rPr>
              <w:t>42.9%</w:t>
            </w:r>
            <w:r w:rsidR="006512FE">
              <w:rPr>
                <w:sz w:val="20"/>
                <w:vertAlign w:val="superscript"/>
                <w:lang w:val="en-GB"/>
              </w:rPr>
              <w:t>a</w:t>
            </w:r>
          </w:p>
        </w:tc>
        <w:tc>
          <w:tcPr>
            <w:tcW w:w="1849" w:type="dxa"/>
          </w:tcPr>
          <w:p w:rsidR="003912F2" w:rsidRPr="003912F2" w:rsidRDefault="003912F2" w:rsidP="003912F2">
            <w:pPr>
              <w:jc w:val="center"/>
              <w:rPr>
                <w:sz w:val="20"/>
                <w:lang w:val="en-GB"/>
              </w:rPr>
            </w:pPr>
            <w:r>
              <w:rPr>
                <w:sz w:val="20"/>
                <w:lang w:val="en-GB"/>
              </w:rPr>
              <w:t>6.6%</w:t>
            </w:r>
          </w:p>
        </w:tc>
      </w:tr>
      <w:tr w:rsidR="003912F2" w:rsidRPr="003912F2" w:rsidTr="003912F2">
        <w:trPr>
          <w:jc w:val="center"/>
        </w:trPr>
        <w:tc>
          <w:tcPr>
            <w:tcW w:w="1848" w:type="dxa"/>
          </w:tcPr>
          <w:p w:rsidR="003912F2" w:rsidRPr="003912F2" w:rsidRDefault="003912F2" w:rsidP="003912F2">
            <w:pPr>
              <w:jc w:val="center"/>
              <w:rPr>
                <w:sz w:val="20"/>
                <w:lang w:val="en-GB"/>
              </w:rPr>
            </w:pPr>
            <w:r>
              <w:rPr>
                <w:sz w:val="20"/>
                <w:lang w:val="en-GB"/>
              </w:rPr>
              <w:t>Week 12</w:t>
            </w:r>
          </w:p>
        </w:tc>
        <w:tc>
          <w:tcPr>
            <w:tcW w:w="1848" w:type="dxa"/>
          </w:tcPr>
          <w:p w:rsidR="003912F2" w:rsidRPr="006512FE" w:rsidRDefault="003912F2" w:rsidP="003912F2">
            <w:pPr>
              <w:jc w:val="center"/>
              <w:rPr>
                <w:sz w:val="20"/>
                <w:vertAlign w:val="superscript"/>
                <w:lang w:val="en-GB"/>
              </w:rPr>
            </w:pPr>
            <w:r>
              <w:rPr>
                <w:sz w:val="20"/>
                <w:lang w:val="en-GB"/>
              </w:rPr>
              <w:t>45.5%</w:t>
            </w:r>
            <w:r w:rsidR="006512FE">
              <w:rPr>
                <w:sz w:val="20"/>
                <w:vertAlign w:val="superscript"/>
                <w:lang w:val="en-GB"/>
              </w:rPr>
              <w:t>a</w:t>
            </w:r>
          </w:p>
        </w:tc>
        <w:tc>
          <w:tcPr>
            <w:tcW w:w="1849" w:type="dxa"/>
          </w:tcPr>
          <w:p w:rsidR="003912F2" w:rsidRPr="003912F2" w:rsidRDefault="003912F2" w:rsidP="003912F2">
            <w:pPr>
              <w:jc w:val="center"/>
              <w:rPr>
                <w:sz w:val="20"/>
                <w:lang w:val="en-GB"/>
              </w:rPr>
            </w:pPr>
            <w:r>
              <w:rPr>
                <w:sz w:val="20"/>
                <w:lang w:val="en-GB"/>
              </w:rPr>
              <w:t>13.2%</w:t>
            </w:r>
          </w:p>
        </w:tc>
        <w:tc>
          <w:tcPr>
            <w:tcW w:w="1849" w:type="dxa"/>
          </w:tcPr>
          <w:p w:rsidR="003912F2" w:rsidRPr="006512FE" w:rsidRDefault="003912F2" w:rsidP="003912F2">
            <w:pPr>
              <w:jc w:val="center"/>
              <w:rPr>
                <w:sz w:val="20"/>
                <w:vertAlign w:val="superscript"/>
                <w:lang w:val="en-GB"/>
              </w:rPr>
            </w:pPr>
            <w:r>
              <w:rPr>
                <w:sz w:val="20"/>
                <w:lang w:val="en-GB"/>
              </w:rPr>
              <w:t>41.6%</w:t>
            </w:r>
            <w:r w:rsidR="006512FE">
              <w:rPr>
                <w:sz w:val="20"/>
                <w:vertAlign w:val="superscript"/>
                <w:lang w:val="en-GB"/>
              </w:rPr>
              <w:t>a</w:t>
            </w:r>
          </w:p>
        </w:tc>
        <w:tc>
          <w:tcPr>
            <w:tcW w:w="1849" w:type="dxa"/>
          </w:tcPr>
          <w:p w:rsidR="003912F2" w:rsidRPr="003912F2" w:rsidRDefault="003912F2" w:rsidP="003912F2">
            <w:pPr>
              <w:jc w:val="center"/>
              <w:rPr>
                <w:sz w:val="20"/>
                <w:lang w:val="en-GB"/>
              </w:rPr>
            </w:pPr>
            <w:r>
              <w:rPr>
                <w:sz w:val="20"/>
                <w:lang w:val="en-GB"/>
              </w:rPr>
              <w:t>13.2%</w:t>
            </w:r>
          </w:p>
        </w:tc>
      </w:tr>
      <w:tr w:rsidR="003912F2" w:rsidRPr="003912F2" w:rsidTr="003912F2">
        <w:trPr>
          <w:jc w:val="center"/>
        </w:trPr>
        <w:tc>
          <w:tcPr>
            <w:tcW w:w="1848" w:type="dxa"/>
          </w:tcPr>
          <w:p w:rsidR="003912F2" w:rsidRPr="003912F2" w:rsidRDefault="003912F2" w:rsidP="003912F2">
            <w:pPr>
              <w:jc w:val="center"/>
              <w:rPr>
                <w:sz w:val="20"/>
                <w:lang w:val="en-GB"/>
              </w:rPr>
            </w:pPr>
            <w:r>
              <w:rPr>
                <w:sz w:val="20"/>
                <w:lang w:val="en-GB"/>
              </w:rPr>
              <w:t>Week 16</w:t>
            </w:r>
          </w:p>
        </w:tc>
        <w:tc>
          <w:tcPr>
            <w:tcW w:w="1848" w:type="dxa"/>
          </w:tcPr>
          <w:p w:rsidR="003912F2" w:rsidRPr="006512FE" w:rsidRDefault="003912F2" w:rsidP="003912F2">
            <w:pPr>
              <w:jc w:val="center"/>
              <w:rPr>
                <w:sz w:val="20"/>
                <w:vertAlign w:val="superscript"/>
                <w:lang w:val="en-GB"/>
              </w:rPr>
            </w:pPr>
            <w:r>
              <w:rPr>
                <w:sz w:val="20"/>
                <w:lang w:val="en-GB"/>
              </w:rPr>
              <w:t>40.3%</w:t>
            </w:r>
            <w:r w:rsidR="006512FE">
              <w:rPr>
                <w:sz w:val="20"/>
                <w:vertAlign w:val="superscript"/>
                <w:lang w:val="en-GB"/>
              </w:rPr>
              <w:t>b</w:t>
            </w:r>
          </w:p>
        </w:tc>
        <w:tc>
          <w:tcPr>
            <w:tcW w:w="1849" w:type="dxa"/>
          </w:tcPr>
          <w:p w:rsidR="003912F2" w:rsidRPr="003912F2" w:rsidRDefault="003912F2" w:rsidP="003912F2">
            <w:pPr>
              <w:jc w:val="center"/>
              <w:rPr>
                <w:sz w:val="20"/>
                <w:lang w:val="en-GB"/>
              </w:rPr>
            </w:pPr>
            <w:r>
              <w:rPr>
                <w:sz w:val="20"/>
                <w:lang w:val="en-GB"/>
              </w:rPr>
              <w:t>21.1%</w:t>
            </w:r>
          </w:p>
        </w:tc>
        <w:tc>
          <w:tcPr>
            <w:tcW w:w="1849" w:type="dxa"/>
          </w:tcPr>
          <w:p w:rsidR="003912F2" w:rsidRPr="006512FE" w:rsidRDefault="003912F2" w:rsidP="003912F2">
            <w:pPr>
              <w:jc w:val="center"/>
              <w:rPr>
                <w:sz w:val="20"/>
                <w:vertAlign w:val="superscript"/>
                <w:lang w:val="en-GB"/>
              </w:rPr>
            </w:pPr>
            <w:r>
              <w:rPr>
                <w:sz w:val="20"/>
                <w:lang w:val="en-GB"/>
              </w:rPr>
              <w:t>39.0%</w:t>
            </w:r>
            <w:r w:rsidR="006512FE">
              <w:rPr>
                <w:sz w:val="20"/>
                <w:vertAlign w:val="superscript"/>
                <w:lang w:val="en-GB"/>
              </w:rPr>
              <w:t>a</w:t>
            </w:r>
          </w:p>
        </w:tc>
        <w:tc>
          <w:tcPr>
            <w:tcW w:w="1849" w:type="dxa"/>
          </w:tcPr>
          <w:p w:rsidR="003912F2" w:rsidRPr="003912F2" w:rsidRDefault="003912F2" w:rsidP="003912F2">
            <w:pPr>
              <w:jc w:val="center"/>
              <w:rPr>
                <w:sz w:val="20"/>
                <w:lang w:val="en-GB"/>
              </w:rPr>
            </w:pPr>
            <w:r>
              <w:rPr>
                <w:sz w:val="20"/>
                <w:lang w:val="en-GB"/>
              </w:rPr>
              <w:t>13.2%</w:t>
            </w:r>
          </w:p>
        </w:tc>
      </w:tr>
      <w:tr w:rsidR="003912F2" w:rsidRPr="003912F2" w:rsidTr="003912F2">
        <w:trPr>
          <w:jc w:val="center"/>
        </w:trPr>
        <w:tc>
          <w:tcPr>
            <w:tcW w:w="1848" w:type="dxa"/>
          </w:tcPr>
          <w:p w:rsidR="003912F2" w:rsidRDefault="003912F2" w:rsidP="003912F2">
            <w:pPr>
              <w:jc w:val="center"/>
              <w:rPr>
                <w:sz w:val="20"/>
                <w:lang w:val="en-GB"/>
              </w:rPr>
            </w:pPr>
            <w:r>
              <w:rPr>
                <w:sz w:val="20"/>
                <w:lang w:val="en-GB"/>
              </w:rPr>
              <w:t>Week 20</w:t>
            </w:r>
          </w:p>
        </w:tc>
        <w:tc>
          <w:tcPr>
            <w:tcW w:w="1848" w:type="dxa"/>
          </w:tcPr>
          <w:p w:rsidR="003912F2" w:rsidRPr="006512FE" w:rsidRDefault="003912F2" w:rsidP="003912F2">
            <w:pPr>
              <w:jc w:val="center"/>
              <w:rPr>
                <w:sz w:val="20"/>
                <w:vertAlign w:val="superscript"/>
                <w:lang w:val="en-GB"/>
              </w:rPr>
            </w:pPr>
            <w:r>
              <w:rPr>
                <w:sz w:val="20"/>
                <w:lang w:val="en-GB"/>
              </w:rPr>
              <w:t>39.0%</w:t>
            </w:r>
            <w:r w:rsidR="006512FE">
              <w:rPr>
                <w:sz w:val="20"/>
                <w:vertAlign w:val="superscript"/>
                <w:lang w:val="en-GB"/>
              </w:rPr>
              <w:t>c</w:t>
            </w:r>
          </w:p>
        </w:tc>
        <w:tc>
          <w:tcPr>
            <w:tcW w:w="1849" w:type="dxa"/>
          </w:tcPr>
          <w:p w:rsidR="003912F2" w:rsidRDefault="003912F2" w:rsidP="003912F2">
            <w:pPr>
              <w:jc w:val="center"/>
              <w:rPr>
                <w:sz w:val="20"/>
                <w:lang w:val="en-GB"/>
              </w:rPr>
            </w:pPr>
            <w:r>
              <w:rPr>
                <w:sz w:val="20"/>
                <w:lang w:val="en-GB"/>
              </w:rPr>
              <w:t>19.7%</w:t>
            </w:r>
          </w:p>
        </w:tc>
        <w:tc>
          <w:tcPr>
            <w:tcW w:w="1849" w:type="dxa"/>
          </w:tcPr>
          <w:p w:rsidR="003912F2" w:rsidRPr="006512FE" w:rsidRDefault="003912F2" w:rsidP="003912F2">
            <w:pPr>
              <w:jc w:val="center"/>
              <w:rPr>
                <w:sz w:val="20"/>
                <w:vertAlign w:val="superscript"/>
                <w:lang w:val="en-GB"/>
              </w:rPr>
            </w:pPr>
            <w:r>
              <w:rPr>
                <w:sz w:val="20"/>
                <w:lang w:val="en-GB"/>
              </w:rPr>
              <w:t>40.3%</w:t>
            </w:r>
            <w:r w:rsidR="006512FE">
              <w:rPr>
                <w:sz w:val="20"/>
                <w:vertAlign w:val="superscript"/>
                <w:lang w:val="en-GB"/>
              </w:rPr>
              <w:t>a</w:t>
            </w:r>
          </w:p>
        </w:tc>
        <w:tc>
          <w:tcPr>
            <w:tcW w:w="1849" w:type="dxa"/>
          </w:tcPr>
          <w:p w:rsidR="003912F2" w:rsidRDefault="003912F2" w:rsidP="003912F2">
            <w:pPr>
              <w:jc w:val="center"/>
              <w:rPr>
                <w:sz w:val="20"/>
                <w:lang w:val="en-GB"/>
              </w:rPr>
            </w:pPr>
            <w:r>
              <w:rPr>
                <w:sz w:val="20"/>
                <w:lang w:val="en-GB"/>
              </w:rPr>
              <w:t>13.2%</w:t>
            </w:r>
          </w:p>
        </w:tc>
      </w:tr>
      <w:tr w:rsidR="003912F2" w:rsidRPr="003912F2" w:rsidTr="003912F2">
        <w:trPr>
          <w:jc w:val="center"/>
        </w:trPr>
        <w:tc>
          <w:tcPr>
            <w:tcW w:w="1848" w:type="dxa"/>
          </w:tcPr>
          <w:p w:rsidR="003912F2" w:rsidRDefault="003912F2" w:rsidP="003912F2">
            <w:pPr>
              <w:jc w:val="center"/>
              <w:rPr>
                <w:sz w:val="20"/>
                <w:lang w:val="en-GB"/>
              </w:rPr>
            </w:pPr>
            <w:r>
              <w:rPr>
                <w:sz w:val="20"/>
                <w:lang w:val="en-GB"/>
              </w:rPr>
              <w:t>Week 26</w:t>
            </w:r>
          </w:p>
        </w:tc>
        <w:tc>
          <w:tcPr>
            <w:tcW w:w="1848" w:type="dxa"/>
          </w:tcPr>
          <w:p w:rsidR="003912F2" w:rsidRPr="006512FE" w:rsidRDefault="003912F2" w:rsidP="003912F2">
            <w:pPr>
              <w:jc w:val="center"/>
              <w:rPr>
                <w:sz w:val="20"/>
                <w:vertAlign w:val="superscript"/>
                <w:lang w:val="en-GB"/>
              </w:rPr>
            </w:pPr>
            <w:r>
              <w:rPr>
                <w:sz w:val="20"/>
                <w:lang w:val="en-GB"/>
              </w:rPr>
              <w:t>31.2%</w:t>
            </w:r>
            <w:r w:rsidR="006512FE">
              <w:rPr>
                <w:sz w:val="20"/>
                <w:vertAlign w:val="superscript"/>
                <w:lang w:val="en-GB"/>
              </w:rPr>
              <w:t>d</w:t>
            </w:r>
          </w:p>
        </w:tc>
        <w:tc>
          <w:tcPr>
            <w:tcW w:w="1849" w:type="dxa"/>
          </w:tcPr>
          <w:p w:rsidR="003912F2" w:rsidRDefault="003912F2" w:rsidP="003912F2">
            <w:pPr>
              <w:jc w:val="center"/>
              <w:rPr>
                <w:sz w:val="20"/>
                <w:lang w:val="en-GB"/>
              </w:rPr>
            </w:pPr>
            <w:r>
              <w:rPr>
                <w:sz w:val="20"/>
                <w:lang w:val="en-GB"/>
              </w:rPr>
              <w:t>14.5%</w:t>
            </w:r>
          </w:p>
        </w:tc>
        <w:tc>
          <w:tcPr>
            <w:tcW w:w="1849" w:type="dxa"/>
          </w:tcPr>
          <w:p w:rsidR="003912F2" w:rsidRPr="006512FE" w:rsidRDefault="003912F2" w:rsidP="003912F2">
            <w:pPr>
              <w:jc w:val="center"/>
              <w:rPr>
                <w:sz w:val="20"/>
                <w:vertAlign w:val="superscript"/>
                <w:lang w:val="en-GB"/>
              </w:rPr>
            </w:pPr>
            <w:r>
              <w:rPr>
                <w:sz w:val="20"/>
                <w:lang w:val="en-GB"/>
              </w:rPr>
              <w:t>37.7%</w:t>
            </w:r>
            <w:r w:rsidR="006512FE">
              <w:rPr>
                <w:sz w:val="20"/>
                <w:vertAlign w:val="superscript"/>
                <w:lang w:val="en-GB"/>
              </w:rPr>
              <w:t>a</w:t>
            </w:r>
          </w:p>
        </w:tc>
        <w:tc>
          <w:tcPr>
            <w:tcW w:w="1849" w:type="dxa"/>
          </w:tcPr>
          <w:p w:rsidR="003912F2" w:rsidRDefault="003912F2" w:rsidP="003912F2">
            <w:pPr>
              <w:jc w:val="center"/>
              <w:rPr>
                <w:sz w:val="20"/>
                <w:lang w:val="en-GB"/>
              </w:rPr>
            </w:pPr>
            <w:r>
              <w:rPr>
                <w:sz w:val="20"/>
                <w:lang w:val="en-GB"/>
              </w:rPr>
              <w:t>13.2%</w:t>
            </w:r>
          </w:p>
        </w:tc>
      </w:tr>
    </w:tbl>
    <w:p w:rsidR="003912F2" w:rsidRPr="00BE55B6" w:rsidRDefault="00BE55B6" w:rsidP="000B5C5A">
      <w:pPr>
        <w:rPr>
          <w:sz w:val="18"/>
          <w:szCs w:val="18"/>
          <w:lang w:val="en-GB"/>
        </w:rPr>
      </w:pPr>
      <w:r w:rsidRPr="00BE55B6">
        <w:rPr>
          <w:sz w:val="18"/>
          <w:szCs w:val="18"/>
          <w:vertAlign w:val="superscript"/>
          <w:lang w:val="en-GB"/>
        </w:rPr>
        <w:t xml:space="preserve">a </w:t>
      </w:r>
      <w:r w:rsidRPr="00BE55B6">
        <w:rPr>
          <w:sz w:val="18"/>
          <w:szCs w:val="18"/>
          <w:lang w:val="en-GB"/>
        </w:rPr>
        <w:t xml:space="preserve">p &lt; 0.001; </w:t>
      </w:r>
      <w:r w:rsidRPr="00BE55B6">
        <w:rPr>
          <w:sz w:val="18"/>
          <w:szCs w:val="18"/>
          <w:vertAlign w:val="superscript"/>
          <w:lang w:val="en-GB"/>
        </w:rPr>
        <w:t>b</w:t>
      </w:r>
      <w:r w:rsidRPr="00BE55B6">
        <w:rPr>
          <w:sz w:val="18"/>
          <w:szCs w:val="18"/>
          <w:lang w:val="en-GB"/>
        </w:rPr>
        <w:t xml:space="preserve"> p = 0.010; </w:t>
      </w:r>
      <w:r w:rsidRPr="00BE55B6">
        <w:rPr>
          <w:sz w:val="18"/>
          <w:szCs w:val="18"/>
          <w:vertAlign w:val="superscript"/>
          <w:lang w:val="en-GB"/>
        </w:rPr>
        <w:t>c</w:t>
      </w:r>
      <w:r w:rsidRPr="00BE55B6">
        <w:rPr>
          <w:sz w:val="18"/>
          <w:szCs w:val="18"/>
          <w:lang w:val="en-GB"/>
        </w:rPr>
        <w:t xml:space="preserve"> p = 0.009; </w:t>
      </w:r>
      <w:r w:rsidRPr="00BE55B6">
        <w:rPr>
          <w:sz w:val="18"/>
          <w:szCs w:val="18"/>
          <w:vertAlign w:val="superscript"/>
          <w:lang w:val="en-GB"/>
        </w:rPr>
        <w:t>d</w:t>
      </w:r>
      <w:r w:rsidRPr="00BE55B6">
        <w:rPr>
          <w:sz w:val="18"/>
          <w:szCs w:val="18"/>
          <w:lang w:val="en-GB"/>
        </w:rPr>
        <w:t xml:space="preserve"> p = 0.014</w:t>
      </w:r>
    </w:p>
    <w:p w:rsidR="00BC1233" w:rsidRPr="009B21B7" w:rsidRDefault="00BC1233" w:rsidP="000B5C5A">
      <w:pPr>
        <w:rPr>
          <w:lang w:val="en-GB"/>
        </w:rPr>
      </w:pPr>
    </w:p>
    <w:p w:rsidR="00B018FD" w:rsidRDefault="006938DF" w:rsidP="006938DF">
      <w:pPr>
        <w:jc w:val="both"/>
        <w:rPr>
          <w:lang w:val="en-GB"/>
        </w:rPr>
      </w:pPr>
      <w:r>
        <w:rPr>
          <w:lang w:val="en-GB"/>
        </w:rPr>
        <w:t xml:space="preserve">The percent of patients requiring escape medications from baseline to week 8 was nearly </w:t>
      </w:r>
    </w:p>
    <w:p w:rsidR="006938DF" w:rsidRDefault="006938DF" w:rsidP="006938DF">
      <w:pPr>
        <w:jc w:val="both"/>
        <w:rPr>
          <w:lang w:val="en-GB"/>
        </w:rPr>
      </w:pPr>
      <w:r>
        <w:rPr>
          <w:lang w:val="en-GB"/>
        </w:rPr>
        <w:t>3-fold less with OZURDEX</w:t>
      </w:r>
      <w:r w:rsidRPr="008B410C">
        <w:rPr>
          <w:vertAlign w:val="superscript"/>
          <w:lang w:val="en-GB"/>
        </w:rPr>
        <w:t>®</w:t>
      </w:r>
      <w:r>
        <w:rPr>
          <w:lang w:val="en-GB"/>
        </w:rPr>
        <w:t xml:space="preserve"> (7.8%) compared to Sham (22.4%), p=0.012.</w:t>
      </w:r>
    </w:p>
    <w:p w:rsidR="00257353" w:rsidRDefault="00257353" w:rsidP="00843810">
      <w:pPr>
        <w:jc w:val="both"/>
        <w:rPr>
          <w:rFonts w:ascii="Times" w:hAnsi="Times"/>
          <w:b/>
          <w:lang w:val="en-GB"/>
        </w:rPr>
      </w:pPr>
    </w:p>
    <w:p w:rsidR="0088143C" w:rsidRDefault="0088143C" w:rsidP="00BE741B">
      <w:pPr>
        <w:pStyle w:val="Heading1"/>
      </w:pPr>
      <w:r>
        <w:t>INDICATIONS</w:t>
      </w:r>
    </w:p>
    <w:p w:rsidR="00257353" w:rsidRDefault="00E00F1C" w:rsidP="00843810">
      <w:pPr>
        <w:jc w:val="both"/>
      </w:pPr>
      <w:r w:rsidRPr="00A92186">
        <w:t>OZURDEX</w:t>
      </w:r>
      <w:r w:rsidRPr="00A92186">
        <w:rPr>
          <w:vertAlign w:val="superscript"/>
        </w:rPr>
        <w:t>®</w:t>
      </w:r>
      <w:r w:rsidR="001D459B" w:rsidRPr="00A92186">
        <w:t xml:space="preserve"> is indicated for the treatment of</w:t>
      </w:r>
      <w:r w:rsidR="00257353">
        <w:t>:</w:t>
      </w:r>
    </w:p>
    <w:p w:rsidR="0088143C" w:rsidRPr="00257353" w:rsidRDefault="00257353" w:rsidP="00257353">
      <w:pPr>
        <w:pStyle w:val="ListParagraph"/>
        <w:numPr>
          <w:ilvl w:val="0"/>
          <w:numId w:val="12"/>
        </w:numPr>
        <w:jc w:val="both"/>
        <w:rPr>
          <w:rFonts w:ascii="Times" w:hAnsi="Times"/>
          <w:lang w:val="en-GB"/>
        </w:rPr>
      </w:pPr>
      <w:r>
        <w:t>D</w:t>
      </w:r>
      <w:r w:rsidR="001D459B" w:rsidRPr="00A92186">
        <w:t xml:space="preserve">iabetic macular </w:t>
      </w:r>
      <w:r w:rsidR="003470A0" w:rsidRPr="00A92186">
        <w:t>o</w:t>
      </w:r>
      <w:r w:rsidR="005166A6" w:rsidRPr="00A92186">
        <w:t>edema</w:t>
      </w:r>
      <w:r w:rsidR="001D459B" w:rsidRPr="00703ED2">
        <w:t xml:space="preserve"> (DME)</w:t>
      </w:r>
      <w:r w:rsidR="0088143C" w:rsidRPr="00257353">
        <w:rPr>
          <w:rFonts w:ascii="Times" w:hAnsi="Times"/>
          <w:lang w:val="en-GB"/>
        </w:rPr>
        <w:t>.</w:t>
      </w:r>
    </w:p>
    <w:p w:rsidR="00A5768A" w:rsidRPr="00257353" w:rsidRDefault="003B3A28" w:rsidP="00257353">
      <w:pPr>
        <w:pStyle w:val="ListParagraph"/>
        <w:numPr>
          <w:ilvl w:val="0"/>
          <w:numId w:val="12"/>
        </w:numPr>
        <w:jc w:val="both"/>
        <w:rPr>
          <w:rFonts w:ascii="Times" w:hAnsi="Times"/>
          <w:lang w:val="en-GB"/>
        </w:rPr>
      </w:pPr>
      <w:r>
        <w:rPr>
          <w:rFonts w:ascii="Times" w:hAnsi="Times"/>
          <w:lang w:val="en-GB"/>
        </w:rPr>
        <w:t>M</w:t>
      </w:r>
      <w:r w:rsidR="00A5768A" w:rsidRPr="00257353">
        <w:rPr>
          <w:rFonts w:ascii="Times" w:hAnsi="Times"/>
          <w:lang w:val="en-GB"/>
        </w:rPr>
        <w:t>acular oedema due to Branch Retinal Vein Occlusion (BRVO) or Central Retinal Vein Occlusion (CRVO).</w:t>
      </w:r>
    </w:p>
    <w:p w:rsidR="00A5768A" w:rsidRPr="00257353" w:rsidRDefault="00257353" w:rsidP="00257353">
      <w:pPr>
        <w:pStyle w:val="ListParagraph"/>
        <w:numPr>
          <w:ilvl w:val="0"/>
          <w:numId w:val="12"/>
        </w:numPr>
        <w:jc w:val="both"/>
        <w:rPr>
          <w:strike/>
        </w:rPr>
      </w:pPr>
      <w:r>
        <w:rPr>
          <w:rFonts w:ascii="Times" w:hAnsi="Times"/>
          <w:lang w:val="en-GB"/>
        </w:rPr>
        <w:t>N</w:t>
      </w:r>
      <w:r w:rsidR="00A5768A" w:rsidRPr="00257353">
        <w:rPr>
          <w:rFonts w:ascii="Times" w:hAnsi="Times"/>
          <w:lang w:val="en-GB"/>
        </w:rPr>
        <w:t xml:space="preserve">on-infectious uveitis affecting the posterior segment of the </w:t>
      </w:r>
      <w:r w:rsidR="004C14DA">
        <w:rPr>
          <w:rFonts w:ascii="Times" w:hAnsi="Times"/>
          <w:lang w:val="en-GB"/>
        </w:rPr>
        <w:t>eye.</w:t>
      </w:r>
    </w:p>
    <w:p w:rsidR="005B4969" w:rsidRDefault="005B4969" w:rsidP="00843810">
      <w:pPr>
        <w:jc w:val="both"/>
        <w:rPr>
          <w:rFonts w:ascii="Times" w:hAnsi="Times"/>
          <w:b/>
          <w:lang w:val="en-GB"/>
        </w:rPr>
      </w:pPr>
    </w:p>
    <w:p w:rsidR="0088143C" w:rsidRDefault="0088143C" w:rsidP="00BE741B">
      <w:pPr>
        <w:pStyle w:val="Heading1"/>
      </w:pPr>
      <w:r>
        <w:t>CONTRAINDICATIONS</w:t>
      </w:r>
    </w:p>
    <w:p w:rsidR="007208FE" w:rsidRDefault="00E00F1C" w:rsidP="00843810">
      <w:pPr>
        <w:jc w:val="both"/>
      </w:pPr>
      <w:r>
        <w:t>OZURDEX</w:t>
      </w:r>
      <w:r w:rsidRPr="00E00F1C">
        <w:rPr>
          <w:vertAlign w:val="superscript"/>
        </w:rPr>
        <w:t>®</w:t>
      </w:r>
      <w:r w:rsidR="007208FE">
        <w:t xml:space="preserve"> is contraindicated in the following:</w:t>
      </w:r>
    </w:p>
    <w:p w:rsidR="007208FE" w:rsidRPr="00063050" w:rsidRDefault="007208FE" w:rsidP="00097BB4">
      <w:pPr>
        <w:pStyle w:val="ListBullet"/>
        <w:numPr>
          <w:ilvl w:val="0"/>
          <w:numId w:val="11"/>
        </w:numPr>
        <w:adjustRightInd w:val="0"/>
        <w:spacing w:line="240" w:lineRule="auto"/>
        <w:jc w:val="both"/>
      </w:pPr>
      <w:r>
        <w:t>patients with active or suspected ocular or periocular infection, including most viral diseases of the cornea and conjunctiva, including active epithelial herpes simplex keratitis (dendritic keratitis), vaccinia, varicella, mycobacterial infections, and fungal diseases</w:t>
      </w:r>
    </w:p>
    <w:p w:rsidR="007208FE" w:rsidRDefault="007208FE" w:rsidP="00843810">
      <w:pPr>
        <w:pStyle w:val="ListBullet"/>
        <w:numPr>
          <w:ilvl w:val="0"/>
          <w:numId w:val="11"/>
        </w:numPr>
        <w:adjustRightInd w:val="0"/>
        <w:jc w:val="both"/>
      </w:pPr>
      <w:r>
        <w:t>patients with advanced glaucoma</w:t>
      </w:r>
    </w:p>
    <w:p w:rsidR="007208FE" w:rsidRPr="003B50CF" w:rsidRDefault="007208FE" w:rsidP="00097BB4">
      <w:pPr>
        <w:pStyle w:val="ListBullet"/>
        <w:numPr>
          <w:ilvl w:val="0"/>
          <w:numId w:val="11"/>
        </w:numPr>
        <w:adjustRightInd w:val="0"/>
        <w:spacing w:line="240" w:lineRule="auto"/>
        <w:jc w:val="both"/>
      </w:pPr>
      <w:proofErr w:type="spellStart"/>
      <w:r w:rsidRPr="003B50CF">
        <w:t>aphakic</w:t>
      </w:r>
      <w:proofErr w:type="spellEnd"/>
      <w:r w:rsidRPr="003B50CF">
        <w:t xml:space="preserve"> eyes with rupture of the posterior lens capsule  </w:t>
      </w:r>
    </w:p>
    <w:p w:rsidR="007208FE" w:rsidRPr="003B50CF" w:rsidRDefault="007208FE" w:rsidP="00097BB4">
      <w:pPr>
        <w:pStyle w:val="ListBullet"/>
        <w:numPr>
          <w:ilvl w:val="0"/>
          <w:numId w:val="11"/>
        </w:numPr>
        <w:adjustRightInd w:val="0"/>
        <w:spacing w:line="240" w:lineRule="auto"/>
        <w:jc w:val="both"/>
      </w:pPr>
      <w:r w:rsidRPr="003B50CF">
        <w:t xml:space="preserve">eyes with </w:t>
      </w:r>
      <w:r w:rsidR="009328BD" w:rsidRPr="003B50CF">
        <w:t xml:space="preserve">an </w:t>
      </w:r>
      <w:r w:rsidR="007251F5" w:rsidRPr="003B50CF">
        <w:t>anterior chamber intraocular lens (</w:t>
      </w:r>
      <w:r w:rsidRPr="003B50CF">
        <w:t>ACIOL</w:t>
      </w:r>
      <w:r w:rsidR="007251F5" w:rsidRPr="003B50CF">
        <w:t>)</w:t>
      </w:r>
      <w:r w:rsidR="00F42046" w:rsidRPr="003B50CF">
        <w:t xml:space="preserve">, iris or transscleral fixated IOLs, </w:t>
      </w:r>
      <w:r w:rsidRPr="003B50CF">
        <w:t xml:space="preserve"> and rupture of the posterior lens capsule </w:t>
      </w:r>
    </w:p>
    <w:p w:rsidR="0088143C" w:rsidRPr="003B50CF" w:rsidRDefault="007208FE" w:rsidP="00097BB4">
      <w:pPr>
        <w:pStyle w:val="ListBullet"/>
        <w:numPr>
          <w:ilvl w:val="0"/>
          <w:numId w:val="11"/>
        </w:numPr>
        <w:adjustRightInd w:val="0"/>
        <w:spacing w:line="240" w:lineRule="auto"/>
        <w:jc w:val="both"/>
      </w:pPr>
      <w:r w:rsidRPr="003B50CF">
        <w:t>patients with hypersensitivity to dexamethasone or to any other components of the product</w:t>
      </w:r>
      <w:r w:rsidR="00620437">
        <w:t>.</w:t>
      </w:r>
      <w:r w:rsidRPr="003B50CF">
        <w:t xml:space="preserve"> </w:t>
      </w:r>
    </w:p>
    <w:p w:rsidR="00FB110D" w:rsidRDefault="00FB110D" w:rsidP="00843810">
      <w:pPr>
        <w:jc w:val="both"/>
        <w:rPr>
          <w:rFonts w:ascii="Times" w:hAnsi="Times"/>
          <w:b/>
          <w:lang w:val="en-GB"/>
        </w:rPr>
      </w:pPr>
    </w:p>
    <w:p w:rsidR="0088143C" w:rsidRDefault="0088143C" w:rsidP="00BE741B">
      <w:pPr>
        <w:pStyle w:val="Heading1"/>
      </w:pPr>
      <w:r>
        <w:t>PRECAUTIONS</w:t>
      </w:r>
    </w:p>
    <w:p w:rsidR="00843810" w:rsidRPr="00C04A8C" w:rsidRDefault="00843810" w:rsidP="00843810">
      <w:pPr>
        <w:jc w:val="both"/>
      </w:pPr>
      <w:r>
        <w:t xml:space="preserve">Treatment with </w:t>
      </w:r>
      <w:r w:rsidR="00E00F1C">
        <w:t>OZURDEX</w:t>
      </w:r>
      <w:r w:rsidR="00E00F1C" w:rsidRPr="00E00F1C">
        <w:rPr>
          <w:vertAlign w:val="superscript"/>
        </w:rPr>
        <w:t>®</w:t>
      </w:r>
      <w:r>
        <w:t xml:space="preserve"> </w:t>
      </w:r>
      <w:r w:rsidRPr="00C04A8C">
        <w:t>is for intravitreal injection only.</w:t>
      </w:r>
    </w:p>
    <w:p w:rsidR="00843810" w:rsidRDefault="00843810" w:rsidP="00843810">
      <w:pPr>
        <w:jc w:val="both"/>
      </w:pPr>
    </w:p>
    <w:p w:rsidR="00BA0FB3" w:rsidRDefault="00843810" w:rsidP="002A2032">
      <w:pPr>
        <w:jc w:val="both"/>
      </w:pPr>
      <w:r w:rsidRPr="007142A5">
        <w:t>Intravitre</w:t>
      </w:r>
      <w:r>
        <w:t>al</w:t>
      </w:r>
      <w:r w:rsidRPr="007142A5">
        <w:t xml:space="preserve"> injections</w:t>
      </w:r>
      <w:r>
        <w:t xml:space="preserve">, including those with </w:t>
      </w:r>
      <w:r w:rsidR="00E00F1C">
        <w:t>OZURDEX</w:t>
      </w:r>
      <w:r w:rsidR="00E00F1C" w:rsidRPr="00E00F1C">
        <w:rPr>
          <w:vertAlign w:val="superscript"/>
        </w:rPr>
        <w:t>®</w:t>
      </w:r>
      <w:r>
        <w:t>,</w:t>
      </w:r>
      <w:r w:rsidRPr="007142A5">
        <w:t xml:space="preserve"> have been associated with endophthalmitis, intraocular inflammation, </w:t>
      </w:r>
      <w:r>
        <w:t xml:space="preserve">increased IOP, and </w:t>
      </w:r>
      <w:r w:rsidRPr="007142A5">
        <w:t>retinal detachment.</w:t>
      </w:r>
      <w:r>
        <w:t xml:space="preserve"> </w:t>
      </w:r>
    </w:p>
    <w:p w:rsidR="00F04E0D" w:rsidRDefault="00F04E0D" w:rsidP="002A2032">
      <w:pPr>
        <w:jc w:val="both"/>
        <w:rPr>
          <w:b/>
        </w:rPr>
      </w:pPr>
    </w:p>
    <w:p w:rsidR="00BA0FB3" w:rsidRPr="00BA0FB3" w:rsidRDefault="00BA0FB3" w:rsidP="002A2032">
      <w:pPr>
        <w:jc w:val="both"/>
        <w:rPr>
          <w:b/>
        </w:rPr>
      </w:pPr>
      <w:r w:rsidRPr="00BA0FB3">
        <w:rPr>
          <w:b/>
        </w:rPr>
        <w:t>Monitoring:</w:t>
      </w:r>
    </w:p>
    <w:p w:rsidR="002A2032" w:rsidRDefault="00843810" w:rsidP="002A2032">
      <w:pPr>
        <w:jc w:val="both"/>
      </w:pPr>
      <w:r w:rsidRPr="007142A5">
        <w:t>Proper aseptic injection techniques must always be used.</w:t>
      </w:r>
      <w:r>
        <w:t xml:space="preserve"> </w:t>
      </w:r>
      <w:r w:rsidRPr="007142A5">
        <w:t xml:space="preserve">In addition, </w:t>
      </w:r>
      <w:r>
        <w:t>p</w:t>
      </w:r>
      <w:r w:rsidRPr="007142A5">
        <w:t>atients should be monitored following the injection to permit early treatment if an infection</w:t>
      </w:r>
      <w:r>
        <w:t xml:space="preserve"> or increased IOP </w:t>
      </w:r>
      <w:r w:rsidRPr="007142A5">
        <w:t xml:space="preserve">occur. </w:t>
      </w:r>
      <w:r w:rsidR="002A2032">
        <w:t xml:space="preserve">Monitoring may consist of a check for perfusion of the optic nerve head immediately after the injection, tonometry within 30 minutes following the injection, and </w:t>
      </w:r>
      <w:proofErr w:type="spellStart"/>
      <w:r w:rsidR="002A2032">
        <w:t>biomicroscopy</w:t>
      </w:r>
      <w:proofErr w:type="spellEnd"/>
      <w:r w:rsidR="002A2032">
        <w:t xml:space="preserve"> between two and seven days following the injection.</w:t>
      </w:r>
    </w:p>
    <w:p w:rsidR="002A2032" w:rsidRDefault="002A2032" w:rsidP="00843810">
      <w:pPr>
        <w:jc w:val="both"/>
      </w:pPr>
    </w:p>
    <w:p w:rsidR="00843810" w:rsidRDefault="00843810" w:rsidP="00843810">
      <w:pPr>
        <w:jc w:val="both"/>
      </w:pPr>
      <w:r w:rsidRPr="007142A5">
        <w:t>Patients should be instructed to report any symptoms suggestive of endophthalmitis or any of the above</w:t>
      </w:r>
      <w:r>
        <w:t>-</w:t>
      </w:r>
      <w:r w:rsidRPr="007142A5">
        <w:t>mentioned events without delay.</w:t>
      </w:r>
    </w:p>
    <w:p w:rsidR="00843810" w:rsidRDefault="00843810" w:rsidP="00843810">
      <w:pPr>
        <w:jc w:val="both"/>
      </w:pPr>
    </w:p>
    <w:p w:rsidR="0025383B" w:rsidRPr="0025383B" w:rsidRDefault="0025383B" w:rsidP="00097BB4">
      <w:pPr>
        <w:jc w:val="both"/>
        <w:rPr>
          <w:b/>
        </w:rPr>
      </w:pPr>
      <w:r w:rsidRPr="0025383B">
        <w:rPr>
          <w:b/>
        </w:rPr>
        <w:t>Risk of Implant Migration:</w:t>
      </w:r>
    </w:p>
    <w:p w:rsidR="00843810" w:rsidRPr="003B50CF" w:rsidRDefault="00843810" w:rsidP="00097BB4">
      <w:pPr>
        <w:jc w:val="both"/>
      </w:pPr>
      <w:r>
        <w:t xml:space="preserve">Patients </w:t>
      </w:r>
      <w:r w:rsidR="00F42046">
        <w:t>who had a tear in the posterior lens capsule (e.g. due to cataract surgery), or who</w:t>
      </w:r>
      <w:r w:rsidR="00AB2339">
        <w:t xml:space="preserve"> had an iris opening to the vitr</w:t>
      </w:r>
      <w:r w:rsidR="00F42046">
        <w:t>eous cavity (e.g. due to iridectomy)</w:t>
      </w:r>
      <w:r>
        <w:t xml:space="preserve"> are at risk of implant migration into the anterior chamber. </w:t>
      </w:r>
      <w:r w:rsidR="00F42046">
        <w:t xml:space="preserve">Implant migration </w:t>
      </w:r>
      <w:r w:rsidR="008E5DF4">
        <w:t>in</w:t>
      </w:r>
      <w:r w:rsidR="00F42046">
        <w:t xml:space="preserve">to </w:t>
      </w:r>
      <w:r w:rsidR="008E5DF4">
        <w:t xml:space="preserve">the </w:t>
      </w:r>
      <w:r w:rsidR="00F42046">
        <w:t xml:space="preserve">anterior chamber might lead to corneal oedema. Persistent severe corneal oedema could progress to the need </w:t>
      </w:r>
      <w:r w:rsidR="008E5DF4">
        <w:t xml:space="preserve">for </w:t>
      </w:r>
      <w:r w:rsidR="00F42046">
        <w:t xml:space="preserve">corneal </w:t>
      </w:r>
      <w:r w:rsidR="00F42046">
        <w:lastRenderedPageBreak/>
        <w:t xml:space="preserve">transplantation. </w:t>
      </w:r>
      <w:r>
        <w:t xml:space="preserve">Regular monitoring of such patients allows for early diagnosis </w:t>
      </w:r>
      <w:r w:rsidR="00F42046">
        <w:t xml:space="preserve">and </w:t>
      </w:r>
      <w:r w:rsidR="00F42046" w:rsidRPr="003B50CF">
        <w:t xml:space="preserve">management </w:t>
      </w:r>
      <w:r w:rsidRPr="003B50CF">
        <w:t>of device migration</w:t>
      </w:r>
      <w:r w:rsidR="00120465" w:rsidRPr="003B50CF">
        <w:t>.</w:t>
      </w:r>
      <w:r w:rsidRPr="003B50CF">
        <w:t xml:space="preserve"> </w:t>
      </w:r>
    </w:p>
    <w:p w:rsidR="00843810" w:rsidRDefault="00843810" w:rsidP="00843810">
      <w:pPr>
        <w:jc w:val="both"/>
      </w:pPr>
    </w:p>
    <w:p w:rsidR="0025383B" w:rsidRPr="0025383B" w:rsidRDefault="0025383B" w:rsidP="00843810">
      <w:pPr>
        <w:jc w:val="both"/>
        <w:rPr>
          <w:b/>
        </w:rPr>
      </w:pPr>
      <w:r w:rsidRPr="0025383B">
        <w:rPr>
          <w:b/>
        </w:rPr>
        <w:t>Potential Steroid-related Effects:</w:t>
      </w:r>
    </w:p>
    <w:p w:rsidR="00843810" w:rsidRDefault="00843810" w:rsidP="00843810">
      <w:pPr>
        <w:jc w:val="both"/>
      </w:pPr>
      <w:r w:rsidRPr="001E2B03">
        <w:t>Use of corticosteroids</w:t>
      </w:r>
      <w:r w:rsidR="00F42046">
        <w:t>, including OZURDEX</w:t>
      </w:r>
      <w:r w:rsidR="00F42046" w:rsidRPr="00A03CAA">
        <w:rPr>
          <w:vertAlign w:val="superscript"/>
        </w:rPr>
        <w:t>®</w:t>
      </w:r>
      <w:r w:rsidR="00F42046">
        <w:t>, have been associated with</w:t>
      </w:r>
      <w:r w:rsidRPr="001E2B03">
        <w:t xml:space="preserve"> posterior </w:t>
      </w:r>
      <w:r>
        <w:t>subcapsular cataracts, increased IOP, glaucoma</w:t>
      </w:r>
      <w:r w:rsidRPr="001E2B03">
        <w:t>, and may enhance the establishment of secondary ocular infections</w:t>
      </w:r>
      <w:r>
        <w:t xml:space="preserve"> due to bacteria, fungi, or viruses</w:t>
      </w:r>
      <w:r w:rsidRPr="001E2B03">
        <w:t>.</w:t>
      </w:r>
      <w:r>
        <w:t xml:space="preserve"> </w:t>
      </w:r>
    </w:p>
    <w:p w:rsidR="002A2032" w:rsidRDefault="002A2032" w:rsidP="00843810">
      <w:pPr>
        <w:jc w:val="both"/>
      </w:pPr>
    </w:p>
    <w:p w:rsidR="00BA0FB3" w:rsidRPr="00BA0FB3" w:rsidRDefault="00BA0FB3" w:rsidP="00843810">
      <w:pPr>
        <w:jc w:val="both"/>
        <w:rPr>
          <w:b/>
        </w:rPr>
      </w:pPr>
      <w:r w:rsidRPr="00BA0FB3">
        <w:rPr>
          <w:b/>
        </w:rPr>
        <w:t>Cataract</w:t>
      </w:r>
      <w:r>
        <w:rPr>
          <w:b/>
        </w:rPr>
        <w:t>:</w:t>
      </w:r>
    </w:p>
    <w:p w:rsidR="0045768C" w:rsidRPr="0045768C" w:rsidRDefault="00D82AE1" w:rsidP="00142CBD">
      <w:pPr>
        <w:pStyle w:val="Default"/>
        <w:jc w:val="both"/>
      </w:pPr>
      <w:r>
        <w:rPr>
          <w:szCs w:val="20"/>
          <w:lang w:val="en-GB"/>
        </w:rPr>
        <w:t xml:space="preserve">The incidence of cataract increases after multiple corticosteroid injections. </w:t>
      </w:r>
    </w:p>
    <w:p w:rsidR="00142CBD" w:rsidRDefault="00142CBD" w:rsidP="00142CBD">
      <w:pPr>
        <w:pStyle w:val="Default"/>
        <w:jc w:val="both"/>
      </w:pPr>
    </w:p>
    <w:p w:rsidR="00BA0FB3" w:rsidRPr="00BA0FB3" w:rsidRDefault="00BA0FB3" w:rsidP="00142CBD">
      <w:pPr>
        <w:pStyle w:val="Default"/>
        <w:jc w:val="both"/>
        <w:rPr>
          <w:b/>
        </w:rPr>
      </w:pPr>
      <w:r w:rsidRPr="00BA0FB3">
        <w:rPr>
          <w:b/>
        </w:rPr>
        <w:t>IOP</w:t>
      </w:r>
      <w:r w:rsidR="000D0EE3">
        <w:rPr>
          <w:b/>
        </w:rPr>
        <w:t xml:space="preserve"> Increase:</w:t>
      </w:r>
    </w:p>
    <w:p w:rsidR="00E00F1C" w:rsidRDefault="002A2032" w:rsidP="00843810">
      <w:pPr>
        <w:jc w:val="both"/>
      </w:pPr>
      <w:r>
        <w:t xml:space="preserve">As expected with ocular steroid treatment and intravitreal injections, IOP increases may be seen. The rise in IOP is normally manageable with IOP lowering medication (see </w:t>
      </w:r>
      <w:r w:rsidRPr="002A2032">
        <w:rPr>
          <w:b/>
        </w:rPr>
        <w:t>ADVERSE EFFECTS</w:t>
      </w:r>
      <w:r>
        <w:t>). Of the patients experiencing an increase of IOP of ≥10 mmHg from baseline, the greatest proportion showed this IOP increase between 45 and 60 days following an injection. Therefore, regular monitoring of IOP, irrespective of baseline IOP, is required and any elevation should be managed appropriately post-injection as needed.</w:t>
      </w:r>
      <w:r w:rsidR="001E342E">
        <w:t xml:space="preserve"> </w:t>
      </w:r>
      <w:r w:rsidR="001E342E" w:rsidRPr="001E342E">
        <w:rPr>
          <w:lang w:val="en-GB"/>
        </w:rPr>
        <w:t xml:space="preserve">Patients of less than 45 years of age with macular oedema following </w:t>
      </w:r>
      <w:r w:rsidR="001E342E">
        <w:rPr>
          <w:lang w:val="en-GB"/>
        </w:rPr>
        <w:t>RVO</w:t>
      </w:r>
      <w:r w:rsidR="001E342E" w:rsidRPr="001E342E">
        <w:rPr>
          <w:lang w:val="en-GB"/>
        </w:rPr>
        <w:t xml:space="preserve"> or non-infectious uveitis</w:t>
      </w:r>
      <w:r w:rsidR="001E342E">
        <w:rPr>
          <w:lang w:val="en-GB"/>
        </w:rPr>
        <w:t xml:space="preserve"> affecting the posterior segment of the ey</w:t>
      </w:r>
      <w:r w:rsidR="006C1E8E">
        <w:rPr>
          <w:lang w:val="en-GB"/>
        </w:rPr>
        <w:t>e</w:t>
      </w:r>
      <w:r w:rsidR="001E342E">
        <w:rPr>
          <w:lang w:val="en-GB"/>
        </w:rPr>
        <w:t>s</w:t>
      </w:r>
      <w:r w:rsidR="001E342E" w:rsidRPr="001E342E">
        <w:rPr>
          <w:lang w:val="en-GB"/>
        </w:rPr>
        <w:t xml:space="preserve"> are more likely </w:t>
      </w:r>
      <w:r w:rsidR="001E342E">
        <w:rPr>
          <w:lang w:val="en-GB"/>
        </w:rPr>
        <w:t>to experience increases in IOP.</w:t>
      </w:r>
    </w:p>
    <w:p w:rsidR="00070ADF" w:rsidRDefault="00070ADF" w:rsidP="00843810">
      <w:pPr>
        <w:jc w:val="both"/>
      </w:pPr>
    </w:p>
    <w:p w:rsidR="00070ADF" w:rsidRPr="00070ADF" w:rsidRDefault="00070ADF" w:rsidP="00843810">
      <w:pPr>
        <w:jc w:val="both"/>
        <w:rPr>
          <w:b/>
          <w:u w:val="single"/>
        </w:rPr>
      </w:pPr>
      <w:r w:rsidRPr="00070ADF">
        <w:rPr>
          <w:b/>
          <w:u w:val="single"/>
        </w:rPr>
        <w:t xml:space="preserve">Ocular </w:t>
      </w:r>
      <w:r>
        <w:rPr>
          <w:b/>
          <w:u w:val="single"/>
        </w:rPr>
        <w:t>H</w:t>
      </w:r>
      <w:r w:rsidRPr="00070ADF">
        <w:rPr>
          <w:b/>
          <w:u w:val="single"/>
        </w:rPr>
        <w:t>erpes Simplex:</w:t>
      </w:r>
    </w:p>
    <w:p w:rsidR="00843810" w:rsidRDefault="00843810" w:rsidP="00843810">
      <w:pPr>
        <w:jc w:val="both"/>
      </w:pPr>
      <w:r w:rsidRPr="0080479D">
        <w:t>Corticosteroids should be used cautiously in patients with a history of ocular herpes simplex. Corticosteroids should not be used in active ocular herpes simplex.</w:t>
      </w:r>
    </w:p>
    <w:p w:rsidR="00146E64" w:rsidRDefault="00146E64" w:rsidP="00843810">
      <w:pPr>
        <w:jc w:val="both"/>
      </w:pPr>
    </w:p>
    <w:p w:rsidR="00146E64" w:rsidRDefault="00146E64" w:rsidP="00843810">
      <w:pPr>
        <w:jc w:val="both"/>
      </w:pPr>
      <w:r>
        <w:t>The safety and efficacy of OZURDEX</w:t>
      </w:r>
      <w:r w:rsidRPr="004073EE">
        <w:rPr>
          <w:vertAlign w:val="superscript"/>
        </w:rPr>
        <w:t>®</w:t>
      </w:r>
      <w:r>
        <w:t xml:space="preserve"> administered to both eyes </w:t>
      </w:r>
      <w:r w:rsidR="0062661D">
        <w:t>on the same day has not been studied</w:t>
      </w:r>
      <w:r>
        <w:t>.</w:t>
      </w:r>
    </w:p>
    <w:p w:rsidR="002A2032" w:rsidRDefault="002A2032" w:rsidP="00843810">
      <w:pPr>
        <w:jc w:val="both"/>
      </w:pPr>
    </w:p>
    <w:p w:rsidR="002A2032" w:rsidRDefault="002A2032" w:rsidP="008D1722">
      <w:pPr>
        <w:autoSpaceDE w:val="0"/>
        <w:autoSpaceDN w:val="0"/>
        <w:adjustRightInd w:val="0"/>
        <w:jc w:val="both"/>
        <w:rPr>
          <w:szCs w:val="24"/>
          <w:lang w:val="en-US"/>
        </w:rPr>
      </w:pPr>
      <w:r w:rsidRPr="009E70B1">
        <w:rPr>
          <w:szCs w:val="24"/>
          <w:lang w:val="en-US"/>
        </w:rPr>
        <w:t xml:space="preserve">A limited number of subjects with Type 1 diabetes were investigated </w:t>
      </w:r>
      <w:r w:rsidR="009E70B1">
        <w:rPr>
          <w:szCs w:val="24"/>
          <w:lang w:val="en-US"/>
        </w:rPr>
        <w:t xml:space="preserve">in the Phase 3 </w:t>
      </w:r>
      <w:r w:rsidR="008E5DF4">
        <w:rPr>
          <w:szCs w:val="24"/>
          <w:lang w:val="en-US"/>
        </w:rPr>
        <w:t xml:space="preserve">DME </w:t>
      </w:r>
      <w:r w:rsidR="009E70B1">
        <w:rPr>
          <w:szCs w:val="24"/>
          <w:lang w:val="en-US"/>
        </w:rPr>
        <w:t>studies, and the response to OZURDEX</w:t>
      </w:r>
      <w:r w:rsidR="009E70B1" w:rsidRPr="009E70B1">
        <w:rPr>
          <w:szCs w:val="24"/>
          <w:vertAlign w:val="superscript"/>
          <w:lang w:val="en-US"/>
        </w:rPr>
        <w:t>®</w:t>
      </w:r>
      <w:r w:rsidRPr="009E70B1">
        <w:rPr>
          <w:szCs w:val="24"/>
          <w:lang w:val="en-US"/>
        </w:rPr>
        <w:t xml:space="preserve"> in these subjects was not significan</w:t>
      </w:r>
      <w:r w:rsidR="009E70B1">
        <w:rPr>
          <w:szCs w:val="24"/>
          <w:lang w:val="en-US"/>
        </w:rPr>
        <w:t xml:space="preserve">tly different to those </w:t>
      </w:r>
      <w:r w:rsidRPr="009E70B1">
        <w:rPr>
          <w:szCs w:val="24"/>
          <w:lang w:val="en-US"/>
        </w:rPr>
        <w:t>subjects with Type 2</w:t>
      </w:r>
      <w:r w:rsidR="009E70B1">
        <w:rPr>
          <w:szCs w:val="24"/>
          <w:lang w:val="en-US"/>
        </w:rPr>
        <w:t xml:space="preserve"> </w:t>
      </w:r>
      <w:r w:rsidRPr="009E70B1">
        <w:rPr>
          <w:szCs w:val="24"/>
          <w:lang w:val="en-US"/>
        </w:rPr>
        <w:t>diabetes</w:t>
      </w:r>
      <w:r w:rsidR="009E70B1">
        <w:rPr>
          <w:szCs w:val="24"/>
          <w:lang w:val="en-US"/>
        </w:rPr>
        <w:t>.</w:t>
      </w:r>
    </w:p>
    <w:p w:rsidR="009E70B1" w:rsidRDefault="009E70B1" w:rsidP="009E70B1">
      <w:pPr>
        <w:autoSpaceDE w:val="0"/>
        <w:autoSpaceDN w:val="0"/>
        <w:adjustRightInd w:val="0"/>
        <w:rPr>
          <w:szCs w:val="24"/>
          <w:lang w:val="en-US"/>
        </w:rPr>
      </w:pPr>
    </w:p>
    <w:p w:rsidR="00BA0FB3" w:rsidRPr="00BA0FB3" w:rsidRDefault="00BA0FB3" w:rsidP="009E70B1">
      <w:pPr>
        <w:autoSpaceDE w:val="0"/>
        <w:autoSpaceDN w:val="0"/>
        <w:adjustRightInd w:val="0"/>
        <w:rPr>
          <w:b/>
          <w:szCs w:val="24"/>
          <w:lang w:val="en-US"/>
        </w:rPr>
      </w:pPr>
      <w:r w:rsidRPr="00BA0FB3">
        <w:rPr>
          <w:b/>
          <w:szCs w:val="24"/>
          <w:lang w:val="en-US"/>
        </w:rPr>
        <w:t>Anti-coagulant Therapy:</w:t>
      </w:r>
    </w:p>
    <w:p w:rsidR="007F0C54" w:rsidRDefault="009E70B1" w:rsidP="007F0C54">
      <w:pPr>
        <w:autoSpaceDE w:val="0"/>
        <w:autoSpaceDN w:val="0"/>
        <w:adjustRightInd w:val="0"/>
        <w:jc w:val="both"/>
        <w:rPr>
          <w:szCs w:val="24"/>
          <w:lang w:val="en-US"/>
        </w:rPr>
      </w:pPr>
      <w:r w:rsidRPr="009E70B1">
        <w:rPr>
          <w:szCs w:val="24"/>
          <w:lang w:val="en-US"/>
        </w:rPr>
        <w:t>In DME, ant</w:t>
      </w:r>
      <w:r>
        <w:rPr>
          <w:szCs w:val="24"/>
          <w:lang w:val="en-US"/>
        </w:rPr>
        <w:t xml:space="preserve">i-coagulant therapy was used in </w:t>
      </w:r>
      <w:r w:rsidRPr="009E70B1">
        <w:rPr>
          <w:szCs w:val="24"/>
          <w:lang w:val="en-US"/>
        </w:rPr>
        <w:t xml:space="preserve">8% of patients. Among patients who used anti-coagulant therapy, the frequency of </w:t>
      </w:r>
      <w:proofErr w:type="spellStart"/>
      <w:r w:rsidRPr="009E70B1">
        <w:rPr>
          <w:szCs w:val="24"/>
          <w:lang w:val="en-US"/>
        </w:rPr>
        <w:t>haemorrhagic</w:t>
      </w:r>
      <w:proofErr w:type="spellEnd"/>
      <w:r>
        <w:rPr>
          <w:szCs w:val="24"/>
          <w:lang w:val="en-US"/>
        </w:rPr>
        <w:t xml:space="preserve"> </w:t>
      </w:r>
      <w:r w:rsidRPr="009E70B1">
        <w:rPr>
          <w:szCs w:val="24"/>
          <w:lang w:val="en-US"/>
        </w:rPr>
        <w:t>ad</w:t>
      </w:r>
      <w:r>
        <w:rPr>
          <w:szCs w:val="24"/>
          <w:lang w:val="en-US"/>
        </w:rPr>
        <w:t xml:space="preserve">verse events was similar in the </w:t>
      </w:r>
      <w:r w:rsidRPr="009E70B1">
        <w:rPr>
          <w:szCs w:val="24"/>
          <w:lang w:val="en-US"/>
        </w:rPr>
        <w:t>OZURDEX</w:t>
      </w:r>
      <w:r w:rsidRPr="009E70B1">
        <w:rPr>
          <w:szCs w:val="24"/>
          <w:vertAlign w:val="superscript"/>
          <w:lang w:val="en-US"/>
        </w:rPr>
        <w:t>®</w:t>
      </w:r>
      <w:r w:rsidRPr="009E70B1">
        <w:rPr>
          <w:szCs w:val="24"/>
          <w:lang w:val="en-US"/>
        </w:rPr>
        <w:t xml:space="preserve"> and </w:t>
      </w:r>
      <w:r w:rsidR="0074333A">
        <w:rPr>
          <w:szCs w:val="24"/>
          <w:lang w:val="en-US"/>
        </w:rPr>
        <w:t>S</w:t>
      </w:r>
      <w:r w:rsidRPr="009E70B1">
        <w:rPr>
          <w:szCs w:val="24"/>
          <w:lang w:val="en-US"/>
        </w:rPr>
        <w:t>ham groups (29% vs 32%). Among patients who</w:t>
      </w:r>
      <w:r>
        <w:rPr>
          <w:szCs w:val="24"/>
          <w:lang w:val="en-US"/>
        </w:rPr>
        <w:t xml:space="preserve"> </w:t>
      </w:r>
      <w:r w:rsidRPr="009E70B1">
        <w:rPr>
          <w:szCs w:val="24"/>
          <w:lang w:val="en-US"/>
        </w:rPr>
        <w:t>did not use anti-coagulant therapy, 27% of OZURDEX</w:t>
      </w:r>
      <w:r w:rsidRPr="009E70B1">
        <w:rPr>
          <w:szCs w:val="24"/>
          <w:vertAlign w:val="superscript"/>
          <w:lang w:val="en-US"/>
        </w:rPr>
        <w:t>®</w:t>
      </w:r>
      <w:r w:rsidRPr="009E70B1">
        <w:rPr>
          <w:szCs w:val="24"/>
          <w:lang w:val="en-US"/>
        </w:rPr>
        <w:t xml:space="preserve"> treated patients reported </w:t>
      </w:r>
      <w:proofErr w:type="spellStart"/>
      <w:r w:rsidRPr="009E70B1">
        <w:rPr>
          <w:szCs w:val="24"/>
          <w:lang w:val="en-US"/>
        </w:rPr>
        <w:t>haemorrhagic</w:t>
      </w:r>
      <w:proofErr w:type="spellEnd"/>
      <w:r w:rsidRPr="009E70B1">
        <w:rPr>
          <w:szCs w:val="24"/>
          <w:lang w:val="en-US"/>
        </w:rPr>
        <w:t xml:space="preserve"> adverse</w:t>
      </w:r>
      <w:r>
        <w:rPr>
          <w:szCs w:val="24"/>
          <w:lang w:val="en-US"/>
        </w:rPr>
        <w:t xml:space="preserve"> </w:t>
      </w:r>
      <w:r w:rsidRPr="009E70B1">
        <w:rPr>
          <w:szCs w:val="24"/>
          <w:lang w:val="en-US"/>
        </w:rPr>
        <w:t xml:space="preserve">events compared to 20% in the </w:t>
      </w:r>
      <w:r w:rsidR="0074333A">
        <w:rPr>
          <w:szCs w:val="24"/>
          <w:lang w:val="en-US"/>
        </w:rPr>
        <w:t>S</w:t>
      </w:r>
      <w:r w:rsidRPr="009E70B1">
        <w:rPr>
          <w:szCs w:val="24"/>
          <w:lang w:val="en-US"/>
        </w:rPr>
        <w:t xml:space="preserve">ham group. Vitreous </w:t>
      </w:r>
      <w:proofErr w:type="spellStart"/>
      <w:r w:rsidRPr="009E70B1">
        <w:rPr>
          <w:szCs w:val="24"/>
          <w:lang w:val="en-US"/>
        </w:rPr>
        <w:t>haemorrhage</w:t>
      </w:r>
      <w:proofErr w:type="spellEnd"/>
      <w:r w:rsidRPr="009E70B1">
        <w:rPr>
          <w:szCs w:val="24"/>
          <w:lang w:val="en-US"/>
        </w:rPr>
        <w:t xml:space="preserve"> was reported in a higher</w:t>
      </w:r>
      <w:r>
        <w:rPr>
          <w:szCs w:val="24"/>
          <w:lang w:val="en-US"/>
        </w:rPr>
        <w:t xml:space="preserve"> </w:t>
      </w:r>
      <w:r w:rsidRPr="009E70B1">
        <w:rPr>
          <w:szCs w:val="24"/>
          <w:lang w:val="en-US"/>
        </w:rPr>
        <w:t>proportion of patients treated with OZURDEX</w:t>
      </w:r>
      <w:r w:rsidRPr="007F0C54">
        <w:rPr>
          <w:szCs w:val="24"/>
          <w:vertAlign w:val="superscript"/>
          <w:lang w:val="en-US"/>
        </w:rPr>
        <w:t>®</w:t>
      </w:r>
      <w:r w:rsidRPr="009E70B1">
        <w:rPr>
          <w:szCs w:val="24"/>
          <w:lang w:val="en-US"/>
        </w:rPr>
        <w:t xml:space="preserve"> who received anti-coagulant therapy (11%) compared</w:t>
      </w:r>
      <w:r>
        <w:rPr>
          <w:szCs w:val="24"/>
          <w:lang w:val="en-US"/>
        </w:rPr>
        <w:t xml:space="preserve"> </w:t>
      </w:r>
      <w:r w:rsidRPr="009E70B1">
        <w:rPr>
          <w:szCs w:val="24"/>
          <w:lang w:val="en-US"/>
        </w:rPr>
        <w:t>with those not receiving anti</w:t>
      </w:r>
      <w:r w:rsidR="0074333A">
        <w:rPr>
          <w:szCs w:val="24"/>
          <w:lang w:val="en-US"/>
        </w:rPr>
        <w:t>-</w:t>
      </w:r>
      <w:r w:rsidRPr="009E70B1">
        <w:rPr>
          <w:szCs w:val="24"/>
          <w:lang w:val="en-US"/>
        </w:rPr>
        <w:t>coagulant therapy (6%).</w:t>
      </w:r>
      <w:r>
        <w:rPr>
          <w:szCs w:val="24"/>
          <w:lang w:val="en-US"/>
        </w:rPr>
        <w:t xml:space="preserve"> </w:t>
      </w:r>
    </w:p>
    <w:p w:rsidR="007F0C54" w:rsidRDefault="007F0C54" w:rsidP="007F0C54">
      <w:pPr>
        <w:autoSpaceDE w:val="0"/>
        <w:autoSpaceDN w:val="0"/>
        <w:adjustRightInd w:val="0"/>
        <w:jc w:val="both"/>
        <w:rPr>
          <w:szCs w:val="24"/>
          <w:lang w:val="en-US"/>
        </w:rPr>
      </w:pPr>
    </w:p>
    <w:p w:rsidR="00BA0FB3" w:rsidRDefault="00BA0FB3" w:rsidP="00BA0FB3">
      <w:pPr>
        <w:autoSpaceDE w:val="0"/>
        <w:autoSpaceDN w:val="0"/>
        <w:adjustRightInd w:val="0"/>
        <w:jc w:val="both"/>
        <w:rPr>
          <w:szCs w:val="24"/>
          <w:lang w:val="en-US"/>
        </w:rPr>
      </w:pPr>
      <w:r>
        <w:rPr>
          <w:szCs w:val="24"/>
          <w:lang w:val="en-US"/>
        </w:rPr>
        <w:t>In RVO1 and RVO2, anti-coagulant therapy was used in 2% of patients receiving OZURDEX</w:t>
      </w:r>
      <w:r w:rsidRPr="008B410C">
        <w:rPr>
          <w:szCs w:val="24"/>
          <w:vertAlign w:val="superscript"/>
          <w:lang w:val="en-US"/>
        </w:rPr>
        <w:t>®</w:t>
      </w:r>
      <w:r>
        <w:rPr>
          <w:szCs w:val="24"/>
          <w:lang w:val="en-US"/>
        </w:rPr>
        <w:t xml:space="preserve">; there were no reports of </w:t>
      </w:r>
      <w:proofErr w:type="spellStart"/>
      <w:r>
        <w:rPr>
          <w:szCs w:val="24"/>
          <w:lang w:val="en-US"/>
        </w:rPr>
        <w:t>haemorrhagic</w:t>
      </w:r>
      <w:proofErr w:type="spellEnd"/>
      <w:r>
        <w:rPr>
          <w:szCs w:val="24"/>
          <w:lang w:val="en-US"/>
        </w:rPr>
        <w:t xml:space="preserve"> adverse events in these patients.</w:t>
      </w:r>
    </w:p>
    <w:p w:rsidR="00BA0FB3" w:rsidRDefault="00BA0FB3" w:rsidP="007F0C54">
      <w:pPr>
        <w:autoSpaceDE w:val="0"/>
        <w:autoSpaceDN w:val="0"/>
        <w:adjustRightInd w:val="0"/>
        <w:jc w:val="both"/>
        <w:rPr>
          <w:szCs w:val="24"/>
          <w:lang w:val="en-US"/>
        </w:rPr>
      </w:pPr>
    </w:p>
    <w:p w:rsidR="00BA0FB3" w:rsidRPr="00BA0FB3" w:rsidRDefault="00BA0FB3" w:rsidP="007F0C54">
      <w:pPr>
        <w:autoSpaceDE w:val="0"/>
        <w:autoSpaceDN w:val="0"/>
        <w:adjustRightInd w:val="0"/>
        <w:jc w:val="both"/>
        <w:rPr>
          <w:b/>
          <w:szCs w:val="24"/>
          <w:lang w:val="en-US"/>
        </w:rPr>
      </w:pPr>
      <w:r w:rsidRPr="00BA0FB3">
        <w:rPr>
          <w:b/>
          <w:szCs w:val="24"/>
          <w:lang w:val="en-US"/>
        </w:rPr>
        <w:t xml:space="preserve">Anti-platelet </w:t>
      </w:r>
      <w:r w:rsidR="00F963E5" w:rsidRPr="00BA0FB3">
        <w:rPr>
          <w:b/>
          <w:szCs w:val="24"/>
          <w:lang w:val="en-US"/>
        </w:rPr>
        <w:t>Therapy</w:t>
      </w:r>
      <w:r w:rsidRPr="00BA0FB3">
        <w:rPr>
          <w:b/>
          <w:szCs w:val="24"/>
          <w:lang w:val="en-US"/>
        </w:rPr>
        <w:t>:</w:t>
      </w:r>
    </w:p>
    <w:p w:rsidR="00142CBD" w:rsidRDefault="009E70B1" w:rsidP="007F0C54">
      <w:pPr>
        <w:autoSpaceDE w:val="0"/>
        <w:autoSpaceDN w:val="0"/>
        <w:adjustRightInd w:val="0"/>
        <w:jc w:val="both"/>
        <w:rPr>
          <w:szCs w:val="24"/>
          <w:lang w:val="en-US"/>
        </w:rPr>
      </w:pPr>
      <w:r w:rsidRPr="009E70B1">
        <w:rPr>
          <w:szCs w:val="24"/>
          <w:lang w:val="en-US"/>
        </w:rPr>
        <w:t xml:space="preserve">Anti-platelet medicinal products, such as </w:t>
      </w:r>
      <w:proofErr w:type="spellStart"/>
      <w:r w:rsidRPr="009E70B1">
        <w:rPr>
          <w:szCs w:val="24"/>
          <w:lang w:val="en-US"/>
        </w:rPr>
        <w:t>clopidogrel</w:t>
      </w:r>
      <w:proofErr w:type="spellEnd"/>
      <w:r w:rsidRPr="009E70B1">
        <w:rPr>
          <w:szCs w:val="24"/>
          <w:lang w:val="en-US"/>
        </w:rPr>
        <w:t>, were used at some stage during the clinical</w:t>
      </w:r>
      <w:r>
        <w:rPr>
          <w:szCs w:val="24"/>
          <w:lang w:val="en-US"/>
        </w:rPr>
        <w:t xml:space="preserve"> </w:t>
      </w:r>
      <w:r w:rsidRPr="009E70B1">
        <w:rPr>
          <w:szCs w:val="24"/>
          <w:lang w:val="en-US"/>
        </w:rPr>
        <w:t>studies in up to 56% of patients. For patients using concomitant and anti-platelet medication,</w:t>
      </w:r>
      <w:r>
        <w:rPr>
          <w:szCs w:val="24"/>
          <w:lang w:val="en-US"/>
        </w:rPr>
        <w:t xml:space="preserve"> </w:t>
      </w:r>
      <w:proofErr w:type="spellStart"/>
      <w:r w:rsidRPr="009E70B1">
        <w:rPr>
          <w:szCs w:val="24"/>
          <w:lang w:val="en-US"/>
        </w:rPr>
        <w:t>h</w:t>
      </w:r>
      <w:r>
        <w:rPr>
          <w:szCs w:val="24"/>
          <w:lang w:val="en-US"/>
        </w:rPr>
        <w:t>aemorrhagic</w:t>
      </w:r>
      <w:proofErr w:type="spellEnd"/>
      <w:r>
        <w:rPr>
          <w:szCs w:val="24"/>
          <w:lang w:val="en-US"/>
        </w:rPr>
        <w:t xml:space="preserve"> adverse events were </w:t>
      </w:r>
      <w:r w:rsidRPr="009E70B1">
        <w:rPr>
          <w:szCs w:val="24"/>
          <w:lang w:val="en-US"/>
        </w:rPr>
        <w:t>reported in a slightly higher proportion of patients injected with</w:t>
      </w:r>
      <w:r>
        <w:rPr>
          <w:szCs w:val="24"/>
          <w:lang w:val="en-US"/>
        </w:rPr>
        <w:t xml:space="preserve"> </w:t>
      </w:r>
      <w:r w:rsidRPr="009E70B1">
        <w:rPr>
          <w:szCs w:val="24"/>
          <w:lang w:val="en-US"/>
        </w:rPr>
        <w:t>OZURDEX</w:t>
      </w:r>
      <w:r w:rsidRPr="007F0C54">
        <w:rPr>
          <w:szCs w:val="24"/>
          <w:vertAlign w:val="superscript"/>
          <w:lang w:val="en-US"/>
        </w:rPr>
        <w:t>®</w:t>
      </w:r>
      <w:r w:rsidRPr="009E70B1">
        <w:rPr>
          <w:szCs w:val="24"/>
          <w:lang w:val="en-US"/>
        </w:rPr>
        <w:t xml:space="preserve"> (up to 29%) compared with the </w:t>
      </w:r>
      <w:r w:rsidR="0074333A">
        <w:rPr>
          <w:szCs w:val="24"/>
          <w:lang w:val="en-US"/>
        </w:rPr>
        <w:t>S</w:t>
      </w:r>
      <w:r w:rsidRPr="009E70B1">
        <w:rPr>
          <w:szCs w:val="24"/>
          <w:lang w:val="en-US"/>
        </w:rPr>
        <w:t xml:space="preserve">ham group (up to 23%), </w:t>
      </w:r>
      <w:r w:rsidRPr="009E70B1">
        <w:rPr>
          <w:szCs w:val="24"/>
          <w:lang w:val="en-US"/>
        </w:rPr>
        <w:lastRenderedPageBreak/>
        <w:t>irrespective of indication or</w:t>
      </w:r>
      <w:r>
        <w:rPr>
          <w:szCs w:val="24"/>
          <w:lang w:val="en-US"/>
        </w:rPr>
        <w:t xml:space="preserve"> number of </w:t>
      </w:r>
      <w:r w:rsidRPr="009E70B1">
        <w:rPr>
          <w:szCs w:val="24"/>
          <w:lang w:val="en-US"/>
        </w:rPr>
        <w:t xml:space="preserve">treatments. The most common </w:t>
      </w:r>
      <w:proofErr w:type="spellStart"/>
      <w:r w:rsidRPr="009E70B1">
        <w:rPr>
          <w:szCs w:val="24"/>
          <w:lang w:val="en-US"/>
        </w:rPr>
        <w:t>haemorrhagic</w:t>
      </w:r>
      <w:proofErr w:type="spellEnd"/>
      <w:r w:rsidRPr="009E70B1">
        <w:rPr>
          <w:szCs w:val="24"/>
          <w:lang w:val="en-US"/>
        </w:rPr>
        <w:t xml:space="preserve"> adverse event reported was conjunctival</w:t>
      </w:r>
      <w:r>
        <w:rPr>
          <w:szCs w:val="24"/>
          <w:lang w:val="en-US"/>
        </w:rPr>
        <w:t xml:space="preserve"> </w:t>
      </w:r>
      <w:proofErr w:type="spellStart"/>
      <w:r>
        <w:rPr>
          <w:szCs w:val="24"/>
          <w:lang w:val="en-US"/>
        </w:rPr>
        <w:t>haemorrhage</w:t>
      </w:r>
      <w:proofErr w:type="spellEnd"/>
      <w:r>
        <w:rPr>
          <w:szCs w:val="24"/>
          <w:lang w:val="en-US"/>
        </w:rPr>
        <w:t xml:space="preserve"> (up to 24%). </w:t>
      </w:r>
    </w:p>
    <w:p w:rsidR="0074333A" w:rsidRDefault="0074333A" w:rsidP="007F0C54">
      <w:pPr>
        <w:autoSpaceDE w:val="0"/>
        <w:autoSpaceDN w:val="0"/>
        <w:adjustRightInd w:val="0"/>
        <w:jc w:val="both"/>
        <w:rPr>
          <w:szCs w:val="24"/>
          <w:lang w:val="en-US"/>
        </w:rPr>
      </w:pPr>
    </w:p>
    <w:p w:rsidR="00D82AE1" w:rsidRPr="009E70B1" w:rsidRDefault="009E70B1" w:rsidP="007F0C54">
      <w:pPr>
        <w:autoSpaceDE w:val="0"/>
        <w:autoSpaceDN w:val="0"/>
        <w:adjustRightInd w:val="0"/>
        <w:jc w:val="both"/>
        <w:rPr>
          <w:szCs w:val="24"/>
          <w:lang w:val="en-US"/>
        </w:rPr>
      </w:pPr>
      <w:r w:rsidRPr="009E70B1">
        <w:rPr>
          <w:szCs w:val="24"/>
          <w:lang w:val="en-US"/>
        </w:rPr>
        <w:t>OZURDEX</w:t>
      </w:r>
      <w:r w:rsidRPr="009E70B1">
        <w:rPr>
          <w:szCs w:val="24"/>
          <w:vertAlign w:val="superscript"/>
          <w:lang w:val="en-US"/>
        </w:rPr>
        <w:t>®</w:t>
      </w:r>
      <w:r w:rsidRPr="009E70B1">
        <w:rPr>
          <w:szCs w:val="24"/>
          <w:lang w:val="en-US"/>
        </w:rPr>
        <w:t xml:space="preserve"> should be used with caution in patients taking anti-coagulant or anti-platelet medicinal</w:t>
      </w:r>
      <w:r>
        <w:rPr>
          <w:szCs w:val="24"/>
          <w:lang w:val="en-US"/>
        </w:rPr>
        <w:t xml:space="preserve"> </w:t>
      </w:r>
      <w:r w:rsidRPr="009E70B1">
        <w:rPr>
          <w:szCs w:val="24"/>
          <w:lang w:val="en-US"/>
        </w:rPr>
        <w:t>products</w:t>
      </w:r>
      <w:r>
        <w:rPr>
          <w:szCs w:val="24"/>
          <w:lang w:val="en-US"/>
        </w:rPr>
        <w:t>.</w:t>
      </w:r>
    </w:p>
    <w:p w:rsidR="00212A30" w:rsidRDefault="00212A30" w:rsidP="007F0C54">
      <w:pPr>
        <w:jc w:val="both"/>
        <w:rPr>
          <w:rFonts w:ascii="Times" w:hAnsi="Times"/>
          <w:b/>
          <w:lang w:val="en-GB"/>
        </w:rPr>
      </w:pPr>
    </w:p>
    <w:p w:rsidR="005166A6" w:rsidRDefault="005166A6" w:rsidP="007F0C54">
      <w:pPr>
        <w:ind w:right="1700"/>
        <w:jc w:val="both"/>
        <w:rPr>
          <w:b/>
          <w:position w:val="4"/>
          <w:lang w:val="en-GB"/>
        </w:rPr>
      </w:pPr>
      <w:r>
        <w:rPr>
          <w:b/>
          <w:position w:val="4"/>
          <w:lang w:val="en-GB"/>
        </w:rPr>
        <w:t xml:space="preserve">Effects </w:t>
      </w:r>
      <w:r w:rsidR="00FB110D">
        <w:rPr>
          <w:b/>
          <w:position w:val="4"/>
          <w:lang w:val="en-GB"/>
        </w:rPr>
        <w:t xml:space="preserve">on </w:t>
      </w:r>
      <w:r>
        <w:rPr>
          <w:b/>
          <w:position w:val="4"/>
          <w:lang w:val="en-GB"/>
        </w:rPr>
        <w:t>Fertility:</w:t>
      </w:r>
    </w:p>
    <w:p w:rsidR="005166A6" w:rsidRDefault="007F0C54" w:rsidP="007F0C54">
      <w:pPr>
        <w:ind w:right="8"/>
        <w:jc w:val="both"/>
        <w:rPr>
          <w:position w:val="4"/>
          <w:lang w:val="en-GB"/>
        </w:rPr>
      </w:pPr>
      <w:r>
        <w:rPr>
          <w:position w:val="4"/>
          <w:lang w:val="en-GB"/>
        </w:rPr>
        <w:t>There are no fertility data available</w:t>
      </w:r>
      <w:r w:rsidR="005166A6" w:rsidRPr="005166A6">
        <w:rPr>
          <w:position w:val="4"/>
          <w:lang w:val="en-GB"/>
        </w:rPr>
        <w:t>.</w:t>
      </w:r>
      <w:r w:rsidR="00C657EA" w:rsidRPr="00C657EA">
        <w:t xml:space="preserve"> </w:t>
      </w:r>
    </w:p>
    <w:p w:rsidR="00E00F1C" w:rsidRDefault="00E00F1C" w:rsidP="00843810">
      <w:pPr>
        <w:ind w:right="1700"/>
        <w:jc w:val="both"/>
        <w:rPr>
          <w:b/>
          <w:position w:val="4"/>
          <w:lang w:val="en-GB"/>
        </w:rPr>
      </w:pPr>
    </w:p>
    <w:p w:rsidR="005166A6" w:rsidRDefault="005166A6" w:rsidP="00843810">
      <w:pPr>
        <w:ind w:right="1700"/>
        <w:jc w:val="both"/>
        <w:rPr>
          <w:b/>
          <w:position w:val="4"/>
          <w:lang w:val="en-GB"/>
        </w:rPr>
      </w:pPr>
      <w:r>
        <w:rPr>
          <w:b/>
          <w:position w:val="4"/>
          <w:lang w:val="en-GB"/>
        </w:rPr>
        <w:t>Use in Pregnancy:</w:t>
      </w:r>
    </w:p>
    <w:p w:rsidR="005166A6" w:rsidRDefault="002F700D" w:rsidP="00843810">
      <w:pPr>
        <w:ind w:right="1700"/>
        <w:jc w:val="both"/>
        <w:rPr>
          <w:position w:val="4"/>
          <w:lang w:val="en-GB"/>
        </w:rPr>
      </w:pPr>
      <w:r>
        <w:rPr>
          <w:position w:val="4"/>
          <w:lang w:val="en-GB"/>
        </w:rPr>
        <w:t xml:space="preserve">Category </w:t>
      </w:r>
      <w:r w:rsidR="005166A6">
        <w:rPr>
          <w:position w:val="4"/>
          <w:lang w:val="en-GB"/>
        </w:rPr>
        <w:t>B3.</w:t>
      </w:r>
    </w:p>
    <w:p w:rsidR="005166A6" w:rsidRPr="007F0C54" w:rsidRDefault="007F0C54" w:rsidP="007F0C54">
      <w:pPr>
        <w:autoSpaceDE w:val="0"/>
        <w:autoSpaceDN w:val="0"/>
        <w:adjustRightInd w:val="0"/>
        <w:jc w:val="both"/>
        <w:rPr>
          <w:szCs w:val="24"/>
          <w:lang w:val="en-US"/>
        </w:rPr>
      </w:pPr>
      <w:r w:rsidRPr="007F0C54">
        <w:rPr>
          <w:szCs w:val="24"/>
          <w:lang w:val="en-US"/>
        </w:rPr>
        <w:t>Studies in animals have shown teratogenic effects following topical ophthalmic administration. There are no adequate data from the use of intravitreally administered dexamethasone in</w:t>
      </w:r>
      <w:r>
        <w:rPr>
          <w:szCs w:val="24"/>
          <w:lang w:val="en-US"/>
        </w:rPr>
        <w:t xml:space="preserve"> </w:t>
      </w:r>
      <w:r w:rsidRPr="007F0C54">
        <w:rPr>
          <w:szCs w:val="24"/>
          <w:lang w:val="en-US"/>
        </w:rPr>
        <w:t>pregnant women. Long-term systemic treatment with glucocorticoids during pregnancy increases the</w:t>
      </w:r>
      <w:r>
        <w:rPr>
          <w:szCs w:val="24"/>
          <w:lang w:val="en-US"/>
        </w:rPr>
        <w:t xml:space="preserve"> </w:t>
      </w:r>
      <w:r w:rsidRPr="007F0C54">
        <w:rPr>
          <w:szCs w:val="24"/>
          <w:lang w:val="en-US"/>
        </w:rPr>
        <w:t>risk for intra-uterine growth retardation and adrenal insufficiency of the newborn child. Therefore,</w:t>
      </w:r>
      <w:r>
        <w:rPr>
          <w:szCs w:val="24"/>
          <w:lang w:val="en-US"/>
        </w:rPr>
        <w:t xml:space="preserve"> </w:t>
      </w:r>
      <w:r w:rsidRPr="007F0C54">
        <w:rPr>
          <w:szCs w:val="24"/>
          <w:lang w:val="en-US"/>
        </w:rPr>
        <w:t>although the systemic exposure of dexamethasone would be expected to be very low after local,</w:t>
      </w:r>
      <w:r>
        <w:rPr>
          <w:szCs w:val="24"/>
          <w:lang w:val="en-US"/>
        </w:rPr>
        <w:t xml:space="preserve"> </w:t>
      </w:r>
      <w:r w:rsidRPr="007F0C54">
        <w:rPr>
          <w:szCs w:val="24"/>
          <w:lang w:val="en-US"/>
        </w:rPr>
        <w:t>intraocular treatment, OZURDEX</w:t>
      </w:r>
      <w:r w:rsidRPr="007F0C54">
        <w:rPr>
          <w:szCs w:val="24"/>
          <w:vertAlign w:val="superscript"/>
          <w:lang w:val="en-US"/>
        </w:rPr>
        <w:t>®</w:t>
      </w:r>
      <w:r w:rsidRPr="007F0C54">
        <w:rPr>
          <w:szCs w:val="24"/>
          <w:lang w:val="en-US"/>
        </w:rPr>
        <w:t xml:space="preserve"> is not recommended during pregnancy unless the potential benefit</w:t>
      </w:r>
      <w:r>
        <w:rPr>
          <w:szCs w:val="24"/>
          <w:lang w:val="en-US"/>
        </w:rPr>
        <w:t xml:space="preserve"> </w:t>
      </w:r>
      <w:r w:rsidRPr="007F0C54">
        <w:rPr>
          <w:szCs w:val="24"/>
          <w:lang w:val="en-US"/>
        </w:rPr>
        <w:t xml:space="preserve">justifies the potential risk to the </w:t>
      </w:r>
      <w:proofErr w:type="spellStart"/>
      <w:r w:rsidRPr="007F0C54">
        <w:rPr>
          <w:szCs w:val="24"/>
          <w:lang w:val="en-US"/>
        </w:rPr>
        <w:t>foetus</w:t>
      </w:r>
      <w:proofErr w:type="spellEnd"/>
      <w:r w:rsidR="008B410C">
        <w:rPr>
          <w:szCs w:val="24"/>
          <w:lang w:val="en-US"/>
        </w:rPr>
        <w:t>.</w:t>
      </w:r>
    </w:p>
    <w:p w:rsidR="00A85D8D" w:rsidRDefault="00A85D8D" w:rsidP="00A85D8D">
      <w:pPr>
        <w:ind w:right="8"/>
        <w:jc w:val="both"/>
        <w:rPr>
          <w:position w:val="4"/>
          <w:lang w:val="en-GB"/>
        </w:rPr>
      </w:pPr>
    </w:p>
    <w:p w:rsidR="00A85D8D" w:rsidRPr="00C657EA" w:rsidRDefault="00A85D8D" w:rsidP="00A85D8D">
      <w:pPr>
        <w:ind w:right="8"/>
        <w:jc w:val="both"/>
        <w:rPr>
          <w:b/>
          <w:position w:val="4"/>
          <w:lang w:val="en-GB"/>
        </w:rPr>
      </w:pPr>
      <w:r w:rsidRPr="00C657EA">
        <w:rPr>
          <w:b/>
          <w:position w:val="4"/>
          <w:lang w:val="en-GB"/>
        </w:rPr>
        <w:t>Use in Lactation:</w:t>
      </w:r>
    </w:p>
    <w:p w:rsidR="00A85D8D" w:rsidRPr="007F0C54" w:rsidRDefault="008E5DF4" w:rsidP="004369AE">
      <w:pPr>
        <w:autoSpaceDE w:val="0"/>
        <w:autoSpaceDN w:val="0"/>
        <w:adjustRightInd w:val="0"/>
        <w:jc w:val="both"/>
        <w:rPr>
          <w:szCs w:val="24"/>
          <w:lang w:val="en-US"/>
        </w:rPr>
      </w:pPr>
      <w:r>
        <w:rPr>
          <w:szCs w:val="24"/>
          <w:lang w:val="en-US"/>
        </w:rPr>
        <w:t>Dexamethasone is excreted in breast milk. No effects on the child are anticipated due to the route of administration and the resulting systemic levels. OZURDEX</w:t>
      </w:r>
      <w:r w:rsidRPr="008E5DF4">
        <w:rPr>
          <w:szCs w:val="24"/>
          <w:vertAlign w:val="superscript"/>
          <w:lang w:val="en-US"/>
        </w:rPr>
        <w:t>®</w:t>
      </w:r>
      <w:r>
        <w:rPr>
          <w:szCs w:val="24"/>
          <w:lang w:val="en-US"/>
        </w:rPr>
        <w:t xml:space="preserve"> should not be used by a breastfeeding women unless clearly necessary.</w:t>
      </w:r>
    </w:p>
    <w:p w:rsidR="00C657EA" w:rsidRDefault="00C657EA" w:rsidP="00A85D8D">
      <w:pPr>
        <w:ind w:right="8"/>
        <w:jc w:val="both"/>
        <w:rPr>
          <w:position w:val="4"/>
          <w:lang w:val="en-GB"/>
        </w:rPr>
      </w:pPr>
    </w:p>
    <w:p w:rsidR="00C657EA" w:rsidRPr="00C657EA" w:rsidRDefault="00C657EA" w:rsidP="00A85D8D">
      <w:pPr>
        <w:ind w:right="8"/>
        <w:jc w:val="both"/>
        <w:rPr>
          <w:b/>
          <w:position w:val="4"/>
          <w:lang w:val="en-GB"/>
        </w:rPr>
      </w:pPr>
      <w:r w:rsidRPr="00C657EA">
        <w:rPr>
          <w:b/>
          <w:position w:val="4"/>
          <w:lang w:val="en-GB"/>
        </w:rPr>
        <w:t>Paediatric Use:</w:t>
      </w:r>
    </w:p>
    <w:p w:rsidR="00C657EA" w:rsidRDefault="00C657EA" w:rsidP="00A85D8D">
      <w:pPr>
        <w:ind w:right="8"/>
        <w:jc w:val="both"/>
        <w:rPr>
          <w:position w:val="4"/>
          <w:lang w:val="en-GB"/>
        </w:rPr>
      </w:pPr>
      <w:r>
        <w:rPr>
          <w:position w:val="4"/>
          <w:lang w:val="en-GB"/>
        </w:rPr>
        <w:t>The safety and efficacy of OZURDEX</w:t>
      </w:r>
      <w:r w:rsidRPr="00E00F1C">
        <w:rPr>
          <w:position w:val="4"/>
          <w:vertAlign w:val="superscript"/>
          <w:lang w:val="en-GB"/>
        </w:rPr>
        <w:t>®</w:t>
      </w:r>
      <w:r>
        <w:rPr>
          <w:position w:val="4"/>
          <w:lang w:val="en-GB"/>
        </w:rPr>
        <w:t xml:space="preserve"> </w:t>
      </w:r>
      <w:r w:rsidR="0010477D">
        <w:rPr>
          <w:position w:val="4"/>
          <w:lang w:val="en-GB"/>
        </w:rPr>
        <w:t xml:space="preserve">in </w:t>
      </w:r>
      <w:r>
        <w:rPr>
          <w:position w:val="4"/>
          <w:lang w:val="en-GB"/>
        </w:rPr>
        <w:t>paediatric patients has not been established.</w:t>
      </w:r>
    </w:p>
    <w:p w:rsidR="00C657EA" w:rsidRDefault="00C657EA" w:rsidP="00A85D8D">
      <w:pPr>
        <w:ind w:right="8"/>
        <w:jc w:val="both"/>
        <w:rPr>
          <w:position w:val="4"/>
          <w:lang w:val="en-GB"/>
        </w:rPr>
      </w:pPr>
    </w:p>
    <w:p w:rsidR="00C657EA" w:rsidRPr="00C657EA" w:rsidRDefault="00C657EA" w:rsidP="00A85D8D">
      <w:pPr>
        <w:ind w:right="8"/>
        <w:jc w:val="both"/>
        <w:rPr>
          <w:b/>
          <w:position w:val="4"/>
          <w:lang w:val="en-GB"/>
        </w:rPr>
      </w:pPr>
      <w:r w:rsidRPr="00C657EA">
        <w:rPr>
          <w:b/>
          <w:position w:val="4"/>
          <w:lang w:val="en-GB"/>
        </w:rPr>
        <w:t>Use in the Elderly:</w:t>
      </w:r>
    </w:p>
    <w:p w:rsidR="00C657EA" w:rsidRDefault="00C657EA" w:rsidP="00A85D8D">
      <w:pPr>
        <w:ind w:right="8"/>
        <w:jc w:val="both"/>
        <w:rPr>
          <w:position w:val="4"/>
          <w:lang w:val="en-GB"/>
        </w:rPr>
      </w:pPr>
      <w:r>
        <w:rPr>
          <w:position w:val="4"/>
          <w:lang w:val="en-GB"/>
        </w:rPr>
        <w:t xml:space="preserve">No overall differences in safety and efficacy have been observed </w:t>
      </w:r>
      <w:r w:rsidR="00326632">
        <w:rPr>
          <w:position w:val="4"/>
          <w:lang w:val="en-GB"/>
        </w:rPr>
        <w:t xml:space="preserve">between </w:t>
      </w:r>
      <w:r>
        <w:rPr>
          <w:position w:val="4"/>
          <w:lang w:val="en-GB"/>
        </w:rPr>
        <w:t>elderly</w:t>
      </w:r>
      <w:r w:rsidR="00097BB4">
        <w:rPr>
          <w:position w:val="4"/>
          <w:lang w:val="en-GB"/>
        </w:rPr>
        <w:t xml:space="preserve"> and younger</w:t>
      </w:r>
      <w:r>
        <w:rPr>
          <w:position w:val="4"/>
          <w:lang w:val="en-GB"/>
        </w:rPr>
        <w:t xml:space="preserve"> patients.</w:t>
      </w:r>
    </w:p>
    <w:p w:rsidR="007F0C54" w:rsidRDefault="007F0C54" w:rsidP="00A85D8D">
      <w:pPr>
        <w:ind w:right="8"/>
        <w:jc w:val="both"/>
        <w:rPr>
          <w:position w:val="4"/>
          <w:lang w:val="en-GB"/>
        </w:rPr>
      </w:pPr>
    </w:p>
    <w:p w:rsidR="007F0C54" w:rsidRPr="007F0C54" w:rsidRDefault="007F0C54" w:rsidP="007F0C54">
      <w:pPr>
        <w:autoSpaceDE w:val="0"/>
        <w:autoSpaceDN w:val="0"/>
        <w:adjustRightInd w:val="0"/>
        <w:jc w:val="both"/>
        <w:rPr>
          <w:b/>
          <w:iCs/>
          <w:szCs w:val="24"/>
          <w:lang w:val="en-US"/>
        </w:rPr>
      </w:pPr>
      <w:r w:rsidRPr="007F0C54">
        <w:rPr>
          <w:b/>
          <w:iCs/>
          <w:szCs w:val="24"/>
          <w:lang w:val="en-US"/>
        </w:rPr>
        <w:t>Renal impairment</w:t>
      </w:r>
    </w:p>
    <w:p w:rsidR="007F0C54" w:rsidRPr="007F0C54" w:rsidRDefault="007F0C54" w:rsidP="007F0C54">
      <w:pPr>
        <w:autoSpaceDE w:val="0"/>
        <w:autoSpaceDN w:val="0"/>
        <w:adjustRightInd w:val="0"/>
        <w:jc w:val="both"/>
        <w:rPr>
          <w:szCs w:val="24"/>
          <w:lang w:val="en-US"/>
        </w:rPr>
      </w:pPr>
      <w:r w:rsidRPr="007F0C54">
        <w:rPr>
          <w:szCs w:val="24"/>
          <w:lang w:val="en-US"/>
        </w:rPr>
        <w:t>OZURDEX</w:t>
      </w:r>
      <w:r w:rsidRPr="007F0C54">
        <w:rPr>
          <w:szCs w:val="24"/>
          <w:vertAlign w:val="superscript"/>
          <w:lang w:val="en-US"/>
        </w:rPr>
        <w:t>®</w:t>
      </w:r>
      <w:r w:rsidRPr="007F0C54">
        <w:rPr>
          <w:szCs w:val="24"/>
          <w:lang w:val="en-US"/>
        </w:rPr>
        <w:t xml:space="preserve"> has not been studied in patients with renal impairment</w:t>
      </w:r>
      <w:r w:rsidR="0010477D">
        <w:rPr>
          <w:szCs w:val="24"/>
          <w:lang w:val="en-US"/>
        </w:rPr>
        <w:t>;</w:t>
      </w:r>
      <w:r w:rsidRPr="007F0C54">
        <w:rPr>
          <w:szCs w:val="24"/>
          <w:lang w:val="en-US"/>
        </w:rPr>
        <w:t xml:space="preserve"> however no special considerations</w:t>
      </w:r>
      <w:r>
        <w:rPr>
          <w:szCs w:val="24"/>
          <w:lang w:val="en-US"/>
        </w:rPr>
        <w:t xml:space="preserve"> </w:t>
      </w:r>
      <w:r w:rsidRPr="007F0C54">
        <w:rPr>
          <w:szCs w:val="24"/>
          <w:lang w:val="en-US"/>
        </w:rPr>
        <w:t>are needed in this population.</w:t>
      </w:r>
    </w:p>
    <w:p w:rsidR="007F0C54" w:rsidRDefault="007F0C54" w:rsidP="007F0C54">
      <w:pPr>
        <w:autoSpaceDE w:val="0"/>
        <w:autoSpaceDN w:val="0"/>
        <w:adjustRightInd w:val="0"/>
        <w:jc w:val="both"/>
        <w:rPr>
          <w:i/>
          <w:iCs/>
          <w:szCs w:val="24"/>
          <w:lang w:val="en-US"/>
        </w:rPr>
      </w:pPr>
    </w:p>
    <w:p w:rsidR="007F0C54" w:rsidRPr="007F0C54" w:rsidRDefault="007F0C54" w:rsidP="007F0C54">
      <w:pPr>
        <w:autoSpaceDE w:val="0"/>
        <w:autoSpaceDN w:val="0"/>
        <w:adjustRightInd w:val="0"/>
        <w:jc w:val="both"/>
        <w:rPr>
          <w:b/>
          <w:iCs/>
          <w:szCs w:val="24"/>
          <w:lang w:val="en-US"/>
        </w:rPr>
      </w:pPr>
      <w:r w:rsidRPr="007F0C54">
        <w:rPr>
          <w:b/>
          <w:iCs/>
          <w:szCs w:val="24"/>
          <w:lang w:val="en-US"/>
        </w:rPr>
        <w:t>Hepatic impairment</w:t>
      </w:r>
    </w:p>
    <w:p w:rsidR="007F0C54" w:rsidRPr="007F0C54" w:rsidRDefault="007F0C54" w:rsidP="007F0C54">
      <w:pPr>
        <w:autoSpaceDE w:val="0"/>
        <w:autoSpaceDN w:val="0"/>
        <w:adjustRightInd w:val="0"/>
        <w:jc w:val="both"/>
        <w:rPr>
          <w:szCs w:val="24"/>
          <w:lang w:val="en-US"/>
        </w:rPr>
      </w:pPr>
      <w:r w:rsidRPr="007F0C54">
        <w:rPr>
          <w:szCs w:val="24"/>
          <w:lang w:val="en-US"/>
        </w:rPr>
        <w:t>OZURDEX</w:t>
      </w:r>
      <w:r w:rsidRPr="007F0C54">
        <w:rPr>
          <w:szCs w:val="24"/>
          <w:vertAlign w:val="superscript"/>
          <w:lang w:val="en-US"/>
        </w:rPr>
        <w:t>®</w:t>
      </w:r>
      <w:r w:rsidRPr="007F0C54">
        <w:rPr>
          <w:szCs w:val="24"/>
          <w:lang w:val="en-US"/>
        </w:rPr>
        <w:t xml:space="preserve"> has not been studied in patients with hepatic impairment; however no special</w:t>
      </w:r>
    </w:p>
    <w:p w:rsidR="007F0C54" w:rsidRPr="007F0C54" w:rsidRDefault="007F0C54" w:rsidP="007F0C54">
      <w:pPr>
        <w:ind w:right="8"/>
        <w:jc w:val="both"/>
        <w:rPr>
          <w:position w:val="4"/>
          <w:szCs w:val="24"/>
          <w:lang w:val="en-GB"/>
        </w:rPr>
      </w:pPr>
      <w:r w:rsidRPr="007F0C54">
        <w:rPr>
          <w:szCs w:val="24"/>
          <w:lang w:val="en-US"/>
        </w:rPr>
        <w:t>considerations are needed in this population</w:t>
      </w:r>
    </w:p>
    <w:p w:rsidR="005D3192" w:rsidRDefault="005D3192" w:rsidP="00843810">
      <w:pPr>
        <w:ind w:right="1700"/>
        <w:jc w:val="both"/>
        <w:rPr>
          <w:b/>
          <w:position w:val="4"/>
          <w:lang w:val="en-GB"/>
        </w:rPr>
      </w:pPr>
    </w:p>
    <w:p w:rsidR="00212A30" w:rsidRDefault="005166A6" w:rsidP="00843810">
      <w:pPr>
        <w:ind w:right="1700"/>
        <w:jc w:val="both"/>
        <w:rPr>
          <w:b/>
          <w:position w:val="4"/>
          <w:lang w:val="en-GB"/>
        </w:rPr>
      </w:pPr>
      <w:r>
        <w:rPr>
          <w:b/>
          <w:position w:val="4"/>
          <w:lang w:val="en-GB"/>
        </w:rPr>
        <w:t>Genotoxicity</w:t>
      </w:r>
      <w:r w:rsidR="00212A30">
        <w:rPr>
          <w:b/>
          <w:position w:val="4"/>
          <w:lang w:val="en-GB"/>
        </w:rPr>
        <w:t>:</w:t>
      </w:r>
    </w:p>
    <w:p w:rsidR="00212A30" w:rsidRPr="007F266C" w:rsidRDefault="007F266C" w:rsidP="007F266C">
      <w:pPr>
        <w:jc w:val="both"/>
        <w:rPr>
          <w:rFonts w:ascii="TimesNewRoman,Bold" w:hAnsi="TimesNewRoman,Bold"/>
        </w:rPr>
      </w:pPr>
      <w:r w:rsidRPr="00A472D6">
        <w:t xml:space="preserve">Studies evaluating </w:t>
      </w:r>
      <w:r w:rsidR="00AF2915">
        <w:t xml:space="preserve">the </w:t>
      </w:r>
      <w:r w:rsidRPr="00A472D6">
        <w:t xml:space="preserve">mutagenic potential of dexamethasone in bacteria and mammalian cells </w:t>
      </w:r>
      <w:r w:rsidRPr="00097BB4">
        <w:rPr>
          <w:i/>
        </w:rPr>
        <w:t>in vitro</w:t>
      </w:r>
      <w:r w:rsidRPr="00A472D6">
        <w:t xml:space="preserve"> have been negative</w:t>
      </w:r>
      <w:r w:rsidRPr="00102129">
        <w:t>.</w:t>
      </w:r>
      <w:r w:rsidR="0010477D">
        <w:t xml:space="preserve"> </w:t>
      </w:r>
      <w:r w:rsidR="00AF2915">
        <w:t xml:space="preserve">Assays for </w:t>
      </w:r>
      <w:proofErr w:type="spellStart"/>
      <w:r w:rsidR="00AF2915">
        <w:t>clastogenicity</w:t>
      </w:r>
      <w:proofErr w:type="spellEnd"/>
      <w:r w:rsidR="00AF2915">
        <w:t xml:space="preserve"> conducted </w:t>
      </w:r>
      <w:r w:rsidR="00AF2915" w:rsidRPr="00AF2915">
        <w:rPr>
          <w:i/>
        </w:rPr>
        <w:t>in vitro</w:t>
      </w:r>
      <w:r w:rsidR="00AF2915">
        <w:t xml:space="preserve"> and </w:t>
      </w:r>
      <w:r w:rsidR="00AF2915" w:rsidRPr="00AF2915">
        <w:rPr>
          <w:i/>
        </w:rPr>
        <w:t>in vivo</w:t>
      </w:r>
      <w:r w:rsidR="00AF2915">
        <w:t xml:space="preserve"> (mouse bone marrow micronucleus test) have returned mixed results, but the observed positive findings are considered likely to be confounded by the drug’s pharmacological activity. The available data support that dexamethasone, as well as the polymeric component of OZURDEX</w:t>
      </w:r>
      <w:r w:rsidR="00AF2915" w:rsidRPr="00AF2915">
        <w:rPr>
          <w:vertAlign w:val="superscript"/>
        </w:rPr>
        <w:t>®</w:t>
      </w:r>
      <w:r w:rsidR="00AF2915">
        <w:t>, do not pose a genotoxic hazard to patients</w:t>
      </w:r>
      <w:r w:rsidRPr="00A472D6">
        <w:t>.</w:t>
      </w:r>
      <w:r w:rsidR="00212A30" w:rsidRPr="00560CE8">
        <w:t xml:space="preserve"> </w:t>
      </w:r>
    </w:p>
    <w:p w:rsidR="005D230A" w:rsidRDefault="005D230A" w:rsidP="00843810">
      <w:pPr>
        <w:ind w:right="1700"/>
        <w:jc w:val="both"/>
        <w:rPr>
          <w:rFonts w:ascii="Times" w:hAnsi="Times"/>
          <w:lang w:val="en-GB"/>
        </w:rPr>
      </w:pPr>
    </w:p>
    <w:p w:rsidR="00AF2915" w:rsidRDefault="00AF2915" w:rsidP="00843810">
      <w:pPr>
        <w:jc w:val="both"/>
        <w:rPr>
          <w:rFonts w:ascii="Times" w:hAnsi="Times"/>
          <w:b/>
          <w:lang w:val="en-GB"/>
        </w:rPr>
      </w:pPr>
      <w:r>
        <w:rPr>
          <w:rFonts w:ascii="Times" w:hAnsi="Times"/>
          <w:b/>
          <w:lang w:val="en-GB"/>
        </w:rPr>
        <w:t>Carcinogenicity:</w:t>
      </w:r>
    </w:p>
    <w:p w:rsidR="00402025" w:rsidRDefault="00AF2915" w:rsidP="00843810">
      <w:pPr>
        <w:jc w:val="both"/>
        <w:rPr>
          <w:rFonts w:ascii="Times" w:hAnsi="Times"/>
          <w:lang w:val="en-GB"/>
        </w:rPr>
      </w:pPr>
      <w:r>
        <w:rPr>
          <w:rFonts w:ascii="Times" w:hAnsi="Times"/>
          <w:lang w:val="en-GB"/>
        </w:rPr>
        <w:lastRenderedPageBreak/>
        <w:t>No studies on the carcinogenic potential of OZURDEX</w:t>
      </w:r>
      <w:r w:rsidRPr="00AF2915">
        <w:rPr>
          <w:rFonts w:ascii="Times" w:hAnsi="Times"/>
          <w:vertAlign w:val="superscript"/>
          <w:lang w:val="en-GB"/>
        </w:rPr>
        <w:t>®</w:t>
      </w:r>
      <w:r>
        <w:rPr>
          <w:rFonts w:ascii="Times" w:hAnsi="Times"/>
          <w:lang w:val="en-GB"/>
        </w:rPr>
        <w:t xml:space="preserve"> have been conducted.</w:t>
      </w:r>
    </w:p>
    <w:p w:rsidR="00B952DA" w:rsidRDefault="00B952DA" w:rsidP="00843810">
      <w:pPr>
        <w:jc w:val="both"/>
        <w:rPr>
          <w:rFonts w:ascii="Times" w:hAnsi="Times"/>
          <w:b/>
          <w:lang w:val="en-GB"/>
        </w:rPr>
      </w:pPr>
    </w:p>
    <w:p w:rsidR="00E1319D" w:rsidRPr="00E1319D" w:rsidRDefault="00E1319D" w:rsidP="00843810">
      <w:pPr>
        <w:jc w:val="both"/>
        <w:rPr>
          <w:rFonts w:ascii="Times" w:hAnsi="Times"/>
          <w:b/>
          <w:lang w:val="en-GB"/>
        </w:rPr>
      </w:pPr>
      <w:r w:rsidRPr="00E1319D">
        <w:rPr>
          <w:rFonts w:ascii="Times" w:hAnsi="Times"/>
          <w:b/>
          <w:lang w:val="en-GB"/>
        </w:rPr>
        <w:t>Effects on Ability to Drive:</w:t>
      </w:r>
    </w:p>
    <w:p w:rsidR="00E1319D" w:rsidRDefault="00E1319D" w:rsidP="00843810">
      <w:pPr>
        <w:jc w:val="both"/>
        <w:rPr>
          <w:rFonts w:ascii="Times" w:hAnsi="Times"/>
          <w:lang w:val="en-GB"/>
        </w:rPr>
      </w:pPr>
      <w:r>
        <w:rPr>
          <w:rFonts w:ascii="Times" w:hAnsi="Times"/>
          <w:lang w:val="en-GB"/>
        </w:rPr>
        <w:t>Patients may experience temporary visual blurring after receiving OZURDEX</w:t>
      </w:r>
      <w:r w:rsidRPr="00710C5A">
        <w:rPr>
          <w:rFonts w:ascii="Times" w:hAnsi="Times"/>
          <w:vertAlign w:val="superscript"/>
          <w:lang w:val="en-GB"/>
        </w:rPr>
        <w:t>®</w:t>
      </w:r>
      <w:r>
        <w:rPr>
          <w:rFonts w:ascii="Times" w:hAnsi="Times"/>
          <w:lang w:val="en-GB"/>
        </w:rPr>
        <w:t xml:space="preserve"> by intravitreal injection. They should not drive or use machines until this has resolved.</w:t>
      </w:r>
    </w:p>
    <w:p w:rsidR="00212A30" w:rsidRDefault="00212A30" w:rsidP="00843810">
      <w:pPr>
        <w:jc w:val="both"/>
        <w:rPr>
          <w:rFonts w:ascii="Times" w:hAnsi="Times"/>
          <w:b/>
          <w:lang w:val="en-GB"/>
        </w:rPr>
      </w:pPr>
    </w:p>
    <w:p w:rsidR="0088143C" w:rsidRPr="00095583" w:rsidRDefault="0088143C" w:rsidP="00BE741B">
      <w:pPr>
        <w:pStyle w:val="Heading1"/>
      </w:pPr>
      <w:r w:rsidRPr="00095583">
        <w:t>Interactions</w:t>
      </w:r>
      <w:r w:rsidR="005D230A" w:rsidRPr="00095583">
        <w:t xml:space="preserve"> with other medicines</w:t>
      </w:r>
      <w:r w:rsidR="00AE08C0" w:rsidRPr="00095583">
        <w:tab/>
      </w:r>
    </w:p>
    <w:p w:rsidR="00AE08C0" w:rsidRPr="00835005" w:rsidRDefault="00AE08C0" w:rsidP="00843810">
      <w:pPr>
        <w:tabs>
          <w:tab w:val="left" w:pos="4200"/>
        </w:tabs>
        <w:jc w:val="both"/>
        <w:rPr>
          <w:rFonts w:ascii="Times" w:hAnsi="Times"/>
          <w:lang w:val="en-GB"/>
        </w:rPr>
      </w:pPr>
      <w:r w:rsidRPr="00835005">
        <w:rPr>
          <w:rFonts w:ascii="Times" w:hAnsi="Times"/>
          <w:lang w:val="en-GB"/>
        </w:rPr>
        <w:t>No interaction studies have been performed.</w:t>
      </w:r>
    </w:p>
    <w:p w:rsidR="00EF4295" w:rsidRDefault="00EF4295" w:rsidP="00843810">
      <w:pPr>
        <w:jc w:val="both"/>
        <w:rPr>
          <w:rFonts w:ascii="Times" w:hAnsi="Times"/>
          <w:b/>
          <w:lang w:val="en-GB"/>
        </w:rPr>
      </w:pPr>
    </w:p>
    <w:p w:rsidR="0088143C" w:rsidRDefault="005D230A" w:rsidP="00BE741B">
      <w:pPr>
        <w:pStyle w:val="Heading1"/>
      </w:pPr>
      <w:r>
        <w:t>ADVERSE EFFECTS</w:t>
      </w:r>
    </w:p>
    <w:p w:rsidR="00184B19" w:rsidRDefault="00184B19" w:rsidP="00843810">
      <w:pPr>
        <w:jc w:val="both"/>
        <w:rPr>
          <w:rFonts w:ascii="Times" w:hAnsi="Times"/>
          <w:b/>
          <w:lang w:val="en-GB"/>
        </w:rPr>
      </w:pPr>
      <w:r>
        <w:rPr>
          <w:rFonts w:ascii="Times" w:hAnsi="Times"/>
          <w:b/>
          <w:lang w:val="en-GB"/>
        </w:rPr>
        <w:t xml:space="preserve">Clinical Trials </w:t>
      </w:r>
    </w:p>
    <w:p w:rsidR="006F6905" w:rsidRPr="00021737" w:rsidRDefault="006F6905" w:rsidP="00184B19">
      <w:pPr>
        <w:widowControl w:val="0"/>
        <w:jc w:val="both"/>
        <w:rPr>
          <w:b/>
          <w:u w:val="single"/>
        </w:rPr>
      </w:pPr>
      <w:r w:rsidRPr="00021737">
        <w:rPr>
          <w:b/>
          <w:u w:val="single"/>
        </w:rPr>
        <w:t>DME</w:t>
      </w:r>
    </w:p>
    <w:p w:rsidR="00184B19" w:rsidRDefault="00184B19" w:rsidP="00184B19">
      <w:pPr>
        <w:widowControl w:val="0"/>
        <w:jc w:val="both"/>
      </w:pPr>
      <w:r w:rsidRPr="00267B51">
        <w:t xml:space="preserve">The clinical safety of </w:t>
      </w:r>
      <w:r w:rsidR="00E00F1C">
        <w:t>OZURDEX</w:t>
      </w:r>
      <w:r w:rsidR="00E00F1C" w:rsidRPr="00E00F1C">
        <w:rPr>
          <w:vertAlign w:val="superscript"/>
        </w:rPr>
        <w:t>®</w:t>
      </w:r>
      <w:r w:rsidRPr="00267B51">
        <w:t xml:space="preserve"> was assessed in </w:t>
      </w:r>
      <w:r w:rsidR="0074333A">
        <w:t>two</w:t>
      </w:r>
      <w:r w:rsidR="0074333A" w:rsidRPr="00267B51">
        <w:t xml:space="preserve"> </w:t>
      </w:r>
      <w:r>
        <w:t>P</w:t>
      </w:r>
      <w:r w:rsidRPr="00267B51">
        <w:t xml:space="preserve">hase 3 </w:t>
      </w:r>
      <w:r w:rsidR="00583ACF" w:rsidRPr="00267B51">
        <w:t>randomi</w:t>
      </w:r>
      <w:r w:rsidR="00583ACF">
        <w:t>s</w:t>
      </w:r>
      <w:r w:rsidR="00583ACF" w:rsidRPr="00267B51">
        <w:t>ed</w:t>
      </w:r>
      <w:r w:rsidRPr="00267B51">
        <w:t xml:space="preserve">, masked, </w:t>
      </w:r>
      <w:r w:rsidR="00CB69D2">
        <w:t>S</w:t>
      </w:r>
      <w:r w:rsidR="00CB69D2" w:rsidRPr="00267B51">
        <w:t>ham</w:t>
      </w:r>
      <w:r w:rsidRPr="00267B51">
        <w:t xml:space="preserve">-controlled studies in patients with diabetic macular </w:t>
      </w:r>
      <w:r w:rsidR="00583ACF">
        <w:t>o</w:t>
      </w:r>
      <w:r w:rsidRPr="00267B51">
        <w:t xml:space="preserve">edema. In both studies, a total of 347 patients were </w:t>
      </w:r>
      <w:r w:rsidR="00583ACF" w:rsidRPr="00267B51">
        <w:t>randomi</w:t>
      </w:r>
      <w:r w:rsidR="00583ACF">
        <w:t>s</w:t>
      </w:r>
      <w:r w:rsidR="00583ACF" w:rsidRPr="00267B51">
        <w:t xml:space="preserve">ed </w:t>
      </w:r>
      <w:r w:rsidRPr="00267B51">
        <w:t xml:space="preserve">and received </w:t>
      </w:r>
      <w:r w:rsidR="00E00F1C">
        <w:t>OZURDEX</w:t>
      </w:r>
      <w:r w:rsidR="00E00F1C" w:rsidRPr="00E00F1C">
        <w:rPr>
          <w:vertAlign w:val="superscript"/>
        </w:rPr>
        <w:t>®</w:t>
      </w:r>
      <w:r w:rsidR="00E00F1C">
        <w:rPr>
          <w:vertAlign w:val="superscript"/>
        </w:rPr>
        <w:t xml:space="preserve"> </w:t>
      </w:r>
      <w:r w:rsidRPr="00267B51">
        <w:t xml:space="preserve">and 350 received </w:t>
      </w:r>
      <w:r w:rsidR="00583ACF">
        <w:t>S</w:t>
      </w:r>
      <w:r w:rsidR="00583ACF" w:rsidRPr="00267B51">
        <w:t>ham</w:t>
      </w:r>
      <w:r w:rsidRPr="00267B51">
        <w:t xml:space="preserve">. </w:t>
      </w:r>
    </w:p>
    <w:p w:rsidR="00184B19" w:rsidRPr="00184B19" w:rsidRDefault="00184B19" w:rsidP="00184B19">
      <w:pPr>
        <w:widowControl w:val="0"/>
        <w:jc w:val="both"/>
      </w:pPr>
    </w:p>
    <w:p w:rsidR="00184B19" w:rsidRDefault="00184B19" w:rsidP="00184B19">
      <w:pPr>
        <w:widowControl w:val="0"/>
        <w:jc w:val="both"/>
        <w:rPr>
          <w:b/>
        </w:rPr>
      </w:pPr>
      <w:r w:rsidRPr="00184B19">
        <w:t xml:space="preserve">The most frequent adverse reactions (dexamethasone or injection procedure) were defined as adverse reactions that occurred with </w:t>
      </w:r>
      <w:proofErr w:type="gramStart"/>
      <w:r w:rsidRPr="00184B19">
        <w:t>a  higher</w:t>
      </w:r>
      <w:proofErr w:type="gramEnd"/>
      <w:r w:rsidRPr="00184B19">
        <w:t xml:space="preserve"> frequency in the </w:t>
      </w:r>
      <w:r w:rsidR="00E00F1C">
        <w:t>OZURDEX</w:t>
      </w:r>
      <w:r w:rsidR="00E00F1C" w:rsidRPr="00E00F1C">
        <w:rPr>
          <w:vertAlign w:val="superscript"/>
        </w:rPr>
        <w:t>®</w:t>
      </w:r>
      <w:r w:rsidRPr="00184B19">
        <w:t xml:space="preserve"> group compared to the </w:t>
      </w:r>
      <w:r w:rsidR="00583ACF">
        <w:t>S</w:t>
      </w:r>
      <w:r w:rsidR="00583ACF" w:rsidRPr="00184B19">
        <w:t xml:space="preserve">ham </w:t>
      </w:r>
      <w:r w:rsidRPr="00184B19">
        <w:t xml:space="preserve">group and had a plausible mechanism of action as shown in Table </w:t>
      </w:r>
      <w:r w:rsidR="003727B5">
        <w:t>4</w:t>
      </w:r>
      <w:r w:rsidRPr="00184B19">
        <w:t>:</w:t>
      </w:r>
      <w:r w:rsidRPr="00184B19">
        <w:rPr>
          <w:b/>
        </w:rPr>
        <w:t xml:space="preserve"> </w:t>
      </w:r>
    </w:p>
    <w:p w:rsidR="000D0EE3" w:rsidRDefault="000D0EE3" w:rsidP="00184B19">
      <w:pPr>
        <w:widowControl w:val="0"/>
        <w:jc w:val="both"/>
        <w:rPr>
          <w:b/>
        </w:rPr>
      </w:pPr>
    </w:p>
    <w:p w:rsidR="00FB110D" w:rsidRPr="00184B19" w:rsidRDefault="00FB110D" w:rsidP="00D80850">
      <w:pPr>
        <w:widowControl w:val="0"/>
        <w:rPr>
          <w:sz w:val="20"/>
        </w:rPr>
      </w:pPr>
    </w:p>
    <w:p w:rsidR="00184B19" w:rsidRPr="00184B19" w:rsidRDefault="00184B19" w:rsidP="00184B19">
      <w:pPr>
        <w:widowControl w:val="0"/>
        <w:autoSpaceDE w:val="0"/>
        <w:autoSpaceDN w:val="0"/>
        <w:adjustRightInd w:val="0"/>
        <w:jc w:val="center"/>
        <w:rPr>
          <w:b/>
          <w:sz w:val="20"/>
        </w:rPr>
      </w:pPr>
      <w:r w:rsidRPr="00184B19">
        <w:rPr>
          <w:b/>
          <w:sz w:val="20"/>
        </w:rPr>
        <w:t xml:space="preserve">Table </w:t>
      </w:r>
      <w:r w:rsidR="003727B5">
        <w:rPr>
          <w:b/>
          <w:sz w:val="20"/>
        </w:rPr>
        <w:t>4</w:t>
      </w:r>
      <w:r w:rsidR="003727B5" w:rsidRPr="00184B19">
        <w:rPr>
          <w:b/>
          <w:sz w:val="20"/>
        </w:rPr>
        <w:t xml:space="preserve">    </w:t>
      </w:r>
      <w:r w:rsidRPr="00184B19">
        <w:rPr>
          <w:b/>
          <w:sz w:val="20"/>
        </w:rPr>
        <w:t xml:space="preserve">Summary of Adverse Reactions in Phase 3 </w:t>
      </w:r>
      <w:r w:rsidR="00DF5F30">
        <w:rPr>
          <w:b/>
          <w:sz w:val="20"/>
        </w:rPr>
        <w:t xml:space="preserve">DME </w:t>
      </w:r>
      <w:r w:rsidRPr="00184B19">
        <w:rPr>
          <w:b/>
          <w:sz w:val="20"/>
        </w:rPr>
        <w:t>Studies</w:t>
      </w:r>
    </w:p>
    <w:p w:rsidR="00184B19" w:rsidRPr="00184B19" w:rsidRDefault="00184B19" w:rsidP="00184B19">
      <w:pPr>
        <w:widowControl w:val="0"/>
        <w:autoSpaceDE w:val="0"/>
        <w:autoSpaceDN w:val="0"/>
        <w:adjustRightInd w:val="0"/>
        <w:jc w:val="center"/>
        <w:rPr>
          <w:b/>
          <w:sz w:val="20"/>
        </w:rPr>
      </w:pPr>
      <w:r w:rsidRPr="00184B19">
        <w:rPr>
          <w:b/>
          <w:sz w:val="20"/>
        </w:rPr>
        <w:t xml:space="preserve">in ≥ 1% of Patients – </w:t>
      </w:r>
      <w:r w:rsidR="00060A83">
        <w:rPr>
          <w:b/>
          <w:sz w:val="20"/>
        </w:rPr>
        <w:t>Entire Study Period</w:t>
      </w:r>
    </w:p>
    <w:p w:rsidR="00184B19" w:rsidRDefault="00184B19" w:rsidP="00184B19">
      <w:pPr>
        <w:widowControl w:val="0"/>
        <w:autoSpaceDE w:val="0"/>
        <w:autoSpaceDN w:val="0"/>
        <w:adjustRightInd w:val="0"/>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1"/>
        <w:gridCol w:w="1752"/>
        <w:gridCol w:w="1362"/>
      </w:tblGrid>
      <w:tr w:rsidR="00184B19" w:rsidRPr="008338D3" w:rsidTr="00A11540">
        <w:trPr>
          <w:trHeight w:val="85"/>
          <w:jc w:val="center"/>
        </w:trPr>
        <w:tc>
          <w:tcPr>
            <w:tcW w:w="2891" w:type="dxa"/>
            <w:tcBorders>
              <w:top w:val="single" w:sz="4" w:space="0" w:color="auto"/>
              <w:bottom w:val="single" w:sz="4" w:space="0" w:color="auto"/>
              <w:right w:val="single" w:sz="4" w:space="0" w:color="auto"/>
            </w:tcBorders>
            <w:vAlign w:val="bottom"/>
          </w:tcPr>
          <w:p w:rsidR="00184B19" w:rsidRPr="00267B51" w:rsidRDefault="00184B19" w:rsidP="00184B19">
            <w:pPr>
              <w:pStyle w:val="TableHeadingsSmall"/>
              <w:keepNext w:val="0"/>
              <w:widowControl w:val="0"/>
              <w:jc w:val="both"/>
              <w:rPr>
                <w:szCs w:val="20"/>
              </w:rPr>
            </w:pPr>
          </w:p>
        </w:tc>
        <w:tc>
          <w:tcPr>
            <w:tcW w:w="1752" w:type="dxa"/>
            <w:tcBorders>
              <w:top w:val="single" w:sz="4" w:space="0" w:color="auto"/>
              <w:left w:val="single" w:sz="4" w:space="0" w:color="auto"/>
              <w:bottom w:val="single" w:sz="4" w:space="0" w:color="auto"/>
              <w:right w:val="single" w:sz="4" w:space="0" w:color="auto"/>
            </w:tcBorders>
            <w:vAlign w:val="bottom"/>
          </w:tcPr>
          <w:p w:rsidR="00E00F1C" w:rsidRDefault="00E00F1C" w:rsidP="00184B19">
            <w:pPr>
              <w:pStyle w:val="TableHeadingsSmall"/>
              <w:keepNext w:val="0"/>
              <w:widowControl w:val="0"/>
              <w:jc w:val="both"/>
              <w:rPr>
                <w:vertAlign w:val="superscript"/>
              </w:rPr>
            </w:pPr>
            <w:r>
              <w:t>OZURDEX</w:t>
            </w:r>
            <w:r w:rsidRPr="00E00F1C">
              <w:rPr>
                <w:vertAlign w:val="superscript"/>
              </w:rPr>
              <w:t>®</w:t>
            </w:r>
          </w:p>
          <w:p w:rsidR="00184B19" w:rsidRPr="00267B51" w:rsidRDefault="00184B19" w:rsidP="00184B19">
            <w:pPr>
              <w:pStyle w:val="TableHeadingsSmall"/>
              <w:keepNext w:val="0"/>
              <w:widowControl w:val="0"/>
              <w:jc w:val="both"/>
              <w:rPr>
                <w:szCs w:val="20"/>
              </w:rPr>
            </w:pPr>
            <w:r>
              <w:rPr>
                <w:szCs w:val="20"/>
              </w:rPr>
              <w:t xml:space="preserve"> N = </w:t>
            </w:r>
            <w:r w:rsidRPr="00267B51">
              <w:rPr>
                <w:szCs w:val="20"/>
              </w:rPr>
              <w:t>347</w:t>
            </w:r>
            <w:r w:rsidR="00605BBC">
              <w:rPr>
                <w:szCs w:val="20"/>
              </w:rPr>
              <w:t xml:space="preserve"> (%)</w:t>
            </w:r>
          </w:p>
        </w:tc>
        <w:tc>
          <w:tcPr>
            <w:tcW w:w="1362" w:type="dxa"/>
            <w:tcBorders>
              <w:top w:val="single" w:sz="4" w:space="0" w:color="auto"/>
              <w:left w:val="single" w:sz="4" w:space="0" w:color="auto"/>
              <w:bottom w:val="single" w:sz="4" w:space="0" w:color="auto"/>
              <w:right w:val="single" w:sz="4" w:space="0" w:color="auto"/>
            </w:tcBorders>
            <w:vAlign w:val="bottom"/>
          </w:tcPr>
          <w:p w:rsidR="00184B19" w:rsidRPr="00267B51" w:rsidRDefault="00184B19" w:rsidP="00184B19">
            <w:pPr>
              <w:pStyle w:val="TableHeadingsSmall"/>
              <w:keepNext w:val="0"/>
              <w:widowControl w:val="0"/>
              <w:jc w:val="both"/>
              <w:rPr>
                <w:szCs w:val="20"/>
              </w:rPr>
            </w:pPr>
            <w:r w:rsidRPr="00267B51">
              <w:rPr>
                <w:szCs w:val="20"/>
              </w:rPr>
              <w:t>Sham</w:t>
            </w:r>
            <w:r w:rsidRPr="00267B51">
              <w:rPr>
                <w:szCs w:val="20"/>
              </w:rPr>
              <w:br/>
              <w:t>N</w:t>
            </w:r>
            <w:r>
              <w:rPr>
                <w:szCs w:val="20"/>
              </w:rPr>
              <w:t xml:space="preserve"> =</w:t>
            </w:r>
            <w:r w:rsidRPr="00267B51">
              <w:rPr>
                <w:szCs w:val="20"/>
              </w:rPr>
              <w:t xml:space="preserve"> 350</w:t>
            </w:r>
            <w:r w:rsidR="00605BBC">
              <w:rPr>
                <w:szCs w:val="20"/>
              </w:rPr>
              <w:t xml:space="preserve"> (%)</w:t>
            </w:r>
          </w:p>
        </w:tc>
      </w:tr>
      <w:tr w:rsidR="00184B19" w:rsidRPr="008338D3" w:rsidTr="00A11540">
        <w:trPr>
          <w:trHeight w:val="186"/>
          <w:jc w:val="center"/>
        </w:trPr>
        <w:tc>
          <w:tcPr>
            <w:tcW w:w="6005" w:type="dxa"/>
            <w:gridSpan w:val="3"/>
            <w:tcBorders>
              <w:top w:val="single" w:sz="4" w:space="0" w:color="auto"/>
              <w:bottom w:val="single" w:sz="4" w:space="0" w:color="auto"/>
              <w:right w:val="single" w:sz="4" w:space="0" w:color="auto"/>
            </w:tcBorders>
            <w:vAlign w:val="bottom"/>
          </w:tcPr>
          <w:p w:rsidR="00184B19" w:rsidRPr="00267B51" w:rsidRDefault="00184B19" w:rsidP="00184B19">
            <w:pPr>
              <w:pStyle w:val="TableHeadingsSmall"/>
              <w:keepNext w:val="0"/>
              <w:widowControl w:val="0"/>
              <w:jc w:val="both"/>
              <w:rPr>
                <w:i/>
                <w:szCs w:val="20"/>
              </w:rPr>
            </w:pPr>
            <w:r w:rsidRPr="00267B51">
              <w:rPr>
                <w:i/>
                <w:szCs w:val="20"/>
              </w:rPr>
              <w:t>Eye Disorders (Study Eye)</w:t>
            </w:r>
          </w:p>
        </w:tc>
      </w:tr>
      <w:tr w:rsidR="00184B19" w:rsidRPr="008338D3" w:rsidTr="00A11540">
        <w:trPr>
          <w:trHeight w:val="179"/>
          <w:jc w:val="center"/>
        </w:trPr>
        <w:tc>
          <w:tcPr>
            <w:tcW w:w="2891" w:type="dxa"/>
            <w:tcBorders>
              <w:top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rsidRPr="00267B51">
              <w:t>Cataract</w:t>
            </w:r>
          </w:p>
        </w:tc>
        <w:tc>
          <w:tcPr>
            <w:tcW w:w="1752" w:type="dxa"/>
            <w:tcBorders>
              <w:top w:val="single" w:sz="4" w:space="0" w:color="auto"/>
              <w:left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rsidRPr="00267B51">
              <w:t>131 (37.8)</w:t>
            </w:r>
          </w:p>
        </w:tc>
        <w:tc>
          <w:tcPr>
            <w:tcW w:w="1362" w:type="dxa"/>
            <w:tcBorders>
              <w:top w:val="single" w:sz="4" w:space="0" w:color="auto"/>
              <w:left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rsidRPr="00267B51">
              <w:t>34 (9.7)</w:t>
            </w:r>
          </w:p>
        </w:tc>
      </w:tr>
      <w:tr w:rsidR="00184B19" w:rsidRPr="008338D3" w:rsidTr="00A11540">
        <w:trPr>
          <w:trHeight w:val="179"/>
          <w:jc w:val="center"/>
        </w:trPr>
        <w:tc>
          <w:tcPr>
            <w:tcW w:w="2891" w:type="dxa"/>
            <w:tcBorders>
              <w:top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rsidRPr="00267B51">
              <w:t xml:space="preserve">Cataract subcapsular </w:t>
            </w:r>
          </w:p>
        </w:tc>
        <w:tc>
          <w:tcPr>
            <w:tcW w:w="1752" w:type="dxa"/>
            <w:tcBorders>
              <w:top w:val="single" w:sz="4" w:space="0" w:color="auto"/>
              <w:left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rsidRPr="00267B51">
              <w:t>41 (11.8)</w:t>
            </w:r>
          </w:p>
        </w:tc>
        <w:tc>
          <w:tcPr>
            <w:tcW w:w="1362" w:type="dxa"/>
            <w:tcBorders>
              <w:top w:val="single" w:sz="4" w:space="0" w:color="auto"/>
              <w:left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rsidRPr="00267B51">
              <w:t>12 (3.4)</w:t>
            </w:r>
          </w:p>
        </w:tc>
      </w:tr>
      <w:tr w:rsidR="00184B19" w:rsidRPr="008338D3" w:rsidTr="00A11540">
        <w:trPr>
          <w:trHeight w:val="179"/>
          <w:jc w:val="center"/>
        </w:trPr>
        <w:tc>
          <w:tcPr>
            <w:tcW w:w="2891" w:type="dxa"/>
            <w:tcBorders>
              <w:top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rsidRPr="00267B51">
              <w:t xml:space="preserve">Cataract nuclear </w:t>
            </w:r>
          </w:p>
        </w:tc>
        <w:tc>
          <w:tcPr>
            <w:tcW w:w="1752" w:type="dxa"/>
            <w:tcBorders>
              <w:top w:val="single" w:sz="4" w:space="0" w:color="auto"/>
              <w:left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t>18 (5.2</w:t>
            </w:r>
            <w:r w:rsidRPr="00267B51">
              <w:t xml:space="preserve">) </w:t>
            </w:r>
          </w:p>
        </w:tc>
        <w:tc>
          <w:tcPr>
            <w:tcW w:w="1362" w:type="dxa"/>
            <w:tcBorders>
              <w:top w:val="single" w:sz="4" w:space="0" w:color="auto"/>
              <w:left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rsidRPr="00267B51">
              <w:t xml:space="preserve">8 (2.3) </w:t>
            </w:r>
          </w:p>
        </w:tc>
      </w:tr>
      <w:tr w:rsidR="00184B19" w:rsidRPr="008338D3" w:rsidTr="00A11540">
        <w:trPr>
          <w:trHeight w:val="179"/>
          <w:jc w:val="center"/>
        </w:trPr>
        <w:tc>
          <w:tcPr>
            <w:tcW w:w="2891" w:type="dxa"/>
            <w:tcBorders>
              <w:top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rsidRPr="00267B51">
              <w:t>Lenticular op</w:t>
            </w:r>
            <w:r>
              <w:t>a</w:t>
            </w:r>
            <w:r w:rsidRPr="00267B51">
              <w:t xml:space="preserve">cities </w:t>
            </w:r>
          </w:p>
        </w:tc>
        <w:tc>
          <w:tcPr>
            <w:tcW w:w="1752" w:type="dxa"/>
            <w:tcBorders>
              <w:top w:val="single" w:sz="4" w:space="0" w:color="auto"/>
              <w:left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t>16 (4.6</w:t>
            </w:r>
            <w:r w:rsidRPr="00267B51">
              <w:t xml:space="preserve">) </w:t>
            </w:r>
          </w:p>
        </w:tc>
        <w:tc>
          <w:tcPr>
            <w:tcW w:w="1362" w:type="dxa"/>
            <w:tcBorders>
              <w:top w:val="single" w:sz="4" w:space="0" w:color="auto"/>
              <w:left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t>4 (1</w:t>
            </w:r>
            <w:r w:rsidRPr="00267B51">
              <w:t xml:space="preserve">.1) </w:t>
            </w:r>
          </w:p>
        </w:tc>
      </w:tr>
      <w:tr w:rsidR="00184B19" w:rsidRPr="008338D3" w:rsidTr="00A11540">
        <w:trPr>
          <w:trHeight w:val="186"/>
          <w:jc w:val="center"/>
        </w:trPr>
        <w:tc>
          <w:tcPr>
            <w:tcW w:w="2891" w:type="dxa"/>
            <w:tcBorders>
              <w:top w:val="single" w:sz="8"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rsidRPr="00267B51">
              <w:t>Intra</w:t>
            </w:r>
            <w:r>
              <w:t>ocu</w:t>
            </w:r>
            <w:r w:rsidRPr="00267B51">
              <w:t>lar</w:t>
            </w:r>
            <w:r>
              <w:t xml:space="preserve"> </w:t>
            </w:r>
            <w:r w:rsidRPr="00267B51">
              <w:t>pressure incre</w:t>
            </w:r>
            <w:r>
              <w:t>a</w:t>
            </w:r>
            <w:r w:rsidRPr="00267B51">
              <w:t>sed</w:t>
            </w:r>
          </w:p>
        </w:tc>
        <w:tc>
          <w:tcPr>
            <w:tcW w:w="1752" w:type="dxa"/>
            <w:tcBorders>
              <w:top w:val="single" w:sz="8" w:space="0" w:color="auto"/>
              <w:left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rsidRPr="00267B51">
              <w:t>107 (30.8)</w:t>
            </w:r>
          </w:p>
        </w:tc>
        <w:tc>
          <w:tcPr>
            <w:tcW w:w="1362" w:type="dxa"/>
            <w:tcBorders>
              <w:top w:val="single" w:sz="8" w:space="0" w:color="auto"/>
              <w:left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rsidRPr="00267B51">
              <w:t>12 (3.4)</w:t>
            </w:r>
          </w:p>
        </w:tc>
      </w:tr>
      <w:tr w:rsidR="00184B19" w:rsidRPr="008338D3" w:rsidTr="00A11540">
        <w:trPr>
          <w:trHeight w:val="186"/>
          <w:jc w:val="center"/>
        </w:trPr>
        <w:tc>
          <w:tcPr>
            <w:tcW w:w="2891" w:type="dxa"/>
            <w:tcBorders>
              <w:top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rsidRPr="00267B51">
              <w:t>Ocular hypertension</w:t>
            </w:r>
          </w:p>
        </w:tc>
        <w:tc>
          <w:tcPr>
            <w:tcW w:w="1752" w:type="dxa"/>
            <w:tcBorders>
              <w:top w:val="single" w:sz="4" w:space="0" w:color="auto"/>
              <w:left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rsidRPr="00267B51">
              <w:t xml:space="preserve">21 (6.1) </w:t>
            </w:r>
          </w:p>
        </w:tc>
        <w:tc>
          <w:tcPr>
            <w:tcW w:w="1362" w:type="dxa"/>
            <w:tcBorders>
              <w:top w:val="single" w:sz="4" w:space="0" w:color="auto"/>
              <w:left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rsidRPr="00267B51">
              <w:t xml:space="preserve">5 (1.4) </w:t>
            </w:r>
          </w:p>
        </w:tc>
      </w:tr>
      <w:tr w:rsidR="00184B19" w:rsidRPr="008338D3" w:rsidTr="00A11540">
        <w:trPr>
          <w:trHeight w:val="179"/>
          <w:jc w:val="center"/>
        </w:trPr>
        <w:tc>
          <w:tcPr>
            <w:tcW w:w="2891" w:type="dxa"/>
            <w:tcBorders>
              <w:top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rsidRPr="00267B51">
              <w:t xml:space="preserve">Conjunctival </w:t>
            </w:r>
            <w:proofErr w:type="spellStart"/>
            <w:r w:rsidRPr="00267B51">
              <w:t>haemorrhage</w:t>
            </w:r>
            <w:proofErr w:type="spellEnd"/>
            <w:r w:rsidRPr="00267B51">
              <w:t>*</w:t>
            </w:r>
          </w:p>
        </w:tc>
        <w:tc>
          <w:tcPr>
            <w:tcW w:w="1752" w:type="dxa"/>
            <w:tcBorders>
              <w:top w:val="single" w:sz="4" w:space="0" w:color="auto"/>
              <w:left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rsidRPr="00267B51">
              <w:t>73 (21.0)</w:t>
            </w:r>
          </w:p>
        </w:tc>
        <w:tc>
          <w:tcPr>
            <w:tcW w:w="1362" w:type="dxa"/>
            <w:tcBorders>
              <w:top w:val="single" w:sz="4" w:space="0" w:color="auto"/>
              <w:left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rsidRPr="00267B51">
              <w:t>45 (12.9)</w:t>
            </w:r>
          </w:p>
        </w:tc>
      </w:tr>
      <w:tr w:rsidR="00184B19" w:rsidRPr="008338D3" w:rsidTr="00A11540">
        <w:trPr>
          <w:trHeight w:val="179"/>
          <w:jc w:val="center"/>
        </w:trPr>
        <w:tc>
          <w:tcPr>
            <w:tcW w:w="2891" w:type="dxa"/>
            <w:tcBorders>
              <w:top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t xml:space="preserve">Vitreous </w:t>
            </w:r>
            <w:proofErr w:type="spellStart"/>
            <w:r>
              <w:t>haemorrhage</w:t>
            </w:r>
            <w:proofErr w:type="spellEnd"/>
            <w:r>
              <w:t>*</w:t>
            </w:r>
          </w:p>
        </w:tc>
        <w:tc>
          <w:tcPr>
            <w:tcW w:w="1752" w:type="dxa"/>
            <w:tcBorders>
              <w:top w:val="single" w:sz="4" w:space="0" w:color="auto"/>
              <w:left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t>24 (6.9)</w:t>
            </w:r>
          </w:p>
        </w:tc>
        <w:tc>
          <w:tcPr>
            <w:tcW w:w="1362" w:type="dxa"/>
            <w:tcBorders>
              <w:top w:val="single" w:sz="4" w:space="0" w:color="auto"/>
              <w:left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t>25 ( 7.1)</w:t>
            </w:r>
          </w:p>
        </w:tc>
      </w:tr>
      <w:tr w:rsidR="00184B19" w:rsidRPr="008338D3" w:rsidTr="00A11540">
        <w:trPr>
          <w:trHeight w:val="179"/>
          <w:jc w:val="center"/>
        </w:trPr>
        <w:tc>
          <w:tcPr>
            <w:tcW w:w="2891" w:type="dxa"/>
            <w:tcBorders>
              <w:top w:val="single" w:sz="4" w:space="0" w:color="auto"/>
              <w:bottom w:val="single" w:sz="4" w:space="0" w:color="auto"/>
              <w:right w:val="single" w:sz="4" w:space="0" w:color="auto"/>
            </w:tcBorders>
            <w:vAlign w:val="bottom"/>
          </w:tcPr>
          <w:p w:rsidR="00184B19" w:rsidRDefault="00184B19" w:rsidP="00184B19">
            <w:pPr>
              <w:pStyle w:val="TableText10pt"/>
              <w:keepNext w:val="0"/>
              <w:widowControl w:val="0"/>
              <w:jc w:val="both"/>
            </w:pPr>
            <w:r w:rsidRPr="00267B51">
              <w:t>Eye pain*</w:t>
            </w:r>
          </w:p>
        </w:tc>
        <w:tc>
          <w:tcPr>
            <w:tcW w:w="1752" w:type="dxa"/>
            <w:tcBorders>
              <w:top w:val="single" w:sz="4" w:space="0" w:color="auto"/>
              <w:left w:val="single" w:sz="4" w:space="0" w:color="auto"/>
              <w:bottom w:val="single" w:sz="4" w:space="0" w:color="auto"/>
              <w:right w:val="single" w:sz="4" w:space="0" w:color="auto"/>
            </w:tcBorders>
            <w:vAlign w:val="bottom"/>
          </w:tcPr>
          <w:p w:rsidR="00184B19" w:rsidRDefault="00184B19" w:rsidP="00184B19">
            <w:pPr>
              <w:pStyle w:val="TableText10pt"/>
              <w:keepNext w:val="0"/>
              <w:widowControl w:val="0"/>
              <w:jc w:val="both"/>
            </w:pPr>
            <w:r w:rsidRPr="00267B51">
              <w:t>18 (5.2)</w:t>
            </w:r>
          </w:p>
        </w:tc>
        <w:tc>
          <w:tcPr>
            <w:tcW w:w="1362" w:type="dxa"/>
            <w:tcBorders>
              <w:top w:val="single" w:sz="4" w:space="0" w:color="auto"/>
              <w:left w:val="single" w:sz="4" w:space="0" w:color="auto"/>
              <w:bottom w:val="single" w:sz="4" w:space="0" w:color="auto"/>
              <w:right w:val="single" w:sz="4" w:space="0" w:color="auto"/>
            </w:tcBorders>
            <w:vAlign w:val="bottom"/>
          </w:tcPr>
          <w:p w:rsidR="00184B19" w:rsidRDefault="00184B19" w:rsidP="00184B19">
            <w:pPr>
              <w:pStyle w:val="TableText10pt"/>
              <w:keepNext w:val="0"/>
              <w:widowControl w:val="0"/>
              <w:jc w:val="both"/>
            </w:pPr>
            <w:r w:rsidRPr="00267B51">
              <w:t>13 (3.7)</w:t>
            </w:r>
          </w:p>
        </w:tc>
      </w:tr>
      <w:tr w:rsidR="00184B19" w:rsidRPr="008338D3" w:rsidTr="00A11540">
        <w:trPr>
          <w:trHeight w:val="186"/>
          <w:jc w:val="center"/>
        </w:trPr>
        <w:tc>
          <w:tcPr>
            <w:tcW w:w="2891" w:type="dxa"/>
            <w:tcBorders>
              <w:top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rsidRPr="00267B51">
              <w:t xml:space="preserve">Vitreous detachment* </w:t>
            </w:r>
          </w:p>
        </w:tc>
        <w:tc>
          <w:tcPr>
            <w:tcW w:w="1752" w:type="dxa"/>
            <w:tcBorders>
              <w:top w:val="single" w:sz="4" w:space="0" w:color="auto"/>
              <w:left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rsidRPr="00267B51">
              <w:t>17 (4.9)</w:t>
            </w:r>
          </w:p>
        </w:tc>
        <w:tc>
          <w:tcPr>
            <w:tcW w:w="1362" w:type="dxa"/>
            <w:tcBorders>
              <w:top w:val="single" w:sz="4" w:space="0" w:color="auto"/>
              <w:left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rsidRPr="00267B51">
              <w:t>8 (2.3)</w:t>
            </w:r>
          </w:p>
        </w:tc>
      </w:tr>
      <w:tr w:rsidR="00184B19" w:rsidRPr="008338D3" w:rsidTr="00A11540">
        <w:trPr>
          <w:trHeight w:val="179"/>
          <w:jc w:val="center"/>
        </w:trPr>
        <w:tc>
          <w:tcPr>
            <w:tcW w:w="2891" w:type="dxa"/>
            <w:tcBorders>
              <w:top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rsidRPr="00267B51">
              <w:t>Vitreous floaters*</w:t>
            </w:r>
          </w:p>
        </w:tc>
        <w:tc>
          <w:tcPr>
            <w:tcW w:w="1752" w:type="dxa"/>
            <w:tcBorders>
              <w:top w:val="single" w:sz="4" w:space="0" w:color="auto"/>
              <w:left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rsidRPr="00267B51">
              <w:t>17 (4.9)</w:t>
            </w:r>
          </w:p>
        </w:tc>
        <w:tc>
          <w:tcPr>
            <w:tcW w:w="1362" w:type="dxa"/>
            <w:tcBorders>
              <w:top w:val="single" w:sz="4" w:space="0" w:color="auto"/>
              <w:left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rsidRPr="00267B51">
              <w:t>7 (2.0)</w:t>
            </w:r>
          </w:p>
        </w:tc>
      </w:tr>
      <w:tr w:rsidR="00184B19" w:rsidRPr="008338D3" w:rsidTr="00A11540">
        <w:trPr>
          <w:trHeight w:val="179"/>
          <w:jc w:val="center"/>
        </w:trPr>
        <w:tc>
          <w:tcPr>
            <w:tcW w:w="2891" w:type="dxa"/>
            <w:tcBorders>
              <w:top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rsidRPr="00267B51">
              <w:t xml:space="preserve">Conjunctival </w:t>
            </w:r>
            <w:proofErr w:type="spellStart"/>
            <w:r w:rsidRPr="00267B51">
              <w:t>oedema</w:t>
            </w:r>
            <w:proofErr w:type="spellEnd"/>
            <w:r w:rsidRPr="00267B51">
              <w:t>*</w:t>
            </w:r>
          </w:p>
        </w:tc>
        <w:tc>
          <w:tcPr>
            <w:tcW w:w="1752" w:type="dxa"/>
            <w:tcBorders>
              <w:top w:val="single" w:sz="4" w:space="0" w:color="auto"/>
              <w:left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rsidRPr="00267B51">
              <w:t>15 (4.3)</w:t>
            </w:r>
          </w:p>
        </w:tc>
        <w:tc>
          <w:tcPr>
            <w:tcW w:w="1362" w:type="dxa"/>
            <w:tcBorders>
              <w:top w:val="single" w:sz="4" w:space="0" w:color="auto"/>
              <w:left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rsidRPr="00267B51">
              <w:t>4 (1.1)</w:t>
            </w:r>
          </w:p>
        </w:tc>
      </w:tr>
      <w:tr w:rsidR="00184B19" w:rsidRPr="008338D3" w:rsidTr="00A11540">
        <w:trPr>
          <w:trHeight w:val="186"/>
          <w:jc w:val="center"/>
        </w:trPr>
        <w:tc>
          <w:tcPr>
            <w:tcW w:w="2891" w:type="dxa"/>
            <w:tcBorders>
              <w:top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rsidRPr="00267B51">
              <w:t xml:space="preserve">Vitreous opacities* </w:t>
            </w:r>
          </w:p>
        </w:tc>
        <w:tc>
          <w:tcPr>
            <w:tcW w:w="1752" w:type="dxa"/>
            <w:tcBorders>
              <w:top w:val="single" w:sz="4" w:space="0" w:color="auto"/>
              <w:left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rsidRPr="00267B51">
              <w:t>11 (3.2)</w:t>
            </w:r>
          </w:p>
        </w:tc>
        <w:tc>
          <w:tcPr>
            <w:tcW w:w="1362" w:type="dxa"/>
            <w:tcBorders>
              <w:top w:val="single" w:sz="4" w:space="0" w:color="auto"/>
              <w:left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rsidRPr="00267B51">
              <w:t>3 (0.9)</w:t>
            </w:r>
          </w:p>
        </w:tc>
      </w:tr>
      <w:tr w:rsidR="00184B19" w:rsidRPr="008338D3" w:rsidTr="00A11540">
        <w:trPr>
          <w:trHeight w:val="195"/>
          <w:jc w:val="center"/>
        </w:trPr>
        <w:tc>
          <w:tcPr>
            <w:tcW w:w="2891" w:type="dxa"/>
            <w:tcBorders>
              <w:top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rsidRPr="00267B51">
              <w:t>Anterior chamber inflammation*</w:t>
            </w:r>
          </w:p>
        </w:tc>
        <w:tc>
          <w:tcPr>
            <w:tcW w:w="1752" w:type="dxa"/>
            <w:tcBorders>
              <w:top w:val="single" w:sz="4" w:space="0" w:color="auto"/>
              <w:left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spacing w:before="0"/>
              <w:jc w:val="both"/>
            </w:pPr>
            <w:r w:rsidRPr="00267B51">
              <w:t>6 (1.7)</w:t>
            </w:r>
          </w:p>
        </w:tc>
        <w:tc>
          <w:tcPr>
            <w:tcW w:w="1362" w:type="dxa"/>
            <w:tcBorders>
              <w:top w:val="single" w:sz="4" w:space="0" w:color="auto"/>
              <w:left w:val="single" w:sz="4" w:space="0" w:color="auto"/>
              <w:bottom w:val="single" w:sz="4" w:space="0" w:color="auto"/>
              <w:right w:val="single" w:sz="4" w:space="0" w:color="auto"/>
            </w:tcBorders>
            <w:vAlign w:val="bottom"/>
          </w:tcPr>
          <w:p w:rsidR="00184B19" w:rsidRPr="00267B51" w:rsidRDefault="00184B19" w:rsidP="00184B19">
            <w:pPr>
              <w:pStyle w:val="TableText10pt"/>
              <w:keepNext w:val="0"/>
              <w:widowControl w:val="0"/>
              <w:jc w:val="both"/>
            </w:pPr>
            <w:r w:rsidRPr="00267B51">
              <w:t>0 (0.0)</w:t>
            </w:r>
          </w:p>
        </w:tc>
      </w:tr>
      <w:tr w:rsidR="00F42046" w:rsidRPr="008338D3" w:rsidTr="00A11540">
        <w:trPr>
          <w:trHeight w:val="195"/>
          <w:jc w:val="center"/>
        </w:trPr>
        <w:tc>
          <w:tcPr>
            <w:tcW w:w="2891" w:type="dxa"/>
            <w:tcBorders>
              <w:top w:val="single" w:sz="4" w:space="0" w:color="auto"/>
              <w:bottom w:val="single" w:sz="4" w:space="0" w:color="auto"/>
              <w:right w:val="single" w:sz="4" w:space="0" w:color="auto"/>
            </w:tcBorders>
            <w:vAlign w:val="bottom"/>
          </w:tcPr>
          <w:p w:rsidR="00F42046" w:rsidRPr="00267B51" w:rsidRDefault="00F42046" w:rsidP="00184B19">
            <w:pPr>
              <w:pStyle w:val="TableText10pt"/>
              <w:keepNext w:val="0"/>
              <w:widowControl w:val="0"/>
              <w:jc w:val="both"/>
            </w:pPr>
            <w:r>
              <w:t>Visual acuity reduced</w:t>
            </w:r>
          </w:p>
        </w:tc>
        <w:tc>
          <w:tcPr>
            <w:tcW w:w="1752" w:type="dxa"/>
            <w:tcBorders>
              <w:top w:val="single" w:sz="4" w:space="0" w:color="auto"/>
              <w:left w:val="single" w:sz="4" w:space="0" w:color="auto"/>
              <w:bottom w:val="single" w:sz="4" w:space="0" w:color="auto"/>
              <w:right w:val="single" w:sz="4" w:space="0" w:color="auto"/>
            </w:tcBorders>
            <w:vAlign w:val="bottom"/>
          </w:tcPr>
          <w:p w:rsidR="00F42046" w:rsidRPr="00267B51" w:rsidRDefault="00F42046" w:rsidP="00184B19">
            <w:pPr>
              <w:pStyle w:val="TableText10pt"/>
              <w:keepNext w:val="0"/>
              <w:widowControl w:val="0"/>
              <w:spacing w:before="0"/>
              <w:jc w:val="both"/>
            </w:pPr>
            <w:r>
              <w:t>29 (8.4)</w:t>
            </w:r>
          </w:p>
        </w:tc>
        <w:tc>
          <w:tcPr>
            <w:tcW w:w="1362" w:type="dxa"/>
            <w:tcBorders>
              <w:top w:val="single" w:sz="4" w:space="0" w:color="auto"/>
              <w:left w:val="single" w:sz="4" w:space="0" w:color="auto"/>
              <w:bottom w:val="single" w:sz="4" w:space="0" w:color="auto"/>
              <w:right w:val="single" w:sz="4" w:space="0" w:color="auto"/>
            </w:tcBorders>
            <w:vAlign w:val="bottom"/>
          </w:tcPr>
          <w:p w:rsidR="00F42046" w:rsidRPr="00267B51" w:rsidRDefault="00FE6805" w:rsidP="00184B19">
            <w:pPr>
              <w:pStyle w:val="TableText10pt"/>
              <w:keepNext w:val="0"/>
              <w:widowControl w:val="0"/>
              <w:jc w:val="both"/>
            </w:pPr>
            <w:r>
              <w:t>14 (4.0)</w:t>
            </w:r>
          </w:p>
        </w:tc>
      </w:tr>
    </w:tbl>
    <w:p w:rsidR="00184B19" w:rsidRDefault="00184B19" w:rsidP="00184B19">
      <w:pPr>
        <w:pStyle w:val="TableFootnote"/>
        <w:ind w:hanging="270"/>
        <w:rPr>
          <w:sz w:val="18"/>
          <w:szCs w:val="18"/>
        </w:rPr>
      </w:pPr>
      <w:r>
        <w:rPr>
          <w:sz w:val="18"/>
          <w:szCs w:val="18"/>
        </w:rPr>
        <w:t>Note: “*” indicates adverse drug reaction</w:t>
      </w:r>
      <w:r w:rsidRPr="00267EBB">
        <w:rPr>
          <w:sz w:val="18"/>
          <w:szCs w:val="18"/>
        </w:rPr>
        <w:t>s considered to be related to the intravitreal injection</w:t>
      </w:r>
    </w:p>
    <w:p w:rsidR="00184B19" w:rsidRDefault="00184B19" w:rsidP="00184B19">
      <w:pPr>
        <w:pStyle w:val="TableFootnote"/>
        <w:ind w:hanging="270"/>
        <w:rPr>
          <w:sz w:val="18"/>
          <w:szCs w:val="18"/>
        </w:rPr>
      </w:pPr>
      <w:r w:rsidRPr="00267EBB">
        <w:rPr>
          <w:sz w:val="18"/>
          <w:szCs w:val="18"/>
        </w:rPr>
        <w:t>procedure.</w:t>
      </w:r>
    </w:p>
    <w:p w:rsidR="00184B19" w:rsidRDefault="00184B19" w:rsidP="00184B19">
      <w:pPr>
        <w:widowControl w:val="0"/>
        <w:autoSpaceDE w:val="0"/>
        <w:autoSpaceDN w:val="0"/>
        <w:adjustRightInd w:val="0"/>
        <w:jc w:val="both"/>
      </w:pPr>
    </w:p>
    <w:p w:rsidR="00184B19" w:rsidRDefault="00184B19" w:rsidP="00184B19">
      <w:pPr>
        <w:widowControl w:val="0"/>
        <w:autoSpaceDE w:val="0"/>
        <w:autoSpaceDN w:val="0"/>
        <w:adjustRightInd w:val="0"/>
        <w:jc w:val="both"/>
      </w:pPr>
      <w:r w:rsidRPr="00267B51">
        <w:lastRenderedPageBreak/>
        <w:t>Uncommon adverse reactions included endophthalmitis (0.</w:t>
      </w:r>
      <w:r>
        <w:t>6</w:t>
      </w:r>
      <w:r w:rsidRPr="00267B51">
        <w:t xml:space="preserve">% - injection procedure related), glaucoma (0.9%) and </w:t>
      </w:r>
      <w:r w:rsidR="00583ACF" w:rsidRPr="00267B51">
        <w:t>necroti</w:t>
      </w:r>
      <w:r w:rsidR="00583ACF">
        <w:t>s</w:t>
      </w:r>
      <w:r w:rsidR="00583ACF" w:rsidRPr="00267B51">
        <w:t xml:space="preserve">ing </w:t>
      </w:r>
      <w:r w:rsidRPr="00267B51">
        <w:t>retinitis (0.3%).</w:t>
      </w:r>
    </w:p>
    <w:p w:rsidR="008E5DF4" w:rsidRDefault="008E5DF4" w:rsidP="00184B19">
      <w:pPr>
        <w:widowControl w:val="0"/>
        <w:autoSpaceDE w:val="0"/>
        <w:autoSpaceDN w:val="0"/>
        <w:adjustRightInd w:val="0"/>
        <w:jc w:val="both"/>
        <w:rPr>
          <w:b/>
          <w:u w:val="single"/>
        </w:rPr>
      </w:pPr>
    </w:p>
    <w:p w:rsidR="00F04E0D" w:rsidRDefault="00F04E0D">
      <w:pPr>
        <w:rPr>
          <w:b/>
          <w:u w:val="single"/>
        </w:rPr>
      </w:pPr>
      <w:r>
        <w:rPr>
          <w:b/>
          <w:u w:val="single"/>
        </w:rPr>
        <w:br w:type="page"/>
      </w:r>
    </w:p>
    <w:p w:rsidR="00184B19" w:rsidRPr="000D6C5F" w:rsidRDefault="00184B19" w:rsidP="00184B19">
      <w:pPr>
        <w:widowControl w:val="0"/>
        <w:autoSpaceDE w:val="0"/>
        <w:autoSpaceDN w:val="0"/>
        <w:adjustRightInd w:val="0"/>
        <w:jc w:val="both"/>
        <w:rPr>
          <w:b/>
        </w:rPr>
      </w:pPr>
      <w:r w:rsidRPr="002000C7">
        <w:rPr>
          <w:b/>
          <w:u w:val="single"/>
        </w:rPr>
        <w:lastRenderedPageBreak/>
        <w:t>Cataract</w:t>
      </w:r>
      <w:r w:rsidR="0076505E">
        <w:rPr>
          <w:b/>
          <w:u w:val="single"/>
        </w:rPr>
        <w:t xml:space="preserve"> </w:t>
      </w:r>
      <w:r w:rsidRPr="002000C7">
        <w:rPr>
          <w:b/>
          <w:u w:val="single"/>
        </w:rPr>
        <w:t xml:space="preserve">and </w:t>
      </w:r>
      <w:r w:rsidR="00823C57">
        <w:rPr>
          <w:b/>
          <w:u w:val="single"/>
        </w:rPr>
        <w:t xml:space="preserve">Raised </w:t>
      </w:r>
      <w:r w:rsidRPr="000D6C5F">
        <w:rPr>
          <w:b/>
          <w:u w:val="single"/>
        </w:rPr>
        <w:t xml:space="preserve">Intraocular Pressure </w:t>
      </w:r>
    </w:p>
    <w:p w:rsidR="00823C57" w:rsidRDefault="00823C57" w:rsidP="00B952DA">
      <w:pPr>
        <w:autoSpaceDE w:val="0"/>
        <w:autoSpaceDN w:val="0"/>
        <w:adjustRightInd w:val="0"/>
        <w:jc w:val="both"/>
        <w:rPr>
          <w:szCs w:val="24"/>
          <w:lang w:val="en-US"/>
        </w:rPr>
      </w:pPr>
      <w:r w:rsidRPr="00823C57">
        <w:rPr>
          <w:szCs w:val="24"/>
          <w:lang w:val="en-US"/>
        </w:rPr>
        <w:t>The most frequently reported adverse reactions across the entire s</w:t>
      </w:r>
      <w:r>
        <w:rPr>
          <w:szCs w:val="24"/>
          <w:lang w:val="en-US"/>
        </w:rPr>
        <w:t xml:space="preserve">tudy period in the study eye of </w:t>
      </w:r>
      <w:r w:rsidRPr="00823C57">
        <w:rPr>
          <w:szCs w:val="24"/>
          <w:lang w:val="en-US"/>
        </w:rPr>
        <w:t>patients who received OZURDEX</w:t>
      </w:r>
      <w:r w:rsidR="0010477D" w:rsidRPr="000309AF">
        <w:rPr>
          <w:szCs w:val="24"/>
          <w:vertAlign w:val="superscript"/>
          <w:lang w:val="en-US"/>
        </w:rPr>
        <w:t>®</w:t>
      </w:r>
      <w:r w:rsidRPr="00823C57">
        <w:rPr>
          <w:szCs w:val="24"/>
          <w:lang w:val="en-US"/>
        </w:rPr>
        <w:t xml:space="preserve"> were cataract and elevated IOP (see below).</w:t>
      </w:r>
    </w:p>
    <w:p w:rsidR="00823C57" w:rsidRPr="00823C57" w:rsidRDefault="00823C57" w:rsidP="00B952DA">
      <w:pPr>
        <w:autoSpaceDE w:val="0"/>
        <w:autoSpaceDN w:val="0"/>
        <w:adjustRightInd w:val="0"/>
        <w:jc w:val="both"/>
        <w:rPr>
          <w:szCs w:val="24"/>
          <w:lang w:val="en-US"/>
        </w:rPr>
      </w:pPr>
    </w:p>
    <w:p w:rsidR="00823C57" w:rsidRDefault="00823C57" w:rsidP="00B952DA">
      <w:pPr>
        <w:autoSpaceDE w:val="0"/>
        <w:autoSpaceDN w:val="0"/>
        <w:adjustRightInd w:val="0"/>
        <w:jc w:val="both"/>
        <w:rPr>
          <w:szCs w:val="24"/>
          <w:lang w:val="en-US"/>
        </w:rPr>
      </w:pPr>
      <w:r w:rsidRPr="00823C57">
        <w:rPr>
          <w:szCs w:val="24"/>
          <w:lang w:val="en-US"/>
        </w:rPr>
        <w:t xml:space="preserve">In the </w:t>
      </w:r>
      <w:r w:rsidR="0074333A">
        <w:rPr>
          <w:szCs w:val="24"/>
          <w:lang w:val="en-US"/>
        </w:rPr>
        <w:t>three-</w:t>
      </w:r>
      <w:r w:rsidRPr="00823C57">
        <w:rPr>
          <w:szCs w:val="24"/>
          <w:lang w:val="en-US"/>
        </w:rPr>
        <w:t>year DME clinical studies, at baseline, 87% of p</w:t>
      </w:r>
      <w:r>
        <w:rPr>
          <w:szCs w:val="24"/>
          <w:lang w:val="en-US"/>
        </w:rPr>
        <w:t xml:space="preserve">atients with a </w:t>
      </w:r>
      <w:proofErr w:type="spellStart"/>
      <w:r>
        <w:rPr>
          <w:szCs w:val="24"/>
          <w:lang w:val="en-US"/>
        </w:rPr>
        <w:t>phakic</w:t>
      </w:r>
      <w:proofErr w:type="spellEnd"/>
      <w:r>
        <w:rPr>
          <w:szCs w:val="24"/>
          <w:lang w:val="en-US"/>
        </w:rPr>
        <w:t xml:space="preserve"> study eye </w:t>
      </w:r>
      <w:r w:rsidRPr="00823C57">
        <w:rPr>
          <w:szCs w:val="24"/>
          <w:lang w:val="en-US"/>
        </w:rPr>
        <w:t>treated with</w:t>
      </w:r>
      <w:r>
        <w:rPr>
          <w:szCs w:val="24"/>
          <w:lang w:val="en-US"/>
        </w:rPr>
        <w:t xml:space="preserve"> </w:t>
      </w:r>
      <w:r w:rsidRPr="00823C57">
        <w:rPr>
          <w:szCs w:val="24"/>
          <w:lang w:val="en-US"/>
        </w:rPr>
        <w:t>OZURDEX</w:t>
      </w:r>
      <w:r w:rsidR="0010477D" w:rsidRPr="000309AF">
        <w:rPr>
          <w:szCs w:val="24"/>
          <w:vertAlign w:val="superscript"/>
          <w:lang w:val="en-US"/>
        </w:rPr>
        <w:t>®</w:t>
      </w:r>
      <w:r w:rsidRPr="00823C57">
        <w:rPr>
          <w:szCs w:val="24"/>
          <w:lang w:val="en-US"/>
        </w:rPr>
        <w:t xml:space="preserve"> had some degree of lens opacification/ early cataract. The incidence of all observed</w:t>
      </w:r>
      <w:r>
        <w:rPr>
          <w:szCs w:val="24"/>
          <w:lang w:val="en-US"/>
        </w:rPr>
        <w:t xml:space="preserve"> </w:t>
      </w:r>
      <w:r w:rsidRPr="00823C57">
        <w:rPr>
          <w:szCs w:val="24"/>
          <w:lang w:val="en-US"/>
        </w:rPr>
        <w:t>cataract types (i.e. cataract cortical, cataract diabetic, cataract nuclear, cataract subcapsular, cataract</w:t>
      </w:r>
      <w:r>
        <w:rPr>
          <w:szCs w:val="24"/>
          <w:lang w:val="en-US"/>
        </w:rPr>
        <w:t xml:space="preserve"> </w:t>
      </w:r>
      <w:r w:rsidRPr="00823C57">
        <w:rPr>
          <w:szCs w:val="24"/>
          <w:lang w:val="en-US"/>
        </w:rPr>
        <w:t>lenticular, cataract) was 68% in OZURDEX</w:t>
      </w:r>
      <w:r w:rsidR="0010477D" w:rsidRPr="000309AF">
        <w:rPr>
          <w:szCs w:val="24"/>
          <w:vertAlign w:val="superscript"/>
          <w:lang w:val="en-US"/>
        </w:rPr>
        <w:t>®</w:t>
      </w:r>
      <w:r w:rsidRPr="00823C57">
        <w:rPr>
          <w:szCs w:val="24"/>
          <w:lang w:val="en-US"/>
        </w:rPr>
        <w:t xml:space="preserve"> treated patients with a </w:t>
      </w:r>
      <w:proofErr w:type="spellStart"/>
      <w:r w:rsidRPr="00823C57">
        <w:rPr>
          <w:szCs w:val="24"/>
          <w:lang w:val="en-US"/>
        </w:rPr>
        <w:t>phakic</w:t>
      </w:r>
      <w:proofErr w:type="spellEnd"/>
      <w:r w:rsidRPr="00823C57">
        <w:rPr>
          <w:szCs w:val="24"/>
          <w:lang w:val="en-US"/>
        </w:rPr>
        <w:t xml:space="preserve"> study eye across the </w:t>
      </w:r>
      <w:r w:rsidR="0074333A">
        <w:rPr>
          <w:szCs w:val="24"/>
          <w:lang w:val="en-US"/>
        </w:rPr>
        <w:t>three-year</w:t>
      </w:r>
      <w:r>
        <w:rPr>
          <w:szCs w:val="24"/>
          <w:lang w:val="en-US"/>
        </w:rPr>
        <w:t xml:space="preserve"> </w:t>
      </w:r>
      <w:r w:rsidRPr="00823C57">
        <w:rPr>
          <w:szCs w:val="24"/>
          <w:lang w:val="en-US"/>
        </w:rPr>
        <w:t xml:space="preserve">studies. 59% of patients with a </w:t>
      </w:r>
      <w:proofErr w:type="spellStart"/>
      <w:r w:rsidRPr="00823C57">
        <w:rPr>
          <w:szCs w:val="24"/>
          <w:lang w:val="en-US"/>
        </w:rPr>
        <w:t>phakic</w:t>
      </w:r>
      <w:proofErr w:type="spellEnd"/>
      <w:r w:rsidRPr="00823C57">
        <w:rPr>
          <w:szCs w:val="24"/>
          <w:lang w:val="en-US"/>
        </w:rPr>
        <w:t xml:space="preserve"> study eye required cataract surgery by the </w:t>
      </w:r>
      <w:r w:rsidR="0074333A">
        <w:rPr>
          <w:szCs w:val="24"/>
          <w:lang w:val="en-US"/>
        </w:rPr>
        <w:t>three-year</w:t>
      </w:r>
      <w:r w:rsidRPr="00823C57">
        <w:rPr>
          <w:szCs w:val="24"/>
          <w:lang w:val="en-US"/>
        </w:rPr>
        <w:t xml:space="preserve"> final visit,</w:t>
      </w:r>
      <w:r>
        <w:rPr>
          <w:szCs w:val="24"/>
          <w:lang w:val="en-US"/>
        </w:rPr>
        <w:t xml:space="preserve"> </w:t>
      </w:r>
      <w:r w:rsidRPr="00823C57">
        <w:rPr>
          <w:szCs w:val="24"/>
          <w:lang w:val="en-US"/>
        </w:rPr>
        <w:t>with the majority performed in the 2</w:t>
      </w:r>
      <w:r w:rsidRPr="0074333A">
        <w:rPr>
          <w:szCs w:val="24"/>
          <w:vertAlign w:val="superscript"/>
          <w:lang w:val="en-US"/>
        </w:rPr>
        <w:t>nd</w:t>
      </w:r>
      <w:r w:rsidRPr="00823C57">
        <w:rPr>
          <w:szCs w:val="24"/>
          <w:lang w:val="en-US"/>
        </w:rPr>
        <w:t xml:space="preserve"> and 3</w:t>
      </w:r>
      <w:r w:rsidRPr="0074333A">
        <w:rPr>
          <w:szCs w:val="24"/>
          <w:vertAlign w:val="superscript"/>
          <w:lang w:val="en-US"/>
        </w:rPr>
        <w:t>rd</w:t>
      </w:r>
      <w:r w:rsidRPr="00823C57">
        <w:rPr>
          <w:szCs w:val="24"/>
          <w:lang w:val="en-US"/>
        </w:rPr>
        <w:t xml:space="preserve"> years.</w:t>
      </w:r>
    </w:p>
    <w:p w:rsidR="00823C57" w:rsidRPr="00823C57" w:rsidRDefault="00823C57" w:rsidP="00B952DA">
      <w:pPr>
        <w:autoSpaceDE w:val="0"/>
        <w:autoSpaceDN w:val="0"/>
        <w:adjustRightInd w:val="0"/>
        <w:jc w:val="both"/>
        <w:rPr>
          <w:szCs w:val="24"/>
          <w:lang w:val="en-US"/>
        </w:rPr>
      </w:pPr>
    </w:p>
    <w:p w:rsidR="00823C57" w:rsidRPr="00823C57" w:rsidRDefault="00823C57" w:rsidP="00B952DA">
      <w:pPr>
        <w:autoSpaceDE w:val="0"/>
        <w:autoSpaceDN w:val="0"/>
        <w:adjustRightInd w:val="0"/>
        <w:jc w:val="both"/>
        <w:rPr>
          <w:szCs w:val="24"/>
          <w:lang w:val="en-US"/>
        </w:rPr>
      </w:pPr>
      <w:r w:rsidRPr="00823C57">
        <w:rPr>
          <w:szCs w:val="24"/>
          <w:lang w:val="en-US"/>
        </w:rPr>
        <w:t>Mean IOP in the study eye at baseline was the same in both tr</w:t>
      </w:r>
      <w:r>
        <w:rPr>
          <w:szCs w:val="24"/>
          <w:lang w:val="en-US"/>
        </w:rPr>
        <w:t xml:space="preserve">eatment groups (15.3 mmHg). The </w:t>
      </w:r>
      <w:r w:rsidRPr="00823C57">
        <w:rPr>
          <w:szCs w:val="24"/>
          <w:lang w:val="en-US"/>
        </w:rPr>
        <w:t>mean increase from baseline IOP did not exceed 3.2 mmHg across all visits in the OZURDEX</w:t>
      </w:r>
      <w:r w:rsidR="0010477D" w:rsidRPr="000309AF">
        <w:rPr>
          <w:szCs w:val="24"/>
          <w:vertAlign w:val="superscript"/>
          <w:lang w:val="en-US"/>
        </w:rPr>
        <w:t>®</w:t>
      </w:r>
      <w:r w:rsidRPr="00823C57">
        <w:rPr>
          <w:szCs w:val="24"/>
          <w:lang w:val="en-US"/>
        </w:rPr>
        <w:t xml:space="preserve"> group</w:t>
      </w:r>
      <w:r>
        <w:rPr>
          <w:szCs w:val="24"/>
          <w:lang w:val="en-US"/>
        </w:rPr>
        <w:t xml:space="preserve"> </w:t>
      </w:r>
      <w:r w:rsidRPr="00823C57">
        <w:rPr>
          <w:szCs w:val="24"/>
          <w:lang w:val="en-US"/>
        </w:rPr>
        <w:t>with the mean IOP peaking at the 1.5 month visit post injection, and returning to approximately</w:t>
      </w:r>
      <w:r>
        <w:rPr>
          <w:szCs w:val="24"/>
          <w:lang w:val="en-US"/>
        </w:rPr>
        <w:t xml:space="preserve"> </w:t>
      </w:r>
      <w:r w:rsidRPr="00823C57">
        <w:rPr>
          <w:szCs w:val="24"/>
          <w:lang w:val="en-US"/>
        </w:rPr>
        <w:t>baseline levels by month 6 following each injection. The rate and magnitude of IOP elevation</w:t>
      </w:r>
      <w:r>
        <w:rPr>
          <w:szCs w:val="24"/>
          <w:lang w:val="en-US"/>
        </w:rPr>
        <w:t xml:space="preserve"> </w:t>
      </w:r>
      <w:r w:rsidRPr="00823C57">
        <w:rPr>
          <w:szCs w:val="24"/>
          <w:lang w:val="en-US"/>
        </w:rPr>
        <w:t>following OZURDEX</w:t>
      </w:r>
      <w:r w:rsidR="0010477D" w:rsidRPr="000309AF">
        <w:rPr>
          <w:szCs w:val="24"/>
          <w:vertAlign w:val="superscript"/>
          <w:lang w:val="en-US"/>
        </w:rPr>
        <w:t>®</w:t>
      </w:r>
      <w:r w:rsidRPr="00823C57">
        <w:rPr>
          <w:szCs w:val="24"/>
          <w:lang w:val="en-US"/>
        </w:rPr>
        <w:t xml:space="preserve"> treatment did not increase upon repeated injection of OZURDEX</w:t>
      </w:r>
      <w:r w:rsidR="0010477D" w:rsidRPr="000309AF">
        <w:rPr>
          <w:szCs w:val="24"/>
          <w:vertAlign w:val="superscript"/>
          <w:lang w:val="en-US"/>
        </w:rPr>
        <w:t>®</w:t>
      </w:r>
      <w:r w:rsidRPr="00823C57">
        <w:rPr>
          <w:szCs w:val="24"/>
          <w:lang w:val="en-US"/>
        </w:rPr>
        <w:t>.</w:t>
      </w:r>
    </w:p>
    <w:p w:rsidR="00823C57" w:rsidRDefault="00823C57" w:rsidP="00B952DA">
      <w:pPr>
        <w:autoSpaceDE w:val="0"/>
        <w:autoSpaceDN w:val="0"/>
        <w:adjustRightInd w:val="0"/>
        <w:jc w:val="both"/>
        <w:rPr>
          <w:szCs w:val="24"/>
          <w:lang w:val="en-US"/>
        </w:rPr>
      </w:pPr>
    </w:p>
    <w:p w:rsidR="00823C57" w:rsidRPr="00823C57" w:rsidRDefault="00823C57" w:rsidP="00B952DA">
      <w:pPr>
        <w:autoSpaceDE w:val="0"/>
        <w:autoSpaceDN w:val="0"/>
        <w:adjustRightInd w:val="0"/>
        <w:jc w:val="both"/>
        <w:rPr>
          <w:szCs w:val="24"/>
          <w:lang w:val="en-US"/>
        </w:rPr>
      </w:pPr>
      <w:r w:rsidRPr="00823C57">
        <w:rPr>
          <w:szCs w:val="24"/>
          <w:lang w:val="en-US"/>
        </w:rPr>
        <w:t>28% of patients treated with OZURDEX</w:t>
      </w:r>
      <w:r w:rsidR="0010477D" w:rsidRPr="000309AF">
        <w:rPr>
          <w:szCs w:val="24"/>
          <w:vertAlign w:val="superscript"/>
          <w:lang w:val="en-US"/>
        </w:rPr>
        <w:t>®</w:t>
      </w:r>
      <w:r w:rsidRPr="00823C57">
        <w:rPr>
          <w:szCs w:val="24"/>
          <w:lang w:val="en-US"/>
        </w:rPr>
        <w:t xml:space="preserve"> had a ≥ 10 mm Hg IOP increase from baseline at one or more</w:t>
      </w:r>
      <w:r>
        <w:rPr>
          <w:szCs w:val="24"/>
          <w:lang w:val="en-US"/>
        </w:rPr>
        <w:t xml:space="preserve"> </w:t>
      </w:r>
      <w:r w:rsidRPr="00823C57">
        <w:rPr>
          <w:szCs w:val="24"/>
          <w:lang w:val="en-US"/>
        </w:rPr>
        <w:t>visits during the study. At baseline 3% of patients required IOP-lowering medication(s). Overall,</w:t>
      </w:r>
      <w:r>
        <w:rPr>
          <w:szCs w:val="24"/>
          <w:lang w:val="en-US"/>
        </w:rPr>
        <w:t xml:space="preserve"> </w:t>
      </w:r>
      <w:r w:rsidRPr="00823C57">
        <w:rPr>
          <w:szCs w:val="24"/>
          <w:lang w:val="en-US"/>
        </w:rPr>
        <w:t xml:space="preserve">42% of patients required IOP-lowering medications in the study eye at some stage during the </w:t>
      </w:r>
      <w:r w:rsidR="005075EE">
        <w:rPr>
          <w:szCs w:val="24"/>
          <w:lang w:val="en-US"/>
        </w:rPr>
        <w:t>three-year</w:t>
      </w:r>
      <w:r>
        <w:rPr>
          <w:szCs w:val="24"/>
          <w:lang w:val="en-US"/>
        </w:rPr>
        <w:t xml:space="preserve"> </w:t>
      </w:r>
      <w:r w:rsidRPr="00823C57">
        <w:rPr>
          <w:szCs w:val="24"/>
          <w:lang w:val="en-US"/>
        </w:rPr>
        <w:t>studies, with the majority of these patients requiring more than one medication. Peak usage (33%)</w:t>
      </w:r>
      <w:r>
        <w:rPr>
          <w:szCs w:val="24"/>
          <w:lang w:val="en-US"/>
        </w:rPr>
        <w:t xml:space="preserve"> </w:t>
      </w:r>
      <w:r w:rsidRPr="00823C57">
        <w:rPr>
          <w:szCs w:val="24"/>
          <w:lang w:val="en-US"/>
        </w:rPr>
        <w:t>occurred during the first 12 months and remained similar from year to year</w:t>
      </w:r>
      <w:r w:rsidRPr="00823C57">
        <w:rPr>
          <w:b/>
          <w:bCs/>
          <w:szCs w:val="24"/>
          <w:lang w:val="en-US"/>
        </w:rPr>
        <w:t>.</w:t>
      </w:r>
    </w:p>
    <w:p w:rsidR="00823C57" w:rsidRDefault="00823C57" w:rsidP="00B952DA">
      <w:pPr>
        <w:autoSpaceDE w:val="0"/>
        <w:autoSpaceDN w:val="0"/>
        <w:adjustRightInd w:val="0"/>
        <w:jc w:val="both"/>
        <w:rPr>
          <w:szCs w:val="24"/>
          <w:lang w:val="en-US"/>
        </w:rPr>
      </w:pPr>
    </w:p>
    <w:p w:rsidR="00823C57" w:rsidRDefault="00823C57" w:rsidP="00B952DA">
      <w:pPr>
        <w:autoSpaceDE w:val="0"/>
        <w:autoSpaceDN w:val="0"/>
        <w:adjustRightInd w:val="0"/>
        <w:jc w:val="both"/>
        <w:rPr>
          <w:szCs w:val="24"/>
          <w:lang w:val="en-US"/>
        </w:rPr>
      </w:pPr>
      <w:r w:rsidRPr="00823C57">
        <w:rPr>
          <w:szCs w:val="24"/>
          <w:lang w:val="en-US"/>
        </w:rPr>
        <w:t>A total of 4 patients (1%) treated with OZURDEX</w:t>
      </w:r>
      <w:r w:rsidR="0010477D" w:rsidRPr="000309AF">
        <w:rPr>
          <w:szCs w:val="24"/>
          <w:vertAlign w:val="superscript"/>
          <w:lang w:val="en-US"/>
        </w:rPr>
        <w:t>®</w:t>
      </w:r>
      <w:r w:rsidRPr="00823C57">
        <w:rPr>
          <w:szCs w:val="24"/>
          <w:lang w:val="en-US"/>
        </w:rPr>
        <w:t xml:space="preserve"> had procedures in the study eye for the treatment of</w:t>
      </w:r>
      <w:r>
        <w:rPr>
          <w:szCs w:val="24"/>
          <w:lang w:val="en-US"/>
        </w:rPr>
        <w:t xml:space="preserve"> </w:t>
      </w:r>
      <w:r w:rsidRPr="00823C57">
        <w:rPr>
          <w:szCs w:val="24"/>
          <w:lang w:val="en-US"/>
        </w:rPr>
        <w:t>IOP elevation. One patient treated with OZURDEX</w:t>
      </w:r>
      <w:r w:rsidR="0010477D" w:rsidRPr="000309AF">
        <w:rPr>
          <w:szCs w:val="24"/>
          <w:vertAlign w:val="superscript"/>
          <w:lang w:val="en-US"/>
        </w:rPr>
        <w:t>®</w:t>
      </w:r>
      <w:r w:rsidRPr="00823C57">
        <w:rPr>
          <w:szCs w:val="24"/>
          <w:lang w:val="en-US"/>
        </w:rPr>
        <w:t xml:space="preserve"> required incisional surgery (trabeculectomy) to</w:t>
      </w:r>
      <w:r>
        <w:rPr>
          <w:szCs w:val="24"/>
          <w:lang w:val="en-US"/>
        </w:rPr>
        <w:t xml:space="preserve"> </w:t>
      </w:r>
      <w:r w:rsidRPr="00823C57">
        <w:rPr>
          <w:szCs w:val="24"/>
          <w:lang w:val="en-US"/>
        </w:rPr>
        <w:t>manage the steroid-induced</w:t>
      </w:r>
      <w:r>
        <w:rPr>
          <w:szCs w:val="24"/>
          <w:lang w:val="en-US"/>
        </w:rPr>
        <w:t xml:space="preserve"> IOP elevation, 1 patient had a </w:t>
      </w:r>
      <w:r w:rsidRPr="00823C57">
        <w:rPr>
          <w:szCs w:val="24"/>
          <w:lang w:val="en-US"/>
        </w:rPr>
        <w:t>trabeculectomy owing to anterior chamber</w:t>
      </w:r>
      <w:r>
        <w:rPr>
          <w:szCs w:val="24"/>
          <w:lang w:val="en-US"/>
        </w:rPr>
        <w:t xml:space="preserve"> </w:t>
      </w:r>
      <w:r w:rsidRPr="00823C57">
        <w:rPr>
          <w:szCs w:val="24"/>
          <w:lang w:val="en-US"/>
        </w:rPr>
        <w:t>fibrin blocking the aqueous outflow leading to increased IOP, 1 patient had an iridotomy for narrow</w:t>
      </w:r>
      <w:r>
        <w:rPr>
          <w:szCs w:val="24"/>
          <w:lang w:val="en-US"/>
        </w:rPr>
        <w:t xml:space="preserve"> </w:t>
      </w:r>
      <w:r w:rsidRPr="00823C57">
        <w:rPr>
          <w:szCs w:val="24"/>
          <w:lang w:val="en-US"/>
        </w:rPr>
        <w:t>angle glaucoma and 1 patient had iridectomy due to cataract surgery. No patient required removal of</w:t>
      </w:r>
      <w:r>
        <w:rPr>
          <w:szCs w:val="24"/>
          <w:lang w:val="en-US"/>
        </w:rPr>
        <w:t xml:space="preserve"> </w:t>
      </w:r>
      <w:r w:rsidRPr="00823C57">
        <w:rPr>
          <w:szCs w:val="24"/>
          <w:lang w:val="en-US"/>
        </w:rPr>
        <w:t>the implant by vitrectomy to control IOP.</w:t>
      </w:r>
    </w:p>
    <w:p w:rsidR="006F6905" w:rsidRDefault="006F6905" w:rsidP="00B952DA">
      <w:pPr>
        <w:autoSpaceDE w:val="0"/>
        <w:autoSpaceDN w:val="0"/>
        <w:adjustRightInd w:val="0"/>
        <w:jc w:val="both"/>
        <w:rPr>
          <w:szCs w:val="24"/>
          <w:lang w:val="en-US"/>
        </w:rPr>
      </w:pPr>
    </w:p>
    <w:p w:rsidR="00A14B62" w:rsidRPr="005075EE" w:rsidRDefault="00A14B62" w:rsidP="008D72B1">
      <w:pPr>
        <w:keepNext/>
        <w:autoSpaceDE w:val="0"/>
        <w:autoSpaceDN w:val="0"/>
        <w:adjustRightInd w:val="0"/>
        <w:jc w:val="both"/>
        <w:rPr>
          <w:b/>
          <w:szCs w:val="24"/>
          <w:u w:val="single"/>
          <w:lang w:val="en-US"/>
        </w:rPr>
      </w:pPr>
      <w:r>
        <w:rPr>
          <w:b/>
          <w:szCs w:val="24"/>
          <w:u w:val="single"/>
          <w:lang w:val="en-US"/>
        </w:rPr>
        <w:t>RVO</w:t>
      </w:r>
    </w:p>
    <w:p w:rsidR="00021737" w:rsidRDefault="00021737" w:rsidP="00021737">
      <w:pPr>
        <w:jc w:val="both"/>
      </w:pPr>
      <w:r w:rsidRPr="00014B02">
        <w:t>The clinical safety of OZURDEX</w:t>
      </w:r>
      <w:r w:rsidRPr="00014B02">
        <w:rPr>
          <w:vertAlign w:val="superscript"/>
        </w:rPr>
        <w:t>®</w:t>
      </w:r>
      <w:r w:rsidRPr="00014B02">
        <w:t xml:space="preserve"> was assessed in </w:t>
      </w:r>
      <w:r w:rsidR="005075EE" w:rsidRPr="00014B02">
        <w:t>three</w:t>
      </w:r>
      <w:r w:rsidRPr="00014B02">
        <w:t xml:space="preserve"> Phase 3 randomised, double</w:t>
      </w:r>
      <w:r w:rsidRPr="00014B02">
        <w:noBreakHyphen/>
        <w:t xml:space="preserve">masked, Sham-controlled studies in patients with macular oedema following BRVO or CRVO. In Study </w:t>
      </w:r>
      <w:r w:rsidR="000F506A">
        <w:t>RVO</w:t>
      </w:r>
      <w:r w:rsidR="009A5BF1" w:rsidRPr="00014B02">
        <w:t>3</w:t>
      </w:r>
      <w:r w:rsidRPr="00014B02">
        <w:t xml:space="preserve">, a total of </w:t>
      </w:r>
      <w:r w:rsidR="005C2694" w:rsidRPr="00014B02">
        <w:t xml:space="preserve">129 </w:t>
      </w:r>
      <w:r w:rsidRPr="00014B02">
        <w:t>patients were randomised and received OZURDEX</w:t>
      </w:r>
      <w:r w:rsidRPr="00014B02">
        <w:rPr>
          <w:vertAlign w:val="superscript"/>
        </w:rPr>
        <w:t>®</w:t>
      </w:r>
      <w:r w:rsidRPr="00014B02">
        <w:t xml:space="preserve"> and </w:t>
      </w:r>
      <w:r w:rsidR="005C2694" w:rsidRPr="00014B02">
        <w:t>130</w:t>
      </w:r>
      <w:r w:rsidRPr="00014B02">
        <w:t xml:space="preserve"> received Sham. In Studies </w:t>
      </w:r>
      <w:r w:rsidR="009A5BF1" w:rsidRPr="00014B02">
        <w:t>RVO</w:t>
      </w:r>
      <w:r w:rsidR="00482AC5">
        <w:t>1</w:t>
      </w:r>
      <w:r w:rsidR="009A5BF1" w:rsidRPr="00014B02">
        <w:t xml:space="preserve"> and RVO</w:t>
      </w:r>
      <w:r w:rsidR="00482AC5">
        <w:t>2</w:t>
      </w:r>
      <w:r w:rsidRPr="00014B02">
        <w:t xml:space="preserve">, a total of 421 patients were </w:t>
      </w:r>
      <w:r w:rsidR="00482AC5">
        <w:t xml:space="preserve">treated with </w:t>
      </w:r>
      <w:r w:rsidRPr="00014B02">
        <w:t>OZURDEX</w:t>
      </w:r>
      <w:r w:rsidRPr="006549F5">
        <w:rPr>
          <w:vertAlign w:val="superscript"/>
        </w:rPr>
        <w:t>®</w:t>
      </w:r>
      <w:r w:rsidRPr="006549F5">
        <w:t xml:space="preserve"> and 423 received Sham.</w:t>
      </w:r>
    </w:p>
    <w:p w:rsidR="00021737" w:rsidRDefault="00021737" w:rsidP="00021737">
      <w:pPr>
        <w:jc w:val="both"/>
      </w:pPr>
    </w:p>
    <w:p w:rsidR="00FE74D4" w:rsidRDefault="00FE74D4" w:rsidP="00FE74D4">
      <w:pPr>
        <w:widowControl w:val="0"/>
        <w:jc w:val="both"/>
        <w:rPr>
          <w:b/>
        </w:rPr>
      </w:pPr>
      <w:r w:rsidRPr="00184B19">
        <w:t xml:space="preserve">The most frequent adverse reactions (dexamethasone or injection procedure) were defined as adverse reactions </w:t>
      </w:r>
      <w:r>
        <w:t xml:space="preserve">in the initial masked treatment period, </w:t>
      </w:r>
      <w:r w:rsidRPr="00184B19">
        <w:t xml:space="preserve">that occurred with </w:t>
      </w:r>
      <w:proofErr w:type="gramStart"/>
      <w:r w:rsidRPr="00184B19">
        <w:t>a  higher</w:t>
      </w:r>
      <w:proofErr w:type="gramEnd"/>
      <w:r w:rsidRPr="00184B19">
        <w:t xml:space="preserve"> frequency in the </w:t>
      </w:r>
      <w:r>
        <w:t>OZURDEX</w:t>
      </w:r>
      <w:r w:rsidRPr="00E00F1C">
        <w:rPr>
          <w:vertAlign w:val="superscript"/>
        </w:rPr>
        <w:t>®</w:t>
      </w:r>
      <w:r w:rsidRPr="00184B19">
        <w:t xml:space="preserve"> group compared to the </w:t>
      </w:r>
      <w:r>
        <w:t>S</w:t>
      </w:r>
      <w:r w:rsidRPr="00184B19">
        <w:t xml:space="preserve">ham group </w:t>
      </w:r>
      <w:r>
        <w:t>or</w:t>
      </w:r>
      <w:r w:rsidRPr="00184B19">
        <w:t xml:space="preserve"> had a plausible mechanism of action as shown in Table </w:t>
      </w:r>
      <w:r>
        <w:t>5</w:t>
      </w:r>
      <w:r w:rsidRPr="00184B19">
        <w:t>:</w:t>
      </w:r>
      <w:r w:rsidRPr="00184B19">
        <w:rPr>
          <w:b/>
        </w:rPr>
        <w:t xml:space="preserve"> </w:t>
      </w:r>
    </w:p>
    <w:p w:rsidR="00021737" w:rsidRDefault="00021737" w:rsidP="00594B3D">
      <w:pPr>
        <w:pStyle w:val="Caption"/>
        <w:ind w:left="1440" w:hanging="1440"/>
        <w:jc w:val="center"/>
        <w:rPr>
          <w:sz w:val="20"/>
        </w:rPr>
      </w:pPr>
      <w:r w:rsidRPr="003878B4">
        <w:rPr>
          <w:sz w:val="20"/>
        </w:rPr>
        <w:lastRenderedPageBreak/>
        <w:t xml:space="preserve">Table </w:t>
      </w:r>
      <w:r w:rsidR="003727B5">
        <w:rPr>
          <w:sz w:val="20"/>
        </w:rPr>
        <w:t>5</w:t>
      </w:r>
      <w:r w:rsidRPr="003878B4">
        <w:rPr>
          <w:sz w:val="20"/>
        </w:rPr>
        <w:tab/>
        <w:t xml:space="preserve">Summary of Adverse Reactions in Phase 3 </w:t>
      </w:r>
      <w:r w:rsidR="00DF5F30">
        <w:rPr>
          <w:sz w:val="20"/>
        </w:rPr>
        <w:t>RVO Studies</w:t>
      </w:r>
      <w:r w:rsidR="00FE74D4">
        <w:rPr>
          <w:sz w:val="20"/>
        </w:rPr>
        <w:t xml:space="preserve"> </w:t>
      </w:r>
      <w:r w:rsidR="00FE74D4" w:rsidRPr="00184B19">
        <w:rPr>
          <w:sz w:val="20"/>
        </w:rPr>
        <w:t>in ≥ 1% of Patients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1602"/>
        <w:gridCol w:w="1710"/>
        <w:gridCol w:w="1980"/>
        <w:gridCol w:w="1710"/>
      </w:tblGrid>
      <w:tr w:rsidR="00B119F4" w:rsidRPr="00156737" w:rsidTr="00BE2467">
        <w:tc>
          <w:tcPr>
            <w:tcW w:w="2466" w:type="dxa"/>
            <w:vMerge w:val="restart"/>
            <w:vAlign w:val="bottom"/>
          </w:tcPr>
          <w:p w:rsidR="00B119F4" w:rsidRPr="00156737" w:rsidRDefault="00B119F4" w:rsidP="00BE2467">
            <w:pPr>
              <w:pStyle w:val="TableHeadingsSmall"/>
            </w:pPr>
            <w:r w:rsidRPr="00156737">
              <w:t>System Organ Class</w:t>
            </w:r>
          </w:p>
          <w:p w:rsidR="00B119F4" w:rsidRPr="00156737" w:rsidRDefault="00B119F4" w:rsidP="00BE2467">
            <w:pPr>
              <w:pStyle w:val="TableHeadingsSmall"/>
            </w:pPr>
            <w:r w:rsidRPr="00156737">
              <w:t>Preferred Term</w:t>
            </w:r>
          </w:p>
        </w:tc>
        <w:tc>
          <w:tcPr>
            <w:tcW w:w="3312" w:type="dxa"/>
            <w:gridSpan w:val="2"/>
            <w:vAlign w:val="bottom"/>
          </w:tcPr>
          <w:p w:rsidR="00B119F4" w:rsidRPr="00156737" w:rsidDel="00580371" w:rsidRDefault="00B119F4" w:rsidP="00BE2467">
            <w:pPr>
              <w:pStyle w:val="TableHeadingsSmall"/>
              <w:rPr>
                <w:szCs w:val="20"/>
              </w:rPr>
            </w:pPr>
            <w:r>
              <w:rPr>
                <w:szCs w:val="20"/>
              </w:rPr>
              <w:t xml:space="preserve">Pooled </w:t>
            </w:r>
            <w:r w:rsidRPr="00F114A1">
              <w:rPr>
                <w:szCs w:val="20"/>
              </w:rPr>
              <w:t xml:space="preserve">Studies </w:t>
            </w:r>
            <w:r>
              <w:rPr>
                <w:szCs w:val="20"/>
              </w:rPr>
              <w:t xml:space="preserve">RVO 1 and RVO 2 </w:t>
            </w:r>
          </w:p>
        </w:tc>
        <w:tc>
          <w:tcPr>
            <w:tcW w:w="3690" w:type="dxa"/>
            <w:gridSpan w:val="2"/>
            <w:vAlign w:val="bottom"/>
          </w:tcPr>
          <w:p w:rsidR="00B119F4" w:rsidRPr="00156737" w:rsidRDefault="00B119F4" w:rsidP="00BE2467">
            <w:pPr>
              <w:pStyle w:val="TableHeadingsSmall"/>
              <w:rPr>
                <w:szCs w:val="20"/>
              </w:rPr>
            </w:pPr>
            <w:r w:rsidRPr="00F114A1">
              <w:rPr>
                <w:szCs w:val="20"/>
              </w:rPr>
              <w:t xml:space="preserve">Study </w:t>
            </w:r>
            <w:r>
              <w:rPr>
                <w:szCs w:val="20"/>
              </w:rPr>
              <w:t>RVO 3</w:t>
            </w:r>
          </w:p>
        </w:tc>
      </w:tr>
      <w:tr w:rsidR="00B119F4" w:rsidRPr="00156737" w:rsidTr="00BE2467">
        <w:tc>
          <w:tcPr>
            <w:tcW w:w="2466" w:type="dxa"/>
            <w:vMerge/>
            <w:vAlign w:val="bottom"/>
          </w:tcPr>
          <w:p w:rsidR="00B119F4" w:rsidRPr="00156737" w:rsidRDefault="00B119F4" w:rsidP="00BE2467">
            <w:pPr>
              <w:pStyle w:val="TableText"/>
              <w:jc w:val="center"/>
              <w:rPr>
                <w:sz w:val="20"/>
              </w:rPr>
            </w:pPr>
          </w:p>
        </w:tc>
        <w:tc>
          <w:tcPr>
            <w:tcW w:w="1602" w:type="dxa"/>
            <w:vAlign w:val="bottom"/>
          </w:tcPr>
          <w:p w:rsidR="00B119F4" w:rsidRPr="006549F5" w:rsidRDefault="00B119F4" w:rsidP="00BE2467">
            <w:pPr>
              <w:pStyle w:val="TableText10pt"/>
              <w:spacing w:before="40" w:after="40"/>
              <w:jc w:val="center"/>
              <w:rPr>
                <w:b/>
              </w:rPr>
            </w:pPr>
            <w:r w:rsidRPr="006549F5">
              <w:rPr>
                <w:b/>
              </w:rPr>
              <w:t>OZURDEX</w:t>
            </w:r>
            <w:r w:rsidRPr="006549F5">
              <w:rPr>
                <w:b/>
                <w:vertAlign w:val="superscript"/>
              </w:rPr>
              <w:t>®</w:t>
            </w:r>
            <w:r w:rsidRPr="006549F5">
              <w:rPr>
                <w:b/>
              </w:rPr>
              <w:br/>
              <w:t>N = 421</w:t>
            </w:r>
          </w:p>
        </w:tc>
        <w:tc>
          <w:tcPr>
            <w:tcW w:w="1710" w:type="dxa"/>
            <w:vAlign w:val="bottom"/>
          </w:tcPr>
          <w:p w:rsidR="00B119F4" w:rsidRPr="006549F5" w:rsidRDefault="00B119F4" w:rsidP="00BE2467">
            <w:pPr>
              <w:pStyle w:val="TableText10pt"/>
              <w:spacing w:before="40" w:after="40"/>
              <w:jc w:val="center"/>
              <w:rPr>
                <w:b/>
              </w:rPr>
            </w:pPr>
            <w:r w:rsidRPr="006549F5">
              <w:rPr>
                <w:b/>
              </w:rPr>
              <w:t>Sham</w:t>
            </w:r>
            <w:r w:rsidRPr="006549F5">
              <w:rPr>
                <w:b/>
              </w:rPr>
              <w:br/>
              <w:t>N = 423</w:t>
            </w:r>
          </w:p>
        </w:tc>
        <w:tc>
          <w:tcPr>
            <w:tcW w:w="1980" w:type="dxa"/>
            <w:vAlign w:val="bottom"/>
          </w:tcPr>
          <w:p w:rsidR="00B119F4" w:rsidRPr="006549F5" w:rsidRDefault="00B119F4" w:rsidP="00BE2467">
            <w:pPr>
              <w:pStyle w:val="TableHeadingsSmall"/>
            </w:pPr>
            <w:r w:rsidRPr="006549F5">
              <w:t>OZURDEX</w:t>
            </w:r>
            <w:r w:rsidRPr="006549F5">
              <w:rPr>
                <w:vertAlign w:val="superscript"/>
              </w:rPr>
              <w:t>®</w:t>
            </w:r>
            <w:r w:rsidRPr="006549F5">
              <w:br/>
              <w:t>N = 129</w:t>
            </w:r>
          </w:p>
        </w:tc>
        <w:tc>
          <w:tcPr>
            <w:tcW w:w="1710" w:type="dxa"/>
            <w:vAlign w:val="bottom"/>
          </w:tcPr>
          <w:p w:rsidR="00B119F4" w:rsidRPr="006549F5" w:rsidRDefault="00B119F4" w:rsidP="00BE2467">
            <w:pPr>
              <w:pStyle w:val="TableHeadingsSmall"/>
            </w:pPr>
            <w:r w:rsidRPr="006549F5">
              <w:t>Sham</w:t>
            </w:r>
            <w:r w:rsidRPr="006549F5">
              <w:br/>
              <w:t>N = 130</w:t>
            </w:r>
          </w:p>
        </w:tc>
      </w:tr>
      <w:tr w:rsidR="00B119F4" w:rsidRPr="00156737" w:rsidTr="00BE2467">
        <w:tc>
          <w:tcPr>
            <w:tcW w:w="9468" w:type="dxa"/>
            <w:gridSpan w:val="5"/>
          </w:tcPr>
          <w:p w:rsidR="00B119F4" w:rsidRPr="00F97445" w:rsidRDefault="00B119F4" w:rsidP="00BE2467">
            <w:pPr>
              <w:pStyle w:val="TableText"/>
              <w:rPr>
                <w:sz w:val="20"/>
              </w:rPr>
            </w:pPr>
            <w:r w:rsidRPr="00F97445">
              <w:rPr>
                <w:b/>
                <w:i/>
                <w:sz w:val="20"/>
              </w:rPr>
              <w:t>Eye Disorders (Study Eye)</w:t>
            </w:r>
          </w:p>
        </w:tc>
      </w:tr>
      <w:tr w:rsidR="00B119F4" w:rsidRPr="00156737" w:rsidTr="00BE2467">
        <w:tc>
          <w:tcPr>
            <w:tcW w:w="2466" w:type="dxa"/>
          </w:tcPr>
          <w:p w:rsidR="00B119F4" w:rsidRPr="00F97445" w:rsidRDefault="00B119F4" w:rsidP="00BE2467">
            <w:pPr>
              <w:pStyle w:val="TableText10pt"/>
            </w:pPr>
            <w:r w:rsidRPr="00F97445">
              <w:t>Intraocular pressure increased</w:t>
            </w:r>
          </w:p>
        </w:tc>
        <w:tc>
          <w:tcPr>
            <w:tcW w:w="1602" w:type="dxa"/>
          </w:tcPr>
          <w:p w:rsidR="00B119F4" w:rsidRPr="00F97445" w:rsidRDefault="00B119F4" w:rsidP="00BE2467">
            <w:pPr>
              <w:pStyle w:val="TableText10pt"/>
              <w:jc w:val="center"/>
            </w:pPr>
            <w:r w:rsidRPr="00F97445">
              <w:t>106 (25.2%)</w:t>
            </w:r>
          </w:p>
        </w:tc>
        <w:tc>
          <w:tcPr>
            <w:tcW w:w="1710" w:type="dxa"/>
          </w:tcPr>
          <w:p w:rsidR="00B119F4" w:rsidRPr="00F97445" w:rsidRDefault="00B119F4" w:rsidP="00BE2467">
            <w:pPr>
              <w:pStyle w:val="TableText10pt"/>
              <w:jc w:val="center"/>
            </w:pPr>
            <w:r w:rsidRPr="00F97445">
              <w:t>5 (1.2%)</w:t>
            </w:r>
          </w:p>
        </w:tc>
        <w:tc>
          <w:tcPr>
            <w:tcW w:w="1980" w:type="dxa"/>
          </w:tcPr>
          <w:p w:rsidR="00B119F4" w:rsidRPr="00F97445" w:rsidRDefault="00B119F4" w:rsidP="00BE2467">
            <w:pPr>
              <w:pStyle w:val="TableText10pt"/>
              <w:jc w:val="center"/>
            </w:pPr>
            <w:r w:rsidRPr="00F97445">
              <w:t>38 (29.5%)</w:t>
            </w:r>
          </w:p>
        </w:tc>
        <w:tc>
          <w:tcPr>
            <w:tcW w:w="1710" w:type="dxa"/>
          </w:tcPr>
          <w:p w:rsidR="00B119F4" w:rsidRPr="00F97445" w:rsidRDefault="00B119F4" w:rsidP="00BE2467">
            <w:pPr>
              <w:pStyle w:val="TableText10pt"/>
              <w:jc w:val="center"/>
            </w:pPr>
            <w:r w:rsidRPr="00F97445">
              <w:t>3 (2.3%)</w:t>
            </w:r>
          </w:p>
        </w:tc>
      </w:tr>
      <w:tr w:rsidR="00B119F4" w:rsidRPr="00156737" w:rsidTr="00BE2467">
        <w:tc>
          <w:tcPr>
            <w:tcW w:w="2466" w:type="dxa"/>
          </w:tcPr>
          <w:p w:rsidR="00B119F4" w:rsidRPr="00F97445" w:rsidRDefault="00B119F4" w:rsidP="00BE2467">
            <w:pPr>
              <w:pStyle w:val="TableText10pt"/>
            </w:pPr>
            <w:r w:rsidRPr="00F97445">
              <w:t xml:space="preserve">Conjunctival </w:t>
            </w:r>
            <w:proofErr w:type="spellStart"/>
            <w:r w:rsidRPr="00F97445">
              <w:t>haemorrhage</w:t>
            </w:r>
            <w:proofErr w:type="spellEnd"/>
            <w:r w:rsidRPr="00F97445">
              <w:t>*</w:t>
            </w:r>
          </w:p>
        </w:tc>
        <w:tc>
          <w:tcPr>
            <w:tcW w:w="1602" w:type="dxa"/>
          </w:tcPr>
          <w:p w:rsidR="00B119F4" w:rsidRPr="00F97445" w:rsidRDefault="00B119F4" w:rsidP="00BE2467">
            <w:pPr>
              <w:pStyle w:val="TableText10pt"/>
              <w:jc w:val="center"/>
            </w:pPr>
            <w:r w:rsidRPr="00F97445">
              <w:t>85 (20.2%)</w:t>
            </w:r>
          </w:p>
        </w:tc>
        <w:tc>
          <w:tcPr>
            <w:tcW w:w="1710" w:type="dxa"/>
          </w:tcPr>
          <w:p w:rsidR="00B119F4" w:rsidRPr="00F97445" w:rsidRDefault="00B119F4" w:rsidP="00BE2467">
            <w:pPr>
              <w:pStyle w:val="TableText10pt"/>
              <w:jc w:val="center"/>
            </w:pPr>
            <w:r w:rsidRPr="00F97445">
              <w:t>63 (14.9%)</w:t>
            </w:r>
          </w:p>
        </w:tc>
        <w:tc>
          <w:tcPr>
            <w:tcW w:w="1980" w:type="dxa"/>
          </w:tcPr>
          <w:p w:rsidR="00B119F4" w:rsidRPr="00F97445" w:rsidRDefault="00B119F4" w:rsidP="00BE2467">
            <w:pPr>
              <w:pStyle w:val="TableText10pt"/>
              <w:jc w:val="center"/>
            </w:pPr>
            <w:r w:rsidRPr="00F97445">
              <w:t>24 (18.6%)</w:t>
            </w:r>
          </w:p>
        </w:tc>
        <w:tc>
          <w:tcPr>
            <w:tcW w:w="1710" w:type="dxa"/>
          </w:tcPr>
          <w:p w:rsidR="00B119F4" w:rsidRPr="00F97445" w:rsidRDefault="00B119F4" w:rsidP="00BE2467">
            <w:pPr>
              <w:pStyle w:val="TableText10pt"/>
              <w:jc w:val="center"/>
            </w:pPr>
            <w:r w:rsidRPr="00F97445">
              <w:t>5 (3.8%)</w:t>
            </w:r>
          </w:p>
        </w:tc>
      </w:tr>
      <w:tr w:rsidR="00B119F4" w:rsidRPr="00156737" w:rsidTr="00BE2467">
        <w:tc>
          <w:tcPr>
            <w:tcW w:w="2466" w:type="dxa"/>
          </w:tcPr>
          <w:p w:rsidR="00B119F4" w:rsidRPr="00F97445" w:rsidRDefault="00B119F4" w:rsidP="00BE2467">
            <w:pPr>
              <w:pStyle w:val="TableText10pt"/>
            </w:pPr>
            <w:r w:rsidRPr="00F97445">
              <w:t>Eye pain*</w:t>
            </w:r>
          </w:p>
        </w:tc>
        <w:tc>
          <w:tcPr>
            <w:tcW w:w="1602" w:type="dxa"/>
          </w:tcPr>
          <w:p w:rsidR="00B119F4" w:rsidRDefault="00B119F4" w:rsidP="00BE2467">
            <w:pPr>
              <w:pStyle w:val="TableText10pt"/>
              <w:jc w:val="center"/>
            </w:pPr>
            <w:r w:rsidRPr="00F97445">
              <w:t>31 (7.4%)</w:t>
            </w:r>
          </w:p>
        </w:tc>
        <w:tc>
          <w:tcPr>
            <w:tcW w:w="1710" w:type="dxa"/>
          </w:tcPr>
          <w:p w:rsidR="00B119F4" w:rsidRDefault="00B119F4" w:rsidP="00BE2467">
            <w:pPr>
              <w:pStyle w:val="TableText10pt"/>
              <w:jc w:val="center"/>
            </w:pPr>
            <w:r w:rsidRPr="00F97445">
              <w:t>16 (3.8%)</w:t>
            </w:r>
          </w:p>
        </w:tc>
        <w:tc>
          <w:tcPr>
            <w:tcW w:w="1980" w:type="dxa"/>
          </w:tcPr>
          <w:p w:rsidR="00B119F4" w:rsidRDefault="00B119F4" w:rsidP="00BE2467">
            <w:pPr>
              <w:pStyle w:val="TableText10pt"/>
              <w:jc w:val="center"/>
            </w:pPr>
            <w:r w:rsidRPr="00F97445">
              <w:t>3 (2.3%)</w:t>
            </w:r>
          </w:p>
        </w:tc>
        <w:tc>
          <w:tcPr>
            <w:tcW w:w="1710" w:type="dxa"/>
          </w:tcPr>
          <w:p w:rsidR="00B119F4" w:rsidRDefault="00B119F4" w:rsidP="00BE2467">
            <w:pPr>
              <w:pStyle w:val="TableText10pt"/>
              <w:jc w:val="center"/>
            </w:pPr>
            <w:r w:rsidRPr="00F97445">
              <w:t>3 (2.3%)</w:t>
            </w:r>
          </w:p>
        </w:tc>
      </w:tr>
      <w:tr w:rsidR="00B119F4" w:rsidRPr="00156737" w:rsidTr="00BE2467">
        <w:tc>
          <w:tcPr>
            <w:tcW w:w="2466" w:type="dxa"/>
          </w:tcPr>
          <w:p w:rsidR="00B119F4" w:rsidRPr="00F97445" w:rsidRDefault="00B119F4" w:rsidP="00BE2467">
            <w:pPr>
              <w:pStyle w:val="TableText10pt"/>
            </w:pPr>
            <w:r w:rsidRPr="00F97445">
              <w:t xml:space="preserve">Conjunctival </w:t>
            </w:r>
            <w:proofErr w:type="spellStart"/>
            <w:r w:rsidRPr="00F97445">
              <w:t>hyperaemia</w:t>
            </w:r>
            <w:proofErr w:type="spellEnd"/>
            <w:r w:rsidRPr="00F97445">
              <w:t>*</w:t>
            </w:r>
          </w:p>
        </w:tc>
        <w:tc>
          <w:tcPr>
            <w:tcW w:w="1602" w:type="dxa"/>
          </w:tcPr>
          <w:p w:rsidR="00B119F4" w:rsidRPr="00F97445" w:rsidRDefault="00B119F4" w:rsidP="00BE2467">
            <w:pPr>
              <w:pStyle w:val="TableText10pt"/>
              <w:jc w:val="center"/>
            </w:pPr>
            <w:r w:rsidRPr="00F97445">
              <w:t>28 (6.7%)</w:t>
            </w:r>
          </w:p>
        </w:tc>
        <w:tc>
          <w:tcPr>
            <w:tcW w:w="1710" w:type="dxa"/>
          </w:tcPr>
          <w:p w:rsidR="00B119F4" w:rsidRPr="00F97445" w:rsidRDefault="00B119F4" w:rsidP="00BE2467">
            <w:pPr>
              <w:pStyle w:val="TableText10pt"/>
              <w:jc w:val="center"/>
            </w:pPr>
            <w:r w:rsidRPr="00F97445">
              <w:t>20 (4.7%)</w:t>
            </w:r>
          </w:p>
        </w:tc>
        <w:tc>
          <w:tcPr>
            <w:tcW w:w="1980" w:type="dxa"/>
          </w:tcPr>
          <w:p w:rsidR="00B119F4" w:rsidRPr="00F97445" w:rsidRDefault="00B119F4" w:rsidP="00BE2467">
            <w:pPr>
              <w:pStyle w:val="TableText10pt"/>
              <w:jc w:val="center"/>
            </w:pPr>
            <w:r w:rsidRPr="00F97445">
              <w:t>17 (13.2%)</w:t>
            </w:r>
          </w:p>
        </w:tc>
        <w:tc>
          <w:tcPr>
            <w:tcW w:w="1710" w:type="dxa"/>
          </w:tcPr>
          <w:p w:rsidR="00B119F4" w:rsidRPr="00F97445" w:rsidRDefault="00B119F4" w:rsidP="00BE2467">
            <w:pPr>
              <w:pStyle w:val="TableText10pt"/>
              <w:jc w:val="center"/>
            </w:pPr>
            <w:r w:rsidRPr="00F97445">
              <w:t>6 (4.6%)</w:t>
            </w:r>
          </w:p>
        </w:tc>
      </w:tr>
      <w:tr w:rsidR="00B119F4" w:rsidRPr="00156737" w:rsidTr="00BE2467">
        <w:tc>
          <w:tcPr>
            <w:tcW w:w="2466" w:type="dxa"/>
          </w:tcPr>
          <w:p w:rsidR="00B119F4" w:rsidRPr="00F97445" w:rsidRDefault="00B119F4" w:rsidP="00BE2467">
            <w:pPr>
              <w:pStyle w:val="TableText10pt"/>
            </w:pPr>
            <w:r w:rsidRPr="00F97445">
              <w:t>Ocular hypertension</w:t>
            </w:r>
          </w:p>
        </w:tc>
        <w:tc>
          <w:tcPr>
            <w:tcW w:w="1602" w:type="dxa"/>
          </w:tcPr>
          <w:p w:rsidR="00B119F4" w:rsidRPr="00F97445" w:rsidRDefault="00B119F4" w:rsidP="00BE2467">
            <w:pPr>
              <w:pStyle w:val="TableText10pt"/>
              <w:jc w:val="center"/>
            </w:pPr>
            <w:r w:rsidRPr="00F97445">
              <w:t>17 (4.0%)</w:t>
            </w:r>
          </w:p>
        </w:tc>
        <w:tc>
          <w:tcPr>
            <w:tcW w:w="1710" w:type="dxa"/>
          </w:tcPr>
          <w:p w:rsidR="00B119F4" w:rsidRPr="00F97445" w:rsidRDefault="00B119F4" w:rsidP="00BE2467">
            <w:pPr>
              <w:pStyle w:val="TableText10pt"/>
              <w:jc w:val="center"/>
            </w:pPr>
            <w:r w:rsidRPr="00F97445">
              <w:t>3 (0.7%)</w:t>
            </w:r>
          </w:p>
        </w:tc>
        <w:tc>
          <w:tcPr>
            <w:tcW w:w="1980" w:type="dxa"/>
          </w:tcPr>
          <w:p w:rsidR="00B119F4" w:rsidRPr="00F97445" w:rsidRDefault="00B119F4" w:rsidP="00BE2467">
            <w:pPr>
              <w:pStyle w:val="TableText10pt"/>
              <w:jc w:val="center"/>
            </w:pPr>
            <w:r w:rsidRPr="00F97445">
              <w:t>4 (3.1%)</w:t>
            </w:r>
          </w:p>
        </w:tc>
        <w:tc>
          <w:tcPr>
            <w:tcW w:w="1710" w:type="dxa"/>
          </w:tcPr>
          <w:p w:rsidR="00B119F4" w:rsidRPr="00F97445" w:rsidRDefault="00B119F4" w:rsidP="00BE2467">
            <w:pPr>
              <w:pStyle w:val="TableText10pt"/>
              <w:jc w:val="center"/>
            </w:pPr>
            <w:r w:rsidRPr="00F97445">
              <w:t>0 (0.0%)</w:t>
            </w:r>
          </w:p>
        </w:tc>
      </w:tr>
      <w:tr w:rsidR="00B119F4" w:rsidRPr="00156737" w:rsidTr="00BE2467">
        <w:tc>
          <w:tcPr>
            <w:tcW w:w="2466" w:type="dxa"/>
          </w:tcPr>
          <w:p w:rsidR="00B119F4" w:rsidRPr="00F97445" w:rsidRDefault="00B119F4" w:rsidP="00BE2467">
            <w:pPr>
              <w:pStyle w:val="TableText10pt"/>
            </w:pPr>
            <w:r w:rsidRPr="00F97445">
              <w:t>Cataract</w:t>
            </w:r>
          </w:p>
        </w:tc>
        <w:tc>
          <w:tcPr>
            <w:tcW w:w="1602" w:type="dxa"/>
          </w:tcPr>
          <w:p w:rsidR="00B119F4" w:rsidRPr="00F97445" w:rsidRDefault="00B119F4" w:rsidP="00BE2467">
            <w:pPr>
              <w:pStyle w:val="TableText10pt"/>
              <w:jc w:val="center"/>
            </w:pPr>
            <w:r w:rsidRPr="00F97445">
              <w:t>15 (3.6%)</w:t>
            </w:r>
          </w:p>
        </w:tc>
        <w:tc>
          <w:tcPr>
            <w:tcW w:w="1710" w:type="dxa"/>
          </w:tcPr>
          <w:p w:rsidR="00B119F4" w:rsidRPr="00F97445" w:rsidRDefault="00B119F4" w:rsidP="00BE2467">
            <w:pPr>
              <w:pStyle w:val="TableText10pt"/>
              <w:jc w:val="center"/>
            </w:pPr>
            <w:r w:rsidRPr="00F97445">
              <w:t>6 (1.4%)</w:t>
            </w:r>
          </w:p>
        </w:tc>
        <w:tc>
          <w:tcPr>
            <w:tcW w:w="1980" w:type="dxa"/>
          </w:tcPr>
          <w:p w:rsidR="00B119F4" w:rsidRPr="00F97445" w:rsidRDefault="00B119F4" w:rsidP="00BE2467">
            <w:pPr>
              <w:pStyle w:val="TableText10pt"/>
              <w:jc w:val="center"/>
            </w:pPr>
            <w:r w:rsidRPr="00F97445">
              <w:t>0 (0.0%)</w:t>
            </w:r>
          </w:p>
        </w:tc>
        <w:tc>
          <w:tcPr>
            <w:tcW w:w="1710" w:type="dxa"/>
          </w:tcPr>
          <w:p w:rsidR="00B119F4" w:rsidRPr="00F97445" w:rsidRDefault="00B119F4" w:rsidP="00BE2467">
            <w:pPr>
              <w:pStyle w:val="TableText10pt"/>
              <w:jc w:val="center"/>
            </w:pPr>
            <w:r w:rsidRPr="00F97445">
              <w:t>0 (0.0%)</w:t>
            </w:r>
          </w:p>
        </w:tc>
      </w:tr>
      <w:tr w:rsidR="00B119F4" w:rsidRPr="00156737" w:rsidTr="00BE2467">
        <w:tc>
          <w:tcPr>
            <w:tcW w:w="2466" w:type="dxa"/>
          </w:tcPr>
          <w:p w:rsidR="00B119F4" w:rsidRPr="00F97445" w:rsidRDefault="00B119F4" w:rsidP="00BE2467">
            <w:pPr>
              <w:pStyle w:val="TableText10pt"/>
            </w:pPr>
            <w:r w:rsidRPr="00F97445">
              <w:t>Vitreous opacities*</w:t>
            </w:r>
          </w:p>
          <w:p w:rsidR="00B119F4" w:rsidRPr="00F97445" w:rsidRDefault="00B119F4" w:rsidP="00BE2467">
            <w:pPr>
              <w:pStyle w:val="TableText10pt"/>
            </w:pPr>
            <w:r w:rsidRPr="00F97445">
              <w:t>(including vitreous floaters)</w:t>
            </w:r>
          </w:p>
        </w:tc>
        <w:tc>
          <w:tcPr>
            <w:tcW w:w="1602" w:type="dxa"/>
          </w:tcPr>
          <w:p w:rsidR="00B119F4" w:rsidRPr="00F97445" w:rsidRDefault="00B119F4" w:rsidP="00BE2467">
            <w:pPr>
              <w:pStyle w:val="TableText10pt"/>
              <w:jc w:val="center"/>
            </w:pPr>
            <w:r>
              <w:t>17 (4.0%)</w:t>
            </w:r>
          </w:p>
        </w:tc>
        <w:tc>
          <w:tcPr>
            <w:tcW w:w="1710" w:type="dxa"/>
          </w:tcPr>
          <w:p w:rsidR="00B119F4" w:rsidRDefault="00B119F4" w:rsidP="00BE2467">
            <w:pPr>
              <w:pStyle w:val="TableText10pt"/>
              <w:jc w:val="center"/>
            </w:pPr>
            <w:r>
              <w:t>6 (1.4%)</w:t>
            </w:r>
          </w:p>
          <w:p w:rsidR="00B119F4" w:rsidRPr="00F97445" w:rsidRDefault="00B119F4" w:rsidP="00BE2467">
            <w:pPr>
              <w:pStyle w:val="TableText10pt"/>
              <w:jc w:val="center"/>
            </w:pPr>
          </w:p>
        </w:tc>
        <w:tc>
          <w:tcPr>
            <w:tcW w:w="1980" w:type="dxa"/>
          </w:tcPr>
          <w:p w:rsidR="00B119F4" w:rsidRPr="00F97445" w:rsidRDefault="00B119F4" w:rsidP="00BE2467">
            <w:pPr>
              <w:pStyle w:val="TableText10pt"/>
              <w:jc w:val="center"/>
            </w:pPr>
            <w:r>
              <w:t>0 (0.0%)</w:t>
            </w:r>
          </w:p>
        </w:tc>
        <w:tc>
          <w:tcPr>
            <w:tcW w:w="1710" w:type="dxa"/>
          </w:tcPr>
          <w:p w:rsidR="00B119F4" w:rsidRPr="00F97445" w:rsidRDefault="00B119F4" w:rsidP="00BE2467">
            <w:pPr>
              <w:pStyle w:val="TableText10pt"/>
              <w:jc w:val="center"/>
            </w:pPr>
            <w:r>
              <w:t>0 (0.0%)</w:t>
            </w:r>
          </w:p>
        </w:tc>
      </w:tr>
      <w:tr w:rsidR="00B119F4" w:rsidRPr="00156737" w:rsidTr="00BE2467">
        <w:tc>
          <w:tcPr>
            <w:tcW w:w="2466" w:type="dxa"/>
          </w:tcPr>
          <w:p w:rsidR="00B119F4" w:rsidRPr="00F97445" w:rsidRDefault="00B119F4" w:rsidP="00BE2467">
            <w:pPr>
              <w:pStyle w:val="TableText10pt"/>
            </w:pPr>
            <w:r w:rsidRPr="00F97445">
              <w:t>Vitreous detachment*</w:t>
            </w:r>
          </w:p>
        </w:tc>
        <w:tc>
          <w:tcPr>
            <w:tcW w:w="1602" w:type="dxa"/>
          </w:tcPr>
          <w:p w:rsidR="00B119F4" w:rsidRPr="00F97445" w:rsidRDefault="00B119F4" w:rsidP="00BE2467">
            <w:pPr>
              <w:pStyle w:val="TableText10pt"/>
              <w:jc w:val="center"/>
            </w:pPr>
            <w:r w:rsidRPr="00F97445">
              <w:t>12 (2.9%)</w:t>
            </w:r>
          </w:p>
        </w:tc>
        <w:tc>
          <w:tcPr>
            <w:tcW w:w="1710" w:type="dxa"/>
          </w:tcPr>
          <w:p w:rsidR="00B119F4" w:rsidRPr="00F97445" w:rsidRDefault="00B119F4" w:rsidP="00BE2467">
            <w:pPr>
              <w:pStyle w:val="TableText10pt"/>
              <w:jc w:val="center"/>
            </w:pPr>
            <w:r w:rsidRPr="00F97445">
              <w:t>8 (1.9%)</w:t>
            </w:r>
          </w:p>
        </w:tc>
        <w:tc>
          <w:tcPr>
            <w:tcW w:w="1980" w:type="dxa"/>
          </w:tcPr>
          <w:p w:rsidR="00B119F4" w:rsidRPr="00F97445" w:rsidRDefault="00B119F4" w:rsidP="00BE2467">
            <w:pPr>
              <w:pStyle w:val="TableText10pt"/>
              <w:jc w:val="center"/>
            </w:pPr>
            <w:r w:rsidRPr="00F97445">
              <w:t>1 (0.8%)</w:t>
            </w:r>
          </w:p>
        </w:tc>
        <w:tc>
          <w:tcPr>
            <w:tcW w:w="1710" w:type="dxa"/>
          </w:tcPr>
          <w:p w:rsidR="00B119F4" w:rsidRPr="00F97445" w:rsidRDefault="00B119F4" w:rsidP="00BE2467">
            <w:pPr>
              <w:pStyle w:val="TableText10pt"/>
              <w:jc w:val="center"/>
            </w:pPr>
            <w:r w:rsidRPr="00F97445">
              <w:t>0 (0.0%)</w:t>
            </w:r>
          </w:p>
        </w:tc>
      </w:tr>
      <w:tr w:rsidR="00B119F4" w:rsidRPr="00156737" w:rsidTr="00BE2467">
        <w:tc>
          <w:tcPr>
            <w:tcW w:w="2466" w:type="dxa"/>
          </w:tcPr>
          <w:p w:rsidR="00B119F4" w:rsidRPr="00F97445" w:rsidRDefault="00B119F4" w:rsidP="00BE2467">
            <w:pPr>
              <w:pStyle w:val="TableText10pt"/>
            </w:pPr>
            <w:r w:rsidRPr="00F97445">
              <w:t xml:space="preserve">Vitreous </w:t>
            </w:r>
            <w:proofErr w:type="spellStart"/>
            <w:r w:rsidRPr="00F97445">
              <w:t>haemorrhage</w:t>
            </w:r>
            <w:proofErr w:type="spellEnd"/>
            <w:r w:rsidRPr="00F97445">
              <w:t>*</w:t>
            </w:r>
          </w:p>
        </w:tc>
        <w:tc>
          <w:tcPr>
            <w:tcW w:w="1602" w:type="dxa"/>
          </w:tcPr>
          <w:p w:rsidR="00B119F4" w:rsidRPr="00F97445" w:rsidRDefault="00B119F4" w:rsidP="00BE2467">
            <w:pPr>
              <w:pStyle w:val="TableText10pt"/>
              <w:jc w:val="center"/>
            </w:pPr>
            <w:r w:rsidRPr="00F97445">
              <w:t>10 (2.4%)</w:t>
            </w:r>
          </w:p>
        </w:tc>
        <w:tc>
          <w:tcPr>
            <w:tcW w:w="1710" w:type="dxa"/>
          </w:tcPr>
          <w:p w:rsidR="00B119F4" w:rsidRPr="00F97445" w:rsidRDefault="00B119F4" w:rsidP="00BE2467">
            <w:pPr>
              <w:pStyle w:val="TableText10pt"/>
              <w:jc w:val="center"/>
            </w:pPr>
            <w:r w:rsidRPr="00F97445">
              <w:t>12 (2.8%)</w:t>
            </w:r>
          </w:p>
        </w:tc>
        <w:tc>
          <w:tcPr>
            <w:tcW w:w="1980" w:type="dxa"/>
          </w:tcPr>
          <w:p w:rsidR="00B119F4" w:rsidRPr="00F97445" w:rsidRDefault="00B119F4" w:rsidP="00BE2467">
            <w:pPr>
              <w:pStyle w:val="TableText10pt"/>
              <w:jc w:val="center"/>
            </w:pPr>
            <w:r w:rsidRPr="00F97445">
              <w:t>0</w:t>
            </w:r>
            <w:r>
              <w:t xml:space="preserve"> (0.0%)</w:t>
            </w:r>
          </w:p>
        </w:tc>
        <w:tc>
          <w:tcPr>
            <w:tcW w:w="1710" w:type="dxa"/>
          </w:tcPr>
          <w:p w:rsidR="00B119F4" w:rsidRPr="00F97445" w:rsidRDefault="00B119F4" w:rsidP="00BE2467">
            <w:pPr>
              <w:pStyle w:val="TableText10pt"/>
              <w:jc w:val="center"/>
            </w:pPr>
            <w:r w:rsidRPr="00F97445">
              <w:t>3 (2.3%)</w:t>
            </w:r>
          </w:p>
        </w:tc>
      </w:tr>
      <w:tr w:rsidR="00B119F4" w:rsidRPr="00156737" w:rsidTr="00BE2467">
        <w:tc>
          <w:tcPr>
            <w:tcW w:w="2466" w:type="dxa"/>
          </w:tcPr>
          <w:p w:rsidR="00B119F4" w:rsidRPr="00F97445" w:rsidRDefault="00B119F4" w:rsidP="00BE2467">
            <w:pPr>
              <w:pStyle w:val="TableText10pt"/>
            </w:pPr>
            <w:r w:rsidRPr="00F97445">
              <w:t xml:space="preserve">Conjunctival </w:t>
            </w:r>
            <w:proofErr w:type="spellStart"/>
            <w:r w:rsidRPr="00F97445">
              <w:t>oedema</w:t>
            </w:r>
            <w:proofErr w:type="spellEnd"/>
            <w:r w:rsidRPr="00F97445">
              <w:t>*</w:t>
            </w:r>
          </w:p>
        </w:tc>
        <w:tc>
          <w:tcPr>
            <w:tcW w:w="1602" w:type="dxa"/>
          </w:tcPr>
          <w:p w:rsidR="00B119F4" w:rsidRPr="00F97445" w:rsidRDefault="00B119F4" w:rsidP="00BE2467">
            <w:pPr>
              <w:pStyle w:val="TableText10pt"/>
              <w:jc w:val="center"/>
            </w:pPr>
            <w:r w:rsidRPr="00F97445">
              <w:t>9 (2.1%)</w:t>
            </w:r>
          </w:p>
        </w:tc>
        <w:tc>
          <w:tcPr>
            <w:tcW w:w="1710" w:type="dxa"/>
          </w:tcPr>
          <w:p w:rsidR="00B119F4" w:rsidRPr="00F97445" w:rsidRDefault="00B119F4" w:rsidP="00BE2467">
            <w:pPr>
              <w:pStyle w:val="TableText10pt"/>
              <w:jc w:val="center"/>
            </w:pPr>
            <w:r w:rsidRPr="00F97445">
              <w:t>7 (1.7%)</w:t>
            </w:r>
          </w:p>
        </w:tc>
        <w:tc>
          <w:tcPr>
            <w:tcW w:w="1980" w:type="dxa"/>
          </w:tcPr>
          <w:p w:rsidR="00B119F4" w:rsidRPr="00F97445" w:rsidRDefault="00B119F4" w:rsidP="00BE2467">
            <w:pPr>
              <w:pStyle w:val="TableText10pt"/>
              <w:jc w:val="center"/>
            </w:pPr>
            <w:r w:rsidRPr="00F97445">
              <w:t>4 (3.1%)</w:t>
            </w:r>
          </w:p>
        </w:tc>
        <w:tc>
          <w:tcPr>
            <w:tcW w:w="1710" w:type="dxa"/>
          </w:tcPr>
          <w:p w:rsidR="00B119F4" w:rsidRPr="00F97445" w:rsidRDefault="00B119F4" w:rsidP="00BE2467">
            <w:pPr>
              <w:pStyle w:val="TableText10pt"/>
              <w:jc w:val="center"/>
            </w:pPr>
            <w:r w:rsidRPr="00F97445">
              <w:t>1 (0.8%)</w:t>
            </w:r>
          </w:p>
        </w:tc>
      </w:tr>
      <w:tr w:rsidR="00B119F4" w:rsidRPr="00156737" w:rsidTr="00BE2467">
        <w:tc>
          <w:tcPr>
            <w:tcW w:w="2466" w:type="dxa"/>
          </w:tcPr>
          <w:p w:rsidR="00B119F4" w:rsidRPr="00F97445" w:rsidRDefault="00B119F4" w:rsidP="00BE2467">
            <w:pPr>
              <w:pStyle w:val="TableText10pt"/>
            </w:pPr>
            <w:r w:rsidRPr="00F97445">
              <w:t>Subcapsular cataract</w:t>
            </w:r>
          </w:p>
        </w:tc>
        <w:tc>
          <w:tcPr>
            <w:tcW w:w="1602" w:type="dxa"/>
          </w:tcPr>
          <w:p w:rsidR="00B119F4" w:rsidRPr="00F97445" w:rsidRDefault="00B119F4" w:rsidP="00BE2467">
            <w:pPr>
              <w:pStyle w:val="TableText10pt"/>
              <w:jc w:val="center"/>
            </w:pPr>
            <w:r>
              <w:t>7 (1.7%)</w:t>
            </w:r>
          </w:p>
        </w:tc>
        <w:tc>
          <w:tcPr>
            <w:tcW w:w="1710" w:type="dxa"/>
          </w:tcPr>
          <w:p w:rsidR="00B119F4" w:rsidRPr="00F97445" w:rsidRDefault="00B119F4" w:rsidP="00BE2467">
            <w:pPr>
              <w:pStyle w:val="TableText10pt"/>
              <w:jc w:val="center"/>
            </w:pPr>
            <w:r>
              <w:t>3 (0.7%)</w:t>
            </w:r>
          </w:p>
        </w:tc>
        <w:tc>
          <w:tcPr>
            <w:tcW w:w="1980" w:type="dxa"/>
          </w:tcPr>
          <w:p w:rsidR="00B119F4" w:rsidRPr="00F97445" w:rsidRDefault="00B119F4" w:rsidP="00BE2467">
            <w:pPr>
              <w:pStyle w:val="TableText10pt"/>
              <w:jc w:val="center"/>
            </w:pPr>
            <w:r>
              <w:t>0 (0.0%)</w:t>
            </w:r>
          </w:p>
        </w:tc>
        <w:tc>
          <w:tcPr>
            <w:tcW w:w="1710" w:type="dxa"/>
          </w:tcPr>
          <w:p w:rsidR="00B119F4" w:rsidRPr="00F97445" w:rsidRDefault="00B119F4" w:rsidP="00BE2467">
            <w:pPr>
              <w:pStyle w:val="TableText10pt"/>
              <w:jc w:val="center"/>
            </w:pPr>
            <w:r>
              <w:t>0 (0.0%)</w:t>
            </w:r>
          </w:p>
        </w:tc>
      </w:tr>
      <w:tr w:rsidR="00B119F4" w:rsidRPr="00156737" w:rsidTr="00BE2467">
        <w:tc>
          <w:tcPr>
            <w:tcW w:w="2466" w:type="dxa"/>
          </w:tcPr>
          <w:p w:rsidR="00B119F4" w:rsidRPr="00F97445" w:rsidRDefault="00B119F4" w:rsidP="00BE2467">
            <w:pPr>
              <w:pStyle w:val="TableText10pt"/>
            </w:pPr>
            <w:r w:rsidRPr="00F97445">
              <w:t>Visual disturbance</w:t>
            </w:r>
          </w:p>
        </w:tc>
        <w:tc>
          <w:tcPr>
            <w:tcW w:w="1602" w:type="dxa"/>
          </w:tcPr>
          <w:p w:rsidR="00B119F4" w:rsidRPr="00F97445" w:rsidRDefault="00B119F4" w:rsidP="00BE2467">
            <w:pPr>
              <w:pStyle w:val="TableText10pt"/>
              <w:jc w:val="center"/>
            </w:pPr>
            <w:r>
              <w:t>7 (1.7%)</w:t>
            </w:r>
          </w:p>
        </w:tc>
        <w:tc>
          <w:tcPr>
            <w:tcW w:w="1710" w:type="dxa"/>
          </w:tcPr>
          <w:p w:rsidR="00B119F4" w:rsidRPr="00F97445" w:rsidRDefault="00B119F4" w:rsidP="00BE2467">
            <w:pPr>
              <w:pStyle w:val="TableText10pt"/>
              <w:jc w:val="center"/>
            </w:pPr>
            <w:r>
              <w:t>3 (0.7%)</w:t>
            </w:r>
          </w:p>
        </w:tc>
        <w:tc>
          <w:tcPr>
            <w:tcW w:w="1980" w:type="dxa"/>
          </w:tcPr>
          <w:p w:rsidR="00B119F4" w:rsidRPr="00F97445" w:rsidRDefault="00B119F4" w:rsidP="00BE2467">
            <w:pPr>
              <w:pStyle w:val="TableText10pt"/>
              <w:jc w:val="center"/>
            </w:pPr>
            <w:r>
              <w:t>0 (0.0%)</w:t>
            </w:r>
          </w:p>
        </w:tc>
        <w:tc>
          <w:tcPr>
            <w:tcW w:w="1710" w:type="dxa"/>
          </w:tcPr>
          <w:p w:rsidR="00B119F4" w:rsidRPr="00F97445" w:rsidRDefault="00B119F4" w:rsidP="00BE2467">
            <w:pPr>
              <w:pStyle w:val="TableText10pt"/>
              <w:jc w:val="center"/>
            </w:pPr>
            <w:r>
              <w:t>0 (0.0%)</w:t>
            </w:r>
          </w:p>
        </w:tc>
      </w:tr>
      <w:tr w:rsidR="00B119F4" w:rsidRPr="00156737" w:rsidTr="00BE2467">
        <w:tc>
          <w:tcPr>
            <w:tcW w:w="2466" w:type="dxa"/>
          </w:tcPr>
          <w:p w:rsidR="00B119F4" w:rsidRPr="00F97445" w:rsidRDefault="00B119F4" w:rsidP="00BE2467">
            <w:pPr>
              <w:pStyle w:val="TableText10pt"/>
            </w:pPr>
            <w:r>
              <w:t>P</w:t>
            </w:r>
            <w:r w:rsidRPr="00F97445">
              <w:t>hotopsia</w:t>
            </w:r>
            <w:r>
              <w:t>*</w:t>
            </w:r>
          </w:p>
        </w:tc>
        <w:tc>
          <w:tcPr>
            <w:tcW w:w="1602" w:type="dxa"/>
          </w:tcPr>
          <w:p w:rsidR="00B119F4" w:rsidRPr="00F97445" w:rsidRDefault="00B119F4" w:rsidP="00BE2467">
            <w:pPr>
              <w:pStyle w:val="TableText10pt"/>
              <w:jc w:val="center"/>
            </w:pPr>
            <w:r>
              <w:t>6 (1.4%)</w:t>
            </w:r>
          </w:p>
        </w:tc>
        <w:tc>
          <w:tcPr>
            <w:tcW w:w="1710" w:type="dxa"/>
          </w:tcPr>
          <w:p w:rsidR="00B119F4" w:rsidRPr="00F97445" w:rsidRDefault="00B119F4" w:rsidP="00BE2467">
            <w:pPr>
              <w:pStyle w:val="TableText10pt"/>
              <w:jc w:val="center"/>
            </w:pPr>
            <w:r>
              <w:t>3 (0.7%)</w:t>
            </w:r>
          </w:p>
        </w:tc>
        <w:tc>
          <w:tcPr>
            <w:tcW w:w="1980" w:type="dxa"/>
          </w:tcPr>
          <w:p w:rsidR="00B119F4" w:rsidRPr="00F97445" w:rsidRDefault="00B119F4" w:rsidP="00BE2467">
            <w:pPr>
              <w:pStyle w:val="TableText10pt"/>
              <w:jc w:val="center"/>
            </w:pPr>
            <w:r>
              <w:t>0 (0.0%)</w:t>
            </w:r>
          </w:p>
        </w:tc>
        <w:tc>
          <w:tcPr>
            <w:tcW w:w="1710" w:type="dxa"/>
          </w:tcPr>
          <w:p w:rsidR="00B119F4" w:rsidRPr="00F97445" w:rsidRDefault="00B119F4" w:rsidP="00BE2467">
            <w:pPr>
              <w:pStyle w:val="TableText10pt"/>
              <w:jc w:val="center"/>
            </w:pPr>
            <w:r>
              <w:t>0 (0.0%)</w:t>
            </w:r>
          </w:p>
        </w:tc>
      </w:tr>
      <w:tr w:rsidR="00B119F4" w:rsidRPr="00156737" w:rsidTr="00BE2467">
        <w:tc>
          <w:tcPr>
            <w:tcW w:w="2466" w:type="dxa"/>
          </w:tcPr>
          <w:p w:rsidR="00B119F4" w:rsidRPr="00F97445" w:rsidRDefault="00B119F4" w:rsidP="00BE2467">
            <w:pPr>
              <w:pStyle w:val="TableText10pt"/>
            </w:pPr>
            <w:r w:rsidRPr="00F97445">
              <w:t>Anterior chamber cell</w:t>
            </w:r>
            <w:r>
              <w:t>s*</w:t>
            </w:r>
          </w:p>
        </w:tc>
        <w:tc>
          <w:tcPr>
            <w:tcW w:w="1602" w:type="dxa"/>
          </w:tcPr>
          <w:p w:rsidR="00B119F4" w:rsidRPr="00F97445" w:rsidRDefault="00B119F4" w:rsidP="00BE2467">
            <w:pPr>
              <w:pStyle w:val="TableText10pt"/>
              <w:jc w:val="center"/>
            </w:pPr>
            <w:r>
              <w:t>5 (1.2%)</w:t>
            </w:r>
          </w:p>
        </w:tc>
        <w:tc>
          <w:tcPr>
            <w:tcW w:w="1710" w:type="dxa"/>
          </w:tcPr>
          <w:p w:rsidR="00B119F4" w:rsidRPr="00F97445" w:rsidRDefault="00B119F4" w:rsidP="00BE2467">
            <w:pPr>
              <w:pStyle w:val="TableText10pt"/>
              <w:jc w:val="center"/>
            </w:pPr>
            <w:r>
              <w:t>0 (0.0%)</w:t>
            </w:r>
          </w:p>
        </w:tc>
        <w:tc>
          <w:tcPr>
            <w:tcW w:w="1980" w:type="dxa"/>
          </w:tcPr>
          <w:p w:rsidR="00B119F4" w:rsidRPr="00F97445" w:rsidRDefault="00B119F4" w:rsidP="00BE2467">
            <w:pPr>
              <w:pStyle w:val="TableText10pt"/>
              <w:jc w:val="center"/>
            </w:pPr>
            <w:r>
              <w:t>0 (0.0%)</w:t>
            </w:r>
          </w:p>
        </w:tc>
        <w:tc>
          <w:tcPr>
            <w:tcW w:w="1710" w:type="dxa"/>
          </w:tcPr>
          <w:p w:rsidR="00B119F4" w:rsidRPr="00F97445" w:rsidRDefault="00B119F4" w:rsidP="00BE2467">
            <w:pPr>
              <w:pStyle w:val="TableText10pt"/>
              <w:jc w:val="center"/>
            </w:pPr>
            <w:r>
              <w:t>0 (0.0%)</w:t>
            </w:r>
          </w:p>
        </w:tc>
      </w:tr>
      <w:tr w:rsidR="00DD5A06" w:rsidRPr="00156737" w:rsidTr="00BE2467">
        <w:tc>
          <w:tcPr>
            <w:tcW w:w="2466" w:type="dxa"/>
          </w:tcPr>
          <w:p w:rsidR="00DD5A06" w:rsidRPr="00F97445" w:rsidRDefault="00DD5A06" w:rsidP="00BE2467">
            <w:pPr>
              <w:pStyle w:val="TableText10pt"/>
            </w:pPr>
            <w:r>
              <w:t>Lenticular opacities</w:t>
            </w:r>
          </w:p>
        </w:tc>
        <w:tc>
          <w:tcPr>
            <w:tcW w:w="1602" w:type="dxa"/>
          </w:tcPr>
          <w:p w:rsidR="00DD5A06" w:rsidRDefault="00DD5A06" w:rsidP="00BE2467">
            <w:pPr>
              <w:pStyle w:val="TableText10pt"/>
              <w:jc w:val="center"/>
            </w:pPr>
            <w:r>
              <w:t>1 (0.2%)</w:t>
            </w:r>
          </w:p>
        </w:tc>
        <w:tc>
          <w:tcPr>
            <w:tcW w:w="1710" w:type="dxa"/>
          </w:tcPr>
          <w:p w:rsidR="00DD5A06" w:rsidRDefault="00DD5A06" w:rsidP="00BE2467">
            <w:pPr>
              <w:pStyle w:val="TableText10pt"/>
              <w:jc w:val="center"/>
            </w:pPr>
            <w:r>
              <w:t>1 (0.2%)</w:t>
            </w:r>
          </w:p>
        </w:tc>
        <w:tc>
          <w:tcPr>
            <w:tcW w:w="1980" w:type="dxa"/>
          </w:tcPr>
          <w:p w:rsidR="00DD5A06" w:rsidRDefault="00DD5A06" w:rsidP="00BE2467">
            <w:pPr>
              <w:pStyle w:val="TableText10pt"/>
              <w:jc w:val="center"/>
            </w:pPr>
            <w:r>
              <w:t>2 (1.6%)</w:t>
            </w:r>
          </w:p>
        </w:tc>
        <w:tc>
          <w:tcPr>
            <w:tcW w:w="1710" w:type="dxa"/>
          </w:tcPr>
          <w:p w:rsidR="00DD5A06" w:rsidRDefault="00DD5A06" w:rsidP="00BE2467">
            <w:pPr>
              <w:pStyle w:val="TableText10pt"/>
              <w:jc w:val="center"/>
            </w:pPr>
            <w:r>
              <w:t>0 (0.0%)</w:t>
            </w:r>
          </w:p>
        </w:tc>
      </w:tr>
      <w:tr w:rsidR="00B119F4" w:rsidRPr="00156737" w:rsidTr="00BE2467">
        <w:tc>
          <w:tcPr>
            <w:tcW w:w="9468" w:type="dxa"/>
            <w:gridSpan w:val="5"/>
          </w:tcPr>
          <w:p w:rsidR="00B119F4" w:rsidRPr="00F97445" w:rsidRDefault="00B119F4" w:rsidP="00BE2467">
            <w:pPr>
              <w:pStyle w:val="TableHeadingsSmall"/>
              <w:jc w:val="left"/>
            </w:pPr>
            <w:r w:rsidRPr="00F97445">
              <w:t>Nervous System Disorders</w:t>
            </w:r>
          </w:p>
        </w:tc>
      </w:tr>
      <w:tr w:rsidR="00B119F4" w:rsidRPr="00156737" w:rsidTr="00BE2467">
        <w:tc>
          <w:tcPr>
            <w:tcW w:w="2466" w:type="dxa"/>
          </w:tcPr>
          <w:p w:rsidR="00B119F4" w:rsidRPr="00F97445" w:rsidRDefault="00B119F4" w:rsidP="00BE2467">
            <w:pPr>
              <w:pStyle w:val="TableText10pt"/>
            </w:pPr>
            <w:r w:rsidRPr="00F97445">
              <w:t>Headache</w:t>
            </w:r>
          </w:p>
        </w:tc>
        <w:tc>
          <w:tcPr>
            <w:tcW w:w="1602" w:type="dxa"/>
          </w:tcPr>
          <w:p w:rsidR="00B119F4" w:rsidRPr="00F97445" w:rsidRDefault="00B119F4" w:rsidP="00BE2467">
            <w:pPr>
              <w:pStyle w:val="TableText10pt"/>
              <w:jc w:val="center"/>
            </w:pPr>
            <w:r w:rsidRPr="00F97445">
              <w:t>14 (3.3%)</w:t>
            </w:r>
          </w:p>
        </w:tc>
        <w:tc>
          <w:tcPr>
            <w:tcW w:w="1710" w:type="dxa"/>
          </w:tcPr>
          <w:p w:rsidR="00B119F4" w:rsidRPr="00F97445" w:rsidRDefault="00B119F4" w:rsidP="00BE2467">
            <w:pPr>
              <w:pStyle w:val="TableText10pt"/>
              <w:jc w:val="center"/>
            </w:pPr>
            <w:r w:rsidRPr="00F97445">
              <w:t>7 (1.7%)</w:t>
            </w:r>
          </w:p>
        </w:tc>
        <w:tc>
          <w:tcPr>
            <w:tcW w:w="1980" w:type="dxa"/>
          </w:tcPr>
          <w:p w:rsidR="00B119F4" w:rsidRPr="00F97445" w:rsidRDefault="00B119F4" w:rsidP="00BE2467">
            <w:pPr>
              <w:pStyle w:val="TableText10pt"/>
              <w:jc w:val="center"/>
            </w:pPr>
            <w:r w:rsidRPr="00F97445">
              <w:t>3 (2.3%)</w:t>
            </w:r>
          </w:p>
        </w:tc>
        <w:tc>
          <w:tcPr>
            <w:tcW w:w="1710" w:type="dxa"/>
          </w:tcPr>
          <w:p w:rsidR="00B119F4" w:rsidRPr="00F97445" w:rsidRDefault="00B119F4" w:rsidP="00BE2467">
            <w:pPr>
              <w:pStyle w:val="TableText10pt"/>
              <w:jc w:val="center"/>
            </w:pPr>
            <w:r w:rsidRPr="00F97445">
              <w:t>1 (0.8%)</w:t>
            </w:r>
          </w:p>
        </w:tc>
      </w:tr>
    </w:tbl>
    <w:p w:rsidR="006549F5" w:rsidRPr="008D1722" w:rsidRDefault="00B119F4" w:rsidP="006549F5">
      <w:pPr>
        <w:autoSpaceDE w:val="0"/>
        <w:autoSpaceDN w:val="0"/>
        <w:adjustRightInd w:val="0"/>
        <w:jc w:val="both"/>
        <w:rPr>
          <w:sz w:val="18"/>
          <w:szCs w:val="18"/>
        </w:rPr>
      </w:pPr>
      <w:r>
        <w:rPr>
          <w:sz w:val="18"/>
          <w:szCs w:val="18"/>
        </w:rPr>
        <w:t xml:space="preserve"> </w:t>
      </w:r>
      <w:r w:rsidR="006549F5">
        <w:rPr>
          <w:sz w:val="18"/>
          <w:szCs w:val="18"/>
        </w:rPr>
        <w:t>Note: “</w:t>
      </w:r>
      <w:r w:rsidR="006549F5" w:rsidRPr="008D1722">
        <w:rPr>
          <w:sz w:val="18"/>
          <w:szCs w:val="18"/>
        </w:rPr>
        <w:t>*</w:t>
      </w:r>
      <w:r w:rsidR="006549F5">
        <w:rPr>
          <w:sz w:val="18"/>
          <w:szCs w:val="18"/>
        </w:rPr>
        <w:t xml:space="preserve">” indicates adverse drug reactions considered to be related to the </w:t>
      </w:r>
      <w:r w:rsidR="006549F5" w:rsidRPr="008D1722">
        <w:rPr>
          <w:sz w:val="18"/>
          <w:szCs w:val="18"/>
        </w:rPr>
        <w:t>intravitreal inje</w:t>
      </w:r>
      <w:r w:rsidR="006549F5">
        <w:rPr>
          <w:sz w:val="18"/>
          <w:szCs w:val="18"/>
        </w:rPr>
        <w:t xml:space="preserve">ction procedure. </w:t>
      </w:r>
    </w:p>
    <w:p w:rsidR="00896D31" w:rsidRDefault="00896D31" w:rsidP="00896D31">
      <w:pPr>
        <w:rPr>
          <w:lang w:val="en-US" w:eastAsia="ja-JP"/>
        </w:rPr>
      </w:pPr>
    </w:p>
    <w:p w:rsidR="005A0EA3" w:rsidRDefault="005A0EA3" w:rsidP="005A0EA3">
      <w:pPr>
        <w:widowControl w:val="0"/>
        <w:autoSpaceDE w:val="0"/>
        <w:autoSpaceDN w:val="0"/>
        <w:adjustRightInd w:val="0"/>
        <w:jc w:val="both"/>
      </w:pPr>
      <w:r w:rsidRPr="00267B51">
        <w:t>Uncommon adverse reactions</w:t>
      </w:r>
      <w:r w:rsidR="00DD5A06">
        <w:t xml:space="preserve"> occurring in pooled studies RVO1 and RVO2</w:t>
      </w:r>
      <w:r w:rsidRPr="00267B51">
        <w:t xml:space="preserve"> included </w:t>
      </w:r>
      <w:r>
        <w:t>anterior chamber flare</w:t>
      </w:r>
      <w:r w:rsidRPr="00267B51">
        <w:t xml:space="preserve"> (0.</w:t>
      </w:r>
      <w:r>
        <w:t>7</w:t>
      </w:r>
      <w:r w:rsidR="00DD5A06">
        <w:t xml:space="preserve">% </w:t>
      </w:r>
      <w:r w:rsidRPr="00267B51">
        <w:t xml:space="preserve">- injection procedure related) and </w:t>
      </w:r>
      <w:r>
        <w:t>retinal tear</w:t>
      </w:r>
      <w:r w:rsidRPr="00267B51">
        <w:t xml:space="preserve"> (0.</w:t>
      </w:r>
      <w:r>
        <w:t>5</w:t>
      </w:r>
      <w:r w:rsidR="00AE63DA">
        <w:t>%</w:t>
      </w:r>
      <w:r w:rsidR="00DD5A06">
        <w:t xml:space="preserve"> </w:t>
      </w:r>
      <w:r w:rsidR="00B119F4">
        <w:t>- injection procedure related</w:t>
      </w:r>
      <w:r w:rsidRPr="00267B51">
        <w:t>).</w:t>
      </w:r>
    </w:p>
    <w:p w:rsidR="005A0EA3" w:rsidRDefault="005A0EA3" w:rsidP="00896D31">
      <w:pPr>
        <w:rPr>
          <w:lang w:val="en-US" w:eastAsia="ja-JP"/>
        </w:rPr>
      </w:pPr>
    </w:p>
    <w:p w:rsidR="00426684" w:rsidRDefault="00426684" w:rsidP="00F114A1">
      <w:pPr>
        <w:tabs>
          <w:tab w:val="left" w:pos="0"/>
        </w:tabs>
        <w:jc w:val="both"/>
        <w:rPr>
          <w:szCs w:val="22"/>
        </w:rPr>
      </w:pPr>
      <w:r w:rsidRPr="00404A7C">
        <w:rPr>
          <w:szCs w:val="22"/>
        </w:rPr>
        <w:t>Increased intraocular pressure (IOP) with OZURDEX</w:t>
      </w:r>
      <w:r w:rsidR="003903F4" w:rsidRPr="00404A7C">
        <w:rPr>
          <w:szCs w:val="22"/>
          <w:vertAlign w:val="superscript"/>
        </w:rPr>
        <w:t>®</w:t>
      </w:r>
      <w:r w:rsidRPr="00404A7C">
        <w:rPr>
          <w:szCs w:val="22"/>
        </w:rPr>
        <w:t xml:space="preserve"> peaked at day 60 and returned to baseline levels by day 180.  Elevations of IOP either did not require treatment or were managed with the temporary use of topical IOP-lowering medicinal products.</w:t>
      </w:r>
      <w:r w:rsidR="00064CF5">
        <w:rPr>
          <w:szCs w:val="22"/>
        </w:rPr>
        <w:t xml:space="preserve"> </w:t>
      </w:r>
      <w:r w:rsidR="00064CF5">
        <w:t>Over the initial treatment and open-label extension periods of the 1 year studies, IOP medications in the study eye were reported for 39.3% of patients in the OZURDEX</w:t>
      </w:r>
      <w:r w:rsidR="00064CF5" w:rsidRPr="00404A7C">
        <w:rPr>
          <w:szCs w:val="22"/>
          <w:vertAlign w:val="superscript"/>
        </w:rPr>
        <w:t>®</w:t>
      </w:r>
      <w:r w:rsidR="00064CF5">
        <w:t xml:space="preserve"> group and 32.7% in the Sham group.</w:t>
      </w:r>
      <w:r w:rsidR="00064CF5">
        <w:rPr>
          <w:szCs w:val="22"/>
        </w:rPr>
        <w:t xml:space="preserve"> </w:t>
      </w:r>
      <w:r w:rsidRPr="00404A7C">
        <w:rPr>
          <w:szCs w:val="22"/>
        </w:rPr>
        <w:t>Less than 1% of patients who received OZURDEX</w:t>
      </w:r>
      <w:r w:rsidR="003903F4" w:rsidRPr="00404A7C">
        <w:rPr>
          <w:szCs w:val="22"/>
          <w:vertAlign w:val="superscript"/>
        </w:rPr>
        <w:t>®</w:t>
      </w:r>
      <w:r w:rsidRPr="00404A7C">
        <w:rPr>
          <w:szCs w:val="22"/>
        </w:rPr>
        <w:t xml:space="preserve"> required laser or surgical procedures for management of elevated IOP in the study eye.</w:t>
      </w:r>
      <w:r w:rsidRPr="001C075B">
        <w:rPr>
          <w:szCs w:val="22"/>
        </w:rPr>
        <w:t xml:space="preserve">  </w:t>
      </w:r>
    </w:p>
    <w:p w:rsidR="00AA2DA4" w:rsidRDefault="00AA2DA4" w:rsidP="00F019F9">
      <w:pPr>
        <w:pStyle w:val="Default"/>
        <w:jc w:val="both"/>
      </w:pPr>
    </w:p>
    <w:p w:rsidR="004C63C5" w:rsidRDefault="00F019F9" w:rsidP="00F019F9">
      <w:pPr>
        <w:pStyle w:val="Default"/>
        <w:jc w:val="both"/>
      </w:pPr>
      <w:r w:rsidRPr="003E05CC">
        <w:t xml:space="preserve">In the RVO clinical studies (RVO1 and RVO2), cataract was reported more frequently in patients with </w:t>
      </w:r>
      <w:r w:rsidRPr="006A01CE">
        <w:t xml:space="preserve">a </w:t>
      </w:r>
      <w:proofErr w:type="spellStart"/>
      <w:r w:rsidRPr="006A01CE">
        <w:t>phakic</w:t>
      </w:r>
      <w:proofErr w:type="spellEnd"/>
      <w:r w:rsidRPr="003E05CC">
        <w:t xml:space="preserve"> study eye receiving a second injection of OZURDEX</w:t>
      </w:r>
      <w:r w:rsidRPr="003E05CC">
        <w:rPr>
          <w:vertAlign w:val="superscript"/>
        </w:rPr>
        <w:t>®</w:t>
      </w:r>
      <w:r w:rsidRPr="003E05CC">
        <w:t>. 2 patients had lenticular opacities and there was no cataract adverse reaction or cataract surgery reported in Study RVO3.</w:t>
      </w:r>
      <w:r>
        <w:t xml:space="preserve"> </w:t>
      </w:r>
    </w:p>
    <w:p w:rsidR="004C63C5" w:rsidRDefault="004C63C5" w:rsidP="00F019F9">
      <w:pPr>
        <w:pStyle w:val="Default"/>
        <w:jc w:val="both"/>
      </w:pPr>
    </w:p>
    <w:p w:rsidR="00F019F9" w:rsidRPr="003E05CC" w:rsidRDefault="00F019F9" w:rsidP="00F019F9">
      <w:pPr>
        <w:pStyle w:val="Default"/>
        <w:jc w:val="both"/>
      </w:pPr>
      <w:r w:rsidRPr="003E05CC">
        <w:lastRenderedPageBreak/>
        <w:t xml:space="preserve">In Studies RVO1 and RVO2, only 1 patient </w:t>
      </w:r>
      <w:r w:rsidR="00493211">
        <w:t>out of 368</w:t>
      </w:r>
      <w:r w:rsidR="00334CAB">
        <w:t xml:space="preserve"> </w:t>
      </w:r>
      <w:r w:rsidR="00493211">
        <w:t xml:space="preserve">with a </w:t>
      </w:r>
      <w:proofErr w:type="spellStart"/>
      <w:r w:rsidR="00493211">
        <w:t>phakic</w:t>
      </w:r>
      <w:proofErr w:type="spellEnd"/>
      <w:r w:rsidR="00493211">
        <w:t xml:space="preserve"> study eye </w:t>
      </w:r>
      <w:r w:rsidRPr="003E05CC">
        <w:t xml:space="preserve">required cataract surgery in the study eye during the first treatment and 3 patients out of 302 </w:t>
      </w:r>
      <w:r w:rsidR="00493211">
        <w:t xml:space="preserve">with a </w:t>
      </w:r>
      <w:proofErr w:type="spellStart"/>
      <w:r w:rsidR="00493211">
        <w:t>phakic</w:t>
      </w:r>
      <w:proofErr w:type="spellEnd"/>
      <w:r w:rsidR="00493211">
        <w:t xml:space="preserve"> study eye </w:t>
      </w:r>
      <w:r w:rsidRPr="003E05CC">
        <w:t xml:space="preserve">during the second treatment. </w:t>
      </w:r>
    </w:p>
    <w:p w:rsidR="009917A7" w:rsidRPr="001C075B" w:rsidRDefault="009917A7" w:rsidP="00F114A1">
      <w:pPr>
        <w:tabs>
          <w:tab w:val="left" w:pos="0"/>
        </w:tabs>
        <w:jc w:val="both"/>
        <w:rPr>
          <w:szCs w:val="22"/>
        </w:rPr>
      </w:pPr>
    </w:p>
    <w:p w:rsidR="002B0D9A" w:rsidRPr="00F114A1" w:rsidRDefault="00F114A1" w:rsidP="00F114A1">
      <w:pPr>
        <w:autoSpaceDE w:val="0"/>
        <w:autoSpaceDN w:val="0"/>
        <w:adjustRightInd w:val="0"/>
        <w:jc w:val="both"/>
        <w:rPr>
          <w:szCs w:val="24"/>
        </w:rPr>
      </w:pPr>
      <w:r w:rsidRPr="00F114A1">
        <w:rPr>
          <w:szCs w:val="24"/>
        </w:rPr>
        <w:t>The adverse reaction profile of 341 patients analysed following a second injection of OZURDEX</w:t>
      </w:r>
      <w:r w:rsidRPr="00C83500">
        <w:rPr>
          <w:szCs w:val="24"/>
          <w:vertAlign w:val="superscript"/>
        </w:rPr>
        <w:t xml:space="preserve">® </w:t>
      </w:r>
      <w:r w:rsidRPr="00C83500">
        <w:rPr>
          <w:szCs w:val="24"/>
        </w:rPr>
        <w:t xml:space="preserve">in the open-label extension phase of Studies </w:t>
      </w:r>
      <w:r w:rsidR="009A5BF1" w:rsidRPr="00C83500">
        <w:rPr>
          <w:szCs w:val="24"/>
        </w:rPr>
        <w:t>R</w:t>
      </w:r>
      <w:r w:rsidR="003903F4">
        <w:rPr>
          <w:szCs w:val="24"/>
        </w:rPr>
        <w:t>VO1</w:t>
      </w:r>
      <w:r w:rsidRPr="00C83500">
        <w:rPr>
          <w:szCs w:val="24"/>
        </w:rPr>
        <w:t xml:space="preserve"> and </w:t>
      </w:r>
      <w:r w:rsidR="003903F4">
        <w:rPr>
          <w:szCs w:val="24"/>
        </w:rPr>
        <w:t>RVO2</w:t>
      </w:r>
      <w:r w:rsidRPr="00C83500">
        <w:rPr>
          <w:szCs w:val="24"/>
        </w:rPr>
        <w:t>, was</w:t>
      </w:r>
      <w:r w:rsidRPr="00F114A1">
        <w:rPr>
          <w:szCs w:val="24"/>
        </w:rPr>
        <w:t xml:space="preserve"> similar to that following the first injection. The incidence of increased IOP (</w:t>
      </w:r>
      <w:r w:rsidR="003E05CC">
        <w:rPr>
          <w:szCs w:val="24"/>
        </w:rPr>
        <w:t>32.6</w:t>
      </w:r>
      <w:r w:rsidRPr="00F114A1">
        <w:rPr>
          <w:szCs w:val="24"/>
        </w:rPr>
        <w:t xml:space="preserve"> %) was similar to that seen following the first injection and likewise returned to baseline by open-label day 180. The overall incidence of cataracts was higher after 1 year compared to the initial 6 months.</w:t>
      </w:r>
      <w:r w:rsidR="002B0D9A" w:rsidRPr="00F114A1">
        <w:rPr>
          <w:szCs w:val="24"/>
        </w:rPr>
        <w:t xml:space="preserve"> </w:t>
      </w:r>
    </w:p>
    <w:p w:rsidR="002B0D9A" w:rsidRDefault="002B0D9A" w:rsidP="003878B4">
      <w:pPr>
        <w:autoSpaceDE w:val="0"/>
        <w:autoSpaceDN w:val="0"/>
        <w:adjustRightInd w:val="0"/>
        <w:jc w:val="both"/>
      </w:pPr>
    </w:p>
    <w:p w:rsidR="006F6905" w:rsidRPr="00F114A1" w:rsidRDefault="006F6905" w:rsidP="00B952DA">
      <w:pPr>
        <w:autoSpaceDE w:val="0"/>
        <w:autoSpaceDN w:val="0"/>
        <w:adjustRightInd w:val="0"/>
        <w:jc w:val="both"/>
        <w:rPr>
          <w:b/>
          <w:szCs w:val="24"/>
          <w:u w:val="single"/>
          <w:lang w:val="en-US"/>
        </w:rPr>
      </w:pPr>
      <w:r w:rsidRPr="00F114A1">
        <w:rPr>
          <w:b/>
          <w:szCs w:val="24"/>
          <w:u w:val="single"/>
          <w:lang w:val="en-US"/>
        </w:rPr>
        <w:t>Uveitis</w:t>
      </w:r>
    </w:p>
    <w:p w:rsidR="001661F1" w:rsidRPr="00702EFC" w:rsidRDefault="006F6905" w:rsidP="001661F1">
      <w:pPr>
        <w:pStyle w:val="NoSpacing"/>
        <w:jc w:val="both"/>
      </w:pPr>
      <w:r w:rsidRPr="00702EFC">
        <w:t xml:space="preserve">The clinical </w:t>
      </w:r>
      <w:r w:rsidR="003B3A28" w:rsidRPr="00702EFC">
        <w:t xml:space="preserve">safety </w:t>
      </w:r>
      <w:r w:rsidRPr="00702EFC">
        <w:t>of OZURDEX</w:t>
      </w:r>
      <w:r w:rsidRPr="00702EFC">
        <w:rPr>
          <w:vertAlign w:val="superscript"/>
        </w:rPr>
        <w:t>®</w:t>
      </w:r>
      <w:r w:rsidRPr="00702EFC">
        <w:t xml:space="preserve"> was assessed in a </w:t>
      </w:r>
      <w:r w:rsidR="001661F1" w:rsidRPr="00702EFC">
        <w:t>single, multi</w:t>
      </w:r>
      <w:r w:rsidR="008E5DF4" w:rsidRPr="00702EFC">
        <w:t>-center</w:t>
      </w:r>
      <w:r w:rsidR="001661F1" w:rsidRPr="00702EFC">
        <w:t xml:space="preserve">, masked and </w:t>
      </w:r>
      <w:proofErr w:type="spellStart"/>
      <w:r w:rsidR="001661F1" w:rsidRPr="00702EFC">
        <w:t>randomi</w:t>
      </w:r>
      <w:r w:rsidR="003878B4" w:rsidRPr="00702EFC">
        <w:t>s</w:t>
      </w:r>
      <w:r w:rsidR="001661F1" w:rsidRPr="00702EFC">
        <w:t>ed</w:t>
      </w:r>
      <w:proofErr w:type="spellEnd"/>
      <w:r w:rsidR="001661F1" w:rsidRPr="00702EFC">
        <w:t>, 26-week</w:t>
      </w:r>
      <w:r w:rsidRPr="00702EFC">
        <w:t xml:space="preserve"> Phase 3 study for the treatment of </w:t>
      </w:r>
      <w:r w:rsidR="00CD07D6" w:rsidRPr="00702EFC">
        <w:rPr>
          <w:lang w:val="en-GB"/>
        </w:rPr>
        <w:t>non-infectious uveitis affecting the posterior segment of the eye</w:t>
      </w:r>
      <w:r w:rsidRPr="00702EFC">
        <w:t>.</w:t>
      </w:r>
      <w:r w:rsidR="001661F1" w:rsidRPr="00702EFC">
        <w:t xml:space="preserve"> A total of </w:t>
      </w:r>
      <w:r w:rsidR="00AF1C5D" w:rsidRPr="00702EFC">
        <w:t>76</w:t>
      </w:r>
      <w:r w:rsidR="001661F1" w:rsidRPr="00702EFC">
        <w:t xml:space="preserve"> patients were treated with OZURDEX</w:t>
      </w:r>
      <w:r w:rsidR="001661F1" w:rsidRPr="00702EFC">
        <w:rPr>
          <w:vertAlign w:val="superscript"/>
        </w:rPr>
        <w:t>®</w:t>
      </w:r>
      <w:r w:rsidR="001661F1" w:rsidRPr="00702EFC">
        <w:t xml:space="preserve"> and </w:t>
      </w:r>
      <w:r w:rsidR="00AF1C5D" w:rsidRPr="00702EFC">
        <w:t>75</w:t>
      </w:r>
      <w:r w:rsidR="001661F1" w:rsidRPr="00702EFC">
        <w:t xml:space="preserve"> were treated with Sham.</w:t>
      </w:r>
    </w:p>
    <w:p w:rsidR="001661F1" w:rsidRPr="00702EFC" w:rsidRDefault="001661F1" w:rsidP="001661F1">
      <w:pPr>
        <w:pStyle w:val="NoSpacing"/>
        <w:jc w:val="both"/>
      </w:pPr>
    </w:p>
    <w:p w:rsidR="00510A42" w:rsidRDefault="00510A42" w:rsidP="00510A42">
      <w:pPr>
        <w:widowControl w:val="0"/>
        <w:jc w:val="both"/>
        <w:rPr>
          <w:b/>
        </w:rPr>
      </w:pPr>
      <w:r w:rsidRPr="00184B19">
        <w:t xml:space="preserve">The most frequent adverse reactions (dexamethasone or injection procedure) were defined as adverse reactions that occurred with </w:t>
      </w:r>
      <w:proofErr w:type="gramStart"/>
      <w:r w:rsidRPr="00184B19">
        <w:t>a  higher</w:t>
      </w:r>
      <w:proofErr w:type="gramEnd"/>
      <w:r w:rsidRPr="00184B19">
        <w:t xml:space="preserve"> frequency in the </w:t>
      </w:r>
      <w:r>
        <w:t>OZURDEX</w:t>
      </w:r>
      <w:r w:rsidRPr="00E00F1C">
        <w:rPr>
          <w:vertAlign w:val="superscript"/>
        </w:rPr>
        <w:t>®</w:t>
      </w:r>
      <w:r w:rsidRPr="00184B19">
        <w:t xml:space="preserve"> group compared to the </w:t>
      </w:r>
      <w:r>
        <w:t>S</w:t>
      </w:r>
      <w:r w:rsidRPr="00184B19">
        <w:t xml:space="preserve">ham group </w:t>
      </w:r>
      <w:r>
        <w:t>or</w:t>
      </w:r>
      <w:r w:rsidRPr="00184B19">
        <w:t xml:space="preserve"> had a plausible mechanism of action as shown in Table </w:t>
      </w:r>
      <w:r>
        <w:t>6</w:t>
      </w:r>
      <w:r w:rsidRPr="00184B19">
        <w:t>:</w:t>
      </w:r>
      <w:r w:rsidRPr="00184B19">
        <w:rPr>
          <w:b/>
        </w:rPr>
        <w:t xml:space="preserve"> </w:t>
      </w:r>
    </w:p>
    <w:p w:rsidR="001661F1" w:rsidRDefault="001661F1" w:rsidP="001661F1">
      <w:pPr>
        <w:pStyle w:val="Caption"/>
        <w:ind w:left="1440" w:hanging="1440"/>
        <w:jc w:val="center"/>
        <w:rPr>
          <w:sz w:val="20"/>
        </w:rPr>
      </w:pPr>
      <w:r w:rsidRPr="001661F1">
        <w:rPr>
          <w:sz w:val="20"/>
        </w:rPr>
        <w:t xml:space="preserve">Table </w:t>
      </w:r>
      <w:r w:rsidR="003727B5">
        <w:rPr>
          <w:sz w:val="20"/>
        </w:rPr>
        <w:t>6</w:t>
      </w:r>
      <w:r w:rsidRPr="001661F1">
        <w:rPr>
          <w:sz w:val="20"/>
        </w:rPr>
        <w:tab/>
        <w:t xml:space="preserve">Summary </w:t>
      </w:r>
      <w:r w:rsidR="00510A42" w:rsidRPr="003878B4">
        <w:rPr>
          <w:sz w:val="20"/>
        </w:rPr>
        <w:t xml:space="preserve">of Adverse Reactions in Phase 3 </w:t>
      </w:r>
      <w:r w:rsidR="00510A42">
        <w:rPr>
          <w:sz w:val="20"/>
        </w:rPr>
        <w:t xml:space="preserve">Uveitis Study </w:t>
      </w:r>
      <w:r w:rsidR="00510A42" w:rsidRPr="00184B19">
        <w:rPr>
          <w:sz w:val="20"/>
        </w:rPr>
        <w:t>in ≥ 1% of Patients</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2940"/>
        <w:gridCol w:w="3150"/>
      </w:tblGrid>
      <w:tr w:rsidR="0004267D" w:rsidRPr="001661F1" w:rsidTr="007C4628">
        <w:tc>
          <w:tcPr>
            <w:tcW w:w="3108" w:type="dxa"/>
            <w:tcBorders>
              <w:top w:val="single" w:sz="4" w:space="0" w:color="auto"/>
              <w:bottom w:val="single" w:sz="4" w:space="0" w:color="auto"/>
              <w:right w:val="single" w:sz="4" w:space="0" w:color="auto"/>
            </w:tcBorders>
            <w:vAlign w:val="bottom"/>
          </w:tcPr>
          <w:p w:rsidR="0004267D" w:rsidRPr="001661F1" w:rsidRDefault="0004267D" w:rsidP="007C4628">
            <w:pPr>
              <w:pStyle w:val="TableHeadingsSmall"/>
              <w:rPr>
                <w:szCs w:val="20"/>
              </w:rPr>
            </w:pPr>
          </w:p>
        </w:tc>
        <w:tc>
          <w:tcPr>
            <w:tcW w:w="2940" w:type="dxa"/>
            <w:tcBorders>
              <w:top w:val="single" w:sz="4" w:space="0" w:color="auto"/>
              <w:left w:val="single" w:sz="4" w:space="0" w:color="auto"/>
              <w:bottom w:val="single" w:sz="4" w:space="0" w:color="auto"/>
              <w:right w:val="single" w:sz="4" w:space="0" w:color="auto"/>
            </w:tcBorders>
            <w:vAlign w:val="bottom"/>
          </w:tcPr>
          <w:p w:rsidR="0004267D" w:rsidRPr="001661F1" w:rsidRDefault="0004267D" w:rsidP="007C4628">
            <w:pPr>
              <w:pStyle w:val="TableHeadingsSmall"/>
              <w:rPr>
                <w:szCs w:val="20"/>
              </w:rPr>
            </w:pPr>
            <w:r>
              <w:rPr>
                <w:szCs w:val="20"/>
              </w:rPr>
              <w:t>OZURDEX</w:t>
            </w:r>
            <w:r w:rsidRPr="001661F1">
              <w:rPr>
                <w:szCs w:val="20"/>
                <w:vertAlign w:val="superscript"/>
              </w:rPr>
              <w:t>®</w:t>
            </w:r>
            <w:r w:rsidRPr="001661F1">
              <w:rPr>
                <w:szCs w:val="20"/>
              </w:rPr>
              <w:br/>
              <w:t xml:space="preserve">N = </w:t>
            </w:r>
            <w:r>
              <w:rPr>
                <w:szCs w:val="20"/>
              </w:rPr>
              <w:t>76</w:t>
            </w:r>
          </w:p>
        </w:tc>
        <w:tc>
          <w:tcPr>
            <w:tcW w:w="3150" w:type="dxa"/>
            <w:tcBorders>
              <w:top w:val="single" w:sz="4" w:space="0" w:color="auto"/>
              <w:left w:val="single" w:sz="4" w:space="0" w:color="auto"/>
              <w:bottom w:val="single" w:sz="4" w:space="0" w:color="auto"/>
              <w:right w:val="single" w:sz="4" w:space="0" w:color="auto"/>
            </w:tcBorders>
            <w:vAlign w:val="bottom"/>
          </w:tcPr>
          <w:p w:rsidR="0004267D" w:rsidRPr="007524B6" w:rsidRDefault="0004267D" w:rsidP="007C4628">
            <w:pPr>
              <w:pStyle w:val="TableHeadingsSmall"/>
              <w:rPr>
                <w:szCs w:val="20"/>
              </w:rPr>
            </w:pPr>
            <w:r w:rsidRPr="007524B6">
              <w:rPr>
                <w:szCs w:val="20"/>
              </w:rPr>
              <w:t>Sham</w:t>
            </w:r>
            <w:r w:rsidRPr="007524B6">
              <w:rPr>
                <w:szCs w:val="20"/>
              </w:rPr>
              <w:br/>
              <w:t xml:space="preserve">N = </w:t>
            </w:r>
            <w:r>
              <w:rPr>
                <w:szCs w:val="20"/>
              </w:rPr>
              <w:t>75</w:t>
            </w:r>
          </w:p>
        </w:tc>
      </w:tr>
      <w:tr w:rsidR="0004267D" w:rsidRPr="001661F1" w:rsidTr="007C4628">
        <w:tc>
          <w:tcPr>
            <w:tcW w:w="9198" w:type="dxa"/>
            <w:gridSpan w:val="3"/>
            <w:tcBorders>
              <w:top w:val="single" w:sz="4" w:space="0" w:color="auto"/>
              <w:bottom w:val="single" w:sz="4" w:space="0" w:color="auto"/>
              <w:right w:val="single" w:sz="4" w:space="0" w:color="auto"/>
            </w:tcBorders>
            <w:vAlign w:val="bottom"/>
          </w:tcPr>
          <w:p w:rsidR="0004267D" w:rsidRPr="001661F1" w:rsidRDefault="0004267D" w:rsidP="007C4628">
            <w:pPr>
              <w:pStyle w:val="TableHeadingsSmall"/>
              <w:jc w:val="left"/>
              <w:rPr>
                <w:i/>
                <w:szCs w:val="20"/>
              </w:rPr>
            </w:pPr>
            <w:r w:rsidRPr="001661F1">
              <w:rPr>
                <w:i/>
                <w:szCs w:val="20"/>
              </w:rPr>
              <w:t>Eye Disorders (Study Eye)</w:t>
            </w:r>
          </w:p>
        </w:tc>
      </w:tr>
      <w:tr w:rsidR="00510A42" w:rsidRPr="001661F1" w:rsidTr="007C4628">
        <w:tc>
          <w:tcPr>
            <w:tcW w:w="3108" w:type="dxa"/>
            <w:tcBorders>
              <w:top w:val="single" w:sz="4" w:space="0" w:color="auto"/>
              <w:bottom w:val="single" w:sz="4" w:space="0" w:color="auto"/>
              <w:right w:val="single" w:sz="4" w:space="0" w:color="auto"/>
            </w:tcBorders>
            <w:vAlign w:val="bottom"/>
          </w:tcPr>
          <w:p w:rsidR="00510A42" w:rsidRPr="001661F1" w:rsidRDefault="00510A42" w:rsidP="007C4628">
            <w:pPr>
              <w:pStyle w:val="TableText10pt"/>
            </w:pPr>
            <w:r>
              <w:t xml:space="preserve">Conjunctival </w:t>
            </w:r>
            <w:proofErr w:type="spellStart"/>
            <w:r>
              <w:t>haemorrhage</w:t>
            </w:r>
            <w:proofErr w:type="spellEnd"/>
            <w:r>
              <w:t>*</w:t>
            </w:r>
          </w:p>
        </w:tc>
        <w:tc>
          <w:tcPr>
            <w:tcW w:w="2940" w:type="dxa"/>
            <w:tcBorders>
              <w:top w:val="single" w:sz="4" w:space="0" w:color="auto"/>
              <w:left w:val="single" w:sz="4" w:space="0" w:color="auto"/>
              <w:bottom w:val="single" w:sz="4" w:space="0" w:color="auto"/>
              <w:right w:val="single" w:sz="4" w:space="0" w:color="auto"/>
            </w:tcBorders>
            <w:vAlign w:val="bottom"/>
          </w:tcPr>
          <w:p w:rsidR="00510A42" w:rsidRPr="007524B6" w:rsidRDefault="00510A42" w:rsidP="007C4628">
            <w:pPr>
              <w:pStyle w:val="TableText10pt"/>
              <w:jc w:val="center"/>
            </w:pPr>
            <w:r>
              <w:t>23 (30.3%)</w:t>
            </w:r>
          </w:p>
        </w:tc>
        <w:tc>
          <w:tcPr>
            <w:tcW w:w="3150" w:type="dxa"/>
            <w:tcBorders>
              <w:top w:val="single" w:sz="4" w:space="0" w:color="auto"/>
              <w:left w:val="single" w:sz="4" w:space="0" w:color="auto"/>
              <w:bottom w:val="single" w:sz="4" w:space="0" w:color="auto"/>
              <w:right w:val="single" w:sz="4" w:space="0" w:color="auto"/>
            </w:tcBorders>
            <w:vAlign w:val="bottom"/>
          </w:tcPr>
          <w:p w:rsidR="00510A42" w:rsidRPr="001661F1" w:rsidRDefault="00510A42" w:rsidP="007C4628">
            <w:pPr>
              <w:pStyle w:val="TableText10pt"/>
              <w:jc w:val="center"/>
            </w:pPr>
            <w:r>
              <w:t>16 (21.3%)</w:t>
            </w:r>
          </w:p>
        </w:tc>
      </w:tr>
      <w:tr w:rsidR="00510A42" w:rsidRPr="001661F1" w:rsidTr="007C4628">
        <w:tc>
          <w:tcPr>
            <w:tcW w:w="3108" w:type="dxa"/>
            <w:tcBorders>
              <w:top w:val="single" w:sz="4" w:space="0" w:color="auto"/>
              <w:bottom w:val="single" w:sz="4" w:space="0" w:color="auto"/>
              <w:right w:val="single" w:sz="4" w:space="0" w:color="auto"/>
            </w:tcBorders>
            <w:vAlign w:val="bottom"/>
          </w:tcPr>
          <w:p w:rsidR="00510A42" w:rsidRPr="001661F1" w:rsidRDefault="00510A42" w:rsidP="007C4628">
            <w:pPr>
              <w:pStyle w:val="TableText10pt"/>
            </w:pPr>
            <w:r w:rsidRPr="001661F1">
              <w:t>Intraocular pressure increased</w:t>
            </w:r>
          </w:p>
        </w:tc>
        <w:tc>
          <w:tcPr>
            <w:tcW w:w="2940" w:type="dxa"/>
            <w:tcBorders>
              <w:top w:val="single" w:sz="4" w:space="0" w:color="auto"/>
              <w:left w:val="single" w:sz="4" w:space="0" w:color="auto"/>
              <w:bottom w:val="single" w:sz="4" w:space="0" w:color="auto"/>
              <w:right w:val="single" w:sz="4" w:space="0" w:color="auto"/>
            </w:tcBorders>
            <w:vAlign w:val="bottom"/>
          </w:tcPr>
          <w:p w:rsidR="00510A42" w:rsidRPr="00185D2E" w:rsidRDefault="00510A42" w:rsidP="007C4628">
            <w:pPr>
              <w:pStyle w:val="TableText10pt"/>
              <w:jc w:val="center"/>
              <w:rPr>
                <w:b/>
              </w:rPr>
            </w:pPr>
            <w:r w:rsidRPr="007524B6">
              <w:t>19 (25.0%)</w:t>
            </w:r>
          </w:p>
        </w:tc>
        <w:tc>
          <w:tcPr>
            <w:tcW w:w="3150" w:type="dxa"/>
            <w:tcBorders>
              <w:top w:val="single" w:sz="4" w:space="0" w:color="auto"/>
              <w:left w:val="single" w:sz="4" w:space="0" w:color="auto"/>
              <w:bottom w:val="single" w:sz="4" w:space="0" w:color="auto"/>
              <w:right w:val="single" w:sz="4" w:space="0" w:color="auto"/>
            </w:tcBorders>
            <w:vAlign w:val="bottom"/>
          </w:tcPr>
          <w:p w:rsidR="00510A42" w:rsidRPr="001661F1" w:rsidRDefault="00510A42" w:rsidP="007C4628">
            <w:pPr>
              <w:pStyle w:val="TableText10pt"/>
              <w:jc w:val="center"/>
              <w:rPr>
                <w:b/>
              </w:rPr>
            </w:pPr>
            <w:r w:rsidRPr="001661F1">
              <w:t>5 (6.7%)</w:t>
            </w:r>
          </w:p>
        </w:tc>
      </w:tr>
      <w:tr w:rsidR="00510A42" w:rsidRPr="001661F1" w:rsidTr="007C4628">
        <w:tc>
          <w:tcPr>
            <w:tcW w:w="3108" w:type="dxa"/>
            <w:tcBorders>
              <w:top w:val="single" w:sz="4" w:space="0" w:color="auto"/>
              <w:bottom w:val="single" w:sz="4" w:space="0" w:color="auto"/>
              <w:right w:val="single" w:sz="4" w:space="0" w:color="auto"/>
            </w:tcBorders>
            <w:vAlign w:val="bottom"/>
          </w:tcPr>
          <w:p w:rsidR="00510A42" w:rsidRPr="001661F1" w:rsidRDefault="00510A42" w:rsidP="007C4628">
            <w:pPr>
              <w:pStyle w:val="TableText10pt"/>
            </w:pPr>
            <w:r w:rsidRPr="001661F1">
              <w:t>Cataract</w:t>
            </w:r>
          </w:p>
        </w:tc>
        <w:tc>
          <w:tcPr>
            <w:tcW w:w="2940" w:type="dxa"/>
            <w:tcBorders>
              <w:top w:val="single" w:sz="4" w:space="0" w:color="auto"/>
              <w:left w:val="single" w:sz="4" w:space="0" w:color="auto"/>
              <w:bottom w:val="single" w:sz="4" w:space="0" w:color="auto"/>
              <w:right w:val="single" w:sz="4" w:space="0" w:color="auto"/>
            </w:tcBorders>
            <w:vAlign w:val="bottom"/>
          </w:tcPr>
          <w:p w:rsidR="00510A42" w:rsidRPr="007524B6" w:rsidRDefault="00510A42" w:rsidP="007C4628">
            <w:pPr>
              <w:pStyle w:val="TableText10pt"/>
              <w:jc w:val="center"/>
            </w:pPr>
            <w:r w:rsidRPr="007524B6">
              <w:t>9 (11.8%)</w:t>
            </w:r>
          </w:p>
        </w:tc>
        <w:tc>
          <w:tcPr>
            <w:tcW w:w="3150" w:type="dxa"/>
            <w:tcBorders>
              <w:top w:val="single" w:sz="4" w:space="0" w:color="auto"/>
              <w:left w:val="single" w:sz="4" w:space="0" w:color="auto"/>
              <w:bottom w:val="single" w:sz="4" w:space="0" w:color="auto"/>
              <w:right w:val="single" w:sz="4" w:space="0" w:color="auto"/>
            </w:tcBorders>
            <w:vAlign w:val="bottom"/>
          </w:tcPr>
          <w:p w:rsidR="00510A42" w:rsidRPr="001661F1" w:rsidRDefault="00510A42" w:rsidP="007C4628">
            <w:pPr>
              <w:pStyle w:val="TableText10pt"/>
              <w:jc w:val="center"/>
            </w:pPr>
            <w:r w:rsidRPr="001661F1">
              <w:t>4 (5.3%)</w:t>
            </w:r>
          </w:p>
        </w:tc>
      </w:tr>
      <w:tr w:rsidR="00510A42" w:rsidRPr="001661F1" w:rsidTr="007C4628">
        <w:tc>
          <w:tcPr>
            <w:tcW w:w="3108" w:type="dxa"/>
            <w:tcBorders>
              <w:top w:val="single" w:sz="4" w:space="0" w:color="auto"/>
              <w:bottom w:val="single" w:sz="4" w:space="0" w:color="auto"/>
              <w:right w:val="single" w:sz="4" w:space="0" w:color="auto"/>
            </w:tcBorders>
            <w:vAlign w:val="bottom"/>
          </w:tcPr>
          <w:p w:rsidR="00510A42" w:rsidRPr="001661F1" w:rsidRDefault="00510A42" w:rsidP="007C4628">
            <w:pPr>
              <w:pStyle w:val="TableText10pt"/>
            </w:pPr>
            <w:proofErr w:type="spellStart"/>
            <w:r w:rsidRPr="001661F1">
              <w:t>Myodesopsia</w:t>
            </w:r>
            <w:proofErr w:type="spellEnd"/>
          </w:p>
        </w:tc>
        <w:tc>
          <w:tcPr>
            <w:tcW w:w="2940" w:type="dxa"/>
            <w:tcBorders>
              <w:top w:val="single" w:sz="4" w:space="0" w:color="auto"/>
              <w:left w:val="single" w:sz="4" w:space="0" w:color="auto"/>
              <w:bottom w:val="single" w:sz="4" w:space="0" w:color="auto"/>
              <w:right w:val="single" w:sz="4" w:space="0" w:color="auto"/>
            </w:tcBorders>
            <w:vAlign w:val="bottom"/>
          </w:tcPr>
          <w:p w:rsidR="00510A42" w:rsidRPr="007524B6" w:rsidRDefault="00510A42" w:rsidP="007C4628">
            <w:pPr>
              <w:pStyle w:val="TableText10pt"/>
              <w:jc w:val="center"/>
            </w:pPr>
            <w:r w:rsidRPr="007524B6">
              <w:t>6 (7.9%)</w:t>
            </w:r>
          </w:p>
        </w:tc>
        <w:tc>
          <w:tcPr>
            <w:tcW w:w="3150" w:type="dxa"/>
            <w:tcBorders>
              <w:top w:val="single" w:sz="4" w:space="0" w:color="auto"/>
              <w:left w:val="single" w:sz="4" w:space="0" w:color="auto"/>
              <w:bottom w:val="single" w:sz="4" w:space="0" w:color="auto"/>
              <w:right w:val="single" w:sz="4" w:space="0" w:color="auto"/>
            </w:tcBorders>
            <w:vAlign w:val="bottom"/>
          </w:tcPr>
          <w:p w:rsidR="00510A42" w:rsidRPr="001661F1" w:rsidRDefault="00510A42" w:rsidP="007C4628">
            <w:pPr>
              <w:pStyle w:val="TableText10pt"/>
              <w:jc w:val="center"/>
            </w:pPr>
            <w:r w:rsidRPr="001661F1">
              <w:t>5 (6.7%)</w:t>
            </w:r>
          </w:p>
        </w:tc>
      </w:tr>
      <w:tr w:rsidR="00510A42" w:rsidRPr="001661F1" w:rsidTr="007C4628">
        <w:tc>
          <w:tcPr>
            <w:tcW w:w="3108" w:type="dxa"/>
            <w:tcBorders>
              <w:top w:val="single" w:sz="4" w:space="0" w:color="auto"/>
              <w:bottom w:val="single" w:sz="4" w:space="0" w:color="auto"/>
              <w:right w:val="single" w:sz="4" w:space="0" w:color="auto"/>
            </w:tcBorders>
            <w:vAlign w:val="bottom"/>
          </w:tcPr>
          <w:p w:rsidR="00510A42" w:rsidRDefault="00510A42" w:rsidP="007C4628">
            <w:pPr>
              <w:pStyle w:val="TableText10pt"/>
            </w:pPr>
            <w:r w:rsidRPr="001661F1">
              <w:t>Blepharitis</w:t>
            </w:r>
          </w:p>
        </w:tc>
        <w:tc>
          <w:tcPr>
            <w:tcW w:w="2940" w:type="dxa"/>
            <w:tcBorders>
              <w:top w:val="single" w:sz="4" w:space="0" w:color="auto"/>
              <w:left w:val="single" w:sz="4" w:space="0" w:color="auto"/>
              <w:bottom w:val="single" w:sz="4" w:space="0" w:color="auto"/>
              <w:right w:val="single" w:sz="4" w:space="0" w:color="auto"/>
            </w:tcBorders>
            <w:vAlign w:val="bottom"/>
          </w:tcPr>
          <w:p w:rsidR="00510A42" w:rsidRPr="007524B6" w:rsidRDefault="00510A42" w:rsidP="007C4628">
            <w:pPr>
              <w:pStyle w:val="TableText10pt"/>
              <w:jc w:val="center"/>
            </w:pPr>
            <w:r w:rsidRPr="007524B6">
              <w:t>3 (3.9%)</w:t>
            </w:r>
          </w:p>
        </w:tc>
        <w:tc>
          <w:tcPr>
            <w:tcW w:w="3150" w:type="dxa"/>
            <w:tcBorders>
              <w:top w:val="single" w:sz="4" w:space="0" w:color="auto"/>
              <w:left w:val="single" w:sz="4" w:space="0" w:color="auto"/>
              <w:bottom w:val="single" w:sz="4" w:space="0" w:color="auto"/>
              <w:right w:val="single" w:sz="4" w:space="0" w:color="auto"/>
            </w:tcBorders>
            <w:vAlign w:val="bottom"/>
          </w:tcPr>
          <w:p w:rsidR="00510A42" w:rsidRPr="001661F1" w:rsidRDefault="00510A42" w:rsidP="007C4628">
            <w:pPr>
              <w:pStyle w:val="TableText10pt"/>
              <w:jc w:val="center"/>
            </w:pPr>
            <w:r w:rsidRPr="001661F1">
              <w:t>0 (0.0%)</w:t>
            </w:r>
          </w:p>
        </w:tc>
      </w:tr>
      <w:tr w:rsidR="00510A42" w:rsidRPr="001661F1" w:rsidTr="007C4628">
        <w:tc>
          <w:tcPr>
            <w:tcW w:w="3108" w:type="dxa"/>
            <w:tcBorders>
              <w:top w:val="single" w:sz="4" w:space="0" w:color="auto"/>
              <w:bottom w:val="single" w:sz="4" w:space="0" w:color="auto"/>
              <w:right w:val="single" w:sz="4" w:space="0" w:color="auto"/>
            </w:tcBorders>
            <w:vAlign w:val="bottom"/>
          </w:tcPr>
          <w:p w:rsidR="00510A42" w:rsidRPr="001661F1" w:rsidRDefault="00510A42" w:rsidP="007C4628">
            <w:pPr>
              <w:pStyle w:val="TableText10pt"/>
            </w:pPr>
            <w:r w:rsidRPr="001661F1">
              <w:t>Vitreous opacities</w:t>
            </w:r>
          </w:p>
        </w:tc>
        <w:tc>
          <w:tcPr>
            <w:tcW w:w="2940" w:type="dxa"/>
            <w:tcBorders>
              <w:top w:val="single" w:sz="4" w:space="0" w:color="auto"/>
              <w:left w:val="single" w:sz="4" w:space="0" w:color="auto"/>
              <w:bottom w:val="single" w:sz="4" w:space="0" w:color="auto"/>
              <w:right w:val="single" w:sz="4" w:space="0" w:color="auto"/>
            </w:tcBorders>
            <w:vAlign w:val="bottom"/>
          </w:tcPr>
          <w:p w:rsidR="00510A42" w:rsidRPr="007524B6" w:rsidRDefault="00510A42" w:rsidP="007C4628">
            <w:pPr>
              <w:pStyle w:val="TableText10pt"/>
              <w:jc w:val="center"/>
            </w:pPr>
            <w:r w:rsidRPr="007524B6">
              <w:t>3 (3.9%)</w:t>
            </w:r>
          </w:p>
        </w:tc>
        <w:tc>
          <w:tcPr>
            <w:tcW w:w="3150" w:type="dxa"/>
            <w:tcBorders>
              <w:top w:val="single" w:sz="4" w:space="0" w:color="auto"/>
              <w:left w:val="single" w:sz="4" w:space="0" w:color="auto"/>
              <w:bottom w:val="single" w:sz="4" w:space="0" w:color="auto"/>
              <w:right w:val="single" w:sz="4" w:space="0" w:color="auto"/>
            </w:tcBorders>
            <w:vAlign w:val="bottom"/>
          </w:tcPr>
          <w:p w:rsidR="00510A42" w:rsidRPr="001661F1" w:rsidRDefault="00510A42" w:rsidP="007C4628">
            <w:pPr>
              <w:pStyle w:val="TableText10pt"/>
              <w:jc w:val="center"/>
            </w:pPr>
            <w:r w:rsidRPr="001661F1">
              <w:t>1 (1.3%)</w:t>
            </w:r>
          </w:p>
        </w:tc>
      </w:tr>
      <w:tr w:rsidR="00510A42" w:rsidRPr="001661F1" w:rsidTr="007C4628">
        <w:tc>
          <w:tcPr>
            <w:tcW w:w="3108" w:type="dxa"/>
            <w:tcBorders>
              <w:top w:val="single" w:sz="4" w:space="0" w:color="auto"/>
              <w:bottom w:val="single" w:sz="4" w:space="0" w:color="auto"/>
              <w:right w:val="single" w:sz="4" w:space="0" w:color="auto"/>
            </w:tcBorders>
            <w:vAlign w:val="bottom"/>
          </w:tcPr>
          <w:p w:rsidR="00510A42" w:rsidRPr="001661F1" w:rsidRDefault="00510A42" w:rsidP="007C4628">
            <w:pPr>
              <w:pStyle w:val="TableText10pt"/>
            </w:pPr>
            <w:r w:rsidRPr="001661F1">
              <w:t>Abnormal sensation in eye</w:t>
            </w:r>
            <w:r>
              <w:t>*</w:t>
            </w:r>
          </w:p>
        </w:tc>
        <w:tc>
          <w:tcPr>
            <w:tcW w:w="2940" w:type="dxa"/>
            <w:tcBorders>
              <w:top w:val="single" w:sz="4" w:space="0" w:color="auto"/>
              <w:left w:val="single" w:sz="4" w:space="0" w:color="auto"/>
              <w:bottom w:val="single" w:sz="4" w:space="0" w:color="auto"/>
              <w:right w:val="single" w:sz="4" w:space="0" w:color="auto"/>
            </w:tcBorders>
            <w:vAlign w:val="bottom"/>
          </w:tcPr>
          <w:p w:rsidR="00510A42" w:rsidRPr="007524B6" w:rsidRDefault="00510A42" w:rsidP="007C4628">
            <w:pPr>
              <w:pStyle w:val="TableText10pt"/>
              <w:jc w:val="center"/>
            </w:pPr>
            <w:r w:rsidRPr="007524B6">
              <w:t>2 (2.6%)</w:t>
            </w:r>
          </w:p>
        </w:tc>
        <w:tc>
          <w:tcPr>
            <w:tcW w:w="3150" w:type="dxa"/>
            <w:tcBorders>
              <w:top w:val="single" w:sz="4" w:space="0" w:color="auto"/>
              <w:left w:val="single" w:sz="4" w:space="0" w:color="auto"/>
              <w:bottom w:val="single" w:sz="4" w:space="0" w:color="auto"/>
              <w:right w:val="single" w:sz="4" w:space="0" w:color="auto"/>
            </w:tcBorders>
            <w:vAlign w:val="bottom"/>
          </w:tcPr>
          <w:p w:rsidR="00510A42" w:rsidRPr="001661F1" w:rsidRDefault="00510A42" w:rsidP="007C4628">
            <w:pPr>
              <w:pStyle w:val="TableText10pt"/>
              <w:jc w:val="center"/>
            </w:pPr>
            <w:r w:rsidRPr="001661F1">
              <w:t>0 (0.0%)</w:t>
            </w:r>
          </w:p>
        </w:tc>
      </w:tr>
      <w:tr w:rsidR="00510A42" w:rsidRPr="00CD07D6" w:rsidTr="007C4628">
        <w:tc>
          <w:tcPr>
            <w:tcW w:w="3108" w:type="dxa"/>
            <w:tcBorders>
              <w:top w:val="single" w:sz="4" w:space="0" w:color="auto"/>
              <w:bottom w:val="single" w:sz="4" w:space="0" w:color="auto"/>
              <w:right w:val="single" w:sz="4" w:space="0" w:color="auto"/>
            </w:tcBorders>
            <w:vAlign w:val="bottom"/>
          </w:tcPr>
          <w:p w:rsidR="00510A42" w:rsidRPr="001661F1" w:rsidRDefault="00510A42" w:rsidP="00B119F4">
            <w:pPr>
              <w:pStyle w:val="TableText10pt"/>
            </w:pPr>
            <w:r w:rsidRPr="001661F1">
              <w:t>Eyelid pruritus</w:t>
            </w:r>
          </w:p>
        </w:tc>
        <w:tc>
          <w:tcPr>
            <w:tcW w:w="2940" w:type="dxa"/>
            <w:tcBorders>
              <w:top w:val="single" w:sz="4" w:space="0" w:color="auto"/>
              <w:left w:val="single" w:sz="4" w:space="0" w:color="auto"/>
              <w:bottom w:val="single" w:sz="4" w:space="0" w:color="auto"/>
              <w:right w:val="single" w:sz="4" w:space="0" w:color="auto"/>
            </w:tcBorders>
            <w:vAlign w:val="bottom"/>
          </w:tcPr>
          <w:p w:rsidR="00510A42" w:rsidRPr="007524B6" w:rsidRDefault="00510A42" w:rsidP="007C4628">
            <w:pPr>
              <w:pStyle w:val="TableText10pt"/>
              <w:jc w:val="center"/>
            </w:pPr>
            <w:r w:rsidRPr="007524B6">
              <w:t>2 (2.6%)</w:t>
            </w:r>
          </w:p>
        </w:tc>
        <w:tc>
          <w:tcPr>
            <w:tcW w:w="3150" w:type="dxa"/>
            <w:tcBorders>
              <w:top w:val="single" w:sz="4" w:space="0" w:color="auto"/>
              <w:left w:val="single" w:sz="4" w:space="0" w:color="auto"/>
              <w:bottom w:val="single" w:sz="4" w:space="0" w:color="auto"/>
              <w:right w:val="single" w:sz="4" w:space="0" w:color="auto"/>
            </w:tcBorders>
            <w:vAlign w:val="bottom"/>
          </w:tcPr>
          <w:p w:rsidR="00510A42" w:rsidRPr="001661F1" w:rsidRDefault="00510A42" w:rsidP="007C4628">
            <w:pPr>
              <w:pStyle w:val="TableText10pt"/>
              <w:jc w:val="center"/>
            </w:pPr>
            <w:r w:rsidRPr="001661F1">
              <w:t>0 (0.0%)</w:t>
            </w:r>
          </w:p>
        </w:tc>
      </w:tr>
      <w:tr w:rsidR="00510A42" w:rsidRPr="001661F1" w:rsidTr="007C4628">
        <w:tc>
          <w:tcPr>
            <w:tcW w:w="3108" w:type="dxa"/>
            <w:tcBorders>
              <w:top w:val="single" w:sz="4" w:space="0" w:color="auto"/>
              <w:bottom w:val="single" w:sz="4" w:space="0" w:color="auto"/>
              <w:right w:val="single" w:sz="4" w:space="0" w:color="auto"/>
            </w:tcBorders>
            <w:vAlign w:val="bottom"/>
          </w:tcPr>
          <w:p w:rsidR="00510A42" w:rsidRPr="001661F1" w:rsidRDefault="00510A42" w:rsidP="007C4628">
            <w:pPr>
              <w:pStyle w:val="TableText10pt"/>
            </w:pPr>
            <w:r>
              <w:t>Retinal detachment*</w:t>
            </w:r>
          </w:p>
        </w:tc>
        <w:tc>
          <w:tcPr>
            <w:tcW w:w="2940" w:type="dxa"/>
            <w:tcBorders>
              <w:top w:val="single" w:sz="4" w:space="0" w:color="auto"/>
              <w:left w:val="single" w:sz="4" w:space="0" w:color="auto"/>
              <w:bottom w:val="single" w:sz="4" w:space="0" w:color="auto"/>
              <w:right w:val="single" w:sz="4" w:space="0" w:color="auto"/>
            </w:tcBorders>
            <w:vAlign w:val="bottom"/>
          </w:tcPr>
          <w:p w:rsidR="00510A42" w:rsidRPr="00185D2E" w:rsidRDefault="00510A42" w:rsidP="007C4628">
            <w:pPr>
              <w:pStyle w:val="TableText10pt"/>
              <w:jc w:val="center"/>
            </w:pPr>
            <w:r>
              <w:t>2 (2.6%)</w:t>
            </w:r>
          </w:p>
        </w:tc>
        <w:tc>
          <w:tcPr>
            <w:tcW w:w="3150" w:type="dxa"/>
            <w:tcBorders>
              <w:top w:val="single" w:sz="4" w:space="0" w:color="auto"/>
              <w:left w:val="single" w:sz="4" w:space="0" w:color="auto"/>
              <w:bottom w:val="single" w:sz="4" w:space="0" w:color="auto"/>
              <w:right w:val="single" w:sz="4" w:space="0" w:color="auto"/>
            </w:tcBorders>
            <w:vAlign w:val="bottom"/>
          </w:tcPr>
          <w:p w:rsidR="00510A42" w:rsidRPr="001661F1" w:rsidRDefault="00510A42" w:rsidP="007C4628">
            <w:pPr>
              <w:pStyle w:val="TableText10pt"/>
              <w:jc w:val="center"/>
            </w:pPr>
            <w:r>
              <w:t>2 (2.7%)</w:t>
            </w:r>
          </w:p>
        </w:tc>
      </w:tr>
      <w:tr w:rsidR="00510A42" w:rsidRPr="001661F1" w:rsidTr="007C4628">
        <w:tc>
          <w:tcPr>
            <w:tcW w:w="3108" w:type="dxa"/>
            <w:tcBorders>
              <w:top w:val="single" w:sz="4" w:space="0" w:color="auto"/>
              <w:bottom w:val="single" w:sz="4" w:space="0" w:color="auto"/>
              <w:right w:val="single" w:sz="4" w:space="0" w:color="auto"/>
            </w:tcBorders>
            <w:vAlign w:val="bottom"/>
          </w:tcPr>
          <w:p w:rsidR="00510A42" w:rsidRPr="001661F1" w:rsidRDefault="00510A42" w:rsidP="007C4628">
            <w:pPr>
              <w:pStyle w:val="TableText10pt"/>
            </w:pPr>
            <w:r w:rsidRPr="001661F1">
              <w:t xml:space="preserve">Scleral </w:t>
            </w:r>
            <w:proofErr w:type="spellStart"/>
            <w:r w:rsidRPr="001661F1">
              <w:t>hyperaemia</w:t>
            </w:r>
            <w:proofErr w:type="spellEnd"/>
            <w:r>
              <w:t>*</w:t>
            </w:r>
          </w:p>
        </w:tc>
        <w:tc>
          <w:tcPr>
            <w:tcW w:w="2940" w:type="dxa"/>
            <w:tcBorders>
              <w:top w:val="single" w:sz="4" w:space="0" w:color="auto"/>
              <w:left w:val="single" w:sz="4" w:space="0" w:color="auto"/>
              <w:bottom w:val="single" w:sz="4" w:space="0" w:color="auto"/>
              <w:right w:val="single" w:sz="4" w:space="0" w:color="auto"/>
            </w:tcBorders>
            <w:vAlign w:val="bottom"/>
          </w:tcPr>
          <w:p w:rsidR="00510A42" w:rsidRPr="007524B6" w:rsidRDefault="00510A42" w:rsidP="007C4628">
            <w:pPr>
              <w:pStyle w:val="TableText10pt"/>
              <w:jc w:val="center"/>
            </w:pPr>
            <w:r w:rsidRPr="007524B6">
              <w:t>2 (2.6</w:t>
            </w:r>
            <w:r w:rsidRPr="00185D2E">
              <w:t>%)</w:t>
            </w:r>
          </w:p>
        </w:tc>
        <w:tc>
          <w:tcPr>
            <w:tcW w:w="3150" w:type="dxa"/>
            <w:tcBorders>
              <w:top w:val="single" w:sz="4" w:space="0" w:color="auto"/>
              <w:left w:val="single" w:sz="4" w:space="0" w:color="auto"/>
              <w:bottom w:val="single" w:sz="4" w:space="0" w:color="auto"/>
              <w:right w:val="single" w:sz="4" w:space="0" w:color="auto"/>
            </w:tcBorders>
            <w:vAlign w:val="bottom"/>
          </w:tcPr>
          <w:p w:rsidR="00510A42" w:rsidRPr="001661F1" w:rsidRDefault="00510A42" w:rsidP="007C4628">
            <w:pPr>
              <w:pStyle w:val="TableText10pt"/>
              <w:jc w:val="center"/>
            </w:pPr>
            <w:r w:rsidRPr="001661F1">
              <w:t>1 (1.3%)</w:t>
            </w:r>
          </w:p>
        </w:tc>
      </w:tr>
      <w:tr w:rsidR="00510A42" w:rsidRPr="001661F1" w:rsidTr="007C4628">
        <w:tc>
          <w:tcPr>
            <w:tcW w:w="3108" w:type="dxa"/>
            <w:tcBorders>
              <w:top w:val="single" w:sz="4" w:space="0" w:color="auto"/>
              <w:bottom w:val="single" w:sz="4" w:space="0" w:color="auto"/>
              <w:right w:val="single" w:sz="4" w:space="0" w:color="auto"/>
            </w:tcBorders>
            <w:vAlign w:val="bottom"/>
          </w:tcPr>
          <w:p w:rsidR="00510A42" w:rsidRPr="001661F1" w:rsidRDefault="00510A42" w:rsidP="007C4628">
            <w:pPr>
              <w:pStyle w:val="TableText10pt"/>
            </w:pPr>
            <w:r w:rsidRPr="001661F1">
              <w:t>Visual impairment</w:t>
            </w:r>
          </w:p>
        </w:tc>
        <w:tc>
          <w:tcPr>
            <w:tcW w:w="2940" w:type="dxa"/>
            <w:tcBorders>
              <w:top w:val="single" w:sz="4" w:space="0" w:color="auto"/>
              <w:left w:val="single" w:sz="4" w:space="0" w:color="auto"/>
              <w:bottom w:val="single" w:sz="4" w:space="0" w:color="auto"/>
              <w:right w:val="single" w:sz="4" w:space="0" w:color="auto"/>
            </w:tcBorders>
            <w:vAlign w:val="bottom"/>
          </w:tcPr>
          <w:p w:rsidR="00510A42" w:rsidRPr="007524B6" w:rsidRDefault="00510A42" w:rsidP="007C4628">
            <w:pPr>
              <w:pStyle w:val="TableText10pt"/>
              <w:jc w:val="center"/>
            </w:pPr>
            <w:r w:rsidRPr="007524B6">
              <w:t>2 (2.6%)</w:t>
            </w:r>
          </w:p>
        </w:tc>
        <w:tc>
          <w:tcPr>
            <w:tcW w:w="3150" w:type="dxa"/>
            <w:tcBorders>
              <w:top w:val="single" w:sz="4" w:space="0" w:color="auto"/>
              <w:left w:val="single" w:sz="4" w:space="0" w:color="auto"/>
              <w:bottom w:val="single" w:sz="4" w:space="0" w:color="auto"/>
              <w:right w:val="single" w:sz="4" w:space="0" w:color="auto"/>
            </w:tcBorders>
            <w:vAlign w:val="bottom"/>
          </w:tcPr>
          <w:p w:rsidR="00510A42" w:rsidRPr="001661F1" w:rsidRDefault="00510A42" w:rsidP="007C4628">
            <w:pPr>
              <w:pStyle w:val="TableText10pt"/>
              <w:jc w:val="center"/>
            </w:pPr>
            <w:r w:rsidRPr="001661F1">
              <w:t>1 (1.3%)</w:t>
            </w:r>
          </w:p>
        </w:tc>
      </w:tr>
      <w:tr w:rsidR="00510A42" w:rsidRPr="001661F1" w:rsidTr="007C4628">
        <w:tc>
          <w:tcPr>
            <w:tcW w:w="9198" w:type="dxa"/>
            <w:gridSpan w:val="3"/>
            <w:tcBorders>
              <w:top w:val="single" w:sz="4" w:space="0" w:color="auto"/>
              <w:bottom w:val="single" w:sz="4" w:space="0" w:color="auto"/>
              <w:right w:val="single" w:sz="4" w:space="0" w:color="auto"/>
            </w:tcBorders>
            <w:vAlign w:val="bottom"/>
          </w:tcPr>
          <w:p w:rsidR="00510A42" w:rsidRPr="001661F1" w:rsidRDefault="00510A42" w:rsidP="007C4628">
            <w:pPr>
              <w:pStyle w:val="TableHeadingsSmall"/>
              <w:jc w:val="left"/>
              <w:rPr>
                <w:i/>
                <w:szCs w:val="20"/>
              </w:rPr>
            </w:pPr>
            <w:r w:rsidRPr="001661F1">
              <w:rPr>
                <w:i/>
                <w:szCs w:val="20"/>
              </w:rPr>
              <w:t>Nervous System Disorders</w:t>
            </w:r>
          </w:p>
        </w:tc>
      </w:tr>
      <w:tr w:rsidR="00510A42" w:rsidRPr="001661F1" w:rsidTr="007C4628">
        <w:tc>
          <w:tcPr>
            <w:tcW w:w="3108" w:type="dxa"/>
            <w:tcBorders>
              <w:top w:val="single" w:sz="4" w:space="0" w:color="auto"/>
              <w:bottom w:val="single" w:sz="4" w:space="0" w:color="auto"/>
              <w:right w:val="single" w:sz="4" w:space="0" w:color="auto"/>
            </w:tcBorders>
            <w:vAlign w:val="bottom"/>
          </w:tcPr>
          <w:p w:rsidR="00510A42" w:rsidRPr="001661F1" w:rsidRDefault="00510A42" w:rsidP="007C4628">
            <w:pPr>
              <w:pStyle w:val="TableText10pt"/>
            </w:pPr>
            <w:r w:rsidRPr="001661F1">
              <w:t>Migraine</w:t>
            </w:r>
          </w:p>
        </w:tc>
        <w:tc>
          <w:tcPr>
            <w:tcW w:w="2940" w:type="dxa"/>
            <w:tcBorders>
              <w:top w:val="single" w:sz="4" w:space="0" w:color="auto"/>
              <w:left w:val="single" w:sz="4" w:space="0" w:color="auto"/>
              <w:bottom w:val="single" w:sz="4" w:space="0" w:color="auto"/>
              <w:right w:val="single" w:sz="4" w:space="0" w:color="auto"/>
            </w:tcBorders>
            <w:vAlign w:val="bottom"/>
          </w:tcPr>
          <w:p w:rsidR="00510A42" w:rsidRPr="007524B6" w:rsidRDefault="00510A42" w:rsidP="007C4628">
            <w:pPr>
              <w:pStyle w:val="TableText10pt"/>
              <w:jc w:val="center"/>
            </w:pPr>
            <w:r w:rsidRPr="007524B6">
              <w:t>2 (2.6%)</w:t>
            </w:r>
          </w:p>
        </w:tc>
        <w:tc>
          <w:tcPr>
            <w:tcW w:w="3150" w:type="dxa"/>
            <w:tcBorders>
              <w:top w:val="single" w:sz="4" w:space="0" w:color="auto"/>
              <w:left w:val="single" w:sz="4" w:space="0" w:color="auto"/>
              <w:bottom w:val="single" w:sz="4" w:space="0" w:color="auto"/>
              <w:right w:val="single" w:sz="4" w:space="0" w:color="auto"/>
            </w:tcBorders>
            <w:vAlign w:val="bottom"/>
          </w:tcPr>
          <w:p w:rsidR="00510A42" w:rsidRPr="001661F1" w:rsidRDefault="00510A42" w:rsidP="007C4628">
            <w:pPr>
              <w:pStyle w:val="TableText10pt"/>
              <w:jc w:val="center"/>
            </w:pPr>
            <w:r w:rsidRPr="001661F1">
              <w:t>0 (0.0%)</w:t>
            </w:r>
          </w:p>
        </w:tc>
      </w:tr>
    </w:tbl>
    <w:p w:rsidR="0028627D" w:rsidRPr="003727B5" w:rsidRDefault="0028627D" w:rsidP="0028627D">
      <w:pPr>
        <w:pStyle w:val="NoSpacing"/>
        <w:jc w:val="both"/>
        <w:rPr>
          <w:sz w:val="18"/>
          <w:szCs w:val="18"/>
        </w:rPr>
      </w:pPr>
      <w:r w:rsidRPr="003727B5">
        <w:rPr>
          <w:sz w:val="18"/>
          <w:szCs w:val="18"/>
        </w:rPr>
        <w:t xml:space="preserve">Note: “*” indicates adverse drug reactions considered to be related to the intravitreal injection </w:t>
      </w:r>
      <w:r w:rsidRPr="001A2E2D">
        <w:rPr>
          <w:sz w:val="18"/>
          <w:szCs w:val="18"/>
          <w:lang w:val="en-AU"/>
        </w:rPr>
        <w:t>procedure</w:t>
      </w:r>
      <w:r w:rsidRPr="003727B5">
        <w:rPr>
          <w:sz w:val="18"/>
          <w:szCs w:val="18"/>
        </w:rPr>
        <w:t xml:space="preserve">. </w:t>
      </w:r>
    </w:p>
    <w:p w:rsidR="0028627D" w:rsidRDefault="0028627D" w:rsidP="0028627D">
      <w:pPr>
        <w:rPr>
          <w:lang w:val="en-US" w:eastAsia="ja-JP"/>
        </w:rPr>
      </w:pPr>
    </w:p>
    <w:p w:rsidR="00CD07D6" w:rsidRDefault="00CD07D6" w:rsidP="00CD07D6">
      <w:pPr>
        <w:jc w:val="both"/>
      </w:pPr>
      <w:r w:rsidRPr="0004267D">
        <w:t>The proportion of OZURDEX</w:t>
      </w:r>
      <w:r w:rsidRPr="0004267D">
        <w:rPr>
          <w:vertAlign w:val="superscript"/>
        </w:rPr>
        <w:t>®</w:t>
      </w:r>
      <w:r w:rsidRPr="0004267D">
        <w:t xml:space="preserve">-treated patients with increased IOP (≥ 25 mm Hg) peaked at week 3 and returned to baseline by week 26. </w:t>
      </w:r>
      <w:r w:rsidR="009E0E63" w:rsidRPr="004B249A">
        <w:t xml:space="preserve">IOP medications in the study eye were reported for </w:t>
      </w:r>
      <w:r w:rsidR="00C959F7" w:rsidRPr="004B249A">
        <w:t>33.8</w:t>
      </w:r>
      <w:r w:rsidR="009E0E63" w:rsidRPr="004B249A">
        <w:t>% of patients in the OZURDEX</w:t>
      </w:r>
      <w:r w:rsidR="009E0E63" w:rsidRPr="004B249A">
        <w:rPr>
          <w:szCs w:val="22"/>
          <w:vertAlign w:val="superscript"/>
        </w:rPr>
        <w:t>®</w:t>
      </w:r>
      <w:r w:rsidR="009E0E63" w:rsidRPr="004B249A">
        <w:t xml:space="preserve"> group and </w:t>
      </w:r>
      <w:r w:rsidR="00C959F7" w:rsidRPr="004B249A">
        <w:t>13.2%</w:t>
      </w:r>
      <w:r w:rsidR="009E0E63" w:rsidRPr="004B249A">
        <w:t xml:space="preserve"> in the Sham group.</w:t>
      </w:r>
      <w:r w:rsidRPr="0004267D">
        <w:t xml:space="preserve"> During the treatment period, no patients required incisional surgery </w:t>
      </w:r>
      <w:r w:rsidR="001B7390" w:rsidRPr="0004267D">
        <w:t>for raised IOP</w:t>
      </w:r>
      <w:r w:rsidRPr="0004267D">
        <w:t xml:space="preserve">.  </w:t>
      </w:r>
      <w:r w:rsidR="00C959F7">
        <w:t>Two</w:t>
      </w:r>
      <w:r w:rsidRPr="0004267D">
        <w:t xml:space="preserve"> patients</w:t>
      </w:r>
      <w:r w:rsidR="00C959F7">
        <w:t xml:space="preserve"> in the </w:t>
      </w:r>
      <w:r w:rsidR="0009484B">
        <w:t>OZURDEX</w:t>
      </w:r>
      <w:r w:rsidR="0009484B" w:rsidRPr="0009484B">
        <w:rPr>
          <w:vertAlign w:val="superscript"/>
        </w:rPr>
        <w:t>®</w:t>
      </w:r>
      <w:r w:rsidR="00C959F7">
        <w:t xml:space="preserve"> treatment group </w:t>
      </w:r>
      <w:r w:rsidRPr="0004267D">
        <w:t xml:space="preserve">required laser iridotomies in the study eye for the treatment </w:t>
      </w:r>
      <w:proofErr w:type="gramStart"/>
      <w:r w:rsidRPr="0004267D">
        <w:t>of  iris</w:t>
      </w:r>
      <w:proofErr w:type="gramEnd"/>
      <w:r w:rsidRPr="0004267D">
        <w:t xml:space="preserve"> bombe, and raised IOP</w:t>
      </w:r>
      <w:r w:rsidR="00C959F7">
        <w:t xml:space="preserve"> compared to 0 patients in Sham group</w:t>
      </w:r>
      <w:r w:rsidRPr="0004267D">
        <w:t>.</w:t>
      </w:r>
      <w:r w:rsidRPr="00156737">
        <w:t xml:space="preserve"> </w:t>
      </w:r>
    </w:p>
    <w:p w:rsidR="007524B6" w:rsidRDefault="007524B6" w:rsidP="00184B19">
      <w:pPr>
        <w:jc w:val="both"/>
      </w:pPr>
    </w:p>
    <w:p w:rsidR="00F019F9" w:rsidRDefault="00F019F9" w:rsidP="00F019F9">
      <w:pPr>
        <w:pStyle w:val="Default"/>
        <w:jc w:val="both"/>
      </w:pPr>
      <w:r w:rsidRPr="003E05CC">
        <w:t>1 patient out of the</w:t>
      </w:r>
      <w:r w:rsidR="00AF2C28">
        <w:t xml:space="preserve"> </w:t>
      </w:r>
      <w:r w:rsidRPr="003E05CC">
        <w:t xml:space="preserve">62 </w:t>
      </w:r>
      <w:r w:rsidR="00493211">
        <w:t xml:space="preserve">with a </w:t>
      </w:r>
      <w:proofErr w:type="spellStart"/>
      <w:r w:rsidRPr="003E05CC">
        <w:t>phakic</w:t>
      </w:r>
      <w:proofErr w:type="spellEnd"/>
      <w:r w:rsidRPr="003E05CC">
        <w:t xml:space="preserve"> </w:t>
      </w:r>
      <w:r w:rsidR="00493211">
        <w:t>study eye</w:t>
      </w:r>
      <w:r w:rsidRPr="003E05CC">
        <w:t xml:space="preserve"> underwent cataract surgery in the study eye after a single injection of OZURDEX</w:t>
      </w:r>
      <w:r w:rsidRPr="003E05CC">
        <w:rPr>
          <w:vertAlign w:val="superscript"/>
        </w:rPr>
        <w:t>®</w:t>
      </w:r>
      <w:r w:rsidRPr="003E05CC">
        <w:t>.</w:t>
      </w:r>
      <w:r w:rsidRPr="00142CBD">
        <w:t xml:space="preserve"> </w:t>
      </w:r>
    </w:p>
    <w:p w:rsidR="00F019F9" w:rsidRDefault="00F019F9" w:rsidP="00184B19">
      <w:pPr>
        <w:jc w:val="both"/>
      </w:pPr>
    </w:p>
    <w:p w:rsidR="00EE7FF6" w:rsidRDefault="00EE7FF6" w:rsidP="00184B19">
      <w:pPr>
        <w:jc w:val="both"/>
        <w:rPr>
          <w:rFonts w:ascii="Times" w:hAnsi="Times"/>
          <w:b/>
          <w:lang w:val="en-GB"/>
        </w:rPr>
      </w:pPr>
      <w:proofErr w:type="spellStart"/>
      <w:r>
        <w:rPr>
          <w:rFonts w:ascii="Times" w:hAnsi="Times"/>
          <w:b/>
          <w:lang w:val="en-GB"/>
        </w:rPr>
        <w:t>Postmarketing</w:t>
      </w:r>
      <w:proofErr w:type="spellEnd"/>
      <w:r>
        <w:rPr>
          <w:rFonts w:ascii="Times" w:hAnsi="Times"/>
          <w:b/>
          <w:lang w:val="en-GB"/>
        </w:rPr>
        <w:t xml:space="preserve"> Experience</w:t>
      </w:r>
    </w:p>
    <w:p w:rsidR="00EE7FF6" w:rsidRDefault="00EE7FF6" w:rsidP="00EE7FF6">
      <w:pPr>
        <w:jc w:val="both"/>
      </w:pPr>
      <w:r w:rsidRPr="00A31500">
        <w:t xml:space="preserve">The following adverse reactions have been identified during </w:t>
      </w:r>
      <w:proofErr w:type="spellStart"/>
      <w:r w:rsidRPr="00A31500">
        <w:t>postmarketing</w:t>
      </w:r>
      <w:proofErr w:type="spellEnd"/>
      <w:r w:rsidRPr="00A31500">
        <w:t xml:space="preserve"> use of </w:t>
      </w:r>
      <w:r>
        <w:t>OZURDEX</w:t>
      </w:r>
      <w:r w:rsidRPr="00D10320">
        <w:rPr>
          <w:vertAlign w:val="superscript"/>
        </w:rPr>
        <w:t>®</w:t>
      </w:r>
      <w:r w:rsidRPr="00A31500">
        <w:t xml:space="preserve"> in clinica</w:t>
      </w:r>
      <w:r>
        <w:t>l practice</w:t>
      </w:r>
      <w:r w:rsidRPr="00A31500">
        <w:t xml:space="preserve">. Because </w:t>
      </w:r>
      <w:proofErr w:type="spellStart"/>
      <w:r w:rsidRPr="00A31500">
        <w:t>postmarketing</w:t>
      </w:r>
      <w:proofErr w:type="spellEnd"/>
      <w:r w:rsidRPr="00A31500">
        <w:t xml:space="preserve"> reporting of these reactions is voluntary and from a population of uncertain size, it is not always possible to reliably estimate the frequency of these reactions. The reactions have been chosen for inclusion due to a combination of the frequency of reporting and/or possible causal connection to </w:t>
      </w:r>
      <w:r>
        <w:t>OZURDEX</w:t>
      </w:r>
      <w:r w:rsidRPr="00D10320">
        <w:rPr>
          <w:vertAlign w:val="superscript"/>
        </w:rPr>
        <w:t>®</w:t>
      </w:r>
      <w:r w:rsidRPr="00A31500">
        <w:t xml:space="preserve">. </w:t>
      </w:r>
    </w:p>
    <w:p w:rsidR="00EE7FF6" w:rsidRDefault="00EE7FF6" w:rsidP="00EE7FF6">
      <w:pPr>
        <w:jc w:val="both"/>
      </w:pPr>
    </w:p>
    <w:p w:rsidR="00EE7FF6" w:rsidRPr="00EE7FF6" w:rsidRDefault="00EE7FF6" w:rsidP="00EE7FF6">
      <w:pPr>
        <w:jc w:val="both"/>
        <w:rPr>
          <w:b/>
          <w:i/>
        </w:rPr>
      </w:pPr>
      <w:r w:rsidRPr="00EE7FF6">
        <w:rPr>
          <w:b/>
          <w:i/>
        </w:rPr>
        <w:t>Eye disorders</w:t>
      </w:r>
    </w:p>
    <w:p w:rsidR="00EE7FF6" w:rsidRDefault="00EE7FF6" w:rsidP="00EE7FF6">
      <w:pPr>
        <w:jc w:val="both"/>
      </w:pPr>
      <w:r>
        <w:t>Endophthalmitis</w:t>
      </w:r>
    </w:p>
    <w:p w:rsidR="00EE7FF6" w:rsidRDefault="00EE7FF6" w:rsidP="00EE7FF6">
      <w:pPr>
        <w:jc w:val="both"/>
      </w:pPr>
      <w:r>
        <w:t>Hypotony of eye (associated with vitreous leakage due to injection)</w:t>
      </w:r>
    </w:p>
    <w:p w:rsidR="00EE7FF6" w:rsidRDefault="00EE7FF6" w:rsidP="00EE7FF6">
      <w:pPr>
        <w:jc w:val="both"/>
      </w:pPr>
      <w:r>
        <w:t xml:space="preserve">Retinal Detachment </w:t>
      </w:r>
    </w:p>
    <w:p w:rsidR="00351C52" w:rsidRDefault="00351C52" w:rsidP="00EE7FF6">
      <w:pPr>
        <w:jc w:val="both"/>
        <w:rPr>
          <w:b/>
          <w:i/>
        </w:rPr>
      </w:pPr>
    </w:p>
    <w:p w:rsidR="00EE7FF6" w:rsidRPr="00EE7FF6" w:rsidRDefault="00EE7FF6" w:rsidP="00EE7FF6">
      <w:pPr>
        <w:jc w:val="both"/>
        <w:rPr>
          <w:b/>
          <w:i/>
        </w:rPr>
      </w:pPr>
      <w:r w:rsidRPr="00EE7FF6">
        <w:rPr>
          <w:b/>
          <w:i/>
        </w:rPr>
        <w:t>General disorders and administration site conditions</w:t>
      </w:r>
    </w:p>
    <w:p w:rsidR="00EE7FF6" w:rsidRPr="00771EF5" w:rsidRDefault="00EE7FF6" w:rsidP="00EE7FF6">
      <w:pPr>
        <w:jc w:val="both"/>
      </w:pPr>
      <w:r>
        <w:t xml:space="preserve">Complication of device insertion (implant misplacement) </w:t>
      </w:r>
    </w:p>
    <w:p w:rsidR="00EE7FF6" w:rsidRDefault="00EE7FF6" w:rsidP="00EE7FF6">
      <w:pPr>
        <w:jc w:val="both"/>
        <w:rPr>
          <w:rFonts w:ascii="Times" w:hAnsi="Times"/>
          <w:b/>
          <w:lang w:val="en-GB"/>
        </w:rPr>
      </w:pPr>
      <w:r>
        <w:t xml:space="preserve">Device dislocation with or without corneal </w:t>
      </w:r>
      <w:r w:rsidR="002404F8">
        <w:t>o</w:t>
      </w:r>
      <w:r>
        <w:t>edema</w:t>
      </w:r>
    </w:p>
    <w:p w:rsidR="00EE7FF6" w:rsidRDefault="00EE7FF6" w:rsidP="00184B19">
      <w:pPr>
        <w:jc w:val="both"/>
        <w:rPr>
          <w:rFonts w:ascii="Times" w:hAnsi="Times"/>
          <w:b/>
          <w:lang w:val="en-GB"/>
        </w:rPr>
      </w:pPr>
    </w:p>
    <w:p w:rsidR="00184B19" w:rsidRDefault="00184B19" w:rsidP="00BE741B">
      <w:pPr>
        <w:pStyle w:val="Heading1"/>
      </w:pPr>
      <w:r>
        <w:t>DOSAGE AND ADMINISTRATION</w:t>
      </w:r>
    </w:p>
    <w:p w:rsidR="00A03CAA" w:rsidRDefault="00A03CAA" w:rsidP="00184B19">
      <w:pPr>
        <w:jc w:val="both"/>
      </w:pPr>
      <w:r>
        <w:t>The safety and efficacy of OZURDEX</w:t>
      </w:r>
      <w:r w:rsidRPr="004073EE">
        <w:rPr>
          <w:vertAlign w:val="superscript"/>
        </w:rPr>
        <w:t>®</w:t>
      </w:r>
      <w:r>
        <w:t xml:space="preserve"> administered to both eyes </w:t>
      </w:r>
      <w:r w:rsidR="00823C57">
        <w:t>on the same day has</w:t>
      </w:r>
      <w:r>
        <w:t xml:space="preserve"> not been studied</w:t>
      </w:r>
      <w:r w:rsidR="00823C57">
        <w:t xml:space="preserve">; and </w:t>
      </w:r>
      <w:r>
        <w:t>is not recommended.</w:t>
      </w:r>
    </w:p>
    <w:p w:rsidR="00823C57" w:rsidRDefault="00823C57" w:rsidP="00184B19">
      <w:pPr>
        <w:jc w:val="both"/>
      </w:pPr>
    </w:p>
    <w:p w:rsidR="00823C57" w:rsidRPr="00A03CAA" w:rsidRDefault="00823C57" w:rsidP="00184B19">
      <w:pPr>
        <w:jc w:val="both"/>
      </w:pPr>
      <w:r>
        <w:t>OZURDEX</w:t>
      </w:r>
      <w:r w:rsidRPr="00823C57">
        <w:rPr>
          <w:vertAlign w:val="superscript"/>
        </w:rPr>
        <w:t>®</w:t>
      </w:r>
      <w:r>
        <w:t xml:space="preserve"> must be administered by a qualified ophthalmologist, experienced in intravitreal insertions.</w:t>
      </w:r>
    </w:p>
    <w:p w:rsidR="00A03CAA" w:rsidRDefault="00A03CAA" w:rsidP="00184B19">
      <w:pPr>
        <w:jc w:val="both"/>
        <w:rPr>
          <w:lang w:val="en-GB"/>
        </w:rPr>
      </w:pPr>
    </w:p>
    <w:p w:rsidR="00184B19" w:rsidRDefault="00710C5A" w:rsidP="00184B19">
      <w:pPr>
        <w:jc w:val="both"/>
        <w:rPr>
          <w:lang w:val="en-GB"/>
        </w:rPr>
      </w:pPr>
      <w:r>
        <w:rPr>
          <w:lang w:val="en-GB"/>
        </w:rPr>
        <w:t>Treatment with OZURDEX</w:t>
      </w:r>
      <w:r w:rsidRPr="00710C5A">
        <w:rPr>
          <w:vertAlign w:val="superscript"/>
          <w:lang w:val="en-GB"/>
        </w:rPr>
        <w:t>®</w:t>
      </w:r>
      <w:r>
        <w:rPr>
          <w:lang w:val="en-GB"/>
        </w:rPr>
        <w:t xml:space="preserve"> for diabetic macular </w:t>
      </w:r>
      <w:r w:rsidR="004F12A1">
        <w:rPr>
          <w:lang w:val="en-GB"/>
        </w:rPr>
        <w:t>o</w:t>
      </w:r>
      <w:r>
        <w:rPr>
          <w:lang w:val="en-GB"/>
        </w:rPr>
        <w:t>edema</w:t>
      </w:r>
      <w:r w:rsidR="007025F8">
        <w:rPr>
          <w:lang w:val="en-GB"/>
        </w:rPr>
        <w:t>, macular oedema following BRVO or CRVO, and non-infectious uveitis affecting the posterior segment of the eye</w:t>
      </w:r>
      <w:r>
        <w:rPr>
          <w:lang w:val="en-GB"/>
        </w:rPr>
        <w:t xml:space="preserve"> is 700 µg per eye (entire contents of a single-use OZURDEX</w:t>
      </w:r>
      <w:r w:rsidRPr="00710C5A">
        <w:rPr>
          <w:vertAlign w:val="superscript"/>
          <w:lang w:val="en-GB"/>
        </w:rPr>
        <w:t>®</w:t>
      </w:r>
      <w:r>
        <w:rPr>
          <w:lang w:val="en-GB"/>
        </w:rPr>
        <w:t xml:space="preserve"> device).</w:t>
      </w:r>
    </w:p>
    <w:p w:rsidR="00710C5A" w:rsidRDefault="00710C5A" w:rsidP="00184B19">
      <w:pPr>
        <w:jc w:val="both"/>
        <w:rPr>
          <w:rFonts w:ascii="Times" w:hAnsi="Times"/>
          <w:b/>
          <w:lang w:val="en-GB"/>
        </w:rPr>
      </w:pPr>
    </w:p>
    <w:p w:rsidR="00380A83" w:rsidRDefault="00D460EC" w:rsidP="00380A83">
      <w:pPr>
        <w:pStyle w:val="NormalWeb"/>
        <w:spacing w:before="0" w:beforeAutospacing="0" w:after="0" w:afterAutospacing="0"/>
        <w:jc w:val="both"/>
        <w:rPr>
          <w:color w:val="000000"/>
        </w:rPr>
      </w:pPr>
      <w:r>
        <w:rPr>
          <w:color w:val="000000"/>
        </w:rPr>
        <w:t>If, in the physician’s opinion, visual and anatomic parameters indicate that the patient is not benefitting from continued treatment, OZURDEX</w:t>
      </w:r>
      <w:r w:rsidRPr="00D05794">
        <w:rPr>
          <w:color w:val="000000"/>
          <w:vertAlign w:val="superscript"/>
        </w:rPr>
        <w:t>®</w:t>
      </w:r>
      <w:r>
        <w:rPr>
          <w:color w:val="000000"/>
        </w:rPr>
        <w:t xml:space="preserve"> should be discontinued</w:t>
      </w:r>
      <w:r w:rsidR="00380A83" w:rsidRPr="00380A83">
        <w:rPr>
          <w:color w:val="000000"/>
        </w:rPr>
        <w:t>.</w:t>
      </w:r>
    </w:p>
    <w:p w:rsidR="00E662B1" w:rsidRDefault="00E662B1" w:rsidP="00E662B1">
      <w:pPr>
        <w:pStyle w:val="NormalWeb"/>
        <w:spacing w:before="0" w:beforeAutospacing="0" w:after="0" w:afterAutospacing="0"/>
        <w:jc w:val="both"/>
        <w:rPr>
          <w:b/>
          <w:color w:val="000000"/>
          <w:u w:val="single"/>
        </w:rPr>
      </w:pPr>
    </w:p>
    <w:p w:rsidR="00E662B1" w:rsidRPr="003878B4" w:rsidRDefault="00E662B1" w:rsidP="00E662B1">
      <w:pPr>
        <w:pStyle w:val="NormalWeb"/>
        <w:spacing w:before="0" w:beforeAutospacing="0" w:after="0" w:afterAutospacing="0"/>
        <w:jc w:val="both"/>
        <w:rPr>
          <w:b/>
          <w:color w:val="000000"/>
          <w:u w:val="single"/>
        </w:rPr>
      </w:pPr>
      <w:r w:rsidRPr="003878B4">
        <w:rPr>
          <w:b/>
          <w:color w:val="000000"/>
          <w:u w:val="single"/>
        </w:rPr>
        <w:t>DME</w:t>
      </w:r>
    </w:p>
    <w:p w:rsidR="00380A83" w:rsidRDefault="00380A83" w:rsidP="00380A83">
      <w:pPr>
        <w:pStyle w:val="NormalWeb"/>
        <w:spacing w:before="0" w:beforeAutospacing="0" w:after="0" w:afterAutospacing="0"/>
        <w:jc w:val="both"/>
        <w:rPr>
          <w:color w:val="000000"/>
          <w:lang w:val="en-GB"/>
        </w:rPr>
      </w:pPr>
      <w:r w:rsidRPr="00380A83">
        <w:rPr>
          <w:color w:val="000000"/>
          <w:lang w:val="en-GB"/>
        </w:rPr>
        <w:t xml:space="preserve">In clinical trials, the majority of retreatments were administered between 5 and 7 months after a prior treatment (see </w:t>
      </w:r>
      <w:r w:rsidRPr="00380A83">
        <w:rPr>
          <w:b/>
          <w:bCs/>
          <w:color w:val="000000"/>
          <w:lang w:val="en-GB"/>
        </w:rPr>
        <w:t>CLINICAL TRIALS</w:t>
      </w:r>
      <w:r w:rsidRPr="00380A83">
        <w:rPr>
          <w:color w:val="000000"/>
          <w:lang w:val="en-GB"/>
        </w:rPr>
        <w:t>).</w:t>
      </w:r>
      <w:r w:rsidR="0019032E">
        <w:rPr>
          <w:color w:val="000000"/>
          <w:lang w:val="en-GB"/>
        </w:rPr>
        <w:t xml:space="preserve"> Patients in the OZURDEX</w:t>
      </w:r>
      <w:r w:rsidR="0019032E" w:rsidRPr="003878B4">
        <w:rPr>
          <w:color w:val="000000"/>
          <w:vertAlign w:val="superscript"/>
          <w:lang w:val="en-GB"/>
        </w:rPr>
        <w:t>®</w:t>
      </w:r>
      <w:r w:rsidR="0019032E">
        <w:rPr>
          <w:color w:val="000000"/>
          <w:lang w:val="en-GB"/>
        </w:rPr>
        <w:t xml:space="preserve"> arm of the pivotal trials received an average of 4 implants over 3 years. The protocol in the pivotal trials specified a 6-monthly dosing interval. There is currently no experience of the efficacy and safety of repeat administrations in DME beyond 7 implants.</w:t>
      </w:r>
    </w:p>
    <w:p w:rsidR="007025F8" w:rsidRDefault="007025F8" w:rsidP="00380A83">
      <w:pPr>
        <w:pStyle w:val="NormalWeb"/>
        <w:spacing w:before="0" w:beforeAutospacing="0" w:after="0" w:afterAutospacing="0"/>
        <w:jc w:val="both"/>
        <w:rPr>
          <w:color w:val="000000"/>
          <w:lang w:val="en-GB"/>
        </w:rPr>
      </w:pPr>
    </w:p>
    <w:p w:rsidR="007025F8" w:rsidRPr="003878B4" w:rsidRDefault="007025F8" w:rsidP="00380A83">
      <w:pPr>
        <w:pStyle w:val="NormalWeb"/>
        <w:spacing w:before="0" w:beforeAutospacing="0" w:after="0" w:afterAutospacing="0"/>
        <w:jc w:val="both"/>
        <w:rPr>
          <w:b/>
          <w:color w:val="000000"/>
          <w:u w:val="single"/>
          <w:lang w:val="en-GB"/>
        </w:rPr>
      </w:pPr>
      <w:r w:rsidRPr="003878B4">
        <w:rPr>
          <w:b/>
          <w:color w:val="000000"/>
          <w:u w:val="single"/>
          <w:lang w:val="en-GB"/>
        </w:rPr>
        <w:t>RVO</w:t>
      </w:r>
      <w:r w:rsidR="00F04E0D">
        <w:rPr>
          <w:b/>
          <w:color w:val="000000"/>
          <w:u w:val="single"/>
          <w:lang w:val="en-GB"/>
        </w:rPr>
        <w:t xml:space="preserve"> and Uveitis</w:t>
      </w:r>
      <w:r w:rsidRPr="003878B4">
        <w:rPr>
          <w:b/>
          <w:color w:val="000000"/>
          <w:u w:val="single"/>
          <w:lang w:val="en-GB"/>
        </w:rPr>
        <w:t xml:space="preserve"> </w:t>
      </w:r>
    </w:p>
    <w:p w:rsidR="00F04E0D" w:rsidRDefault="00F04E0D" w:rsidP="00F04E0D">
      <w:pPr>
        <w:jc w:val="both"/>
      </w:pPr>
      <w:r>
        <w:t>OZURDEX</w:t>
      </w:r>
      <w:r w:rsidRPr="00D460EC">
        <w:rPr>
          <w:vertAlign w:val="superscript"/>
        </w:rPr>
        <w:t>®</w:t>
      </w:r>
      <w:r>
        <w:t xml:space="preserve"> should be used in BRVO or CRVO patients with reduced visual acuity only when other treatments are considered inappropriate or ineffective.</w:t>
      </w:r>
    </w:p>
    <w:p w:rsidR="000034BD" w:rsidRDefault="000034BD" w:rsidP="00F04E0D">
      <w:pPr>
        <w:pStyle w:val="NormalWeb"/>
        <w:spacing w:before="0" w:beforeAutospacing="0" w:after="0" w:afterAutospacing="0"/>
        <w:jc w:val="both"/>
        <w:rPr>
          <w:color w:val="000000"/>
          <w:lang w:val="en-GB"/>
        </w:rPr>
      </w:pPr>
    </w:p>
    <w:p w:rsidR="00F04E0D" w:rsidRDefault="00661688" w:rsidP="00F04E0D">
      <w:pPr>
        <w:pStyle w:val="NormalWeb"/>
        <w:spacing w:before="0" w:beforeAutospacing="0" w:after="0" w:afterAutospacing="0"/>
        <w:jc w:val="both"/>
        <w:rPr>
          <w:color w:val="000000"/>
          <w:lang w:val="en-GB"/>
        </w:rPr>
      </w:pPr>
      <w:r w:rsidRPr="00661688">
        <w:rPr>
          <w:color w:val="000000"/>
          <w:lang w:val="en-GB"/>
        </w:rPr>
        <w:t xml:space="preserve">Monitoring and treatment intervals should be determined by the physician and should be based on disease activity, as assessed by visual acuity and/or anatomical parameters </w:t>
      </w:r>
      <w:r w:rsidR="00F04E0D" w:rsidRPr="009E6914">
        <w:rPr>
          <w:color w:val="000000"/>
          <w:lang w:val="en-GB"/>
        </w:rPr>
        <w:t xml:space="preserve">and in </w:t>
      </w:r>
      <w:r w:rsidR="00F04E0D" w:rsidRPr="009E6914">
        <w:rPr>
          <w:color w:val="000000"/>
          <w:lang w:val="en-GB"/>
        </w:rPr>
        <w:lastRenderedPageBreak/>
        <w:t>the physician's opinion may benefit from retreatment without being exposed to significant risk.</w:t>
      </w:r>
    </w:p>
    <w:p w:rsidR="00F04E0D" w:rsidRPr="009E6914" w:rsidRDefault="00F04E0D" w:rsidP="00F04E0D">
      <w:pPr>
        <w:pStyle w:val="NormalWeb"/>
        <w:spacing w:before="0" w:beforeAutospacing="0" w:after="0" w:afterAutospacing="0"/>
        <w:jc w:val="both"/>
        <w:rPr>
          <w:color w:val="000000"/>
          <w:lang w:val="en-GB"/>
        </w:rPr>
      </w:pPr>
    </w:p>
    <w:p w:rsidR="00F04E0D" w:rsidRDefault="00F04E0D" w:rsidP="00F04E0D">
      <w:pPr>
        <w:pStyle w:val="NormalWeb"/>
        <w:spacing w:before="0" w:beforeAutospacing="0" w:after="0" w:afterAutospacing="0"/>
        <w:jc w:val="both"/>
        <w:rPr>
          <w:color w:val="000000"/>
          <w:lang w:val="en-GB"/>
        </w:rPr>
      </w:pPr>
      <w:r w:rsidRPr="009E6914">
        <w:rPr>
          <w:color w:val="000000"/>
          <w:lang w:val="en-GB"/>
        </w:rPr>
        <w:t>Patients who experience and retain improved vision should not be retreated. Patients who experience deterioration in vision, which is not slowed by OZURDEX</w:t>
      </w:r>
      <w:r w:rsidRPr="009E6914">
        <w:rPr>
          <w:color w:val="000000"/>
          <w:vertAlign w:val="superscript"/>
          <w:lang w:val="en-GB"/>
        </w:rPr>
        <w:t>®</w:t>
      </w:r>
      <w:r w:rsidRPr="009E6914">
        <w:rPr>
          <w:color w:val="000000"/>
          <w:lang w:val="en-GB"/>
        </w:rPr>
        <w:t>, should not be retreated.</w:t>
      </w:r>
    </w:p>
    <w:p w:rsidR="00795C48" w:rsidRPr="009E6914" w:rsidRDefault="00795C48" w:rsidP="00F04E0D">
      <w:pPr>
        <w:pStyle w:val="NormalWeb"/>
        <w:spacing w:before="0" w:beforeAutospacing="0" w:after="0" w:afterAutospacing="0"/>
        <w:jc w:val="both"/>
        <w:rPr>
          <w:color w:val="000000"/>
          <w:lang w:val="en-GB"/>
        </w:rPr>
      </w:pPr>
    </w:p>
    <w:p w:rsidR="00F04E0D" w:rsidRDefault="00F04E0D" w:rsidP="00F04E0D">
      <w:pPr>
        <w:pStyle w:val="NormalWeb"/>
        <w:spacing w:before="0" w:beforeAutospacing="0" w:after="0" w:afterAutospacing="0"/>
        <w:jc w:val="both"/>
        <w:rPr>
          <w:color w:val="000000"/>
          <w:lang w:val="en-GB"/>
        </w:rPr>
      </w:pPr>
      <w:r w:rsidRPr="009E6914">
        <w:rPr>
          <w:color w:val="000000"/>
          <w:lang w:val="en-GB"/>
        </w:rPr>
        <w:t>There is only very limited information on repeat dosing intervals less than 6 months. There is currently no experience of repeat administrations in posterior segment non-infectious uveitis or beyond 2 implants in R</w:t>
      </w:r>
      <w:r>
        <w:rPr>
          <w:color w:val="000000"/>
          <w:lang w:val="en-GB"/>
        </w:rPr>
        <w:t>VO</w:t>
      </w:r>
      <w:r w:rsidRPr="009E6914">
        <w:rPr>
          <w:color w:val="000000"/>
          <w:lang w:val="en-GB"/>
        </w:rPr>
        <w:t>.</w:t>
      </w:r>
    </w:p>
    <w:p w:rsidR="00F04E0D" w:rsidRPr="009E6914" w:rsidRDefault="00F04E0D" w:rsidP="00F04E0D">
      <w:pPr>
        <w:pStyle w:val="NormalWeb"/>
        <w:spacing w:before="0" w:beforeAutospacing="0" w:after="0" w:afterAutospacing="0"/>
        <w:jc w:val="both"/>
        <w:rPr>
          <w:color w:val="000000"/>
          <w:lang w:val="en-GB"/>
        </w:rPr>
      </w:pPr>
    </w:p>
    <w:p w:rsidR="00F04E0D" w:rsidRDefault="00F04E0D" w:rsidP="00F04E0D">
      <w:pPr>
        <w:pStyle w:val="NormalWeb"/>
        <w:spacing w:before="0" w:beforeAutospacing="0" w:after="0" w:afterAutospacing="0"/>
        <w:jc w:val="both"/>
        <w:rPr>
          <w:color w:val="000000"/>
          <w:lang w:val="en-GB"/>
        </w:rPr>
      </w:pPr>
      <w:r w:rsidRPr="009E6914">
        <w:rPr>
          <w:color w:val="000000"/>
          <w:lang w:val="en-GB"/>
        </w:rPr>
        <w:t>Patients should be monitored following the injection to permit early treatment if an infection or increased intraocular pressure occurs</w:t>
      </w:r>
      <w:r>
        <w:rPr>
          <w:color w:val="000000"/>
          <w:lang w:val="en-GB"/>
        </w:rPr>
        <w:t>.</w:t>
      </w:r>
    </w:p>
    <w:p w:rsidR="00F04E0D" w:rsidRDefault="00F04E0D" w:rsidP="00710C5A">
      <w:pPr>
        <w:jc w:val="both"/>
      </w:pPr>
    </w:p>
    <w:p w:rsidR="007025F8" w:rsidRPr="003878B4" w:rsidRDefault="007025F8" w:rsidP="00710C5A">
      <w:pPr>
        <w:jc w:val="both"/>
        <w:rPr>
          <w:i/>
          <w:u w:val="single"/>
        </w:rPr>
      </w:pPr>
      <w:r w:rsidRPr="003878B4">
        <w:rPr>
          <w:i/>
          <w:u w:val="single"/>
        </w:rPr>
        <w:t>Method of administration</w:t>
      </w:r>
    </w:p>
    <w:p w:rsidR="00710C5A" w:rsidRDefault="00710C5A" w:rsidP="00710C5A">
      <w:pPr>
        <w:jc w:val="both"/>
      </w:pPr>
      <w:r w:rsidRPr="0030077C">
        <w:t>The</w:t>
      </w:r>
      <w:r>
        <w:t xml:space="preserve"> intravitreal </w:t>
      </w:r>
      <w:r w:rsidRPr="0030077C">
        <w:t>injection procedure should be carried out under aseptic conditions, which include the use of surgical hand disinfection, sterile gloves, a sterile drape, and a sterile e</w:t>
      </w:r>
      <w:r>
        <w:t xml:space="preserve">yelid speculum (or equivalent).  </w:t>
      </w:r>
      <w:r w:rsidRPr="0030077C">
        <w:t>The patient’s medical history for hypersensitivity reactions should be carefully evaluated before performing the intravitreal procedure.</w:t>
      </w:r>
      <w:r>
        <w:t xml:space="preserve"> </w:t>
      </w:r>
      <w:r w:rsidRPr="0030077C">
        <w:t>The periocular skin, eyelid and ocular surface should be disinfected and adequate</w:t>
      </w:r>
      <w:r>
        <w:t xml:space="preserve"> local</w:t>
      </w:r>
      <w:r w:rsidRPr="0030077C">
        <w:t xml:space="preserve"> </w:t>
      </w:r>
      <w:r>
        <w:t>an</w:t>
      </w:r>
      <w:r w:rsidR="007764D0">
        <w:t>a</w:t>
      </w:r>
      <w:r>
        <w:t xml:space="preserve">esthesia </w:t>
      </w:r>
      <w:r w:rsidRPr="0030077C">
        <w:t>and a broad-spectrum topical microbicide should be administered before the injection. Aseptic technique should be maintained at all times before and during the injection procedure.</w:t>
      </w:r>
    </w:p>
    <w:p w:rsidR="00710C5A" w:rsidRPr="0030077C" w:rsidRDefault="00710C5A" w:rsidP="00710C5A">
      <w:pPr>
        <w:jc w:val="both"/>
      </w:pPr>
    </w:p>
    <w:p w:rsidR="00710C5A" w:rsidRDefault="00710C5A" w:rsidP="00710C5A">
      <w:pPr>
        <w:jc w:val="both"/>
      </w:pPr>
      <w:r w:rsidRPr="00060A83">
        <w:t>Remove the foil pouch from the carton and examine for damage.  Then, in a sterile field, open the foil pouch and gently place the applicator on a sterile tray.  Carefully remove the cap from the applicator. Hold the applicator in one hand and pull the safety tab straight off the</w:t>
      </w:r>
      <w:r w:rsidRPr="0030077C">
        <w:t xml:space="preserve"> applicator. Do not twist or flex the tab.</w:t>
      </w:r>
    </w:p>
    <w:p w:rsidR="00710C5A" w:rsidRPr="0030077C" w:rsidRDefault="00710C5A" w:rsidP="00710C5A">
      <w:pPr>
        <w:jc w:val="both"/>
      </w:pPr>
    </w:p>
    <w:p w:rsidR="00710C5A" w:rsidRDefault="00710C5A" w:rsidP="00710C5A">
      <w:pPr>
        <w:jc w:val="both"/>
      </w:pPr>
      <w:r w:rsidRPr="0030077C">
        <w:t>With the long axis of the applicator parallel to the limbus, enter the sclera at a shallow oblique angle with the bevel of the needle up (away from the sclera) to create a partial thickness tract 1-2 mm in length parallel to the limbus (no more than the length of the needle bevel).</w:t>
      </w:r>
      <w:r>
        <w:t xml:space="preserve"> </w:t>
      </w:r>
      <w:r w:rsidRPr="0030077C">
        <w:t xml:space="preserve">Re-direct the needle perpendicularly towards the </w:t>
      </w:r>
      <w:proofErr w:type="spellStart"/>
      <w:r w:rsidRPr="0030077C">
        <w:t>center</w:t>
      </w:r>
      <w:proofErr w:type="spellEnd"/>
      <w:r w:rsidRPr="0030077C">
        <w:t xml:space="preserve"> of the vitreous cavity; this creates a bi-planar self-sealing scleral puncture.</w:t>
      </w:r>
    </w:p>
    <w:p w:rsidR="00CF2C93" w:rsidRDefault="00CF2C93" w:rsidP="00710C5A">
      <w:pPr>
        <w:jc w:val="both"/>
      </w:pPr>
    </w:p>
    <w:p w:rsidR="00710C5A" w:rsidRDefault="00710C5A" w:rsidP="00710C5A">
      <w:pPr>
        <w:jc w:val="both"/>
      </w:pPr>
      <w:r w:rsidRPr="0030077C">
        <w:t>Advance the needle until the vitreous cavity is entered and the silicone sleeve is against the conjunctiva. Do not advance the needle past the point where the sleeve touches the conjunctiva. When re-directing into the vitreous cavity, allow for the fact that the DDS can be up to 6.5 mm long. Slowly depress the actuator button on the applicator until an audible or palpable click is noted (</w:t>
      </w:r>
      <w:r>
        <w:t>on</w:t>
      </w:r>
      <w:r w:rsidRPr="0030077C">
        <w:t xml:space="preserve"> occasion, a smaller, softer click is heard or felt while the button is only partially depressed). </w:t>
      </w:r>
    </w:p>
    <w:p w:rsidR="00710C5A" w:rsidRPr="0030077C" w:rsidRDefault="00710C5A" w:rsidP="00710C5A">
      <w:pPr>
        <w:jc w:val="both"/>
      </w:pPr>
    </w:p>
    <w:p w:rsidR="00710C5A" w:rsidRDefault="00710C5A" w:rsidP="00710C5A">
      <w:pPr>
        <w:jc w:val="both"/>
      </w:pPr>
      <w:r>
        <w:t xml:space="preserve">Before withdrawing the applicator from the eye, ensure the button is fully depressed and has locked flush with the applicator surface. The speed of the DDS injection is proportional to the speed that the button is depressed. Withdraw the needle from the eye back-tracking along the original entry path if possible. </w:t>
      </w:r>
    </w:p>
    <w:p w:rsidR="00710C5A" w:rsidRDefault="00710C5A" w:rsidP="00710C5A">
      <w:pPr>
        <w:jc w:val="both"/>
      </w:pPr>
    </w:p>
    <w:p w:rsidR="00B106A9" w:rsidRDefault="00710C5A" w:rsidP="00710C5A">
      <w:pPr>
        <w:jc w:val="both"/>
      </w:pPr>
      <w:r w:rsidRPr="00F02CAF">
        <w:t xml:space="preserve">Following the intravitreal injection, patients </w:t>
      </w:r>
      <w:r>
        <w:t>may be treated with antibiotics</w:t>
      </w:r>
      <w:r w:rsidR="00B106A9">
        <w:t>.</w:t>
      </w:r>
      <w:r>
        <w:t xml:space="preserve"> </w:t>
      </w:r>
    </w:p>
    <w:p w:rsidR="00B106A9" w:rsidRDefault="00B106A9" w:rsidP="00710C5A">
      <w:pPr>
        <w:jc w:val="both"/>
      </w:pPr>
    </w:p>
    <w:p w:rsidR="00710C5A" w:rsidRDefault="00B106A9" w:rsidP="00710C5A">
      <w:pPr>
        <w:jc w:val="both"/>
      </w:pPr>
      <w:r>
        <w:lastRenderedPageBreak/>
        <w:t>Patients</w:t>
      </w:r>
      <w:r w:rsidR="00710C5A">
        <w:t xml:space="preserve"> </w:t>
      </w:r>
      <w:r w:rsidR="00710C5A" w:rsidRPr="00F02CAF">
        <w:t>should be monitored</w:t>
      </w:r>
      <w:r w:rsidR="00710C5A">
        <w:t xml:space="preserve">. </w:t>
      </w:r>
      <w:r w:rsidR="00710C5A" w:rsidRPr="001724D9">
        <w:t xml:space="preserve">Monitoring may consist of a check for perfusion of the optic nerve head immediately after the injection, tonometry within 30 minutes following the injection, and </w:t>
      </w:r>
      <w:proofErr w:type="spellStart"/>
      <w:r w:rsidR="00710C5A" w:rsidRPr="001724D9">
        <w:t>biomicroscopy</w:t>
      </w:r>
      <w:proofErr w:type="spellEnd"/>
      <w:r w:rsidR="00710C5A" w:rsidRPr="001724D9">
        <w:t xml:space="preserve"> between </w:t>
      </w:r>
      <w:r w:rsidR="00710C5A">
        <w:t>2</w:t>
      </w:r>
      <w:r w:rsidR="00710C5A" w:rsidRPr="001724D9">
        <w:t xml:space="preserve"> and </w:t>
      </w:r>
      <w:r w:rsidR="00710C5A">
        <w:t>7</w:t>
      </w:r>
      <w:r w:rsidR="00710C5A" w:rsidRPr="001724D9">
        <w:t xml:space="preserve"> days </w:t>
      </w:r>
      <w:r w:rsidR="00710C5A" w:rsidRPr="00BC435A">
        <w:t>following the injection</w:t>
      </w:r>
      <w:r w:rsidR="00710C5A">
        <w:t>.</w:t>
      </w:r>
      <w:r w:rsidR="00710C5A" w:rsidRPr="00BC435A">
        <w:t xml:space="preserve"> </w:t>
      </w:r>
    </w:p>
    <w:p w:rsidR="00710C5A" w:rsidRPr="00BC435A" w:rsidRDefault="00710C5A" w:rsidP="00710C5A">
      <w:pPr>
        <w:jc w:val="both"/>
      </w:pPr>
    </w:p>
    <w:p w:rsidR="00710C5A" w:rsidRPr="00CA4D1D" w:rsidRDefault="00710C5A" w:rsidP="00710C5A">
      <w:pPr>
        <w:jc w:val="both"/>
      </w:pPr>
      <w:r w:rsidRPr="00CA4D1D">
        <w:t xml:space="preserve">Each applicator can only be used for the treatment of a single eye.  </w:t>
      </w:r>
      <w:r w:rsidRPr="00CA4D1D" w:rsidDel="00211CF6">
        <w:t xml:space="preserve"> </w:t>
      </w:r>
    </w:p>
    <w:p w:rsidR="00710C5A" w:rsidRDefault="00710C5A" w:rsidP="00184B19">
      <w:pPr>
        <w:jc w:val="both"/>
        <w:rPr>
          <w:rFonts w:ascii="Times" w:hAnsi="Times"/>
          <w:b/>
          <w:lang w:val="en-GB"/>
        </w:rPr>
      </w:pPr>
    </w:p>
    <w:p w:rsidR="0088143C" w:rsidRDefault="0088143C" w:rsidP="00BE741B">
      <w:pPr>
        <w:pStyle w:val="Heading1"/>
      </w:pPr>
      <w:r>
        <w:t>OVERDOSAGE</w:t>
      </w:r>
    </w:p>
    <w:p w:rsidR="001F4229" w:rsidRPr="001F4229" w:rsidRDefault="001F385F" w:rsidP="00184B19">
      <w:pPr>
        <w:jc w:val="both"/>
        <w:rPr>
          <w:rFonts w:ascii="Times" w:hAnsi="Times"/>
          <w:lang w:val="en-GB"/>
        </w:rPr>
      </w:pPr>
      <w:proofErr w:type="spellStart"/>
      <w:r>
        <w:rPr>
          <w:rFonts w:ascii="Times" w:hAnsi="Times"/>
          <w:lang w:val="en-GB"/>
        </w:rPr>
        <w:t>Overdosage</w:t>
      </w:r>
      <w:proofErr w:type="spellEnd"/>
      <w:r>
        <w:rPr>
          <w:rFonts w:ascii="Times" w:hAnsi="Times"/>
          <w:lang w:val="en-GB"/>
        </w:rPr>
        <w:t xml:space="preserve"> with OZURDEX</w:t>
      </w:r>
      <w:r w:rsidRPr="00927ECA">
        <w:rPr>
          <w:rFonts w:ascii="Times" w:hAnsi="Times"/>
          <w:vertAlign w:val="superscript"/>
          <w:lang w:val="en-GB"/>
        </w:rPr>
        <w:t>®</w:t>
      </w:r>
      <w:r>
        <w:rPr>
          <w:rFonts w:ascii="Times" w:hAnsi="Times"/>
          <w:lang w:val="en-GB"/>
        </w:rPr>
        <w:t xml:space="preserve"> has not been reported in clinical trials and would not be expected due to its method of administration</w:t>
      </w:r>
      <w:r w:rsidR="001F4229">
        <w:rPr>
          <w:rFonts w:ascii="Times" w:hAnsi="Times"/>
          <w:lang w:val="en-GB"/>
        </w:rPr>
        <w:t xml:space="preserve">. </w:t>
      </w:r>
    </w:p>
    <w:p w:rsidR="001F4229" w:rsidRDefault="001F4229" w:rsidP="00184B19">
      <w:pPr>
        <w:jc w:val="both"/>
        <w:rPr>
          <w:rFonts w:ascii="Times" w:hAnsi="Times"/>
          <w:b/>
          <w:lang w:val="en-GB"/>
        </w:rPr>
      </w:pPr>
    </w:p>
    <w:p w:rsidR="0088143C" w:rsidRDefault="005D230A" w:rsidP="00BE741B">
      <w:pPr>
        <w:pStyle w:val="Heading1"/>
      </w:pPr>
      <w:r>
        <w:t>PRESENTATION AND STORAGE CONDITIONS</w:t>
      </w:r>
    </w:p>
    <w:p w:rsidR="001F385F" w:rsidRDefault="001F385F" w:rsidP="001F385F">
      <w:pPr>
        <w:widowControl w:val="0"/>
        <w:jc w:val="both"/>
      </w:pPr>
      <w:r w:rsidRPr="008A7F94">
        <w:t xml:space="preserve">1 </w:t>
      </w:r>
      <w:r>
        <w:t>pack contains</w:t>
      </w:r>
      <w:r w:rsidRPr="008A7F94">
        <w:t>:</w:t>
      </w:r>
      <w:r>
        <w:t xml:space="preserve"> 1 sustained</w:t>
      </w:r>
      <w:r w:rsidR="00E662B1">
        <w:t>-</w:t>
      </w:r>
      <w:r>
        <w:t>release sterile implantable rod</w:t>
      </w:r>
      <w:r w:rsidR="00E662B1">
        <w:t>-</w:t>
      </w:r>
      <w:r>
        <w:t xml:space="preserve">shaped implant containing </w:t>
      </w:r>
      <w:r w:rsidRPr="004540AD">
        <w:t xml:space="preserve">700 </w:t>
      </w:r>
      <w:r>
        <w:rPr>
          <w:szCs w:val="24"/>
        </w:rPr>
        <w:t>µ</w:t>
      </w:r>
      <w:r w:rsidRPr="000038C2">
        <w:rPr>
          <w:szCs w:val="24"/>
        </w:rPr>
        <w:t>g</w:t>
      </w:r>
      <w:r>
        <w:t xml:space="preserve"> of dexamethasone, located in the needle (stainless steel) of a disposable applicator. </w:t>
      </w:r>
    </w:p>
    <w:p w:rsidR="001F385F" w:rsidRDefault="001F385F" w:rsidP="001F385F">
      <w:pPr>
        <w:widowControl w:val="0"/>
        <w:jc w:val="both"/>
      </w:pPr>
    </w:p>
    <w:p w:rsidR="001F385F" w:rsidRDefault="001F385F" w:rsidP="001F385F">
      <w:pPr>
        <w:widowControl w:val="0"/>
        <w:jc w:val="both"/>
      </w:pPr>
      <w:r>
        <w:t xml:space="preserve">The applicator containing the implant is </w:t>
      </w:r>
      <w:r w:rsidRPr="004540AD">
        <w:t>packaged in a sealed foil pouch containing desiccant</w:t>
      </w:r>
      <w:r>
        <w:t>.</w:t>
      </w:r>
    </w:p>
    <w:p w:rsidR="001F385F" w:rsidRDefault="001F385F" w:rsidP="001F385F">
      <w:pPr>
        <w:pStyle w:val="Header"/>
        <w:tabs>
          <w:tab w:val="clear" w:pos="4153"/>
          <w:tab w:val="clear" w:pos="8306"/>
        </w:tabs>
        <w:jc w:val="both"/>
        <w:rPr>
          <w:rFonts w:ascii="Times" w:hAnsi="Times"/>
          <w:lang w:val="en-GB"/>
        </w:rPr>
      </w:pPr>
    </w:p>
    <w:p w:rsidR="001F385F" w:rsidRDefault="001F385F" w:rsidP="001F385F">
      <w:pPr>
        <w:ind w:right="849"/>
        <w:jc w:val="both"/>
        <w:rPr>
          <w:rFonts w:ascii="Times" w:hAnsi="Times"/>
          <w:lang w:val="en-GB"/>
        </w:rPr>
      </w:pPr>
      <w:r>
        <w:rPr>
          <w:rFonts w:ascii="Times" w:hAnsi="Times"/>
          <w:lang w:val="en-GB"/>
        </w:rPr>
        <w:t>OZURDEX</w:t>
      </w:r>
      <w:r>
        <w:rPr>
          <w:rFonts w:ascii="Times" w:hAnsi="Times"/>
          <w:position w:val="4"/>
          <w:sz w:val="18"/>
          <w:lang w:val="en-GB"/>
        </w:rPr>
        <w:sym w:font="Symbol" w:char="F0D2"/>
      </w:r>
      <w:r>
        <w:rPr>
          <w:rFonts w:ascii="Times" w:hAnsi="Times"/>
          <w:lang w:val="en-GB"/>
        </w:rPr>
        <w:t xml:space="preserve"> has a shelf life of </w:t>
      </w:r>
      <w:r w:rsidR="003A36CC">
        <w:rPr>
          <w:rFonts w:ascii="Times" w:hAnsi="Times"/>
          <w:lang w:val="en-GB"/>
        </w:rPr>
        <w:t xml:space="preserve">24 </w:t>
      </w:r>
      <w:r w:rsidR="00230B90">
        <w:rPr>
          <w:rFonts w:ascii="Times" w:hAnsi="Times"/>
          <w:lang w:val="en-GB"/>
        </w:rPr>
        <w:t>months</w:t>
      </w:r>
      <w:r>
        <w:rPr>
          <w:rFonts w:ascii="Times" w:hAnsi="Times"/>
          <w:lang w:val="en-GB"/>
        </w:rPr>
        <w:t xml:space="preserve">. </w:t>
      </w:r>
      <w:r w:rsidRPr="00642581">
        <w:rPr>
          <w:rFonts w:ascii="Times" w:hAnsi="Times"/>
          <w:lang w:val="en-GB"/>
        </w:rPr>
        <w:t>Store below 25</w:t>
      </w:r>
      <w:r>
        <w:rPr>
          <w:rFonts w:ascii="Times" w:hAnsi="Times" w:cs="Times"/>
          <w:lang w:val="en-GB"/>
        </w:rPr>
        <w:t>ºC</w:t>
      </w:r>
      <w:r w:rsidR="00132451">
        <w:rPr>
          <w:rFonts w:ascii="Times" w:hAnsi="Times" w:cs="Times"/>
          <w:lang w:val="en-GB"/>
        </w:rPr>
        <w:t xml:space="preserve">. </w:t>
      </w:r>
      <w:r w:rsidR="009F3CD9">
        <w:rPr>
          <w:rFonts w:ascii="Times" w:hAnsi="Times" w:cs="Times"/>
          <w:lang w:val="en-GB"/>
        </w:rPr>
        <w:t xml:space="preserve">Protect </w:t>
      </w:r>
      <w:r w:rsidR="00132451">
        <w:rPr>
          <w:rFonts w:ascii="Times" w:hAnsi="Times" w:cs="Times"/>
          <w:lang w:val="en-GB"/>
        </w:rPr>
        <w:t>from excessive heat</w:t>
      </w:r>
      <w:r>
        <w:rPr>
          <w:rFonts w:ascii="Times" w:hAnsi="Times" w:cs="Times"/>
          <w:lang w:val="en-GB"/>
        </w:rPr>
        <w:t>.</w:t>
      </w:r>
    </w:p>
    <w:p w:rsidR="0088143C" w:rsidRDefault="0088143C" w:rsidP="00184B19">
      <w:pPr>
        <w:jc w:val="both"/>
        <w:rPr>
          <w:rFonts w:ascii="Times" w:hAnsi="Times"/>
          <w:lang w:val="en-GB"/>
        </w:rPr>
      </w:pPr>
    </w:p>
    <w:p w:rsidR="0088143C" w:rsidRPr="00C840E6" w:rsidRDefault="0088143C" w:rsidP="00BE741B">
      <w:pPr>
        <w:pStyle w:val="Heading1"/>
      </w:pPr>
      <w:r w:rsidRPr="00C840E6">
        <w:t>NAME AND ADDRESS</w:t>
      </w:r>
      <w:r w:rsidR="005D230A" w:rsidRPr="00C840E6">
        <w:t xml:space="preserve"> OF THE SPONSOR</w:t>
      </w:r>
    </w:p>
    <w:p w:rsidR="0088143C" w:rsidRPr="00C840E6" w:rsidRDefault="0088143C" w:rsidP="00184B19">
      <w:pPr>
        <w:ind w:right="1700"/>
        <w:jc w:val="both"/>
        <w:rPr>
          <w:szCs w:val="24"/>
          <w:lang w:val="en-GB"/>
        </w:rPr>
      </w:pPr>
      <w:r w:rsidRPr="00C840E6">
        <w:rPr>
          <w:szCs w:val="24"/>
          <w:lang w:val="en-GB"/>
        </w:rPr>
        <w:t>Allergan Australia Pty Ltd</w:t>
      </w:r>
    </w:p>
    <w:p w:rsidR="00EF1674" w:rsidRPr="00C840E6" w:rsidRDefault="00EF1674" w:rsidP="00184B19">
      <w:pPr>
        <w:ind w:right="1700"/>
        <w:jc w:val="both"/>
        <w:rPr>
          <w:szCs w:val="24"/>
          <w:lang w:val="en-GB"/>
        </w:rPr>
      </w:pPr>
      <w:r w:rsidRPr="00C840E6">
        <w:rPr>
          <w:szCs w:val="24"/>
          <w:lang w:val="en-GB"/>
        </w:rPr>
        <w:t>810 Pacific Highway</w:t>
      </w:r>
    </w:p>
    <w:p w:rsidR="0088143C" w:rsidRPr="00C840E6" w:rsidRDefault="0088143C" w:rsidP="00184B19">
      <w:pPr>
        <w:ind w:right="1700"/>
        <w:jc w:val="both"/>
        <w:rPr>
          <w:szCs w:val="24"/>
          <w:lang w:val="en-GB"/>
        </w:rPr>
      </w:pPr>
      <w:proofErr w:type="gramStart"/>
      <w:r w:rsidRPr="00C840E6">
        <w:rPr>
          <w:szCs w:val="24"/>
          <w:lang w:val="en-GB"/>
        </w:rPr>
        <w:t>Gordon  NSW</w:t>
      </w:r>
      <w:proofErr w:type="gramEnd"/>
      <w:r w:rsidRPr="00C840E6">
        <w:rPr>
          <w:szCs w:val="24"/>
          <w:lang w:val="en-GB"/>
        </w:rPr>
        <w:t xml:space="preserve">  2072</w:t>
      </w:r>
    </w:p>
    <w:p w:rsidR="00EF1674" w:rsidRPr="00C840E6" w:rsidRDefault="00EF1674" w:rsidP="00184B19">
      <w:pPr>
        <w:ind w:right="1700"/>
        <w:jc w:val="both"/>
        <w:rPr>
          <w:szCs w:val="24"/>
          <w:lang w:val="en-GB"/>
        </w:rPr>
      </w:pPr>
      <w:r w:rsidRPr="00C840E6">
        <w:rPr>
          <w:szCs w:val="24"/>
          <w:lang w:val="en-GB"/>
        </w:rPr>
        <w:t>ABN: 85 000 612 831</w:t>
      </w:r>
    </w:p>
    <w:p w:rsidR="0088143C" w:rsidRPr="00C840E6" w:rsidRDefault="0088143C" w:rsidP="00184B19">
      <w:pPr>
        <w:jc w:val="both"/>
        <w:rPr>
          <w:szCs w:val="24"/>
          <w:lang w:val="en-GB"/>
        </w:rPr>
      </w:pPr>
    </w:p>
    <w:p w:rsidR="005D230A" w:rsidRPr="00C840E6" w:rsidRDefault="001F385F" w:rsidP="00BE741B">
      <w:pPr>
        <w:pStyle w:val="Heading1"/>
      </w:pPr>
      <w:r>
        <w:t>POISON SCHEDULE OF THE MEDICINE</w:t>
      </w:r>
      <w:r w:rsidR="005D230A" w:rsidRPr="00C840E6">
        <w:t>:</w:t>
      </w:r>
      <w:r>
        <w:t xml:space="preserve"> </w:t>
      </w:r>
      <w:r w:rsidR="00470D27" w:rsidRPr="00BE741B">
        <w:rPr>
          <w:b w:val="0"/>
        </w:rPr>
        <w:t xml:space="preserve">S4 </w:t>
      </w:r>
      <w:r w:rsidRPr="00BE741B">
        <w:rPr>
          <w:b w:val="0"/>
        </w:rPr>
        <w:t>Prescription Only M</w:t>
      </w:r>
      <w:r w:rsidR="005D230A" w:rsidRPr="00BE741B">
        <w:rPr>
          <w:b w:val="0"/>
        </w:rPr>
        <w:t>edicine</w:t>
      </w:r>
    </w:p>
    <w:p w:rsidR="005D230A" w:rsidRPr="00C840E6" w:rsidRDefault="005D230A" w:rsidP="00184B19">
      <w:pPr>
        <w:jc w:val="both"/>
        <w:rPr>
          <w:b/>
          <w:szCs w:val="24"/>
          <w:lang w:val="en-GB"/>
        </w:rPr>
      </w:pPr>
    </w:p>
    <w:p w:rsidR="00FB5309" w:rsidRDefault="001F385F" w:rsidP="00BE741B">
      <w:pPr>
        <w:pStyle w:val="Heading1"/>
      </w:pPr>
      <w:r>
        <w:t>DATE OF FIRST INCLUSION IN THE ARTG</w:t>
      </w:r>
      <w:r w:rsidR="00FB5309">
        <w:t xml:space="preserve">: </w:t>
      </w:r>
      <w:r w:rsidR="00CB3DD9" w:rsidRPr="00BE741B">
        <w:rPr>
          <w:b w:val="0"/>
        </w:rPr>
        <w:t>04 June 2015</w:t>
      </w:r>
    </w:p>
    <w:p w:rsidR="00CB3DD9" w:rsidRPr="00CB3DD9" w:rsidRDefault="00CB3DD9" w:rsidP="00BE741B">
      <w:pPr>
        <w:pStyle w:val="Heading1"/>
      </w:pPr>
      <w:r w:rsidRPr="00CB3DD9">
        <w:t>DATE OF MOST RECENT AMENDMENT:</w:t>
      </w:r>
      <w:r>
        <w:t xml:space="preserve"> </w:t>
      </w:r>
      <w:r w:rsidR="005B373E" w:rsidRPr="00BE741B">
        <w:rPr>
          <w:b w:val="0"/>
        </w:rPr>
        <w:t>06 June 2017</w:t>
      </w:r>
    </w:p>
    <w:p w:rsidR="001F385F" w:rsidRDefault="001F385F" w:rsidP="00184B19">
      <w:pPr>
        <w:jc w:val="both"/>
        <w:rPr>
          <w:szCs w:val="24"/>
          <w:lang w:val="en-GB"/>
        </w:rPr>
      </w:pPr>
    </w:p>
    <w:p w:rsidR="00367FF6" w:rsidRPr="00C840E6" w:rsidRDefault="00367FF6" w:rsidP="00184B19">
      <w:pPr>
        <w:jc w:val="both"/>
        <w:rPr>
          <w:szCs w:val="24"/>
        </w:rPr>
      </w:pPr>
      <w:r w:rsidRPr="00C840E6">
        <w:rPr>
          <w:szCs w:val="24"/>
          <w:vertAlign w:val="superscript"/>
        </w:rPr>
        <w:t xml:space="preserve">® </w:t>
      </w:r>
      <w:r w:rsidRPr="00C840E6">
        <w:rPr>
          <w:szCs w:val="24"/>
        </w:rPr>
        <w:t>Registered Trademark of Allergan Inc</w:t>
      </w:r>
      <w:r w:rsidR="001F385F">
        <w:rPr>
          <w:szCs w:val="24"/>
        </w:rPr>
        <w:t>.</w:t>
      </w:r>
    </w:p>
    <w:sectPr w:rsidR="00367FF6" w:rsidRPr="00C840E6" w:rsidSect="007F266C">
      <w:headerReference w:type="default" r:id="rId17"/>
      <w:footerReference w:type="default" r:id="rId18"/>
      <w:headerReference w:type="first" r:id="rId19"/>
      <w:footnotePr>
        <w:pos w:val="beneathText"/>
      </w:footnotePr>
      <w:pgSz w:w="11907" w:h="16840" w:code="9"/>
      <w:pgMar w:top="1440" w:right="1440" w:bottom="1440" w:left="1440" w:header="567" w:footer="346" w:gutter="0"/>
      <w:pgNumType w:start="1"/>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734" w:rsidRDefault="00FD6734">
      <w:r>
        <w:separator/>
      </w:r>
    </w:p>
  </w:endnote>
  <w:endnote w:type="continuationSeparator" w:id="0">
    <w:p w:rsidR="00FD6734" w:rsidRDefault="00FD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4BD" w:rsidRPr="00114C1C" w:rsidRDefault="000034BD" w:rsidP="003961FC">
    <w:pPr>
      <w:pStyle w:val="Footer"/>
      <w:rPr>
        <w:lang w:val="en-US"/>
      </w:rPr>
    </w:pPr>
    <w:r>
      <w:rPr>
        <w:sz w:val="18"/>
      </w:rPr>
      <w:t>OZURDEX</w:t>
    </w:r>
    <w:r>
      <w:rPr>
        <w:sz w:val="18"/>
        <w:vertAlign w:val="superscript"/>
      </w:rPr>
      <w:t>®</w:t>
    </w:r>
    <w:r>
      <w:rPr>
        <w:sz w:val="18"/>
      </w:rPr>
      <w:t xml:space="preserve"> </w:t>
    </w:r>
    <w:r>
      <w:rPr>
        <w:rStyle w:val="PageNumber"/>
        <w:sz w:val="18"/>
      </w:rPr>
      <w:t xml:space="preserve">Product Information June 2017 – Version </w:t>
    </w:r>
    <w:r w:rsidR="005B373E">
      <w:rPr>
        <w:rStyle w:val="PageNumber"/>
        <w:sz w:val="18"/>
      </w:rPr>
      <w:t>4.0</w:t>
    </w:r>
    <w:r>
      <w:rPr>
        <w:rStyle w:val="PageNumber"/>
        <w:sz w:val="18"/>
      </w:rPr>
      <w:t xml:space="preserve">                     </w:t>
    </w:r>
    <w:r>
      <w:rPr>
        <w:rStyle w:val="PageNumber"/>
        <w:sz w:val="18"/>
      </w:rPr>
      <w:tab/>
      <w:t xml:space="preserve">Page </w:t>
    </w:r>
    <w:r w:rsidRPr="00190F25">
      <w:rPr>
        <w:rStyle w:val="PageNumber"/>
        <w:sz w:val="18"/>
      </w:rPr>
      <w:fldChar w:fldCharType="begin"/>
    </w:r>
    <w:r w:rsidRPr="00190F25">
      <w:rPr>
        <w:rStyle w:val="PageNumber"/>
        <w:sz w:val="18"/>
      </w:rPr>
      <w:instrText xml:space="preserve"> PAGE   \* MERGEFORMAT </w:instrText>
    </w:r>
    <w:r w:rsidRPr="00190F25">
      <w:rPr>
        <w:rStyle w:val="PageNumber"/>
        <w:sz w:val="18"/>
      </w:rPr>
      <w:fldChar w:fldCharType="separate"/>
    </w:r>
    <w:r w:rsidR="0099375B">
      <w:rPr>
        <w:rStyle w:val="PageNumber"/>
        <w:noProof/>
        <w:sz w:val="18"/>
      </w:rPr>
      <w:t>14</w:t>
    </w:r>
    <w:r w:rsidRPr="00190F25">
      <w:rPr>
        <w:rStyle w:val="PageNumber"/>
        <w:sz w:val="18"/>
      </w:rPr>
      <w:fldChar w:fldCharType="end"/>
    </w:r>
  </w:p>
  <w:p w:rsidR="000034BD" w:rsidRPr="003961FC" w:rsidRDefault="000034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734" w:rsidRDefault="00FD6734">
      <w:r>
        <w:separator/>
      </w:r>
    </w:p>
  </w:footnote>
  <w:footnote w:type="continuationSeparator" w:id="0">
    <w:p w:rsidR="00FD6734" w:rsidRDefault="00FD6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99375B" w:rsidRPr="002E7F61" w:rsidTr="00BA5A96">
      <w:trPr>
        <w:trHeight w:val="590"/>
      </w:trPr>
      <w:tc>
        <w:tcPr>
          <w:tcW w:w="8720" w:type="dxa"/>
          <w:shd w:val="clear" w:color="auto" w:fill="E4F2E0"/>
        </w:tcPr>
        <w:p w:rsidR="0099375B" w:rsidRPr="002E7F61" w:rsidRDefault="0099375B" w:rsidP="00BA5A96">
          <w:pPr>
            <w:pStyle w:val="Footer"/>
            <w:rPr>
              <w:b/>
              <w:sz w:val="18"/>
              <w:szCs w:val="18"/>
            </w:rPr>
          </w:pPr>
          <w:r w:rsidRPr="002E7F61">
            <w:rPr>
              <w:b/>
              <w:sz w:val="18"/>
              <w:szCs w:val="18"/>
            </w:rPr>
            <w:t xml:space="preserve">Attachment 1: Product information </w:t>
          </w:r>
          <w:r w:rsidRPr="00E42C37">
            <w:rPr>
              <w:b/>
              <w:sz w:val="18"/>
              <w:szCs w:val="18"/>
            </w:rPr>
            <w:t xml:space="preserve">AusPAR </w:t>
          </w:r>
          <w:proofErr w:type="spellStart"/>
          <w:r w:rsidRPr="00E42C37">
            <w:rPr>
              <w:b/>
              <w:sz w:val="18"/>
              <w:szCs w:val="18"/>
            </w:rPr>
            <w:t>Ozurdex</w:t>
          </w:r>
          <w:proofErr w:type="spellEnd"/>
          <w:r w:rsidRPr="00E42C37">
            <w:rPr>
              <w:b/>
              <w:sz w:val="18"/>
              <w:szCs w:val="18"/>
            </w:rPr>
            <w:t xml:space="preserve"> Dexamethasone Allergan Australia Pty Ltd PM-2016-00346-1-5</w:t>
          </w:r>
          <w:r>
            <w:rPr>
              <w:b/>
              <w:sz w:val="18"/>
              <w:szCs w:val="18"/>
            </w:rPr>
            <w:t xml:space="preserve"> </w:t>
          </w:r>
          <w:r w:rsidRPr="00E42C37">
            <w:rPr>
              <w:b/>
              <w:sz w:val="18"/>
              <w:szCs w:val="18"/>
            </w:rPr>
            <w:t>Final V 2.0 20 February 2019</w:t>
          </w:r>
          <w:r>
            <w:rPr>
              <w:b/>
              <w:sz w:val="18"/>
              <w:szCs w:val="18"/>
            </w:rPr>
            <w:t xml:space="preserve">. </w:t>
          </w:r>
          <w:r w:rsidRPr="00FF2AA4">
            <w:rPr>
              <w:b/>
              <w:sz w:val="18"/>
              <w:szCs w:val="18"/>
            </w:rPr>
            <w:t>This is the Product Information that was approved with the submission described in this AusPAR. It may have been superseded. For the most recent PI, please refer to the TGA website at &lt;</w:t>
          </w:r>
          <w:hyperlink r:id="rId1" w:history="1">
            <w:r w:rsidRPr="00FF2AA4">
              <w:rPr>
                <w:rStyle w:val="Hyperlink"/>
                <w:b/>
                <w:sz w:val="18"/>
                <w:szCs w:val="18"/>
              </w:rPr>
              <w:t>https://www.tga.gov.au/product-information-pi</w:t>
            </w:r>
          </w:hyperlink>
          <w:r w:rsidRPr="00FF2AA4">
            <w:rPr>
              <w:b/>
              <w:sz w:val="18"/>
              <w:szCs w:val="18"/>
              <w:u w:val="single"/>
            </w:rPr>
            <w:t>&gt;</w:t>
          </w:r>
        </w:p>
      </w:tc>
    </w:tr>
  </w:tbl>
  <w:p w:rsidR="005B373E" w:rsidRDefault="005B37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99375B" w:rsidRPr="002E7F61" w:rsidTr="00BA5A96">
      <w:trPr>
        <w:trHeight w:val="590"/>
      </w:trPr>
      <w:tc>
        <w:tcPr>
          <w:tcW w:w="8720" w:type="dxa"/>
          <w:shd w:val="clear" w:color="auto" w:fill="E4F2E0"/>
        </w:tcPr>
        <w:p w:rsidR="0099375B" w:rsidRPr="002E7F61" w:rsidRDefault="0099375B" w:rsidP="00BA5A96">
          <w:pPr>
            <w:pStyle w:val="Footer"/>
            <w:rPr>
              <w:b/>
              <w:sz w:val="18"/>
              <w:szCs w:val="18"/>
            </w:rPr>
          </w:pPr>
          <w:r w:rsidRPr="002E7F61">
            <w:rPr>
              <w:b/>
              <w:sz w:val="18"/>
              <w:szCs w:val="18"/>
            </w:rPr>
            <w:t xml:space="preserve">Attachment 1: Product information </w:t>
          </w:r>
          <w:r w:rsidRPr="00E42C37">
            <w:rPr>
              <w:b/>
              <w:sz w:val="18"/>
              <w:szCs w:val="18"/>
            </w:rPr>
            <w:t xml:space="preserve">AusPAR </w:t>
          </w:r>
          <w:proofErr w:type="spellStart"/>
          <w:r w:rsidRPr="00E42C37">
            <w:rPr>
              <w:b/>
              <w:sz w:val="18"/>
              <w:szCs w:val="18"/>
            </w:rPr>
            <w:t>Ozurdex</w:t>
          </w:r>
          <w:proofErr w:type="spellEnd"/>
          <w:r w:rsidRPr="00E42C37">
            <w:rPr>
              <w:b/>
              <w:sz w:val="18"/>
              <w:szCs w:val="18"/>
            </w:rPr>
            <w:t xml:space="preserve"> Dexamethasone Allergan Australia Pty Ltd PM-2016-00346-1-5</w:t>
          </w:r>
          <w:r>
            <w:rPr>
              <w:b/>
              <w:sz w:val="18"/>
              <w:szCs w:val="18"/>
            </w:rPr>
            <w:t xml:space="preserve"> </w:t>
          </w:r>
          <w:r w:rsidRPr="00E42C37">
            <w:rPr>
              <w:b/>
              <w:sz w:val="18"/>
              <w:szCs w:val="18"/>
            </w:rPr>
            <w:t>Final V 2.0 20 February 2019</w:t>
          </w:r>
          <w:r>
            <w:rPr>
              <w:b/>
              <w:sz w:val="18"/>
              <w:szCs w:val="18"/>
            </w:rPr>
            <w:t xml:space="preserve">. </w:t>
          </w:r>
          <w:r w:rsidRPr="00FF2AA4">
            <w:rPr>
              <w:b/>
              <w:sz w:val="18"/>
              <w:szCs w:val="18"/>
            </w:rPr>
            <w:t>This is the Product Information that was approved with the submission described in this AusPAR. It may have been superseded. For the most recent PI, please refer to the TGA website at &lt;</w:t>
          </w:r>
          <w:hyperlink r:id="rId1" w:history="1">
            <w:r w:rsidRPr="00FF2AA4">
              <w:rPr>
                <w:rStyle w:val="Hyperlink"/>
                <w:b/>
                <w:sz w:val="18"/>
                <w:szCs w:val="18"/>
              </w:rPr>
              <w:t>https://www.tga.gov.au/product-information-pi</w:t>
            </w:r>
          </w:hyperlink>
          <w:r w:rsidRPr="00FF2AA4">
            <w:rPr>
              <w:b/>
              <w:sz w:val="18"/>
              <w:szCs w:val="18"/>
              <w:u w:val="single"/>
            </w:rPr>
            <w:t>&gt;</w:t>
          </w:r>
        </w:p>
      </w:tc>
    </w:tr>
  </w:tbl>
  <w:p w:rsidR="005B373E" w:rsidRDefault="005B37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5561DC"/>
    <w:multiLevelType w:val="singleLevel"/>
    <w:tmpl w:val="AEB87EAE"/>
    <w:lvl w:ilvl="0">
      <w:start w:val="6"/>
      <w:numFmt w:val="bullet"/>
      <w:lvlText w:val="-"/>
      <w:lvlJc w:val="left"/>
      <w:pPr>
        <w:tabs>
          <w:tab w:val="num" w:pos="360"/>
        </w:tabs>
        <w:ind w:left="360" w:hanging="360"/>
      </w:pPr>
      <w:rPr>
        <w:rFonts w:ascii="Times New Roman" w:hAnsi="Times New Roman" w:hint="default"/>
      </w:rPr>
    </w:lvl>
  </w:abstractNum>
  <w:abstractNum w:abstractNumId="2">
    <w:nsid w:val="1BEA0D36"/>
    <w:multiLevelType w:val="hybridMultilevel"/>
    <w:tmpl w:val="C81C8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635683"/>
    <w:multiLevelType w:val="singleLevel"/>
    <w:tmpl w:val="6C9C2278"/>
    <w:lvl w:ilvl="0">
      <w:start w:val="1"/>
      <w:numFmt w:val="bullet"/>
      <w:lvlText w:val="-"/>
      <w:lvlJc w:val="left"/>
      <w:pPr>
        <w:tabs>
          <w:tab w:val="num" w:pos="360"/>
        </w:tabs>
        <w:ind w:left="360" w:hanging="360"/>
      </w:pPr>
      <w:rPr>
        <w:rFonts w:ascii="Times New Roman" w:hAnsi="Times New Roman" w:hint="default"/>
        <w:b/>
      </w:rPr>
    </w:lvl>
  </w:abstractNum>
  <w:abstractNum w:abstractNumId="4">
    <w:nsid w:val="2C0C0FFA"/>
    <w:multiLevelType w:val="hybridMultilevel"/>
    <w:tmpl w:val="A5D686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32536450"/>
    <w:multiLevelType w:val="hybridMultilevel"/>
    <w:tmpl w:val="4262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731EF1"/>
    <w:multiLevelType w:val="singleLevel"/>
    <w:tmpl w:val="AEB87EAE"/>
    <w:lvl w:ilvl="0">
      <w:numFmt w:val="bullet"/>
      <w:lvlText w:val="-"/>
      <w:lvlJc w:val="left"/>
      <w:pPr>
        <w:tabs>
          <w:tab w:val="num" w:pos="360"/>
        </w:tabs>
        <w:ind w:left="360" w:hanging="360"/>
      </w:pPr>
      <w:rPr>
        <w:rFonts w:ascii="Times New Roman" w:hAnsi="Times New Roman" w:hint="default"/>
      </w:rPr>
    </w:lvl>
  </w:abstractNum>
  <w:abstractNum w:abstractNumId="7">
    <w:nsid w:val="44F821A8"/>
    <w:multiLevelType w:val="singleLevel"/>
    <w:tmpl w:val="AEB87EAE"/>
    <w:lvl w:ilvl="0">
      <w:numFmt w:val="bullet"/>
      <w:lvlText w:val="-"/>
      <w:lvlJc w:val="left"/>
      <w:pPr>
        <w:tabs>
          <w:tab w:val="num" w:pos="360"/>
        </w:tabs>
        <w:ind w:left="360" w:hanging="360"/>
      </w:pPr>
      <w:rPr>
        <w:rFonts w:ascii="Times New Roman" w:hAnsi="Times New Roman" w:hint="default"/>
      </w:rPr>
    </w:lvl>
  </w:abstractNum>
  <w:abstractNum w:abstractNumId="8">
    <w:nsid w:val="4D5B657F"/>
    <w:multiLevelType w:val="hybridMultilevel"/>
    <w:tmpl w:val="C3F42122"/>
    <w:lvl w:ilvl="0" w:tplc="8BA6F5A2">
      <w:start w:val="1"/>
      <w:numFmt w:val="bullet"/>
      <w:lvlText w:val=""/>
      <w:lvlJc w:val="left"/>
      <w:pPr>
        <w:tabs>
          <w:tab w:val="num" w:pos="360"/>
        </w:tabs>
        <w:ind w:left="360" w:hanging="360"/>
      </w:pPr>
      <w:rPr>
        <w:rFonts w:ascii="Symbol"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1223944"/>
    <w:multiLevelType w:val="singleLevel"/>
    <w:tmpl w:val="AEB87EAE"/>
    <w:lvl w:ilvl="0">
      <w:numFmt w:val="bullet"/>
      <w:lvlText w:val="-"/>
      <w:lvlJc w:val="left"/>
      <w:pPr>
        <w:tabs>
          <w:tab w:val="num" w:pos="360"/>
        </w:tabs>
        <w:ind w:left="360" w:hanging="360"/>
      </w:pPr>
      <w:rPr>
        <w:rFonts w:ascii="Times New Roman" w:hAnsi="Times New Roman" w:hint="default"/>
      </w:rPr>
    </w:lvl>
  </w:abstractNum>
  <w:abstractNum w:abstractNumId="10">
    <w:nsid w:val="5231760D"/>
    <w:multiLevelType w:val="hybridMultilevel"/>
    <w:tmpl w:val="1E5E5A2A"/>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E55FD5"/>
    <w:multiLevelType w:val="multilevel"/>
    <w:tmpl w:val="5448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957DD5"/>
    <w:multiLevelType w:val="hybridMultilevel"/>
    <w:tmpl w:val="A840171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6"/>
  </w:num>
  <w:num w:numId="4">
    <w:abstractNumId w:val="7"/>
  </w:num>
  <w:num w:numId="5">
    <w:abstractNumId w:val="9"/>
  </w:num>
  <w:num w:numId="6">
    <w:abstractNumId w:val="3"/>
  </w:num>
  <w:num w:numId="7">
    <w:abstractNumId w:val="12"/>
  </w:num>
  <w:num w:numId="8">
    <w:abstractNumId w:val="11"/>
  </w:num>
  <w:num w:numId="9">
    <w:abstractNumId w:val="10"/>
  </w:num>
  <w:num w:numId="10">
    <w:abstractNumId w:val="8"/>
  </w:num>
  <w:num w:numId="11">
    <w:abstractNumId w:val="5"/>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E16"/>
    <w:rsid w:val="00001C47"/>
    <w:rsid w:val="000020C0"/>
    <w:rsid w:val="00002E80"/>
    <w:rsid w:val="000034BD"/>
    <w:rsid w:val="00005D84"/>
    <w:rsid w:val="000070AE"/>
    <w:rsid w:val="00007C52"/>
    <w:rsid w:val="000110E3"/>
    <w:rsid w:val="00012E05"/>
    <w:rsid w:val="00013CC2"/>
    <w:rsid w:val="00014B02"/>
    <w:rsid w:val="00021737"/>
    <w:rsid w:val="000239D6"/>
    <w:rsid w:val="0002441C"/>
    <w:rsid w:val="00025BD7"/>
    <w:rsid w:val="000309AF"/>
    <w:rsid w:val="00032B79"/>
    <w:rsid w:val="00034112"/>
    <w:rsid w:val="0004267D"/>
    <w:rsid w:val="000430ED"/>
    <w:rsid w:val="00044178"/>
    <w:rsid w:val="00044BE5"/>
    <w:rsid w:val="00051DD7"/>
    <w:rsid w:val="000520C7"/>
    <w:rsid w:val="00052515"/>
    <w:rsid w:val="00053A69"/>
    <w:rsid w:val="0005545C"/>
    <w:rsid w:val="00055A8C"/>
    <w:rsid w:val="00055AE7"/>
    <w:rsid w:val="00060A83"/>
    <w:rsid w:val="00064CF5"/>
    <w:rsid w:val="00070ADF"/>
    <w:rsid w:val="0007577C"/>
    <w:rsid w:val="00076638"/>
    <w:rsid w:val="000769A8"/>
    <w:rsid w:val="000840F3"/>
    <w:rsid w:val="00087111"/>
    <w:rsid w:val="00092EFE"/>
    <w:rsid w:val="000938A6"/>
    <w:rsid w:val="0009484B"/>
    <w:rsid w:val="00095583"/>
    <w:rsid w:val="00097891"/>
    <w:rsid w:val="00097BB4"/>
    <w:rsid w:val="000A0370"/>
    <w:rsid w:val="000A1021"/>
    <w:rsid w:val="000A31E3"/>
    <w:rsid w:val="000A50CF"/>
    <w:rsid w:val="000B48A7"/>
    <w:rsid w:val="000B4DBD"/>
    <w:rsid w:val="000B5C5A"/>
    <w:rsid w:val="000C19C3"/>
    <w:rsid w:val="000C283A"/>
    <w:rsid w:val="000C61AE"/>
    <w:rsid w:val="000D097A"/>
    <w:rsid w:val="000D0EE3"/>
    <w:rsid w:val="000D5E41"/>
    <w:rsid w:val="000E0F43"/>
    <w:rsid w:val="000E1C72"/>
    <w:rsid w:val="000E4727"/>
    <w:rsid w:val="000F4B96"/>
    <w:rsid w:val="000F506A"/>
    <w:rsid w:val="000F64BC"/>
    <w:rsid w:val="000F70A4"/>
    <w:rsid w:val="000F79E4"/>
    <w:rsid w:val="000F7F30"/>
    <w:rsid w:val="00101340"/>
    <w:rsid w:val="0010477D"/>
    <w:rsid w:val="00104785"/>
    <w:rsid w:val="00110630"/>
    <w:rsid w:val="00110BB7"/>
    <w:rsid w:val="0011125A"/>
    <w:rsid w:val="001113B8"/>
    <w:rsid w:val="001129C6"/>
    <w:rsid w:val="001164FD"/>
    <w:rsid w:val="00120465"/>
    <w:rsid w:val="0012393E"/>
    <w:rsid w:val="00123FD1"/>
    <w:rsid w:val="00126367"/>
    <w:rsid w:val="00127C44"/>
    <w:rsid w:val="00131DF0"/>
    <w:rsid w:val="00131EED"/>
    <w:rsid w:val="00132451"/>
    <w:rsid w:val="00134EBA"/>
    <w:rsid w:val="00136778"/>
    <w:rsid w:val="00137E66"/>
    <w:rsid w:val="00142CBD"/>
    <w:rsid w:val="00146E64"/>
    <w:rsid w:val="001516BC"/>
    <w:rsid w:val="0016455C"/>
    <w:rsid w:val="001661F1"/>
    <w:rsid w:val="00172CEB"/>
    <w:rsid w:val="00182255"/>
    <w:rsid w:val="00182773"/>
    <w:rsid w:val="0018358D"/>
    <w:rsid w:val="00184B19"/>
    <w:rsid w:val="00185081"/>
    <w:rsid w:val="00185D2E"/>
    <w:rsid w:val="001872B2"/>
    <w:rsid w:val="0019032E"/>
    <w:rsid w:val="00191076"/>
    <w:rsid w:val="0019161D"/>
    <w:rsid w:val="001A03A4"/>
    <w:rsid w:val="001A158A"/>
    <w:rsid w:val="001A2E2D"/>
    <w:rsid w:val="001A3EBB"/>
    <w:rsid w:val="001A4C12"/>
    <w:rsid w:val="001A63BB"/>
    <w:rsid w:val="001B463F"/>
    <w:rsid w:val="001B4F6A"/>
    <w:rsid w:val="001B542D"/>
    <w:rsid w:val="001B5AEF"/>
    <w:rsid w:val="001B6896"/>
    <w:rsid w:val="001B7390"/>
    <w:rsid w:val="001C7C25"/>
    <w:rsid w:val="001D0454"/>
    <w:rsid w:val="001D39FC"/>
    <w:rsid w:val="001D459B"/>
    <w:rsid w:val="001D464C"/>
    <w:rsid w:val="001D49C9"/>
    <w:rsid w:val="001D7CDC"/>
    <w:rsid w:val="001E2F72"/>
    <w:rsid w:val="001E342E"/>
    <w:rsid w:val="001E6142"/>
    <w:rsid w:val="001F1D85"/>
    <w:rsid w:val="001F385F"/>
    <w:rsid w:val="001F3C96"/>
    <w:rsid w:val="001F4229"/>
    <w:rsid w:val="0020262C"/>
    <w:rsid w:val="00204E70"/>
    <w:rsid w:val="0020649C"/>
    <w:rsid w:val="0020683E"/>
    <w:rsid w:val="00211308"/>
    <w:rsid w:val="00212A30"/>
    <w:rsid w:val="00215214"/>
    <w:rsid w:val="00216533"/>
    <w:rsid w:val="00216556"/>
    <w:rsid w:val="00216CAD"/>
    <w:rsid w:val="00220F91"/>
    <w:rsid w:val="00223AF2"/>
    <w:rsid w:val="00230B90"/>
    <w:rsid w:val="00233803"/>
    <w:rsid w:val="002404F8"/>
    <w:rsid w:val="0024213F"/>
    <w:rsid w:val="00242417"/>
    <w:rsid w:val="00242FF4"/>
    <w:rsid w:val="00246D30"/>
    <w:rsid w:val="0025043A"/>
    <w:rsid w:val="0025383B"/>
    <w:rsid w:val="00254354"/>
    <w:rsid w:val="00254442"/>
    <w:rsid w:val="00254711"/>
    <w:rsid w:val="00255F91"/>
    <w:rsid w:val="00257353"/>
    <w:rsid w:val="00264E45"/>
    <w:rsid w:val="00265ED2"/>
    <w:rsid w:val="002719F6"/>
    <w:rsid w:val="00272D71"/>
    <w:rsid w:val="00273B01"/>
    <w:rsid w:val="00274FE0"/>
    <w:rsid w:val="002808BE"/>
    <w:rsid w:val="00280921"/>
    <w:rsid w:val="0028627D"/>
    <w:rsid w:val="00293C1C"/>
    <w:rsid w:val="0029505E"/>
    <w:rsid w:val="00295714"/>
    <w:rsid w:val="002969E1"/>
    <w:rsid w:val="002A2032"/>
    <w:rsid w:val="002A35A5"/>
    <w:rsid w:val="002A3783"/>
    <w:rsid w:val="002A3A9A"/>
    <w:rsid w:val="002B0D9A"/>
    <w:rsid w:val="002B5D1A"/>
    <w:rsid w:val="002C4127"/>
    <w:rsid w:val="002C511E"/>
    <w:rsid w:val="002D334B"/>
    <w:rsid w:val="002D40AD"/>
    <w:rsid w:val="002D46EF"/>
    <w:rsid w:val="002E0858"/>
    <w:rsid w:val="002E2761"/>
    <w:rsid w:val="002E43E7"/>
    <w:rsid w:val="002F700D"/>
    <w:rsid w:val="002F7726"/>
    <w:rsid w:val="002F77A1"/>
    <w:rsid w:val="00303C53"/>
    <w:rsid w:val="00304267"/>
    <w:rsid w:val="00305B08"/>
    <w:rsid w:val="00305F02"/>
    <w:rsid w:val="00310EEA"/>
    <w:rsid w:val="003120A6"/>
    <w:rsid w:val="00315B3A"/>
    <w:rsid w:val="00321F8A"/>
    <w:rsid w:val="00323812"/>
    <w:rsid w:val="00324BB3"/>
    <w:rsid w:val="0032595A"/>
    <w:rsid w:val="00325A3D"/>
    <w:rsid w:val="00326632"/>
    <w:rsid w:val="0032671B"/>
    <w:rsid w:val="003268C6"/>
    <w:rsid w:val="00326D20"/>
    <w:rsid w:val="00331FF2"/>
    <w:rsid w:val="00333E8F"/>
    <w:rsid w:val="00334B1D"/>
    <w:rsid w:val="00334CAB"/>
    <w:rsid w:val="00337012"/>
    <w:rsid w:val="00337D2B"/>
    <w:rsid w:val="00340575"/>
    <w:rsid w:val="003413A7"/>
    <w:rsid w:val="00346B19"/>
    <w:rsid w:val="003470A0"/>
    <w:rsid w:val="003473A6"/>
    <w:rsid w:val="003503E0"/>
    <w:rsid w:val="003508D4"/>
    <w:rsid w:val="00350ABD"/>
    <w:rsid w:val="00351C52"/>
    <w:rsid w:val="00365E6C"/>
    <w:rsid w:val="00367FF6"/>
    <w:rsid w:val="003715F5"/>
    <w:rsid w:val="003724C4"/>
    <w:rsid w:val="003727B5"/>
    <w:rsid w:val="00374381"/>
    <w:rsid w:val="003743F8"/>
    <w:rsid w:val="003744E0"/>
    <w:rsid w:val="00377E78"/>
    <w:rsid w:val="00380A83"/>
    <w:rsid w:val="003831E5"/>
    <w:rsid w:val="00383651"/>
    <w:rsid w:val="003844C5"/>
    <w:rsid w:val="00384866"/>
    <w:rsid w:val="00387612"/>
    <w:rsid w:val="003878B4"/>
    <w:rsid w:val="003903F4"/>
    <w:rsid w:val="003912F2"/>
    <w:rsid w:val="00393826"/>
    <w:rsid w:val="00395392"/>
    <w:rsid w:val="003961FC"/>
    <w:rsid w:val="003A2888"/>
    <w:rsid w:val="003A36CC"/>
    <w:rsid w:val="003A4FA2"/>
    <w:rsid w:val="003A51D0"/>
    <w:rsid w:val="003A5823"/>
    <w:rsid w:val="003A6651"/>
    <w:rsid w:val="003A6CA6"/>
    <w:rsid w:val="003B1CF5"/>
    <w:rsid w:val="003B3396"/>
    <w:rsid w:val="003B3A28"/>
    <w:rsid w:val="003B50CF"/>
    <w:rsid w:val="003B6F31"/>
    <w:rsid w:val="003C5568"/>
    <w:rsid w:val="003C71E5"/>
    <w:rsid w:val="003C79F5"/>
    <w:rsid w:val="003D2BCC"/>
    <w:rsid w:val="003D3969"/>
    <w:rsid w:val="003D51E9"/>
    <w:rsid w:val="003D59BB"/>
    <w:rsid w:val="003D7812"/>
    <w:rsid w:val="003E05CC"/>
    <w:rsid w:val="003E2C9D"/>
    <w:rsid w:val="003E2E9C"/>
    <w:rsid w:val="003E55CF"/>
    <w:rsid w:val="003F306D"/>
    <w:rsid w:val="003F5B10"/>
    <w:rsid w:val="003F769D"/>
    <w:rsid w:val="00402025"/>
    <w:rsid w:val="00404A7C"/>
    <w:rsid w:val="004073EE"/>
    <w:rsid w:val="0041140C"/>
    <w:rsid w:val="0041436B"/>
    <w:rsid w:val="00414DE4"/>
    <w:rsid w:val="004159DD"/>
    <w:rsid w:val="00416FDE"/>
    <w:rsid w:val="004219FE"/>
    <w:rsid w:val="00426684"/>
    <w:rsid w:val="004369AE"/>
    <w:rsid w:val="004374F1"/>
    <w:rsid w:val="00437BBF"/>
    <w:rsid w:val="00441CB5"/>
    <w:rsid w:val="004442D7"/>
    <w:rsid w:val="0044776A"/>
    <w:rsid w:val="004479F9"/>
    <w:rsid w:val="00452305"/>
    <w:rsid w:val="004555E3"/>
    <w:rsid w:val="00456488"/>
    <w:rsid w:val="004572ED"/>
    <w:rsid w:val="0045768C"/>
    <w:rsid w:val="00461616"/>
    <w:rsid w:val="0046796C"/>
    <w:rsid w:val="00467A4F"/>
    <w:rsid w:val="00470D27"/>
    <w:rsid w:val="00472055"/>
    <w:rsid w:val="0047275A"/>
    <w:rsid w:val="0047335A"/>
    <w:rsid w:val="00476AF6"/>
    <w:rsid w:val="00482097"/>
    <w:rsid w:val="00482AC5"/>
    <w:rsid w:val="00483977"/>
    <w:rsid w:val="00484C9A"/>
    <w:rsid w:val="00484F2A"/>
    <w:rsid w:val="004913A0"/>
    <w:rsid w:val="00491DA3"/>
    <w:rsid w:val="00493211"/>
    <w:rsid w:val="004960E3"/>
    <w:rsid w:val="004B249A"/>
    <w:rsid w:val="004B3924"/>
    <w:rsid w:val="004B4658"/>
    <w:rsid w:val="004B6925"/>
    <w:rsid w:val="004C14DA"/>
    <w:rsid w:val="004C21A8"/>
    <w:rsid w:val="004C2967"/>
    <w:rsid w:val="004C4D0B"/>
    <w:rsid w:val="004C4F86"/>
    <w:rsid w:val="004C63C5"/>
    <w:rsid w:val="004C6831"/>
    <w:rsid w:val="004C7DF6"/>
    <w:rsid w:val="004D1152"/>
    <w:rsid w:val="004D3216"/>
    <w:rsid w:val="004D5009"/>
    <w:rsid w:val="004D5E0A"/>
    <w:rsid w:val="004D729E"/>
    <w:rsid w:val="004E2B14"/>
    <w:rsid w:val="004E3D62"/>
    <w:rsid w:val="004F0E29"/>
    <w:rsid w:val="004F12A1"/>
    <w:rsid w:val="004F1E41"/>
    <w:rsid w:val="004F75AB"/>
    <w:rsid w:val="00500066"/>
    <w:rsid w:val="00504EAF"/>
    <w:rsid w:val="005075EE"/>
    <w:rsid w:val="00510A42"/>
    <w:rsid w:val="005166A6"/>
    <w:rsid w:val="005200A2"/>
    <w:rsid w:val="00521F9C"/>
    <w:rsid w:val="00526713"/>
    <w:rsid w:val="00527FA4"/>
    <w:rsid w:val="00540397"/>
    <w:rsid w:val="0054462A"/>
    <w:rsid w:val="0054469D"/>
    <w:rsid w:val="00545494"/>
    <w:rsid w:val="005507E0"/>
    <w:rsid w:val="0055527E"/>
    <w:rsid w:val="005556D0"/>
    <w:rsid w:val="00560CE8"/>
    <w:rsid w:val="00562583"/>
    <w:rsid w:val="00562A31"/>
    <w:rsid w:val="00562B24"/>
    <w:rsid w:val="00562BDE"/>
    <w:rsid w:val="005639D4"/>
    <w:rsid w:val="00573A01"/>
    <w:rsid w:val="005748A1"/>
    <w:rsid w:val="00583517"/>
    <w:rsid w:val="00583ACF"/>
    <w:rsid w:val="00583E9A"/>
    <w:rsid w:val="0058586E"/>
    <w:rsid w:val="00585CD9"/>
    <w:rsid w:val="005923D4"/>
    <w:rsid w:val="00592F77"/>
    <w:rsid w:val="00594B3D"/>
    <w:rsid w:val="005A0EA3"/>
    <w:rsid w:val="005A2864"/>
    <w:rsid w:val="005B13F5"/>
    <w:rsid w:val="005B240D"/>
    <w:rsid w:val="005B3180"/>
    <w:rsid w:val="005B373E"/>
    <w:rsid w:val="005B4969"/>
    <w:rsid w:val="005B6E0A"/>
    <w:rsid w:val="005C09C7"/>
    <w:rsid w:val="005C150C"/>
    <w:rsid w:val="005C2694"/>
    <w:rsid w:val="005C6A95"/>
    <w:rsid w:val="005D09DB"/>
    <w:rsid w:val="005D230A"/>
    <w:rsid w:val="005D3192"/>
    <w:rsid w:val="005D7379"/>
    <w:rsid w:val="005E00BE"/>
    <w:rsid w:val="005E5CE4"/>
    <w:rsid w:val="005F145D"/>
    <w:rsid w:val="005F1535"/>
    <w:rsid w:val="005F58EF"/>
    <w:rsid w:val="005F5AEF"/>
    <w:rsid w:val="005F795C"/>
    <w:rsid w:val="005F7DA9"/>
    <w:rsid w:val="00603B8A"/>
    <w:rsid w:val="00605BBC"/>
    <w:rsid w:val="006072F2"/>
    <w:rsid w:val="00614274"/>
    <w:rsid w:val="00616665"/>
    <w:rsid w:val="00620437"/>
    <w:rsid w:val="00625767"/>
    <w:rsid w:val="00625C77"/>
    <w:rsid w:val="0062661D"/>
    <w:rsid w:val="00632CD7"/>
    <w:rsid w:val="00632E45"/>
    <w:rsid w:val="00633C33"/>
    <w:rsid w:val="00646E9A"/>
    <w:rsid w:val="006512FE"/>
    <w:rsid w:val="00653EC8"/>
    <w:rsid w:val="006549F5"/>
    <w:rsid w:val="006554D3"/>
    <w:rsid w:val="00661688"/>
    <w:rsid w:val="00662611"/>
    <w:rsid w:val="00665F8A"/>
    <w:rsid w:val="0066668C"/>
    <w:rsid w:val="00666D7A"/>
    <w:rsid w:val="006672F6"/>
    <w:rsid w:val="00667D10"/>
    <w:rsid w:val="00670DB9"/>
    <w:rsid w:val="0067219A"/>
    <w:rsid w:val="00675A83"/>
    <w:rsid w:val="006826B0"/>
    <w:rsid w:val="00684A2A"/>
    <w:rsid w:val="00685F54"/>
    <w:rsid w:val="006938DF"/>
    <w:rsid w:val="00693A69"/>
    <w:rsid w:val="006956CC"/>
    <w:rsid w:val="0069619E"/>
    <w:rsid w:val="006976E0"/>
    <w:rsid w:val="006A01CE"/>
    <w:rsid w:val="006A389B"/>
    <w:rsid w:val="006A4B83"/>
    <w:rsid w:val="006A4FC5"/>
    <w:rsid w:val="006A559B"/>
    <w:rsid w:val="006A5FCD"/>
    <w:rsid w:val="006A75CF"/>
    <w:rsid w:val="006B149E"/>
    <w:rsid w:val="006B5E16"/>
    <w:rsid w:val="006B676B"/>
    <w:rsid w:val="006C1E8E"/>
    <w:rsid w:val="006C75A3"/>
    <w:rsid w:val="006C7698"/>
    <w:rsid w:val="006D07C9"/>
    <w:rsid w:val="006D0CF7"/>
    <w:rsid w:val="006D5C0A"/>
    <w:rsid w:val="006E14CE"/>
    <w:rsid w:val="006E6D6F"/>
    <w:rsid w:val="006E72D6"/>
    <w:rsid w:val="006F6905"/>
    <w:rsid w:val="006F6EE1"/>
    <w:rsid w:val="006F7039"/>
    <w:rsid w:val="006F7CC5"/>
    <w:rsid w:val="00700056"/>
    <w:rsid w:val="00701E39"/>
    <w:rsid w:val="007025F8"/>
    <w:rsid w:val="00702A53"/>
    <w:rsid w:val="00702EFC"/>
    <w:rsid w:val="00710C5A"/>
    <w:rsid w:val="0071118E"/>
    <w:rsid w:val="007208FE"/>
    <w:rsid w:val="00720949"/>
    <w:rsid w:val="00720D0E"/>
    <w:rsid w:val="007215D4"/>
    <w:rsid w:val="00721621"/>
    <w:rsid w:val="00723B47"/>
    <w:rsid w:val="007251F5"/>
    <w:rsid w:val="007267E2"/>
    <w:rsid w:val="00726E82"/>
    <w:rsid w:val="00731B7C"/>
    <w:rsid w:val="0073355C"/>
    <w:rsid w:val="007349BF"/>
    <w:rsid w:val="00734E22"/>
    <w:rsid w:val="007359AE"/>
    <w:rsid w:val="00741721"/>
    <w:rsid w:val="0074333A"/>
    <w:rsid w:val="00744460"/>
    <w:rsid w:val="00747EB8"/>
    <w:rsid w:val="00750C82"/>
    <w:rsid w:val="007524B6"/>
    <w:rsid w:val="0075456D"/>
    <w:rsid w:val="00761688"/>
    <w:rsid w:val="007640B0"/>
    <w:rsid w:val="0076505E"/>
    <w:rsid w:val="007673EA"/>
    <w:rsid w:val="00767DAA"/>
    <w:rsid w:val="007712DD"/>
    <w:rsid w:val="00771CAB"/>
    <w:rsid w:val="0077228F"/>
    <w:rsid w:val="007764D0"/>
    <w:rsid w:val="00777478"/>
    <w:rsid w:val="00781E44"/>
    <w:rsid w:val="00783D87"/>
    <w:rsid w:val="00787A53"/>
    <w:rsid w:val="00791015"/>
    <w:rsid w:val="00793B18"/>
    <w:rsid w:val="00795C48"/>
    <w:rsid w:val="007A17B2"/>
    <w:rsid w:val="007A2444"/>
    <w:rsid w:val="007A3BBC"/>
    <w:rsid w:val="007A5574"/>
    <w:rsid w:val="007A6053"/>
    <w:rsid w:val="007A7F26"/>
    <w:rsid w:val="007B3174"/>
    <w:rsid w:val="007B4757"/>
    <w:rsid w:val="007B4E46"/>
    <w:rsid w:val="007C1809"/>
    <w:rsid w:val="007C4628"/>
    <w:rsid w:val="007C5BFF"/>
    <w:rsid w:val="007C76CC"/>
    <w:rsid w:val="007D3AB8"/>
    <w:rsid w:val="007D6234"/>
    <w:rsid w:val="007D7FE2"/>
    <w:rsid w:val="007F0C54"/>
    <w:rsid w:val="007F0FCA"/>
    <w:rsid w:val="007F266C"/>
    <w:rsid w:val="007F2F5C"/>
    <w:rsid w:val="007F38E5"/>
    <w:rsid w:val="007F396D"/>
    <w:rsid w:val="00802924"/>
    <w:rsid w:val="00804520"/>
    <w:rsid w:val="00810AF2"/>
    <w:rsid w:val="008115F2"/>
    <w:rsid w:val="0081217E"/>
    <w:rsid w:val="0081259D"/>
    <w:rsid w:val="00820084"/>
    <w:rsid w:val="00820432"/>
    <w:rsid w:val="00820527"/>
    <w:rsid w:val="008205A6"/>
    <w:rsid w:val="00823C57"/>
    <w:rsid w:val="008269D8"/>
    <w:rsid w:val="0083373C"/>
    <w:rsid w:val="00835005"/>
    <w:rsid w:val="00835AC5"/>
    <w:rsid w:val="00835B5B"/>
    <w:rsid w:val="00836209"/>
    <w:rsid w:val="00840E61"/>
    <w:rsid w:val="00841E1C"/>
    <w:rsid w:val="00843810"/>
    <w:rsid w:val="00843BD3"/>
    <w:rsid w:val="00844305"/>
    <w:rsid w:val="008445CB"/>
    <w:rsid w:val="00845397"/>
    <w:rsid w:val="00845A7F"/>
    <w:rsid w:val="008478B4"/>
    <w:rsid w:val="0085068C"/>
    <w:rsid w:val="008566C8"/>
    <w:rsid w:val="00856823"/>
    <w:rsid w:val="00857E75"/>
    <w:rsid w:val="008632FE"/>
    <w:rsid w:val="00863F39"/>
    <w:rsid w:val="00865F4A"/>
    <w:rsid w:val="00866ED8"/>
    <w:rsid w:val="00867370"/>
    <w:rsid w:val="00867E57"/>
    <w:rsid w:val="0087050E"/>
    <w:rsid w:val="0087064F"/>
    <w:rsid w:val="0087123D"/>
    <w:rsid w:val="0088143C"/>
    <w:rsid w:val="00881DAE"/>
    <w:rsid w:val="008820CA"/>
    <w:rsid w:val="00882856"/>
    <w:rsid w:val="00886A40"/>
    <w:rsid w:val="00890ADD"/>
    <w:rsid w:val="00890E6C"/>
    <w:rsid w:val="00895B08"/>
    <w:rsid w:val="008962B6"/>
    <w:rsid w:val="00896D31"/>
    <w:rsid w:val="008A3810"/>
    <w:rsid w:val="008A5FC9"/>
    <w:rsid w:val="008B3BCC"/>
    <w:rsid w:val="008B410C"/>
    <w:rsid w:val="008B45F1"/>
    <w:rsid w:val="008B6EA3"/>
    <w:rsid w:val="008C06FA"/>
    <w:rsid w:val="008C322F"/>
    <w:rsid w:val="008C4208"/>
    <w:rsid w:val="008C5371"/>
    <w:rsid w:val="008C5D94"/>
    <w:rsid w:val="008D08AC"/>
    <w:rsid w:val="008D0FDD"/>
    <w:rsid w:val="008D1722"/>
    <w:rsid w:val="008D72B1"/>
    <w:rsid w:val="008D7D59"/>
    <w:rsid w:val="008E147E"/>
    <w:rsid w:val="008E1733"/>
    <w:rsid w:val="008E41F0"/>
    <w:rsid w:val="008E57F0"/>
    <w:rsid w:val="008E5DF4"/>
    <w:rsid w:val="008E63DD"/>
    <w:rsid w:val="008E7C63"/>
    <w:rsid w:val="008E7FAA"/>
    <w:rsid w:val="008F32FF"/>
    <w:rsid w:val="008F4AF3"/>
    <w:rsid w:val="009010F1"/>
    <w:rsid w:val="00904E8B"/>
    <w:rsid w:val="00906C5A"/>
    <w:rsid w:val="00906EDF"/>
    <w:rsid w:val="00910444"/>
    <w:rsid w:val="00927ECA"/>
    <w:rsid w:val="009306CE"/>
    <w:rsid w:val="009328BD"/>
    <w:rsid w:val="00934378"/>
    <w:rsid w:val="0093495D"/>
    <w:rsid w:val="00937B3F"/>
    <w:rsid w:val="00947BA5"/>
    <w:rsid w:val="00950A2D"/>
    <w:rsid w:val="00950CF5"/>
    <w:rsid w:val="0095337D"/>
    <w:rsid w:val="00955760"/>
    <w:rsid w:val="009558D4"/>
    <w:rsid w:val="00960033"/>
    <w:rsid w:val="009679C2"/>
    <w:rsid w:val="009729DB"/>
    <w:rsid w:val="00975F8B"/>
    <w:rsid w:val="00977283"/>
    <w:rsid w:val="0098059E"/>
    <w:rsid w:val="00980F0B"/>
    <w:rsid w:val="00980F88"/>
    <w:rsid w:val="00984BC3"/>
    <w:rsid w:val="00985F8B"/>
    <w:rsid w:val="0098698D"/>
    <w:rsid w:val="0099158C"/>
    <w:rsid w:val="009917A7"/>
    <w:rsid w:val="0099375B"/>
    <w:rsid w:val="00994689"/>
    <w:rsid w:val="0099525E"/>
    <w:rsid w:val="009A13CA"/>
    <w:rsid w:val="009A2573"/>
    <w:rsid w:val="009A5BF1"/>
    <w:rsid w:val="009A6258"/>
    <w:rsid w:val="009A7460"/>
    <w:rsid w:val="009B21B7"/>
    <w:rsid w:val="009B23B1"/>
    <w:rsid w:val="009B2B5B"/>
    <w:rsid w:val="009B2E9E"/>
    <w:rsid w:val="009B367A"/>
    <w:rsid w:val="009B5317"/>
    <w:rsid w:val="009C05FB"/>
    <w:rsid w:val="009C5E90"/>
    <w:rsid w:val="009D2203"/>
    <w:rsid w:val="009D2F22"/>
    <w:rsid w:val="009D5A10"/>
    <w:rsid w:val="009D5EC2"/>
    <w:rsid w:val="009D7470"/>
    <w:rsid w:val="009E0E63"/>
    <w:rsid w:val="009E227B"/>
    <w:rsid w:val="009E4FFF"/>
    <w:rsid w:val="009E5245"/>
    <w:rsid w:val="009E70B1"/>
    <w:rsid w:val="009F3CD9"/>
    <w:rsid w:val="009F5774"/>
    <w:rsid w:val="00A02C2D"/>
    <w:rsid w:val="00A03885"/>
    <w:rsid w:val="00A03CAA"/>
    <w:rsid w:val="00A11540"/>
    <w:rsid w:val="00A14B62"/>
    <w:rsid w:val="00A14DFA"/>
    <w:rsid w:val="00A15022"/>
    <w:rsid w:val="00A157FE"/>
    <w:rsid w:val="00A165E6"/>
    <w:rsid w:val="00A21259"/>
    <w:rsid w:val="00A43535"/>
    <w:rsid w:val="00A4436A"/>
    <w:rsid w:val="00A51744"/>
    <w:rsid w:val="00A54318"/>
    <w:rsid w:val="00A56323"/>
    <w:rsid w:val="00A575AD"/>
    <w:rsid w:val="00A5768A"/>
    <w:rsid w:val="00A7029A"/>
    <w:rsid w:val="00A73818"/>
    <w:rsid w:val="00A80E0D"/>
    <w:rsid w:val="00A84381"/>
    <w:rsid w:val="00A84C28"/>
    <w:rsid w:val="00A85D8D"/>
    <w:rsid w:val="00A8775B"/>
    <w:rsid w:val="00A90050"/>
    <w:rsid w:val="00A92186"/>
    <w:rsid w:val="00A96097"/>
    <w:rsid w:val="00AA2DA4"/>
    <w:rsid w:val="00AA55E4"/>
    <w:rsid w:val="00AA5CF4"/>
    <w:rsid w:val="00AA5F96"/>
    <w:rsid w:val="00AB2339"/>
    <w:rsid w:val="00AB733C"/>
    <w:rsid w:val="00AB7374"/>
    <w:rsid w:val="00AC3866"/>
    <w:rsid w:val="00AC4AC5"/>
    <w:rsid w:val="00AC675D"/>
    <w:rsid w:val="00AD091D"/>
    <w:rsid w:val="00AD56C9"/>
    <w:rsid w:val="00AD673E"/>
    <w:rsid w:val="00AD71BC"/>
    <w:rsid w:val="00AE08C0"/>
    <w:rsid w:val="00AE3ACB"/>
    <w:rsid w:val="00AE4031"/>
    <w:rsid w:val="00AE63DA"/>
    <w:rsid w:val="00AF17D4"/>
    <w:rsid w:val="00AF1C5D"/>
    <w:rsid w:val="00AF2915"/>
    <w:rsid w:val="00AF2C28"/>
    <w:rsid w:val="00AF2D0C"/>
    <w:rsid w:val="00AF45DD"/>
    <w:rsid w:val="00B018FD"/>
    <w:rsid w:val="00B042AC"/>
    <w:rsid w:val="00B07D1B"/>
    <w:rsid w:val="00B106A9"/>
    <w:rsid w:val="00B119F4"/>
    <w:rsid w:val="00B131C1"/>
    <w:rsid w:val="00B15C57"/>
    <w:rsid w:val="00B16E4A"/>
    <w:rsid w:val="00B21BF9"/>
    <w:rsid w:val="00B25BC5"/>
    <w:rsid w:val="00B3095A"/>
    <w:rsid w:val="00B353FF"/>
    <w:rsid w:val="00B370AF"/>
    <w:rsid w:val="00B370DD"/>
    <w:rsid w:val="00B421EA"/>
    <w:rsid w:val="00B4231C"/>
    <w:rsid w:val="00B436A3"/>
    <w:rsid w:val="00B45769"/>
    <w:rsid w:val="00B50E7A"/>
    <w:rsid w:val="00B52583"/>
    <w:rsid w:val="00B579F9"/>
    <w:rsid w:val="00B60075"/>
    <w:rsid w:val="00B60E26"/>
    <w:rsid w:val="00B630F7"/>
    <w:rsid w:val="00B631A6"/>
    <w:rsid w:val="00B64207"/>
    <w:rsid w:val="00B65E2B"/>
    <w:rsid w:val="00B74962"/>
    <w:rsid w:val="00B84C04"/>
    <w:rsid w:val="00B87CB6"/>
    <w:rsid w:val="00B952DA"/>
    <w:rsid w:val="00B9641F"/>
    <w:rsid w:val="00BA0FB3"/>
    <w:rsid w:val="00BA194D"/>
    <w:rsid w:val="00BA2E15"/>
    <w:rsid w:val="00BA362C"/>
    <w:rsid w:val="00BA647B"/>
    <w:rsid w:val="00BB0286"/>
    <w:rsid w:val="00BB17FB"/>
    <w:rsid w:val="00BB2B33"/>
    <w:rsid w:val="00BB409A"/>
    <w:rsid w:val="00BB5E70"/>
    <w:rsid w:val="00BB6E96"/>
    <w:rsid w:val="00BB70F5"/>
    <w:rsid w:val="00BC1233"/>
    <w:rsid w:val="00BD33FF"/>
    <w:rsid w:val="00BD72EB"/>
    <w:rsid w:val="00BE043D"/>
    <w:rsid w:val="00BE2467"/>
    <w:rsid w:val="00BE55B6"/>
    <w:rsid w:val="00BE6E6C"/>
    <w:rsid w:val="00BE71EE"/>
    <w:rsid w:val="00BE741B"/>
    <w:rsid w:val="00BF5553"/>
    <w:rsid w:val="00BF766A"/>
    <w:rsid w:val="00C060C6"/>
    <w:rsid w:val="00C06C03"/>
    <w:rsid w:val="00C11A65"/>
    <w:rsid w:val="00C157B8"/>
    <w:rsid w:val="00C1748B"/>
    <w:rsid w:val="00C23124"/>
    <w:rsid w:val="00C23A42"/>
    <w:rsid w:val="00C2706A"/>
    <w:rsid w:val="00C3089C"/>
    <w:rsid w:val="00C3228D"/>
    <w:rsid w:val="00C33C98"/>
    <w:rsid w:val="00C33F61"/>
    <w:rsid w:val="00C341D3"/>
    <w:rsid w:val="00C34EF2"/>
    <w:rsid w:val="00C37719"/>
    <w:rsid w:val="00C40E59"/>
    <w:rsid w:val="00C40F69"/>
    <w:rsid w:val="00C50B76"/>
    <w:rsid w:val="00C54003"/>
    <w:rsid w:val="00C55F08"/>
    <w:rsid w:val="00C575C7"/>
    <w:rsid w:val="00C62B4C"/>
    <w:rsid w:val="00C64F33"/>
    <w:rsid w:val="00C657EA"/>
    <w:rsid w:val="00C669EA"/>
    <w:rsid w:val="00C66A4B"/>
    <w:rsid w:val="00C67839"/>
    <w:rsid w:val="00C70C5F"/>
    <w:rsid w:val="00C70EB1"/>
    <w:rsid w:val="00C74BA1"/>
    <w:rsid w:val="00C75ED9"/>
    <w:rsid w:val="00C76F96"/>
    <w:rsid w:val="00C81388"/>
    <w:rsid w:val="00C81BFF"/>
    <w:rsid w:val="00C83500"/>
    <w:rsid w:val="00C840E6"/>
    <w:rsid w:val="00C87271"/>
    <w:rsid w:val="00C93BCC"/>
    <w:rsid w:val="00C959F7"/>
    <w:rsid w:val="00C9706F"/>
    <w:rsid w:val="00C9774C"/>
    <w:rsid w:val="00CA0838"/>
    <w:rsid w:val="00CA1F0D"/>
    <w:rsid w:val="00CB23BD"/>
    <w:rsid w:val="00CB3DD9"/>
    <w:rsid w:val="00CB54B3"/>
    <w:rsid w:val="00CB69D2"/>
    <w:rsid w:val="00CC035A"/>
    <w:rsid w:val="00CC04B3"/>
    <w:rsid w:val="00CD07D6"/>
    <w:rsid w:val="00CD111A"/>
    <w:rsid w:val="00CE3543"/>
    <w:rsid w:val="00CE4470"/>
    <w:rsid w:val="00CE4F67"/>
    <w:rsid w:val="00CF141B"/>
    <w:rsid w:val="00CF1A3F"/>
    <w:rsid w:val="00CF2107"/>
    <w:rsid w:val="00CF2C93"/>
    <w:rsid w:val="00D016B3"/>
    <w:rsid w:val="00D04A3F"/>
    <w:rsid w:val="00D052D2"/>
    <w:rsid w:val="00D05794"/>
    <w:rsid w:val="00D05B9E"/>
    <w:rsid w:val="00D078CD"/>
    <w:rsid w:val="00D11B46"/>
    <w:rsid w:val="00D13D96"/>
    <w:rsid w:val="00D21471"/>
    <w:rsid w:val="00D23CDC"/>
    <w:rsid w:val="00D26DA8"/>
    <w:rsid w:val="00D273C2"/>
    <w:rsid w:val="00D301F4"/>
    <w:rsid w:val="00D30F7D"/>
    <w:rsid w:val="00D32D37"/>
    <w:rsid w:val="00D3307F"/>
    <w:rsid w:val="00D34C25"/>
    <w:rsid w:val="00D3659A"/>
    <w:rsid w:val="00D41893"/>
    <w:rsid w:val="00D420B0"/>
    <w:rsid w:val="00D426AA"/>
    <w:rsid w:val="00D44F13"/>
    <w:rsid w:val="00D45837"/>
    <w:rsid w:val="00D460EC"/>
    <w:rsid w:val="00D46ACB"/>
    <w:rsid w:val="00D47BE6"/>
    <w:rsid w:val="00D5050B"/>
    <w:rsid w:val="00D52A29"/>
    <w:rsid w:val="00D54FA8"/>
    <w:rsid w:val="00D617E2"/>
    <w:rsid w:val="00D61E1D"/>
    <w:rsid w:val="00D64083"/>
    <w:rsid w:val="00D647FF"/>
    <w:rsid w:val="00D7007D"/>
    <w:rsid w:val="00D71390"/>
    <w:rsid w:val="00D74297"/>
    <w:rsid w:val="00D75528"/>
    <w:rsid w:val="00D80224"/>
    <w:rsid w:val="00D80850"/>
    <w:rsid w:val="00D8218A"/>
    <w:rsid w:val="00D82AE1"/>
    <w:rsid w:val="00D876E2"/>
    <w:rsid w:val="00D971D6"/>
    <w:rsid w:val="00DA5679"/>
    <w:rsid w:val="00DB23BA"/>
    <w:rsid w:val="00DB2913"/>
    <w:rsid w:val="00DC02F3"/>
    <w:rsid w:val="00DC0EFB"/>
    <w:rsid w:val="00DC1BA0"/>
    <w:rsid w:val="00DC4CEE"/>
    <w:rsid w:val="00DC5392"/>
    <w:rsid w:val="00DD45EA"/>
    <w:rsid w:val="00DD5A06"/>
    <w:rsid w:val="00DD5D8C"/>
    <w:rsid w:val="00DD7305"/>
    <w:rsid w:val="00DE19BF"/>
    <w:rsid w:val="00DE4340"/>
    <w:rsid w:val="00DF27EF"/>
    <w:rsid w:val="00DF5F30"/>
    <w:rsid w:val="00E00F1C"/>
    <w:rsid w:val="00E05CF9"/>
    <w:rsid w:val="00E11743"/>
    <w:rsid w:val="00E129FE"/>
    <w:rsid w:val="00E1319D"/>
    <w:rsid w:val="00E22C2A"/>
    <w:rsid w:val="00E27D74"/>
    <w:rsid w:val="00E31DAB"/>
    <w:rsid w:val="00E338B0"/>
    <w:rsid w:val="00E3395F"/>
    <w:rsid w:val="00E37256"/>
    <w:rsid w:val="00E42722"/>
    <w:rsid w:val="00E437B6"/>
    <w:rsid w:val="00E46FF1"/>
    <w:rsid w:val="00E5046C"/>
    <w:rsid w:val="00E52FB3"/>
    <w:rsid w:val="00E53EE0"/>
    <w:rsid w:val="00E639B6"/>
    <w:rsid w:val="00E640BB"/>
    <w:rsid w:val="00E65526"/>
    <w:rsid w:val="00E662B1"/>
    <w:rsid w:val="00E663BC"/>
    <w:rsid w:val="00E72F0C"/>
    <w:rsid w:val="00E7483B"/>
    <w:rsid w:val="00E75783"/>
    <w:rsid w:val="00E760A9"/>
    <w:rsid w:val="00E76A26"/>
    <w:rsid w:val="00E85031"/>
    <w:rsid w:val="00E86AFB"/>
    <w:rsid w:val="00E87652"/>
    <w:rsid w:val="00E966C9"/>
    <w:rsid w:val="00EA00BE"/>
    <w:rsid w:val="00EA1D73"/>
    <w:rsid w:val="00EA4CE1"/>
    <w:rsid w:val="00EA638C"/>
    <w:rsid w:val="00EB0FCF"/>
    <w:rsid w:val="00EB4019"/>
    <w:rsid w:val="00EB68E7"/>
    <w:rsid w:val="00EB6945"/>
    <w:rsid w:val="00EB6A4B"/>
    <w:rsid w:val="00EB7116"/>
    <w:rsid w:val="00EC0AC4"/>
    <w:rsid w:val="00EC22AB"/>
    <w:rsid w:val="00ED0046"/>
    <w:rsid w:val="00EE2987"/>
    <w:rsid w:val="00EE3986"/>
    <w:rsid w:val="00EE3FB6"/>
    <w:rsid w:val="00EE520F"/>
    <w:rsid w:val="00EE5D8F"/>
    <w:rsid w:val="00EE7F39"/>
    <w:rsid w:val="00EE7FF6"/>
    <w:rsid w:val="00EF0070"/>
    <w:rsid w:val="00EF0E16"/>
    <w:rsid w:val="00EF1674"/>
    <w:rsid w:val="00EF1C78"/>
    <w:rsid w:val="00EF2AE3"/>
    <w:rsid w:val="00EF4295"/>
    <w:rsid w:val="00EF53D5"/>
    <w:rsid w:val="00F0107F"/>
    <w:rsid w:val="00F019F9"/>
    <w:rsid w:val="00F034AB"/>
    <w:rsid w:val="00F044D0"/>
    <w:rsid w:val="00F04E0D"/>
    <w:rsid w:val="00F065B2"/>
    <w:rsid w:val="00F114A1"/>
    <w:rsid w:val="00F11BE4"/>
    <w:rsid w:val="00F130E6"/>
    <w:rsid w:val="00F15016"/>
    <w:rsid w:val="00F15B86"/>
    <w:rsid w:val="00F20C97"/>
    <w:rsid w:val="00F21F3D"/>
    <w:rsid w:val="00F23E89"/>
    <w:rsid w:val="00F24AF4"/>
    <w:rsid w:val="00F25278"/>
    <w:rsid w:val="00F3173A"/>
    <w:rsid w:val="00F32B98"/>
    <w:rsid w:val="00F33B5E"/>
    <w:rsid w:val="00F40671"/>
    <w:rsid w:val="00F42046"/>
    <w:rsid w:val="00F42301"/>
    <w:rsid w:val="00F43891"/>
    <w:rsid w:val="00F446BA"/>
    <w:rsid w:val="00F54159"/>
    <w:rsid w:val="00F5430D"/>
    <w:rsid w:val="00F60021"/>
    <w:rsid w:val="00F60725"/>
    <w:rsid w:val="00F62424"/>
    <w:rsid w:val="00F62F38"/>
    <w:rsid w:val="00F65207"/>
    <w:rsid w:val="00F6528A"/>
    <w:rsid w:val="00F67C5F"/>
    <w:rsid w:val="00F73E28"/>
    <w:rsid w:val="00F76BB4"/>
    <w:rsid w:val="00F81403"/>
    <w:rsid w:val="00F83777"/>
    <w:rsid w:val="00F84898"/>
    <w:rsid w:val="00F864EF"/>
    <w:rsid w:val="00F90585"/>
    <w:rsid w:val="00F906FD"/>
    <w:rsid w:val="00F909B4"/>
    <w:rsid w:val="00F90C5B"/>
    <w:rsid w:val="00F954FD"/>
    <w:rsid w:val="00F95D81"/>
    <w:rsid w:val="00F963E5"/>
    <w:rsid w:val="00F97445"/>
    <w:rsid w:val="00FA02BD"/>
    <w:rsid w:val="00FA043A"/>
    <w:rsid w:val="00FB0058"/>
    <w:rsid w:val="00FB110D"/>
    <w:rsid w:val="00FB5309"/>
    <w:rsid w:val="00FD3052"/>
    <w:rsid w:val="00FD5175"/>
    <w:rsid w:val="00FD5505"/>
    <w:rsid w:val="00FD653F"/>
    <w:rsid w:val="00FD6734"/>
    <w:rsid w:val="00FE302D"/>
    <w:rsid w:val="00FE6805"/>
    <w:rsid w:val="00FE74D4"/>
    <w:rsid w:val="00FF2E84"/>
    <w:rsid w:val="00FF3509"/>
    <w:rsid w:val="00FF3622"/>
    <w:rsid w:val="00FF3FB2"/>
    <w:rsid w:val="00FF6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Normal (Web)" w:uiPriority="99"/>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BCC"/>
    <w:rPr>
      <w:rFonts w:ascii="Times New Roman" w:hAnsi="Times New Roman"/>
      <w:sz w:val="24"/>
      <w:lang w:val="en-AU"/>
    </w:rPr>
  </w:style>
  <w:style w:type="paragraph" w:styleId="Heading1">
    <w:name w:val="heading 1"/>
    <w:basedOn w:val="Normal"/>
    <w:next w:val="Normal"/>
    <w:qFormat/>
    <w:rsid w:val="008B3BCC"/>
    <w:pPr>
      <w:keepNext/>
      <w:outlineLvl w:val="0"/>
    </w:pPr>
    <w:rPr>
      <w:rFonts w:ascii="Times" w:hAnsi="Times"/>
      <w:b/>
      <w:lang w:val="en-GB"/>
    </w:rPr>
  </w:style>
  <w:style w:type="paragraph" w:styleId="Heading2">
    <w:name w:val="heading 2"/>
    <w:basedOn w:val="Normal"/>
    <w:next w:val="Normal"/>
    <w:qFormat/>
    <w:rsid w:val="008B3BCC"/>
    <w:pPr>
      <w:keepNext/>
      <w:outlineLvl w:val="1"/>
    </w:pPr>
    <w:rPr>
      <w:rFonts w:ascii="Times" w:hAnsi="Times"/>
      <w:b/>
      <w:i/>
      <w:lang w:val="en-GB"/>
    </w:rPr>
  </w:style>
  <w:style w:type="paragraph" w:styleId="Heading3">
    <w:name w:val="heading 3"/>
    <w:basedOn w:val="Normal"/>
    <w:next w:val="Normal"/>
    <w:qFormat/>
    <w:rsid w:val="008B3BCC"/>
    <w:pPr>
      <w:keepNext/>
      <w:outlineLvl w:val="2"/>
    </w:pPr>
    <w:rPr>
      <w:rFonts w:ascii="Times" w:hAnsi="Times"/>
      <w:i/>
      <w:lang w:val="en-GB"/>
    </w:rPr>
  </w:style>
  <w:style w:type="paragraph" w:styleId="Heading4">
    <w:name w:val="heading 4"/>
    <w:basedOn w:val="Normal"/>
    <w:next w:val="Normal"/>
    <w:qFormat/>
    <w:rsid w:val="008B3BCC"/>
    <w:pPr>
      <w:keepNext/>
      <w:outlineLvl w:val="3"/>
    </w:pPr>
    <w:rPr>
      <w:b/>
      <w:i/>
      <w:sz w:val="22"/>
      <w:lang w:val="en-GB"/>
    </w:rPr>
  </w:style>
  <w:style w:type="paragraph" w:styleId="Heading5">
    <w:name w:val="heading 5"/>
    <w:basedOn w:val="Normal"/>
    <w:next w:val="Normal"/>
    <w:qFormat/>
    <w:rsid w:val="008B3BCC"/>
    <w:pPr>
      <w:keepNext/>
      <w:outlineLvl w:val="4"/>
    </w:pPr>
    <w:rPr>
      <w:b/>
      <w:sz w:val="22"/>
      <w:lang w:val="en-GB"/>
    </w:rPr>
  </w:style>
  <w:style w:type="paragraph" w:styleId="Heading6">
    <w:name w:val="heading 6"/>
    <w:basedOn w:val="Normal"/>
    <w:next w:val="Normal"/>
    <w:qFormat/>
    <w:rsid w:val="008B3BCC"/>
    <w:pPr>
      <w:keepNext/>
      <w:pBdr>
        <w:top w:val="double" w:sz="12" w:space="1" w:color="auto"/>
        <w:left w:val="double" w:sz="12" w:space="1" w:color="auto"/>
        <w:bottom w:val="double" w:sz="12" w:space="1" w:color="auto"/>
        <w:right w:val="double" w:sz="12" w:space="1" w:color="auto"/>
      </w:pBdr>
      <w:jc w:val="center"/>
      <w:outlineLvl w:val="5"/>
    </w:pPr>
    <w:rPr>
      <w:b/>
      <w:lang w:val="en-GB"/>
    </w:rPr>
  </w:style>
  <w:style w:type="paragraph" w:styleId="Heading7">
    <w:name w:val="heading 7"/>
    <w:basedOn w:val="Normal"/>
    <w:next w:val="Normal"/>
    <w:qFormat/>
    <w:rsid w:val="008B3BCC"/>
    <w:pPr>
      <w:keepNext/>
      <w:outlineLvl w:val="6"/>
    </w:pPr>
    <w:rPr>
      <w:i/>
      <w:sz w:val="22"/>
      <w:lang w:val="en-GB"/>
    </w:rPr>
  </w:style>
  <w:style w:type="paragraph" w:styleId="Heading8">
    <w:name w:val="heading 8"/>
    <w:basedOn w:val="Normal"/>
    <w:next w:val="Normal"/>
    <w:qFormat/>
    <w:rsid w:val="008B3BCC"/>
    <w:pPr>
      <w:keepNext/>
      <w:outlineLvl w:val="7"/>
    </w:pPr>
    <w:rPr>
      <w:rFonts w:ascii="Times" w:hAnsi="Times"/>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3BCC"/>
    <w:pPr>
      <w:tabs>
        <w:tab w:val="center" w:pos="4153"/>
        <w:tab w:val="right" w:pos="8306"/>
      </w:tabs>
    </w:pPr>
  </w:style>
  <w:style w:type="paragraph" w:styleId="Footer">
    <w:name w:val="footer"/>
    <w:basedOn w:val="Normal"/>
    <w:link w:val="FooterChar"/>
    <w:rsid w:val="008B3BCC"/>
    <w:pPr>
      <w:tabs>
        <w:tab w:val="center" w:pos="4153"/>
        <w:tab w:val="right" w:pos="8306"/>
      </w:tabs>
    </w:pPr>
  </w:style>
  <w:style w:type="character" w:styleId="PageNumber">
    <w:name w:val="page number"/>
    <w:basedOn w:val="DefaultParagraphFont"/>
    <w:rsid w:val="008B3BCC"/>
  </w:style>
  <w:style w:type="paragraph" w:styleId="BodyText">
    <w:name w:val="Body Text"/>
    <w:basedOn w:val="Normal"/>
    <w:rsid w:val="008B3BCC"/>
    <w:rPr>
      <w:rFonts w:ascii="Times" w:hAnsi="Times"/>
      <w:b/>
      <w:i/>
      <w:u w:val="single"/>
      <w:lang w:val="en-GB"/>
    </w:rPr>
  </w:style>
  <w:style w:type="paragraph" w:styleId="BodyText2">
    <w:name w:val="Body Text 2"/>
    <w:basedOn w:val="Normal"/>
    <w:rsid w:val="008B3BCC"/>
    <w:rPr>
      <w:i/>
      <w:sz w:val="22"/>
    </w:rPr>
  </w:style>
  <w:style w:type="paragraph" w:styleId="BodyText3">
    <w:name w:val="Body Text 3"/>
    <w:basedOn w:val="Normal"/>
    <w:rsid w:val="008B3BCC"/>
    <w:rPr>
      <w:sz w:val="22"/>
    </w:rPr>
  </w:style>
  <w:style w:type="character" w:styleId="CommentReference">
    <w:name w:val="annotation reference"/>
    <w:basedOn w:val="DefaultParagraphFont"/>
    <w:rsid w:val="008B3BCC"/>
    <w:rPr>
      <w:sz w:val="16"/>
    </w:rPr>
  </w:style>
  <w:style w:type="paragraph" w:styleId="CommentText">
    <w:name w:val="annotation text"/>
    <w:basedOn w:val="Normal"/>
    <w:link w:val="CommentTextChar"/>
    <w:rsid w:val="00A14DFA"/>
    <w:rPr>
      <w:sz w:val="20"/>
    </w:rPr>
  </w:style>
  <w:style w:type="paragraph" w:customStyle="1" w:styleId="CDSTextStyle">
    <w:name w:val="CDS Text Style"/>
    <w:basedOn w:val="Normal"/>
    <w:rsid w:val="008B3BCC"/>
    <w:pPr>
      <w:keepLines/>
      <w:tabs>
        <w:tab w:val="left" w:pos="3240"/>
      </w:tabs>
      <w:ind w:left="3240" w:hanging="3240"/>
    </w:pPr>
    <w:rPr>
      <w:lang w:val="en-US"/>
    </w:rPr>
  </w:style>
  <w:style w:type="paragraph" w:customStyle="1" w:styleId="TableText">
    <w:name w:val="Table Text"/>
    <w:basedOn w:val="Normal"/>
    <w:link w:val="TableTextChar"/>
    <w:rsid w:val="008B3BCC"/>
    <w:pPr>
      <w:keepNext/>
      <w:spacing w:before="40" w:after="40"/>
    </w:pPr>
    <w:rPr>
      <w:kern w:val="24"/>
      <w:lang w:val="en-US"/>
    </w:rPr>
  </w:style>
  <w:style w:type="paragraph" w:customStyle="1" w:styleId="TableFigureTitle">
    <w:name w:val="Table/Figure Title"/>
    <w:basedOn w:val="Normal"/>
    <w:next w:val="Normal"/>
    <w:rsid w:val="008B3BCC"/>
    <w:pPr>
      <w:keepNext/>
      <w:spacing w:before="120" w:after="240"/>
      <w:ind w:left="2160" w:hanging="2160"/>
    </w:pPr>
    <w:rPr>
      <w:b/>
      <w:kern w:val="24"/>
      <w:lang w:val="en-US"/>
    </w:rPr>
  </w:style>
  <w:style w:type="paragraph" w:customStyle="1" w:styleId="TableHeadings10pt">
    <w:name w:val="Table Headings 10pt"/>
    <w:basedOn w:val="Normal"/>
    <w:rsid w:val="008B3BCC"/>
    <w:pPr>
      <w:keepNext/>
      <w:spacing w:before="60" w:after="60"/>
      <w:jc w:val="center"/>
    </w:pPr>
    <w:rPr>
      <w:b/>
      <w:kern w:val="20"/>
      <w:sz w:val="20"/>
      <w:lang w:val="en-US"/>
    </w:rPr>
  </w:style>
  <w:style w:type="paragraph" w:customStyle="1" w:styleId="TableText10pt">
    <w:name w:val="Table Text 10pt"/>
    <w:basedOn w:val="TableText"/>
    <w:link w:val="TableText10ptChar"/>
    <w:qFormat/>
    <w:rsid w:val="008B3BCC"/>
    <w:pPr>
      <w:spacing w:before="60" w:after="60"/>
    </w:pPr>
    <w:rPr>
      <w:kern w:val="20"/>
      <w:sz w:val="20"/>
    </w:rPr>
  </w:style>
  <w:style w:type="paragraph" w:customStyle="1" w:styleId="Footnote">
    <w:name w:val="Footnote"/>
    <w:basedOn w:val="Normal"/>
    <w:next w:val="Normal"/>
    <w:rsid w:val="008B3BCC"/>
    <w:pPr>
      <w:keepLines/>
      <w:spacing w:before="60" w:after="120"/>
    </w:pPr>
    <w:rPr>
      <w:kern w:val="18"/>
      <w:sz w:val="18"/>
      <w:lang w:val="en-US"/>
    </w:rPr>
  </w:style>
  <w:style w:type="table" w:styleId="TableGrid">
    <w:name w:val="Table Grid"/>
    <w:basedOn w:val="TableNormal"/>
    <w:uiPriority w:val="59"/>
    <w:rsid w:val="0012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36209"/>
    <w:rPr>
      <w:b/>
      <w:bCs/>
    </w:rPr>
  </w:style>
  <w:style w:type="character" w:customStyle="1" w:styleId="CommentTextChar">
    <w:name w:val="Comment Text Char"/>
    <w:basedOn w:val="DefaultParagraphFont"/>
    <w:link w:val="CommentText"/>
    <w:rsid w:val="00A14DFA"/>
    <w:rPr>
      <w:rFonts w:ascii="Times New Roman" w:hAnsi="Times New Roman"/>
      <w:lang w:val="en-AU"/>
    </w:rPr>
  </w:style>
  <w:style w:type="character" w:customStyle="1" w:styleId="CommentSubjectChar">
    <w:name w:val="Comment Subject Char"/>
    <w:basedOn w:val="CommentTextChar"/>
    <w:link w:val="CommentSubject"/>
    <w:rsid w:val="00836209"/>
    <w:rPr>
      <w:rFonts w:ascii="Times New Roman" w:hAnsi="Times New Roman"/>
      <w:lang w:val="en-AU"/>
    </w:rPr>
  </w:style>
  <w:style w:type="paragraph" w:styleId="BalloonText">
    <w:name w:val="Balloon Text"/>
    <w:basedOn w:val="Normal"/>
    <w:link w:val="BalloonTextChar"/>
    <w:rsid w:val="00836209"/>
    <w:rPr>
      <w:rFonts w:ascii="Tahoma" w:hAnsi="Tahoma" w:cs="Tahoma"/>
      <w:sz w:val="16"/>
      <w:szCs w:val="16"/>
    </w:rPr>
  </w:style>
  <w:style w:type="character" w:customStyle="1" w:styleId="BalloonTextChar">
    <w:name w:val="Balloon Text Char"/>
    <w:basedOn w:val="DefaultParagraphFont"/>
    <w:link w:val="BalloonText"/>
    <w:rsid w:val="00836209"/>
    <w:rPr>
      <w:rFonts w:ascii="Tahoma" w:hAnsi="Tahoma" w:cs="Tahoma"/>
      <w:sz w:val="16"/>
      <w:szCs w:val="16"/>
    </w:rPr>
  </w:style>
  <w:style w:type="paragraph" w:styleId="Caption">
    <w:name w:val="caption"/>
    <w:basedOn w:val="Normal"/>
    <w:next w:val="Normal"/>
    <w:link w:val="CaptionChar"/>
    <w:qFormat/>
    <w:rsid w:val="003D59BB"/>
    <w:pPr>
      <w:keepNext/>
      <w:spacing w:before="240" w:after="120"/>
      <w:ind w:left="2160" w:hanging="2160"/>
    </w:pPr>
    <w:rPr>
      <w:b/>
      <w:bCs/>
      <w:kern w:val="24"/>
      <w:lang w:val="en-US" w:eastAsia="ja-JP"/>
    </w:rPr>
  </w:style>
  <w:style w:type="character" w:customStyle="1" w:styleId="CaptionChar">
    <w:name w:val="Caption Char"/>
    <w:basedOn w:val="DefaultParagraphFont"/>
    <w:link w:val="Caption"/>
    <w:rsid w:val="003D59BB"/>
    <w:rPr>
      <w:rFonts w:ascii="Times New Roman" w:hAnsi="Times New Roman"/>
      <w:b/>
      <w:bCs/>
      <w:kern w:val="24"/>
      <w:sz w:val="24"/>
      <w:lang w:val="en-US" w:eastAsia="ja-JP"/>
    </w:rPr>
  </w:style>
  <w:style w:type="paragraph" w:customStyle="1" w:styleId="TableFootnote">
    <w:name w:val="Table Footnote"/>
    <w:basedOn w:val="Normal"/>
    <w:next w:val="Normal"/>
    <w:link w:val="TableFootnoteChar"/>
    <w:uiPriority w:val="99"/>
    <w:rsid w:val="003D59BB"/>
    <w:pPr>
      <w:keepNext/>
      <w:keepLines/>
      <w:spacing w:before="40"/>
      <w:ind w:left="360" w:hanging="360"/>
    </w:pPr>
    <w:rPr>
      <w:kern w:val="20"/>
      <w:sz w:val="20"/>
      <w:lang w:val="en-US" w:eastAsia="ja-JP"/>
    </w:rPr>
  </w:style>
  <w:style w:type="character" w:customStyle="1" w:styleId="TableFootnoteChar">
    <w:name w:val="Table Footnote Char"/>
    <w:basedOn w:val="DefaultParagraphFont"/>
    <w:link w:val="TableFootnote"/>
    <w:rsid w:val="003D59BB"/>
    <w:rPr>
      <w:rFonts w:ascii="Times New Roman" w:hAnsi="Times New Roman"/>
      <w:kern w:val="20"/>
      <w:lang w:val="en-US" w:eastAsia="ja-JP"/>
    </w:rPr>
  </w:style>
  <w:style w:type="paragraph" w:customStyle="1" w:styleId="TableHeadings">
    <w:name w:val="Table Headings"/>
    <w:basedOn w:val="Normal"/>
    <w:rsid w:val="003D59BB"/>
    <w:pPr>
      <w:keepNext/>
      <w:spacing w:before="40" w:after="40"/>
      <w:jc w:val="center"/>
    </w:pPr>
    <w:rPr>
      <w:b/>
      <w:kern w:val="24"/>
      <w:szCs w:val="24"/>
      <w:lang w:val="en-US" w:eastAsia="ja-JP"/>
    </w:rPr>
  </w:style>
  <w:style w:type="paragraph" w:customStyle="1" w:styleId="TableText12pt">
    <w:name w:val="Table Text 12pt"/>
    <w:basedOn w:val="Normal"/>
    <w:rsid w:val="003D59BB"/>
    <w:pPr>
      <w:keepNext/>
      <w:spacing w:before="40" w:after="40"/>
    </w:pPr>
    <w:rPr>
      <w:kern w:val="24"/>
      <w:szCs w:val="24"/>
      <w:lang w:val="en-US" w:eastAsia="ja-JP"/>
    </w:rPr>
  </w:style>
  <w:style w:type="paragraph" w:customStyle="1" w:styleId="TableHeadingsSmall">
    <w:name w:val="Table Headings Small"/>
    <w:basedOn w:val="TableHeadings"/>
    <w:uiPriority w:val="99"/>
    <w:rsid w:val="003D59BB"/>
    <w:rPr>
      <w:kern w:val="20"/>
      <w:sz w:val="20"/>
    </w:rPr>
  </w:style>
  <w:style w:type="character" w:customStyle="1" w:styleId="TableText10ptChar">
    <w:name w:val="Table Text 10pt Char"/>
    <w:basedOn w:val="DefaultParagraphFont"/>
    <w:link w:val="TableText10pt"/>
    <w:rsid w:val="003D59BB"/>
    <w:rPr>
      <w:rFonts w:ascii="Times New Roman" w:hAnsi="Times New Roman"/>
      <w:kern w:val="20"/>
      <w:lang w:val="en-US"/>
    </w:rPr>
  </w:style>
  <w:style w:type="character" w:styleId="Emphasis">
    <w:name w:val="Emphasis"/>
    <w:basedOn w:val="DefaultParagraphFont"/>
    <w:uiPriority w:val="20"/>
    <w:qFormat/>
    <w:rsid w:val="00CC04B3"/>
    <w:rPr>
      <w:i/>
      <w:iCs/>
    </w:rPr>
  </w:style>
  <w:style w:type="paragraph" w:styleId="Revision">
    <w:name w:val="Revision"/>
    <w:hidden/>
    <w:uiPriority w:val="99"/>
    <w:semiHidden/>
    <w:rsid w:val="003A6CA6"/>
    <w:rPr>
      <w:rFonts w:ascii="Times New Roman" w:hAnsi="Times New Roman"/>
      <w:sz w:val="24"/>
      <w:lang w:val="en-AU"/>
    </w:rPr>
  </w:style>
  <w:style w:type="character" w:customStyle="1" w:styleId="HeaderChar">
    <w:name w:val="Header Char"/>
    <w:basedOn w:val="DefaultParagraphFont"/>
    <w:link w:val="Header"/>
    <w:rsid w:val="003B6F31"/>
    <w:rPr>
      <w:rFonts w:ascii="Times New Roman" w:hAnsi="Times New Roman"/>
      <w:sz w:val="24"/>
      <w:lang w:val="en-AU"/>
    </w:rPr>
  </w:style>
  <w:style w:type="paragraph" w:styleId="Date">
    <w:name w:val="Date"/>
    <w:basedOn w:val="Normal"/>
    <w:next w:val="Normal"/>
    <w:link w:val="DateChar"/>
    <w:rsid w:val="00D45837"/>
  </w:style>
  <w:style w:type="character" w:customStyle="1" w:styleId="DateChar">
    <w:name w:val="Date Char"/>
    <w:basedOn w:val="DefaultParagraphFont"/>
    <w:link w:val="Date"/>
    <w:rsid w:val="00D45837"/>
    <w:rPr>
      <w:rFonts w:ascii="Times New Roman" w:hAnsi="Times New Roman"/>
      <w:sz w:val="24"/>
      <w:lang w:val="en-AU"/>
    </w:rPr>
  </w:style>
  <w:style w:type="paragraph" w:styleId="ListBullet">
    <w:name w:val="List Bullet"/>
    <w:aliases w:val="Bulleted List"/>
    <w:basedOn w:val="Normal"/>
    <w:rsid w:val="00BB17FB"/>
    <w:pPr>
      <w:keepLines/>
      <w:numPr>
        <w:numId w:val="9"/>
      </w:numPr>
      <w:spacing w:before="120" w:after="120" w:line="300" w:lineRule="auto"/>
    </w:pPr>
    <w:rPr>
      <w:kern w:val="24"/>
      <w:szCs w:val="24"/>
      <w:lang w:val="en-US" w:eastAsia="ja-JP"/>
    </w:rPr>
  </w:style>
  <w:style w:type="character" w:styleId="Hyperlink">
    <w:name w:val="Hyperlink"/>
    <w:uiPriority w:val="99"/>
    <w:qFormat/>
    <w:rsid w:val="00BB17FB"/>
    <w:rPr>
      <w:color w:val="0000FF"/>
      <w:u w:val="none"/>
    </w:rPr>
  </w:style>
  <w:style w:type="character" w:customStyle="1" w:styleId="TableTextChar">
    <w:name w:val="Table Text Char"/>
    <w:link w:val="TableText"/>
    <w:rsid w:val="00BB17FB"/>
    <w:rPr>
      <w:rFonts w:ascii="Times New Roman" w:hAnsi="Times New Roman"/>
      <w:kern w:val="24"/>
      <w:sz w:val="24"/>
    </w:rPr>
  </w:style>
  <w:style w:type="paragraph" w:styleId="NoSpacing">
    <w:name w:val="No Spacing"/>
    <w:uiPriority w:val="1"/>
    <w:qFormat/>
    <w:rsid w:val="00BB17FB"/>
    <w:rPr>
      <w:rFonts w:ascii="Times New Roman" w:hAnsi="Times New Roman"/>
      <w:kern w:val="24"/>
      <w:sz w:val="24"/>
      <w:szCs w:val="24"/>
      <w:lang w:eastAsia="ja-JP"/>
    </w:rPr>
  </w:style>
  <w:style w:type="paragraph" w:styleId="NormalWeb">
    <w:name w:val="Normal (Web)"/>
    <w:basedOn w:val="Normal"/>
    <w:uiPriority w:val="99"/>
    <w:unhideWhenUsed/>
    <w:rsid w:val="00BB17FB"/>
    <w:pPr>
      <w:spacing w:before="100" w:beforeAutospacing="1" w:after="100" w:afterAutospacing="1"/>
    </w:pPr>
    <w:rPr>
      <w:rFonts w:eastAsiaTheme="minorEastAsia"/>
      <w:szCs w:val="24"/>
      <w:lang w:val="en-US" w:eastAsia="en-US"/>
    </w:rPr>
  </w:style>
  <w:style w:type="paragraph" w:styleId="EndnoteText">
    <w:name w:val="endnote text"/>
    <w:basedOn w:val="Normal"/>
    <w:link w:val="EndnoteTextChar"/>
    <w:rsid w:val="00E1319D"/>
    <w:rPr>
      <w:sz w:val="20"/>
    </w:rPr>
  </w:style>
  <w:style w:type="character" w:customStyle="1" w:styleId="EndnoteTextChar">
    <w:name w:val="Endnote Text Char"/>
    <w:basedOn w:val="DefaultParagraphFont"/>
    <w:link w:val="EndnoteText"/>
    <w:rsid w:val="00E1319D"/>
    <w:rPr>
      <w:rFonts w:ascii="Times New Roman" w:hAnsi="Times New Roman"/>
      <w:lang w:val="en-AU"/>
    </w:rPr>
  </w:style>
  <w:style w:type="character" w:styleId="EndnoteReference">
    <w:name w:val="endnote reference"/>
    <w:basedOn w:val="DefaultParagraphFont"/>
    <w:rsid w:val="00E1319D"/>
    <w:rPr>
      <w:vertAlign w:val="superscript"/>
    </w:rPr>
  </w:style>
  <w:style w:type="paragraph" w:styleId="ListParagraph">
    <w:name w:val="List Paragraph"/>
    <w:basedOn w:val="Normal"/>
    <w:uiPriority w:val="34"/>
    <w:qFormat/>
    <w:rsid w:val="00F0107F"/>
    <w:pPr>
      <w:ind w:left="720"/>
      <w:contextualSpacing/>
    </w:pPr>
  </w:style>
  <w:style w:type="paragraph" w:customStyle="1" w:styleId="Default">
    <w:name w:val="Default"/>
    <w:rsid w:val="00142CBD"/>
    <w:pPr>
      <w:autoSpaceDE w:val="0"/>
      <w:autoSpaceDN w:val="0"/>
      <w:adjustRightInd w:val="0"/>
    </w:pPr>
    <w:rPr>
      <w:rFonts w:ascii="Times New Roman" w:hAnsi="Times New Roman"/>
      <w:color w:val="000000"/>
      <w:sz w:val="24"/>
      <w:szCs w:val="24"/>
    </w:rPr>
  </w:style>
  <w:style w:type="character" w:customStyle="1" w:styleId="TableFigureTitleChar">
    <w:name w:val="Table/Figure Title Char"/>
    <w:rsid w:val="001661F1"/>
    <w:rPr>
      <w:b/>
      <w:bCs/>
      <w:kern w:val="24"/>
      <w:sz w:val="24"/>
      <w:lang w:eastAsia="ja-JP"/>
    </w:rPr>
  </w:style>
  <w:style w:type="paragraph" w:customStyle="1" w:styleId="TableText9pt">
    <w:name w:val="Table Text 9pt"/>
    <w:basedOn w:val="TableText10pt"/>
    <w:uiPriority w:val="99"/>
    <w:rsid w:val="003A4FA2"/>
    <w:pPr>
      <w:spacing w:before="40" w:after="40"/>
    </w:pPr>
    <w:rPr>
      <w:sz w:val="18"/>
      <w:szCs w:val="24"/>
      <w:lang w:eastAsia="ja-JP"/>
    </w:rPr>
  </w:style>
  <w:style w:type="paragraph" w:customStyle="1" w:styleId="Text">
    <w:name w:val="Text"/>
    <w:basedOn w:val="Normal"/>
    <w:link w:val="TextChar"/>
    <w:qFormat/>
    <w:rsid w:val="003A4FA2"/>
    <w:pPr>
      <w:spacing w:after="240" w:line="300" w:lineRule="auto"/>
    </w:pPr>
    <w:rPr>
      <w:kern w:val="24"/>
      <w:szCs w:val="24"/>
      <w:lang w:val="en-US" w:eastAsia="ja-JP"/>
    </w:rPr>
  </w:style>
  <w:style w:type="character" w:customStyle="1" w:styleId="TextChar">
    <w:name w:val="Text Char"/>
    <w:basedOn w:val="DefaultParagraphFont"/>
    <w:link w:val="Text"/>
    <w:rsid w:val="003A4FA2"/>
    <w:rPr>
      <w:rFonts w:ascii="Times New Roman" w:hAnsi="Times New Roman"/>
      <w:kern w:val="24"/>
      <w:sz w:val="24"/>
      <w:szCs w:val="24"/>
      <w:lang w:eastAsia="ja-JP"/>
    </w:rPr>
  </w:style>
  <w:style w:type="paragraph" w:customStyle="1" w:styleId="StyleTableFootnoteSuperscript">
    <w:name w:val="Style Table Footnote + Superscript"/>
    <w:basedOn w:val="TableFootnote"/>
    <w:rsid w:val="005C2694"/>
    <w:pPr>
      <w:keepNext w:val="0"/>
      <w:tabs>
        <w:tab w:val="left" w:pos="432"/>
      </w:tabs>
      <w:ind w:left="0" w:firstLine="0"/>
    </w:pPr>
    <w:rPr>
      <w:sz w:val="18"/>
      <w:vertAlign w:val="superscript"/>
    </w:rPr>
  </w:style>
  <w:style w:type="character" w:customStyle="1" w:styleId="FooterChar">
    <w:name w:val="Footer Char"/>
    <w:basedOn w:val="DefaultParagraphFont"/>
    <w:link w:val="Footer"/>
    <w:rsid w:val="0099375B"/>
    <w:rPr>
      <w:rFonts w:ascii="Times New Roman" w:hAnsi="Times New Roman"/>
      <w:sz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Normal (Web)" w:uiPriority="99"/>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BCC"/>
    <w:rPr>
      <w:rFonts w:ascii="Times New Roman" w:hAnsi="Times New Roman"/>
      <w:sz w:val="24"/>
      <w:lang w:val="en-AU"/>
    </w:rPr>
  </w:style>
  <w:style w:type="paragraph" w:styleId="Heading1">
    <w:name w:val="heading 1"/>
    <w:basedOn w:val="Normal"/>
    <w:next w:val="Normal"/>
    <w:qFormat/>
    <w:rsid w:val="008B3BCC"/>
    <w:pPr>
      <w:keepNext/>
      <w:outlineLvl w:val="0"/>
    </w:pPr>
    <w:rPr>
      <w:rFonts w:ascii="Times" w:hAnsi="Times"/>
      <w:b/>
      <w:lang w:val="en-GB"/>
    </w:rPr>
  </w:style>
  <w:style w:type="paragraph" w:styleId="Heading2">
    <w:name w:val="heading 2"/>
    <w:basedOn w:val="Normal"/>
    <w:next w:val="Normal"/>
    <w:qFormat/>
    <w:rsid w:val="008B3BCC"/>
    <w:pPr>
      <w:keepNext/>
      <w:outlineLvl w:val="1"/>
    </w:pPr>
    <w:rPr>
      <w:rFonts w:ascii="Times" w:hAnsi="Times"/>
      <w:b/>
      <w:i/>
      <w:lang w:val="en-GB"/>
    </w:rPr>
  </w:style>
  <w:style w:type="paragraph" w:styleId="Heading3">
    <w:name w:val="heading 3"/>
    <w:basedOn w:val="Normal"/>
    <w:next w:val="Normal"/>
    <w:qFormat/>
    <w:rsid w:val="008B3BCC"/>
    <w:pPr>
      <w:keepNext/>
      <w:outlineLvl w:val="2"/>
    </w:pPr>
    <w:rPr>
      <w:rFonts w:ascii="Times" w:hAnsi="Times"/>
      <w:i/>
      <w:lang w:val="en-GB"/>
    </w:rPr>
  </w:style>
  <w:style w:type="paragraph" w:styleId="Heading4">
    <w:name w:val="heading 4"/>
    <w:basedOn w:val="Normal"/>
    <w:next w:val="Normal"/>
    <w:qFormat/>
    <w:rsid w:val="008B3BCC"/>
    <w:pPr>
      <w:keepNext/>
      <w:outlineLvl w:val="3"/>
    </w:pPr>
    <w:rPr>
      <w:b/>
      <w:i/>
      <w:sz w:val="22"/>
      <w:lang w:val="en-GB"/>
    </w:rPr>
  </w:style>
  <w:style w:type="paragraph" w:styleId="Heading5">
    <w:name w:val="heading 5"/>
    <w:basedOn w:val="Normal"/>
    <w:next w:val="Normal"/>
    <w:qFormat/>
    <w:rsid w:val="008B3BCC"/>
    <w:pPr>
      <w:keepNext/>
      <w:outlineLvl w:val="4"/>
    </w:pPr>
    <w:rPr>
      <w:b/>
      <w:sz w:val="22"/>
      <w:lang w:val="en-GB"/>
    </w:rPr>
  </w:style>
  <w:style w:type="paragraph" w:styleId="Heading6">
    <w:name w:val="heading 6"/>
    <w:basedOn w:val="Normal"/>
    <w:next w:val="Normal"/>
    <w:qFormat/>
    <w:rsid w:val="008B3BCC"/>
    <w:pPr>
      <w:keepNext/>
      <w:pBdr>
        <w:top w:val="double" w:sz="12" w:space="1" w:color="auto"/>
        <w:left w:val="double" w:sz="12" w:space="1" w:color="auto"/>
        <w:bottom w:val="double" w:sz="12" w:space="1" w:color="auto"/>
        <w:right w:val="double" w:sz="12" w:space="1" w:color="auto"/>
      </w:pBdr>
      <w:jc w:val="center"/>
      <w:outlineLvl w:val="5"/>
    </w:pPr>
    <w:rPr>
      <w:b/>
      <w:lang w:val="en-GB"/>
    </w:rPr>
  </w:style>
  <w:style w:type="paragraph" w:styleId="Heading7">
    <w:name w:val="heading 7"/>
    <w:basedOn w:val="Normal"/>
    <w:next w:val="Normal"/>
    <w:qFormat/>
    <w:rsid w:val="008B3BCC"/>
    <w:pPr>
      <w:keepNext/>
      <w:outlineLvl w:val="6"/>
    </w:pPr>
    <w:rPr>
      <w:i/>
      <w:sz w:val="22"/>
      <w:lang w:val="en-GB"/>
    </w:rPr>
  </w:style>
  <w:style w:type="paragraph" w:styleId="Heading8">
    <w:name w:val="heading 8"/>
    <w:basedOn w:val="Normal"/>
    <w:next w:val="Normal"/>
    <w:qFormat/>
    <w:rsid w:val="008B3BCC"/>
    <w:pPr>
      <w:keepNext/>
      <w:outlineLvl w:val="7"/>
    </w:pPr>
    <w:rPr>
      <w:rFonts w:ascii="Times" w:hAnsi="Times"/>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3BCC"/>
    <w:pPr>
      <w:tabs>
        <w:tab w:val="center" w:pos="4153"/>
        <w:tab w:val="right" w:pos="8306"/>
      </w:tabs>
    </w:pPr>
  </w:style>
  <w:style w:type="paragraph" w:styleId="Footer">
    <w:name w:val="footer"/>
    <w:basedOn w:val="Normal"/>
    <w:link w:val="FooterChar"/>
    <w:rsid w:val="008B3BCC"/>
    <w:pPr>
      <w:tabs>
        <w:tab w:val="center" w:pos="4153"/>
        <w:tab w:val="right" w:pos="8306"/>
      </w:tabs>
    </w:pPr>
  </w:style>
  <w:style w:type="character" w:styleId="PageNumber">
    <w:name w:val="page number"/>
    <w:basedOn w:val="DefaultParagraphFont"/>
    <w:rsid w:val="008B3BCC"/>
  </w:style>
  <w:style w:type="paragraph" w:styleId="BodyText">
    <w:name w:val="Body Text"/>
    <w:basedOn w:val="Normal"/>
    <w:rsid w:val="008B3BCC"/>
    <w:rPr>
      <w:rFonts w:ascii="Times" w:hAnsi="Times"/>
      <w:b/>
      <w:i/>
      <w:u w:val="single"/>
      <w:lang w:val="en-GB"/>
    </w:rPr>
  </w:style>
  <w:style w:type="paragraph" w:styleId="BodyText2">
    <w:name w:val="Body Text 2"/>
    <w:basedOn w:val="Normal"/>
    <w:rsid w:val="008B3BCC"/>
    <w:rPr>
      <w:i/>
      <w:sz w:val="22"/>
    </w:rPr>
  </w:style>
  <w:style w:type="paragraph" w:styleId="BodyText3">
    <w:name w:val="Body Text 3"/>
    <w:basedOn w:val="Normal"/>
    <w:rsid w:val="008B3BCC"/>
    <w:rPr>
      <w:sz w:val="22"/>
    </w:rPr>
  </w:style>
  <w:style w:type="character" w:styleId="CommentReference">
    <w:name w:val="annotation reference"/>
    <w:basedOn w:val="DefaultParagraphFont"/>
    <w:rsid w:val="008B3BCC"/>
    <w:rPr>
      <w:sz w:val="16"/>
    </w:rPr>
  </w:style>
  <w:style w:type="paragraph" w:styleId="CommentText">
    <w:name w:val="annotation text"/>
    <w:basedOn w:val="Normal"/>
    <w:link w:val="CommentTextChar"/>
    <w:rsid w:val="00A14DFA"/>
    <w:rPr>
      <w:sz w:val="20"/>
    </w:rPr>
  </w:style>
  <w:style w:type="paragraph" w:customStyle="1" w:styleId="CDSTextStyle">
    <w:name w:val="CDS Text Style"/>
    <w:basedOn w:val="Normal"/>
    <w:rsid w:val="008B3BCC"/>
    <w:pPr>
      <w:keepLines/>
      <w:tabs>
        <w:tab w:val="left" w:pos="3240"/>
      </w:tabs>
      <w:ind w:left="3240" w:hanging="3240"/>
    </w:pPr>
    <w:rPr>
      <w:lang w:val="en-US"/>
    </w:rPr>
  </w:style>
  <w:style w:type="paragraph" w:customStyle="1" w:styleId="TableText">
    <w:name w:val="Table Text"/>
    <w:basedOn w:val="Normal"/>
    <w:link w:val="TableTextChar"/>
    <w:rsid w:val="008B3BCC"/>
    <w:pPr>
      <w:keepNext/>
      <w:spacing w:before="40" w:after="40"/>
    </w:pPr>
    <w:rPr>
      <w:kern w:val="24"/>
      <w:lang w:val="en-US"/>
    </w:rPr>
  </w:style>
  <w:style w:type="paragraph" w:customStyle="1" w:styleId="TableFigureTitle">
    <w:name w:val="Table/Figure Title"/>
    <w:basedOn w:val="Normal"/>
    <w:next w:val="Normal"/>
    <w:rsid w:val="008B3BCC"/>
    <w:pPr>
      <w:keepNext/>
      <w:spacing w:before="120" w:after="240"/>
      <w:ind w:left="2160" w:hanging="2160"/>
    </w:pPr>
    <w:rPr>
      <w:b/>
      <w:kern w:val="24"/>
      <w:lang w:val="en-US"/>
    </w:rPr>
  </w:style>
  <w:style w:type="paragraph" w:customStyle="1" w:styleId="TableHeadings10pt">
    <w:name w:val="Table Headings 10pt"/>
    <w:basedOn w:val="Normal"/>
    <w:rsid w:val="008B3BCC"/>
    <w:pPr>
      <w:keepNext/>
      <w:spacing w:before="60" w:after="60"/>
      <w:jc w:val="center"/>
    </w:pPr>
    <w:rPr>
      <w:b/>
      <w:kern w:val="20"/>
      <w:sz w:val="20"/>
      <w:lang w:val="en-US"/>
    </w:rPr>
  </w:style>
  <w:style w:type="paragraph" w:customStyle="1" w:styleId="TableText10pt">
    <w:name w:val="Table Text 10pt"/>
    <w:basedOn w:val="TableText"/>
    <w:link w:val="TableText10ptChar"/>
    <w:qFormat/>
    <w:rsid w:val="008B3BCC"/>
    <w:pPr>
      <w:spacing w:before="60" w:after="60"/>
    </w:pPr>
    <w:rPr>
      <w:kern w:val="20"/>
      <w:sz w:val="20"/>
    </w:rPr>
  </w:style>
  <w:style w:type="paragraph" w:customStyle="1" w:styleId="Footnote">
    <w:name w:val="Footnote"/>
    <w:basedOn w:val="Normal"/>
    <w:next w:val="Normal"/>
    <w:rsid w:val="008B3BCC"/>
    <w:pPr>
      <w:keepLines/>
      <w:spacing w:before="60" w:after="120"/>
    </w:pPr>
    <w:rPr>
      <w:kern w:val="18"/>
      <w:sz w:val="18"/>
      <w:lang w:val="en-US"/>
    </w:rPr>
  </w:style>
  <w:style w:type="table" w:styleId="TableGrid">
    <w:name w:val="Table Grid"/>
    <w:basedOn w:val="TableNormal"/>
    <w:uiPriority w:val="59"/>
    <w:rsid w:val="0012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36209"/>
    <w:rPr>
      <w:b/>
      <w:bCs/>
    </w:rPr>
  </w:style>
  <w:style w:type="character" w:customStyle="1" w:styleId="CommentTextChar">
    <w:name w:val="Comment Text Char"/>
    <w:basedOn w:val="DefaultParagraphFont"/>
    <w:link w:val="CommentText"/>
    <w:rsid w:val="00A14DFA"/>
    <w:rPr>
      <w:rFonts w:ascii="Times New Roman" w:hAnsi="Times New Roman"/>
      <w:lang w:val="en-AU"/>
    </w:rPr>
  </w:style>
  <w:style w:type="character" w:customStyle="1" w:styleId="CommentSubjectChar">
    <w:name w:val="Comment Subject Char"/>
    <w:basedOn w:val="CommentTextChar"/>
    <w:link w:val="CommentSubject"/>
    <w:rsid w:val="00836209"/>
    <w:rPr>
      <w:rFonts w:ascii="Times New Roman" w:hAnsi="Times New Roman"/>
      <w:lang w:val="en-AU"/>
    </w:rPr>
  </w:style>
  <w:style w:type="paragraph" w:styleId="BalloonText">
    <w:name w:val="Balloon Text"/>
    <w:basedOn w:val="Normal"/>
    <w:link w:val="BalloonTextChar"/>
    <w:rsid w:val="00836209"/>
    <w:rPr>
      <w:rFonts w:ascii="Tahoma" w:hAnsi="Tahoma" w:cs="Tahoma"/>
      <w:sz w:val="16"/>
      <w:szCs w:val="16"/>
    </w:rPr>
  </w:style>
  <w:style w:type="character" w:customStyle="1" w:styleId="BalloonTextChar">
    <w:name w:val="Balloon Text Char"/>
    <w:basedOn w:val="DefaultParagraphFont"/>
    <w:link w:val="BalloonText"/>
    <w:rsid w:val="00836209"/>
    <w:rPr>
      <w:rFonts w:ascii="Tahoma" w:hAnsi="Tahoma" w:cs="Tahoma"/>
      <w:sz w:val="16"/>
      <w:szCs w:val="16"/>
    </w:rPr>
  </w:style>
  <w:style w:type="paragraph" w:styleId="Caption">
    <w:name w:val="caption"/>
    <w:basedOn w:val="Normal"/>
    <w:next w:val="Normal"/>
    <w:link w:val="CaptionChar"/>
    <w:qFormat/>
    <w:rsid w:val="003D59BB"/>
    <w:pPr>
      <w:keepNext/>
      <w:spacing w:before="240" w:after="120"/>
      <w:ind w:left="2160" w:hanging="2160"/>
    </w:pPr>
    <w:rPr>
      <w:b/>
      <w:bCs/>
      <w:kern w:val="24"/>
      <w:lang w:val="en-US" w:eastAsia="ja-JP"/>
    </w:rPr>
  </w:style>
  <w:style w:type="character" w:customStyle="1" w:styleId="CaptionChar">
    <w:name w:val="Caption Char"/>
    <w:basedOn w:val="DefaultParagraphFont"/>
    <w:link w:val="Caption"/>
    <w:rsid w:val="003D59BB"/>
    <w:rPr>
      <w:rFonts w:ascii="Times New Roman" w:hAnsi="Times New Roman"/>
      <w:b/>
      <w:bCs/>
      <w:kern w:val="24"/>
      <w:sz w:val="24"/>
      <w:lang w:val="en-US" w:eastAsia="ja-JP"/>
    </w:rPr>
  </w:style>
  <w:style w:type="paragraph" w:customStyle="1" w:styleId="TableFootnote">
    <w:name w:val="Table Footnote"/>
    <w:basedOn w:val="Normal"/>
    <w:next w:val="Normal"/>
    <w:link w:val="TableFootnoteChar"/>
    <w:uiPriority w:val="99"/>
    <w:rsid w:val="003D59BB"/>
    <w:pPr>
      <w:keepNext/>
      <w:keepLines/>
      <w:spacing w:before="40"/>
      <w:ind w:left="360" w:hanging="360"/>
    </w:pPr>
    <w:rPr>
      <w:kern w:val="20"/>
      <w:sz w:val="20"/>
      <w:lang w:val="en-US" w:eastAsia="ja-JP"/>
    </w:rPr>
  </w:style>
  <w:style w:type="character" w:customStyle="1" w:styleId="TableFootnoteChar">
    <w:name w:val="Table Footnote Char"/>
    <w:basedOn w:val="DefaultParagraphFont"/>
    <w:link w:val="TableFootnote"/>
    <w:rsid w:val="003D59BB"/>
    <w:rPr>
      <w:rFonts w:ascii="Times New Roman" w:hAnsi="Times New Roman"/>
      <w:kern w:val="20"/>
      <w:lang w:val="en-US" w:eastAsia="ja-JP"/>
    </w:rPr>
  </w:style>
  <w:style w:type="paragraph" w:customStyle="1" w:styleId="TableHeadings">
    <w:name w:val="Table Headings"/>
    <w:basedOn w:val="Normal"/>
    <w:rsid w:val="003D59BB"/>
    <w:pPr>
      <w:keepNext/>
      <w:spacing w:before="40" w:after="40"/>
      <w:jc w:val="center"/>
    </w:pPr>
    <w:rPr>
      <w:b/>
      <w:kern w:val="24"/>
      <w:szCs w:val="24"/>
      <w:lang w:val="en-US" w:eastAsia="ja-JP"/>
    </w:rPr>
  </w:style>
  <w:style w:type="paragraph" w:customStyle="1" w:styleId="TableText12pt">
    <w:name w:val="Table Text 12pt"/>
    <w:basedOn w:val="Normal"/>
    <w:rsid w:val="003D59BB"/>
    <w:pPr>
      <w:keepNext/>
      <w:spacing w:before="40" w:after="40"/>
    </w:pPr>
    <w:rPr>
      <w:kern w:val="24"/>
      <w:szCs w:val="24"/>
      <w:lang w:val="en-US" w:eastAsia="ja-JP"/>
    </w:rPr>
  </w:style>
  <w:style w:type="paragraph" w:customStyle="1" w:styleId="TableHeadingsSmall">
    <w:name w:val="Table Headings Small"/>
    <w:basedOn w:val="TableHeadings"/>
    <w:uiPriority w:val="99"/>
    <w:rsid w:val="003D59BB"/>
    <w:rPr>
      <w:kern w:val="20"/>
      <w:sz w:val="20"/>
    </w:rPr>
  </w:style>
  <w:style w:type="character" w:customStyle="1" w:styleId="TableText10ptChar">
    <w:name w:val="Table Text 10pt Char"/>
    <w:basedOn w:val="DefaultParagraphFont"/>
    <w:link w:val="TableText10pt"/>
    <w:rsid w:val="003D59BB"/>
    <w:rPr>
      <w:rFonts w:ascii="Times New Roman" w:hAnsi="Times New Roman"/>
      <w:kern w:val="20"/>
      <w:lang w:val="en-US"/>
    </w:rPr>
  </w:style>
  <w:style w:type="character" w:styleId="Emphasis">
    <w:name w:val="Emphasis"/>
    <w:basedOn w:val="DefaultParagraphFont"/>
    <w:uiPriority w:val="20"/>
    <w:qFormat/>
    <w:rsid w:val="00CC04B3"/>
    <w:rPr>
      <w:i/>
      <w:iCs/>
    </w:rPr>
  </w:style>
  <w:style w:type="paragraph" w:styleId="Revision">
    <w:name w:val="Revision"/>
    <w:hidden/>
    <w:uiPriority w:val="99"/>
    <w:semiHidden/>
    <w:rsid w:val="003A6CA6"/>
    <w:rPr>
      <w:rFonts w:ascii="Times New Roman" w:hAnsi="Times New Roman"/>
      <w:sz w:val="24"/>
      <w:lang w:val="en-AU"/>
    </w:rPr>
  </w:style>
  <w:style w:type="character" w:customStyle="1" w:styleId="HeaderChar">
    <w:name w:val="Header Char"/>
    <w:basedOn w:val="DefaultParagraphFont"/>
    <w:link w:val="Header"/>
    <w:rsid w:val="003B6F31"/>
    <w:rPr>
      <w:rFonts w:ascii="Times New Roman" w:hAnsi="Times New Roman"/>
      <w:sz w:val="24"/>
      <w:lang w:val="en-AU"/>
    </w:rPr>
  </w:style>
  <w:style w:type="paragraph" w:styleId="Date">
    <w:name w:val="Date"/>
    <w:basedOn w:val="Normal"/>
    <w:next w:val="Normal"/>
    <w:link w:val="DateChar"/>
    <w:rsid w:val="00D45837"/>
  </w:style>
  <w:style w:type="character" w:customStyle="1" w:styleId="DateChar">
    <w:name w:val="Date Char"/>
    <w:basedOn w:val="DefaultParagraphFont"/>
    <w:link w:val="Date"/>
    <w:rsid w:val="00D45837"/>
    <w:rPr>
      <w:rFonts w:ascii="Times New Roman" w:hAnsi="Times New Roman"/>
      <w:sz w:val="24"/>
      <w:lang w:val="en-AU"/>
    </w:rPr>
  </w:style>
  <w:style w:type="paragraph" w:styleId="ListBullet">
    <w:name w:val="List Bullet"/>
    <w:aliases w:val="Bulleted List"/>
    <w:basedOn w:val="Normal"/>
    <w:rsid w:val="00BB17FB"/>
    <w:pPr>
      <w:keepLines/>
      <w:numPr>
        <w:numId w:val="9"/>
      </w:numPr>
      <w:spacing w:before="120" w:after="120" w:line="300" w:lineRule="auto"/>
    </w:pPr>
    <w:rPr>
      <w:kern w:val="24"/>
      <w:szCs w:val="24"/>
      <w:lang w:val="en-US" w:eastAsia="ja-JP"/>
    </w:rPr>
  </w:style>
  <w:style w:type="character" w:styleId="Hyperlink">
    <w:name w:val="Hyperlink"/>
    <w:uiPriority w:val="99"/>
    <w:qFormat/>
    <w:rsid w:val="00BB17FB"/>
    <w:rPr>
      <w:color w:val="0000FF"/>
      <w:u w:val="none"/>
    </w:rPr>
  </w:style>
  <w:style w:type="character" w:customStyle="1" w:styleId="TableTextChar">
    <w:name w:val="Table Text Char"/>
    <w:link w:val="TableText"/>
    <w:rsid w:val="00BB17FB"/>
    <w:rPr>
      <w:rFonts w:ascii="Times New Roman" w:hAnsi="Times New Roman"/>
      <w:kern w:val="24"/>
      <w:sz w:val="24"/>
    </w:rPr>
  </w:style>
  <w:style w:type="paragraph" w:styleId="NoSpacing">
    <w:name w:val="No Spacing"/>
    <w:uiPriority w:val="1"/>
    <w:qFormat/>
    <w:rsid w:val="00BB17FB"/>
    <w:rPr>
      <w:rFonts w:ascii="Times New Roman" w:hAnsi="Times New Roman"/>
      <w:kern w:val="24"/>
      <w:sz w:val="24"/>
      <w:szCs w:val="24"/>
      <w:lang w:eastAsia="ja-JP"/>
    </w:rPr>
  </w:style>
  <w:style w:type="paragraph" w:styleId="NormalWeb">
    <w:name w:val="Normal (Web)"/>
    <w:basedOn w:val="Normal"/>
    <w:uiPriority w:val="99"/>
    <w:unhideWhenUsed/>
    <w:rsid w:val="00BB17FB"/>
    <w:pPr>
      <w:spacing w:before="100" w:beforeAutospacing="1" w:after="100" w:afterAutospacing="1"/>
    </w:pPr>
    <w:rPr>
      <w:rFonts w:eastAsiaTheme="minorEastAsia"/>
      <w:szCs w:val="24"/>
      <w:lang w:val="en-US" w:eastAsia="en-US"/>
    </w:rPr>
  </w:style>
  <w:style w:type="paragraph" w:styleId="EndnoteText">
    <w:name w:val="endnote text"/>
    <w:basedOn w:val="Normal"/>
    <w:link w:val="EndnoteTextChar"/>
    <w:rsid w:val="00E1319D"/>
    <w:rPr>
      <w:sz w:val="20"/>
    </w:rPr>
  </w:style>
  <w:style w:type="character" w:customStyle="1" w:styleId="EndnoteTextChar">
    <w:name w:val="Endnote Text Char"/>
    <w:basedOn w:val="DefaultParagraphFont"/>
    <w:link w:val="EndnoteText"/>
    <w:rsid w:val="00E1319D"/>
    <w:rPr>
      <w:rFonts w:ascii="Times New Roman" w:hAnsi="Times New Roman"/>
      <w:lang w:val="en-AU"/>
    </w:rPr>
  </w:style>
  <w:style w:type="character" w:styleId="EndnoteReference">
    <w:name w:val="endnote reference"/>
    <w:basedOn w:val="DefaultParagraphFont"/>
    <w:rsid w:val="00E1319D"/>
    <w:rPr>
      <w:vertAlign w:val="superscript"/>
    </w:rPr>
  </w:style>
  <w:style w:type="paragraph" w:styleId="ListParagraph">
    <w:name w:val="List Paragraph"/>
    <w:basedOn w:val="Normal"/>
    <w:uiPriority w:val="34"/>
    <w:qFormat/>
    <w:rsid w:val="00F0107F"/>
    <w:pPr>
      <w:ind w:left="720"/>
      <w:contextualSpacing/>
    </w:pPr>
  </w:style>
  <w:style w:type="paragraph" w:customStyle="1" w:styleId="Default">
    <w:name w:val="Default"/>
    <w:rsid w:val="00142CBD"/>
    <w:pPr>
      <w:autoSpaceDE w:val="0"/>
      <w:autoSpaceDN w:val="0"/>
      <w:adjustRightInd w:val="0"/>
    </w:pPr>
    <w:rPr>
      <w:rFonts w:ascii="Times New Roman" w:hAnsi="Times New Roman"/>
      <w:color w:val="000000"/>
      <w:sz w:val="24"/>
      <w:szCs w:val="24"/>
    </w:rPr>
  </w:style>
  <w:style w:type="character" w:customStyle="1" w:styleId="TableFigureTitleChar">
    <w:name w:val="Table/Figure Title Char"/>
    <w:rsid w:val="001661F1"/>
    <w:rPr>
      <w:b/>
      <w:bCs/>
      <w:kern w:val="24"/>
      <w:sz w:val="24"/>
      <w:lang w:eastAsia="ja-JP"/>
    </w:rPr>
  </w:style>
  <w:style w:type="paragraph" w:customStyle="1" w:styleId="TableText9pt">
    <w:name w:val="Table Text 9pt"/>
    <w:basedOn w:val="TableText10pt"/>
    <w:uiPriority w:val="99"/>
    <w:rsid w:val="003A4FA2"/>
    <w:pPr>
      <w:spacing w:before="40" w:after="40"/>
    </w:pPr>
    <w:rPr>
      <w:sz w:val="18"/>
      <w:szCs w:val="24"/>
      <w:lang w:eastAsia="ja-JP"/>
    </w:rPr>
  </w:style>
  <w:style w:type="paragraph" w:customStyle="1" w:styleId="Text">
    <w:name w:val="Text"/>
    <w:basedOn w:val="Normal"/>
    <w:link w:val="TextChar"/>
    <w:qFormat/>
    <w:rsid w:val="003A4FA2"/>
    <w:pPr>
      <w:spacing w:after="240" w:line="300" w:lineRule="auto"/>
    </w:pPr>
    <w:rPr>
      <w:kern w:val="24"/>
      <w:szCs w:val="24"/>
      <w:lang w:val="en-US" w:eastAsia="ja-JP"/>
    </w:rPr>
  </w:style>
  <w:style w:type="character" w:customStyle="1" w:styleId="TextChar">
    <w:name w:val="Text Char"/>
    <w:basedOn w:val="DefaultParagraphFont"/>
    <w:link w:val="Text"/>
    <w:rsid w:val="003A4FA2"/>
    <w:rPr>
      <w:rFonts w:ascii="Times New Roman" w:hAnsi="Times New Roman"/>
      <w:kern w:val="24"/>
      <w:sz w:val="24"/>
      <w:szCs w:val="24"/>
      <w:lang w:eastAsia="ja-JP"/>
    </w:rPr>
  </w:style>
  <w:style w:type="paragraph" w:customStyle="1" w:styleId="StyleTableFootnoteSuperscript">
    <w:name w:val="Style Table Footnote + Superscript"/>
    <w:basedOn w:val="TableFootnote"/>
    <w:rsid w:val="005C2694"/>
    <w:pPr>
      <w:keepNext w:val="0"/>
      <w:tabs>
        <w:tab w:val="left" w:pos="432"/>
      </w:tabs>
      <w:ind w:left="0" w:firstLine="0"/>
    </w:pPr>
    <w:rPr>
      <w:sz w:val="18"/>
      <w:vertAlign w:val="superscript"/>
    </w:rPr>
  </w:style>
  <w:style w:type="character" w:customStyle="1" w:styleId="FooterChar">
    <w:name w:val="Footer Char"/>
    <w:basedOn w:val="DefaultParagraphFont"/>
    <w:link w:val="Footer"/>
    <w:rsid w:val="0099375B"/>
    <w:rPr>
      <w:rFonts w:ascii="Times New Roman" w:hAnsi="Times New Roman"/>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9994">
      <w:bodyDiv w:val="1"/>
      <w:marLeft w:val="0"/>
      <w:marRight w:val="0"/>
      <w:marTop w:val="0"/>
      <w:marBottom w:val="0"/>
      <w:divBdr>
        <w:top w:val="none" w:sz="0" w:space="0" w:color="auto"/>
        <w:left w:val="none" w:sz="0" w:space="0" w:color="auto"/>
        <w:bottom w:val="none" w:sz="0" w:space="0" w:color="auto"/>
        <w:right w:val="none" w:sz="0" w:space="0" w:color="auto"/>
      </w:divBdr>
    </w:div>
    <w:div w:id="263727679">
      <w:bodyDiv w:val="1"/>
      <w:marLeft w:val="0"/>
      <w:marRight w:val="0"/>
      <w:marTop w:val="0"/>
      <w:marBottom w:val="0"/>
      <w:divBdr>
        <w:top w:val="none" w:sz="0" w:space="0" w:color="auto"/>
        <w:left w:val="none" w:sz="0" w:space="0" w:color="auto"/>
        <w:bottom w:val="none" w:sz="0" w:space="0" w:color="auto"/>
        <w:right w:val="none" w:sz="0" w:space="0" w:color="auto"/>
      </w:divBdr>
    </w:div>
    <w:div w:id="549533057">
      <w:bodyDiv w:val="1"/>
      <w:marLeft w:val="0"/>
      <w:marRight w:val="0"/>
      <w:marTop w:val="0"/>
      <w:marBottom w:val="0"/>
      <w:divBdr>
        <w:top w:val="none" w:sz="0" w:space="0" w:color="auto"/>
        <w:left w:val="none" w:sz="0" w:space="0" w:color="auto"/>
        <w:bottom w:val="none" w:sz="0" w:space="0" w:color="auto"/>
        <w:right w:val="none" w:sz="0" w:space="0" w:color="auto"/>
      </w:divBdr>
    </w:div>
    <w:div w:id="1082919035">
      <w:bodyDiv w:val="1"/>
      <w:marLeft w:val="0"/>
      <w:marRight w:val="0"/>
      <w:marTop w:val="0"/>
      <w:marBottom w:val="0"/>
      <w:divBdr>
        <w:top w:val="none" w:sz="0" w:space="0" w:color="auto"/>
        <w:left w:val="none" w:sz="0" w:space="0" w:color="auto"/>
        <w:bottom w:val="none" w:sz="0" w:space="0" w:color="auto"/>
        <w:right w:val="none" w:sz="0" w:space="0" w:color="auto"/>
      </w:divBdr>
    </w:div>
    <w:div w:id="1145388580">
      <w:bodyDiv w:val="1"/>
      <w:marLeft w:val="0"/>
      <w:marRight w:val="0"/>
      <w:marTop w:val="0"/>
      <w:marBottom w:val="0"/>
      <w:divBdr>
        <w:top w:val="none" w:sz="0" w:space="0" w:color="auto"/>
        <w:left w:val="none" w:sz="0" w:space="0" w:color="auto"/>
        <w:bottom w:val="none" w:sz="0" w:space="0" w:color="auto"/>
        <w:right w:val="none" w:sz="0" w:space="0" w:color="auto"/>
      </w:divBdr>
    </w:div>
    <w:div w:id="1546795730">
      <w:bodyDiv w:val="1"/>
      <w:marLeft w:val="0"/>
      <w:marRight w:val="0"/>
      <w:marTop w:val="0"/>
      <w:marBottom w:val="0"/>
      <w:divBdr>
        <w:top w:val="none" w:sz="0" w:space="0" w:color="auto"/>
        <w:left w:val="none" w:sz="0" w:space="0" w:color="auto"/>
        <w:bottom w:val="none" w:sz="0" w:space="0" w:color="auto"/>
        <w:right w:val="none" w:sz="0" w:space="0" w:color="auto"/>
      </w:divBdr>
    </w:div>
    <w:div w:id="209790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gi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79D11F16D5341821E9F7DD292468E" ma:contentTypeVersion="0" ma:contentTypeDescription="Create a new document." ma:contentTypeScope="" ma:versionID="8223ba368ffd2dd233e063864b7f5c3f">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E3128-CBC6-4BFD-8AA9-8C3D4EBEB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50843B1-8AC3-4CB0-AA79-8653ECF3B261}">
  <ds:schemaRefs>
    <ds:schemaRef ds:uri="http://schemas.microsoft.com/sharepoint/v3/contenttype/forms"/>
  </ds:schemaRefs>
</ds:datastoreItem>
</file>

<file path=customXml/itemProps3.xml><?xml version="1.0" encoding="utf-8"?>
<ds:datastoreItem xmlns:ds="http://schemas.openxmlformats.org/officeDocument/2006/customXml" ds:itemID="{4F079453-50C9-4A9C-8668-D400F4669C2A}">
  <ds:schemaRefs>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FDF31FA7-1D06-4BE7-BCFB-FD85568A9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7077</Words>
  <Characters>38325</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Draft PI</vt:lpstr>
    </vt:vector>
  </TitlesOfParts>
  <Company>Allergan Australia Pty Ltd</Company>
  <LinksUpToDate>false</LinksUpToDate>
  <CharactersWithSpaces>45312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Dexamethasone (intravitreal implant)</dc:title>
  <dc:subject>prescription medicines</dc:subject>
  <dc:creator>Allergan Australia Pty Ltd</dc:creator>
  <cp:lastModifiedBy>LACK, Janet</cp:lastModifiedBy>
  <cp:revision>3</cp:revision>
  <cp:lastPrinted>2017-06-02T04:32:00Z</cp:lastPrinted>
  <dcterms:created xsi:type="dcterms:W3CDTF">2019-04-10T05:15:00Z</dcterms:created>
  <dcterms:modified xsi:type="dcterms:W3CDTF">2019-04-10T05:27:00Z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0x010100C9A79D11F16D5341821E9F7DD292468E</vt:lpwstr>
  </property>
</Properties>
</file>