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962B1" w14:textId="77777777" w:rsidR="003D316B" w:rsidRPr="00AF2C08" w:rsidRDefault="004A09A2" w:rsidP="004B488D">
      <w:pPr>
        <w:pStyle w:val="Heading1"/>
        <w:numPr>
          <w:ilvl w:val="0"/>
          <w:numId w:val="0"/>
        </w:numPr>
        <w:jc w:val="center"/>
      </w:pPr>
      <w:r w:rsidRPr="00AF2C08">
        <w:t>Australian product information</w:t>
      </w:r>
    </w:p>
    <w:p w14:paraId="5DFBFD0F" w14:textId="42DF41F6" w:rsidR="003D316B" w:rsidRPr="00AF2C08" w:rsidRDefault="009A7559" w:rsidP="00CC599B">
      <w:pPr>
        <w:pStyle w:val="Heading1"/>
        <w:numPr>
          <w:ilvl w:val="0"/>
          <w:numId w:val="0"/>
        </w:numPr>
        <w:spacing w:after="480"/>
        <w:jc w:val="center"/>
      </w:pPr>
      <w:r>
        <w:t>dovato</w:t>
      </w:r>
      <w:r w:rsidR="0021079F" w:rsidRPr="00AF2C08">
        <w:t xml:space="preserve"> </w:t>
      </w:r>
      <w:r w:rsidR="004A09A2" w:rsidRPr="00AF2C08">
        <w:t>(</w:t>
      </w:r>
      <w:r w:rsidR="00143D34" w:rsidRPr="00AF2C08">
        <w:rPr>
          <w:caps w:val="0"/>
        </w:rPr>
        <w:t>dolutegravir/</w:t>
      </w:r>
      <w:r>
        <w:rPr>
          <w:caps w:val="0"/>
        </w:rPr>
        <w:t>lamivudine</w:t>
      </w:r>
      <w:r w:rsidR="00143D34">
        <w:rPr>
          <w:caps w:val="0"/>
        </w:rPr>
        <w:t xml:space="preserve"> fixed-dose combination</w:t>
      </w:r>
      <w:r w:rsidR="004A09A2" w:rsidRPr="00AF2C08">
        <w:t>)</w:t>
      </w:r>
      <w:r w:rsidR="00143D34">
        <w:br/>
      </w:r>
      <w:r w:rsidR="00143D34">
        <w:rPr>
          <w:caps w:val="0"/>
        </w:rPr>
        <w:t>film-coated tablets</w:t>
      </w:r>
    </w:p>
    <w:p w14:paraId="272823B5" w14:textId="77777777" w:rsidR="003D316B" w:rsidRPr="00AF2C08" w:rsidRDefault="004A09A2" w:rsidP="00D10926">
      <w:pPr>
        <w:pStyle w:val="Heading1"/>
      </w:pPr>
      <w:r w:rsidRPr="00AF2C08">
        <w:t>Name of the medicine</w:t>
      </w:r>
    </w:p>
    <w:p w14:paraId="49EEA8E0" w14:textId="606DEE0A" w:rsidR="003D316B" w:rsidRPr="00AF2C08" w:rsidRDefault="004A09A2" w:rsidP="00192B58">
      <w:r w:rsidRPr="00AF2C08">
        <w:t xml:space="preserve">Dolutegravir (as dolutegravir sodium) and </w:t>
      </w:r>
      <w:r w:rsidR="009A7559">
        <w:t>lamivudine</w:t>
      </w:r>
    </w:p>
    <w:p w14:paraId="63D17636" w14:textId="77777777" w:rsidR="003D316B" w:rsidRPr="00AF2C08" w:rsidRDefault="004A09A2" w:rsidP="00192B58">
      <w:pPr>
        <w:pStyle w:val="Heading1"/>
      </w:pPr>
      <w:r w:rsidRPr="00AF2C08">
        <w:t>Qualitative and quantitative composition</w:t>
      </w:r>
    </w:p>
    <w:p w14:paraId="75B0D17A" w14:textId="719EA59A" w:rsidR="004B488D" w:rsidRPr="00AF2C08" w:rsidRDefault="004223CA" w:rsidP="00192B58">
      <w:r>
        <w:t>DOVATO</w:t>
      </w:r>
      <w:r w:rsidR="004A09A2" w:rsidRPr="00AF2C08">
        <w:t xml:space="preserve"> film-coated tablets contain 50 mg of dolutegravir (as dolutegravir sodium) and </w:t>
      </w:r>
      <w:r w:rsidR="009A7559">
        <w:t>300</w:t>
      </w:r>
      <w:r w:rsidR="004A09A2" w:rsidRPr="00AF2C08">
        <w:t xml:space="preserve"> mg</w:t>
      </w:r>
      <w:r w:rsidR="009A7559">
        <w:t xml:space="preserve"> of lamivudine</w:t>
      </w:r>
      <w:r w:rsidR="0075769B" w:rsidRPr="00AF2C08">
        <w:t>.</w:t>
      </w:r>
      <w:r w:rsidR="000343F2">
        <w:t xml:space="preserve"> Product information for dolutegravir and </w:t>
      </w:r>
      <w:r w:rsidR="00B32C7C">
        <w:t>lamivudine contain additional information.</w:t>
      </w:r>
    </w:p>
    <w:p w14:paraId="1B6129B0" w14:textId="4116651B" w:rsidR="00203786" w:rsidRPr="00AF2C08" w:rsidRDefault="004A09A2" w:rsidP="00192B58">
      <w:r w:rsidRPr="00AF2C08">
        <w:t>Dolutegravir sodium is a white to light yellow powder.</w:t>
      </w:r>
    </w:p>
    <w:p w14:paraId="3AC64BC1" w14:textId="133193A7" w:rsidR="004223CA" w:rsidRDefault="004223CA" w:rsidP="003750A2">
      <w:r>
        <w:t>Lamivudine is a white to off-white crystalline solid.</w:t>
      </w:r>
      <w:bookmarkStart w:id="0" w:name="_GoBack"/>
      <w:bookmarkEnd w:id="0"/>
    </w:p>
    <w:p w14:paraId="355BE2C4" w14:textId="02FA99E2" w:rsidR="003750A2" w:rsidRPr="00AF2C08" w:rsidRDefault="004223CA" w:rsidP="003750A2">
      <w:r>
        <w:t>DOVATO</w:t>
      </w:r>
      <w:r w:rsidR="003750A2" w:rsidRPr="00AF2C08">
        <w:t xml:space="preserve"> tablets </w:t>
      </w:r>
      <w:r w:rsidR="003750A2">
        <w:t xml:space="preserve">also </w:t>
      </w:r>
      <w:r w:rsidR="00B32C7C">
        <w:t>contain</w:t>
      </w:r>
      <w:r w:rsidR="003750A2" w:rsidRPr="00AF2C08">
        <w:t xml:space="preserve"> mannitol.</w:t>
      </w:r>
    </w:p>
    <w:p w14:paraId="1B82E113" w14:textId="2595FBA0" w:rsidR="00C5009F" w:rsidRPr="00AF2C08" w:rsidRDefault="003750A2" w:rsidP="00192B58">
      <w:r w:rsidRPr="00AF2C08">
        <w:t xml:space="preserve">For the full list of excipients, see Section 6.1 </w:t>
      </w:r>
      <w:r w:rsidR="00754ABB" w:rsidRPr="00AF2C08">
        <w:t>LIST OF EXCIPIENTS</w:t>
      </w:r>
      <w:r w:rsidRPr="00AF2C08">
        <w:t>.</w:t>
      </w:r>
    </w:p>
    <w:p w14:paraId="07014F00" w14:textId="77777777" w:rsidR="003D316B" w:rsidRPr="00AF2C08" w:rsidRDefault="004A09A2" w:rsidP="00192B58">
      <w:pPr>
        <w:pStyle w:val="Heading1"/>
      </w:pPr>
      <w:r w:rsidRPr="00AF2C08">
        <w:t>Pharmaceutical form</w:t>
      </w:r>
    </w:p>
    <w:p w14:paraId="58407636" w14:textId="7100E829" w:rsidR="00A8073E" w:rsidRPr="00AF2C08" w:rsidRDefault="006C1668" w:rsidP="00192B58">
      <w:r w:rsidRPr="009F60FD">
        <w:rPr>
          <w:bCs/>
          <w:szCs w:val="24"/>
        </w:rPr>
        <w:t>O</w:t>
      </w:r>
      <w:r w:rsidR="00B32C7C">
        <w:rPr>
          <w:bCs/>
          <w:szCs w:val="24"/>
        </w:rPr>
        <w:t>val, biconvex, white, film-</w:t>
      </w:r>
      <w:r w:rsidRPr="009F60FD">
        <w:rPr>
          <w:bCs/>
          <w:szCs w:val="24"/>
        </w:rPr>
        <w:t>coated tablet, debossed with “SV 137” on one face</w:t>
      </w:r>
      <w:r w:rsidR="00D00468">
        <w:t>.</w:t>
      </w:r>
    </w:p>
    <w:p w14:paraId="3C03CCD6" w14:textId="77777777" w:rsidR="003D316B" w:rsidRPr="00AF2C08" w:rsidRDefault="004A09A2" w:rsidP="00192B58">
      <w:pPr>
        <w:pStyle w:val="Heading1"/>
      </w:pPr>
      <w:r w:rsidRPr="00AF2C08">
        <w:t>Clinical particulars</w:t>
      </w:r>
    </w:p>
    <w:p w14:paraId="78D5F1B3" w14:textId="77777777" w:rsidR="003D316B" w:rsidRPr="00AF2C08" w:rsidRDefault="004A09A2" w:rsidP="00D10926">
      <w:pPr>
        <w:pStyle w:val="Heading2"/>
      </w:pPr>
      <w:r w:rsidRPr="00AF2C08">
        <w:t xml:space="preserve">Therapeutic indications </w:t>
      </w:r>
    </w:p>
    <w:p w14:paraId="42A65690" w14:textId="6CD5D795" w:rsidR="003D316B" w:rsidRPr="00AF2C08" w:rsidRDefault="004223CA" w:rsidP="00D10926">
      <w:r>
        <w:t>DOVATO</w:t>
      </w:r>
      <w:r w:rsidR="004A09A2" w:rsidRPr="00AF2C08">
        <w:t xml:space="preserve"> (</w:t>
      </w:r>
      <w:r w:rsidR="00EB0533">
        <w:t xml:space="preserve">a fixed dose combination of </w:t>
      </w:r>
      <w:r w:rsidR="004A09A2" w:rsidRPr="00AF2C08">
        <w:t>dolutegravir</w:t>
      </w:r>
      <w:r w:rsidR="00EB0533">
        <w:t xml:space="preserve"> and </w:t>
      </w:r>
      <w:r w:rsidR="006C1668">
        <w:t>lamivudin</w:t>
      </w:r>
      <w:r w:rsidR="00B64546">
        <w:t>e</w:t>
      </w:r>
      <w:r w:rsidR="004A09A2" w:rsidRPr="00AF2C08">
        <w:t xml:space="preserve">) </w:t>
      </w:r>
      <w:r w:rsidR="006C1668" w:rsidRPr="009F60FD">
        <w:rPr>
          <w:bCs/>
          <w:szCs w:val="24"/>
        </w:rPr>
        <w:t>is indicated for the treatment of Human Immunodeficiency Virus</w:t>
      </w:r>
      <w:r w:rsidR="001B06D2">
        <w:rPr>
          <w:bCs/>
          <w:szCs w:val="24"/>
        </w:rPr>
        <w:t>-1</w:t>
      </w:r>
      <w:r w:rsidR="006C1668" w:rsidRPr="009F60FD">
        <w:rPr>
          <w:bCs/>
          <w:szCs w:val="24"/>
        </w:rPr>
        <w:t xml:space="preserve"> (HIV</w:t>
      </w:r>
      <w:r w:rsidR="001B06D2">
        <w:rPr>
          <w:bCs/>
          <w:szCs w:val="24"/>
        </w:rPr>
        <w:t>-1</w:t>
      </w:r>
      <w:r w:rsidR="006C1668" w:rsidRPr="009F60FD">
        <w:rPr>
          <w:bCs/>
          <w:szCs w:val="24"/>
        </w:rPr>
        <w:t xml:space="preserve">) infection in </w:t>
      </w:r>
      <w:r w:rsidR="00EB0533">
        <w:rPr>
          <w:bCs/>
          <w:szCs w:val="24"/>
        </w:rPr>
        <w:t xml:space="preserve">antiretroviral </w:t>
      </w:r>
      <w:r w:rsidR="00EA5995">
        <w:rPr>
          <w:bCs/>
          <w:szCs w:val="24"/>
        </w:rPr>
        <w:t xml:space="preserve">treatment-naïve </w:t>
      </w:r>
      <w:r w:rsidR="006C1668" w:rsidRPr="009F60FD">
        <w:rPr>
          <w:bCs/>
          <w:szCs w:val="24"/>
        </w:rPr>
        <w:t xml:space="preserve">adults and adolescents </w:t>
      </w:r>
      <w:r w:rsidR="00EB0533">
        <w:rPr>
          <w:bCs/>
          <w:szCs w:val="24"/>
        </w:rPr>
        <w:t>(</w:t>
      </w:r>
      <w:r w:rsidR="006C1668" w:rsidRPr="009F60FD">
        <w:rPr>
          <w:bCs/>
          <w:szCs w:val="24"/>
        </w:rPr>
        <w:t>from 12 years of age weighing at least 40 kg</w:t>
      </w:r>
      <w:r w:rsidR="00EB0533">
        <w:rPr>
          <w:bCs/>
          <w:szCs w:val="24"/>
        </w:rPr>
        <w:t>)</w:t>
      </w:r>
      <w:r w:rsidR="006C1668" w:rsidRPr="00E36A60">
        <w:rPr>
          <w:bCs/>
          <w:szCs w:val="24"/>
        </w:rPr>
        <w:t xml:space="preserve"> who have no known or suspected resistance to either antiretroviral component</w:t>
      </w:r>
      <w:r w:rsidR="008C2CE0">
        <w:rPr>
          <w:bCs/>
          <w:szCs w:val="24"/>
        </w:rPr>
        <w:t xml:space="preserve"> (see section 5.1 PHARMACODYNAMIC PROPERTIES, Clinical trials)</w:t>
      </w:r>
      <w:r w:rsidR="006C1668" w:rsidRPr="00E36A60">
        <w:rPr>
          <w:bCs/>
          <w:szCs w:val="24"/>
        </w:rPr>
        <w:t>.</w:t>
      </w:r>
    </w:p>
    <w:p w14:paraId="0253B9F1" w14:textId="77777777" w:rsidR="003D316B" w:rsidRPr="00AF2C08" w:rsidRDefault="004A09A2" w:rsidP="00192B58">
      <w:pPr>
        <w:pStyle w:val="Heading2"/>
      </w:pPr>
      <w:r w:rsidRPr="00AF2C08">
        <w:t xml:space="preserve">Dose and method of administration </w:t>
      </w:r>
    </w:p>
    <w:p w14:paraId="61110E0B" w14:textId="0FF9030F" w:rsidR="00DE45D0" w:rsidRPr="00AF2C08" w:rsidRDefault="004223CA" w:rsidP="00192B58">
      <w:r>
        <w:t>DOVATO</w:t>
      </w:r>
      <w:r w:rsidR="004A09A2" w:rsidRPr="00AF2C08">
        <w:t xml:space="preserve"> therapy should be initiated by a physician experienced in th</w:t>
      </w:r>
      <w:r w:rsidR="00DE45D0" w:rsidRPr="00AF2C08">
        <w:t>e management of HIV infection.</w:t>
      </w:r>
    </w:p>
    <w:p w14:paraId="31A9B719" w14:textId="6310ED8C" w:rsidR="006C1668" w:rsidRPr="009F60FD" w:rsidRDefault="006C1668" w:rsidP="006C1668">
      <w:r>
        <w:t>DOVATO</w:t>
      </w:r>
      <w:r w:rsidRPr="009F60FD">
        <w:t xml:space="preserve"> can be taken with or without food.</w:t>
      </w:r>
    </w:p>
    <w:p w14:paraId="56E20EAD" w14:textId="020D110A" w:rsidR="006C1668" w:rsidRPr="009F60FD" w:rsidRDefault="006C1668" w:rsidP="006C1668">
      <w:r>
        <w:t>DOVATO</w:t>
      </w:r>
      <w:r w:rsidRPr="009F60FD">
        <w:t xml:space="preserve"> is a fixed-dose tablet and should not be prescribed for patients requiring dosage adjustments, such as those with creatinine clearance less than 50 mL/min. </w:t>
      </w:r>
    </w:p>
    <w:p w14:paraId="5E070B0D" w14:textId="395CB46E" w:rsidR="00DB24C3" w:rsidRDefault="00EB0533" w:rsidP="00DB24C3">
      <w:pPr>
        <w:rPr>
          <w:bCs/>
          <w:szCs w:val="24"/>
        </w:rPr>
      </w:pPr>
      <w:r>
        <w:rPr>
          <w:bCs/>
          <w:szCs w:val="24"/>
        </w:rPr>
        <w:t>S</w:t>
      </w:r>
      <w:r w:rsidRPr="009F60FD">
        <w:rPr>
          <w:bCs/>
          <w:szCs w:val="24"/>
        </w:rPr>
        <w:t>eparate preparation</w:t>
      </w:r>
      <w:r>
        <w:rPr>
          <w:bCs/>
          <w:szCs w:val="24"/>
        </w:rPr>
        <w:t>s</w:t>
      </w:r>
      <w:r w:rsidRPr="009F60FD">
        <w:rPr>
          <w:bCs/>
          <w:szCs w:val="24"/>
        </w:rPr>
        <w:t xml:space="preserve"> of dolutegravir </w:t>
      </w:r>
      <w:r>
        <w:rPr>
          <w:bCs/>
          <w:szCs w:val="24"/>
        </w:rPr>
        <w:t>or lamivudine should be administered</w:t>
      </w:r>
      <w:r w:rsidR="00DB24C3">
        <w:rPr>
          <w:bCs/>
          <w:szCs w:val="24"/>
        </w:rPr>
        <w:t xml:space="preserve"> in cases where discontinuation or</w:t>
      </w:r>
      <w:r w:rsidRPr="009F60FD">
        <w:rPr>
          <w:bCs/>
          <w:szCs w:val="24"/>
        </w:rPr>
        <w:t xml:space="preserve"> dose adjustment</w:t>
      </w:r>
      <w:r w:rsidR="00DB24C3">
        <w:rPr>
          <w:bCs/>
          <w:szCs w:val="24"/>
        </w:rPr>
        <w:t>s are</w:t>
      </w:r>
      <w:r w:rsidRPr="009F60FD">
        <w:rPr>
          <w:bCs/>
          <w:szCs w:val="24"/>
        </w:rPr>
        <w:t xml:space="preserve"> required</w:t>
      </w:r>
      <w:r>
        <w:t>.</w:t>
      </w:r>
      <w:r w:rsidRPr="009F60FD">
        <w:rPr>
          <w:bCs/>
          <w:szCs w:val="24"/>
        </w:rPr>
        <w:t xml:space="preserve"> </w:t>
      </w:r>
      <w:r w:rsidR="00DB24C3" w:rsidRPr="009F60FD">
        <w:rPr>
          <w:bCs/>
          <w:szCs w:val="24"/>
        </w:rPr>
        <w:t>In th</w:t>
      </w:r>
      <w:r w:rsidR="00DB24C3">
        <w:rPr>
          <w:bCs/>
          <w:szCs w:val="24"/>
        </w:rPr>
        <w:t>ese</w:t>
      </w:r>
      <w:r w:rsidR="00DB24C3" w:rsidRPr="009F60FD">
        <w:rPr>
          <w:bCs/>
          <w:szCs w:val="24"/>
        </w:rPr>
        <w:t xml:space="preserve"> case</w:t>
      </w:r>
      <w:r w:rsidR="00DB24C3">
        <w:rPr>
          <w:bCs/>
          <w:szCs w:val="24"/>
        </w:rPr>
        <w:t>s,</w:t>
      </w:r>
      <w:r w:rsidR="00DB24C3" w:rsidRPr="009F60FD">
        <w:rPr>
          <w:bCs/>
          <w:szCs w:val="24"/>
        </w:rPr>
        <w:t xml:space="preserve"> the physician should refer to the </w:t>
      </w:r>
      <w:r w:rsidR="00DB24C3">
        <w:rPr>
          <w:bCs/>
          <w:szCs w:val="24"/>
        </w:rPr>
        <w:t>individual</w:t>
      </w:r>
      <w:r w:rsidR="00DB24C3" w:rsidRPr="006C1668">
        <w:rPr>
          <w:bCs/>
          <w:szCs w:val="24"/>
        </w:rPr>
        <w:t xml:space="preserve"> </w:t>
      </w:r>
      <w:r w:rsidR="00DB24C3" w:rsidRPr="009F60FD">
        <w:rPr>
          <w:bCs/>
          <w:szCs w:val="24"/>
        </w:rPr>
        <w:t>product information</w:t>
      </w:r>
      <w:r w:rsidR="00DB24C3">
        <w:rPr>
          <w:bCs/>
          <w:szCs w:val="24"/>
        </w:rPr>
        <w:t xml:space="preserve"> for these medicinal products</w:t>
      </w:r>
      <w:r w:rsidR="00DB24C3" w:rsidRPr="009F60FD">
        <w:rPr>
          <w:bCs/>
          <w:szCs w:val="24"/>
        </w:rPr>
        <w:t>.</w:t>
      </w:r>
    </w:p>
    <w:p w14:paraId="7287B332" w14:textId="77777777" w:rsidR="00EB0533" w:rsidRPr="006C1668" w:rsidRDefault="00EB0533" w:rsidP="00192B58">
      <w:pPr>
        <w:rPr>
          <w:bCs/>
          <w:szCs w:val="24"/>
        </w:rPr>
      </w:pPr>
    </w:p>
    <w:p w14:paraId="28B20C55" w14:textId="4D00ABF5" w:rsidR="00855037" w:rsidRPr="00AF2C08" w:rsidRDefault="0075769B" w:rsidP="00855037">
      <w:pPr>
        <w:spacing w:before="200" w:after="0"/>
        <w:rPr>
          <w:b/>
        </w:rPr>
      </w:pPr>
      <w:r w:rsidRPr="00AF2C08">
        <w:rPr>
          <w:b/>
        </w:rPr>
        <w:lastRenderedPageBreak/>
        <w:t>Adults</w:t>
      </w:r>
      <w:r w:rsidR="006C1668">
        <w:rPr>
          <w:b/>
        </w:rPr>
        <w:t xml:space="preserve"> and Adolescents</w:t>
      </w:r>
    </w:p>
    <w:p w14:paraId="518FD2B9" w14:textId="4C526687" w:rsidR="0075769B" w:rsidRPr="00AF2C08" w:rsidRDefault="004A09A2" w:rsidP="00855037">
      <w:r w:rsidRPr="00AF2C08">
        <w:t xml:space="preserve">The recommended dose of </w:t>
      </w:r>
      <w:r w:rsidR="004223CA">
        <w:t>DOVATO</w:t>
      </w:r>
      <w:r w:rsidRPr="00AF2C08">
        <w:t xml:space="preserve"> in adults </w:t>
      </w:r>
      <w:r w:rsidR="006C1668" w:rsidRPr="009F60FD">
        <w:t xml:space="preserve">and adolescents weighing at least 40 kg </w:t>
      </w:r>
      <w:r w:rsidRPr="00AF2C08">
        <w:t xml:space="preserve">is one tablet </w:t>
      </w:r>
      <w:r w:rsidR="00DB24C3">
        <w:t xml:space="preserve">(containing 50 mg of dolutegravir and 300 mg of lamivudine) </w:t>
      </w:r>
      <w:r w:rsidRPr="00AF2C08">
        <w:t>once daily.</w:t>
      </w:r>
    </w:p>
    <w:p w14:paraId="1593E5BE" w14:textId="16864E33" w:rsidR="0075769B" w:rsidRPr="00AF2C08" w:rsidRDefault="006C1668" w:rsidP="00855037">
      <w:pPr>
        <w:spacing w:before="200" w:after="0"/>
        <w:rPr>
          <w:b/>
        </w:rPr>
      </w:pPr>
      <w:r>
        <w:rPr>
          <w:b/>
        </w:rPr>
        <w:t>C</w:t>
      </w:r>
      <w:r w:rsidR="0075769B" w:rsidRPr="00AF2C08">
        <w:rPr>
          <w:b/>
        </w:rPr>
        <w:t>hildren</w:t>
      </w:r>
    </w:p>
    <w:p w14:paraId="39BDEB83" w14:textId="71545EAE" w:rsidR="0048002D" w:rsidRDefault="00DB24C3" w:rsidP="002F512E">
      <w:pPr>
        <w:spacing w:after="0"/>
        <w:rPr>
          <w:rFonts w:eastAsia="MS Mincho"/>
        </w:rPr>
      </w:pPr>
      <w:r>
        <w:t xml:space="preserve">The safety and efficacy of DOVATO in children aged less than 12 years or weighing less than </w:t>
      </w:r>
      <w:r w:rsidRPr="009F60FD">
        <w:t xml:space="preserve">40 kg </w:t>
      </w:r>
      <w:r>
        <w:t>have not been established. No data are available.</w:t>
      </w:r>
    </w:p>
    <w:p w14:paraId="10FAF29E" w14:textId="417828B1" w:rsidR="0075769B" w:rsidRPr="00AF2C08" w:rsidRDefault="0075769B" w:rsidP="00855037">
      <w:pPr>
        <w:spacing w:before="200" w:after="0"/>
        <w:rPr>
          <w:b/>
        </w:rPr>
      </w:pPr>
      <w:r w:rsidRPr="00AF2C08">
        <w:rPr>
          <w:b/>
        </w:rPr>
        <w:t>Elderly</w:t>
      </w:r>
    </w:p>
    <w:p w14:paraId="063A445C" w14:textId="62D0C789" w:rsidR="0075769B" w:rsidRPr="009F5E58" w:rsidRDefault="004A09A2" w:rsidP="00855037">
      <w:r w:rsidRPr="00AF2C08">
        <w:t xml:space="preserve">There are limited data available on the use of </w:t>
      </w:r>
      <w:r w:rsidR="0048002D">
        <w:t>dolutegravir and lamivudine</w:t>
      </w:r>
      <w:r w:rsidRPr="00AF2C08">
        <w:t xml:space="preserve"> in patients aged 65 years and over</w:t>
      </w:r>
      <w:r w:rsidR="00540776">
        <w:t xml:space="preserve">. </w:t>
      </w:r>
      <w:r w:rsidR="0048002D" w:rsidRPr="009F60FD">
        <w:rPr>
          <w:bCs/>
          <w:szCs w:val="24"/>
        </w:rPr>
        <w:t>However, there is no evidence that elderly patients require a different dose than younger adult patients</w:t>
      </w:r>
      <w:r w:rsidR="0048002D" w:rsidRPr="00AF2C08">
        <w:t xml:space="preserve"> </w:t>
      </w:r>
      <w:r w:rsidRPr="00AF2C08">
        <w:t>(</w:t>
      </w:r>
      <w:r w:rsidR="00C5009F" w:rsidRPr="00AF2C08">
        <w:t xml:space="preserve">see Section 5.2 </w:t>
      </w:r>
      <w:r w:rsidR="00CD24CA" w:rsidRPr="00AF2C08">
        <w:t>PHARMACOKINETIC PROPERTIES</w:t>
      </w:r>
      <w:r w:rsidR="00C5009F" w:rsidRPr="00AF2C08">
        <w:t xml:space="preserve">, </w:t>
      </w:r>
      <w:r w:rsidR="0075769B" w:rsidRPr="00AF2C08">
        <w:t>Special patient populations).</w:t>
      </w:r>
      <w:r w:rsidR="0048002D" w:rsidRPr="0048002D">
        <w:rPr>
          <w:bCs/>
          <w:szCs w:val="24"/>
        </w:rPr>
        <w:t xml:space="preserve"> </w:t>
      </w:r>
      <w:r w:rsidR="0048002D" w:rsidRPr="009F60FD">
        <w:rPr>
          <w:bCs/>
          <w:szCs w:val="24"/>
        </w:rPr>
        <w:t>When treating elderly patients, consideration needs to be given to the greater frequency of decreased hepatic and renal function, haematological abnormalities, and concomitant medicinal products or disease.</w:t>
      </w:r>
      <w:r w:rsidR="009F5E58" w:rsidRPr="009F5E58">
        <w:rPr>
          <w:i/>
          <w:iCs/>
        </w:rPr>
        <w:t xml:space="preserve"> </w:t>
      </w:r>
    </w:p>
    <w:p w14:paraId="045D304D" w14:textId="77777777" w:rsidR="0075769B" w:rsidRPr="00AF2C08" w:rsidRDefault="0075769B" w:rsidP="00855037">
      <w:pPr>
        <w:spacing w:before="200" w:after="0"/>
        <w:rPr>
          <w:b/>
        </w:rPr>
      </w:pPr>
      <w:r w:rsidRPr="00AF2C08">
        <w:rPr>
          <w:b/>
        </w:rPr>
        <w:t>Renal impairment</w:t>
      </w:r>
    </w:p>
    <w:p w14:paraId="17807056" w14:textId="47C91E58" w:rsidR="0075769B" w:rsidRPr="00AF2C08" w:rsidRDefault="00500608" w:rsidP="00192B58">
      <w:r>
        <w:t xml:space="preserve">DOVATO has not been evaluated in subjects with renal impairment. </w:t>
      </w:r>
      <w:r w:rsidR="0048002D" w:rsidRPr="009F60FD">
        <w:t>Whilst no dosage adjustment of dolutegravir is necessary in patients with renal impairment, a dose reduction of lamivudine is required due to decreased clearance. Therefore</w:t>
      </w:r>
      <w:r w:rsidR="0048002D">
        <w:t>,</w:t>
      </w:r>
      <w:r w:rsidR="0048002D" w:rsidRPr="009F60FD">
        <w:t xml:space="preserve"> </w:t>
      </w:r>
      <w:r w:rsidR="0048002D">
        <w:t>DOVATO</w:t>
      </w:r>
      <w:r w:rsidR="0048002D" w:rsidRPr="009F60FD">
        <w:t xml:space="preserve"> is not recommended for use in patients with a </w:t>
      </w:r>
      <w:bookmarkStart w:id="1" w:name="_Hlk518391186"/>
      <w:r w:rsidR="0048002D" w:rsidRPr="009F60FD">
        <w:t>creatinine clearance less than 50 mL/min</w:t>
      </w:r>
      <w:bookmarkEnd w:id="1"/>
      <w:r w:rsidR="0048002D">
        <w:t xml:space="preserve"> </w:t>
      </w:r>
      <w:r w:rsidR="0048002D" w:rsidRPr="00AF2C08">
        <w:t>(see Section 5.2 PHARMACOKINETIC PROPERTIES, Special patient populations).</w:t>
      </w:r>
    </w:p>
    <w:p w14:paraId="35625E79" w14:textId="77777777" w:rsidR="0075769B" w:rsidRPr="00AF2C08" w:rsidRDefault="0075769B" w:rsidP="00855037">
      <w:pPr>
        <w:spacing w:before="200" w:after="0"/>
        <w:rPr>
          <w:b/>
        </w:rPr>
      </w:pPr>
      <w:r w:rsidRPr="00AF2C08">
        <w:rPr>
          <w:b/>
        </w:rPr>
        <w:t>Hepatic impairment</w:t>
      </w:r>
    </w:p>
    <w:p w14:paraId="19CF0986" w14:textId="7C49A451" w:rsidR="003D316B" w:rsidRPr="001617E4" w:rsidRDefault="00773070" w:rsidP="00192B58">
      <w:r w:rsidRPr="00773070">
        <w:t xml:space="preserve">DOVATO has not been evaluated in subjects with </w:t>
      </w:r>
      <w:r>
        <w:t>hepatic</w:t>
      </w:r>
      <w:r w:rsidRPr="00773070">
        <w:t xml:space="preserve"> impairment.</w:t>
      </w:r>
      <w:r>
        <w:t xml:space="preserve"> </w:t>
      </w:r>
      <w:r w:rsidR="004A09A2" w:rsidRPr="00AF2C08">
        <w:t xml:space="preserve">No dosage adjustment is required in patients with mild or moderate hepatic impairment (Child-Pugh score A or B). </w:t>
      </w:r>
      <w:r w:rsidR="00BE163C">
        <w:t>No data are available for dolutegravir</w:t>
      </w:r>
      <w:r w:rsidR="004A09A2" w:rsidRPr="00AF2C08">
        <w:t xml:space="preserve"> in patients with severe hepatic impairment (Child-Pugh score C)</w:t>
      </w:r>
      <w:r w:rsidR="00BE163C">
        <w:t xml:space="preserve"> </w:t>
      </w:r>
      <w:r w:rsidR="004A09A2" w:rsidRPr="00AF2C08">
        <w:t>(</w:t>
      </w:r>
      <w:r w:rsidR="00C5009F" w:rsidRPr="00AF2C08">
        <w:t xml:space="preserve">see Section 5.2 </w:t>
      </w:r>
      <w:r w:rsidR="00CD24CA" w:rsidRPr="00AF2C08">
        <w:t>PHARMACOKINETIC PROPERTIES</w:t>
      </w:r>
      <w:r w:rsidR="00C5009F" w:rsidRPr="00AF2C08">
        <w:t xml:space="preserve">, </w:t>
      </w:r>
      <w:r w:rsidR="004A09A2" w:rsidRPr="00AF2C08">
        <w:t>Special patient populations).</w:t>
      </w:r>
      <w:r w:rsidR="00467909">
        <w:t xml:space="preserve"> </w:t>
      </w:r>
      <w:r w:rsidR="001617E4" w:rsidRPr="001617E4">
        <w:rPr>
          <w:iCs/>
        </w:rPr>
        <w:t>DOVATO is not recommended for patients with severe hepatic impairment</w:t>
      </w:r>
      <w:r w:rsidR="00EF7CB7">
        <w:rPr>
          <w:iCs/>
        </w:rPr>
        <w:t>.</w:t>
      </w:r>
    </w:p>
    <w:p w14:paraId="36AD0AAF" w14:textId="5C9F541B" w:rsidR="003D316B" w:rsidRPr="00AF2C08" w:rsidRDefault="004A09A2" w:rsidP="00855037">
      <w:pPr>
        <w:pStyle w:val="Heading2"/>
      </w:pPr>
      <w:r w:rsidRPr="00AF2C08">
        <w:t>Contraindications</w:t>
      </w:r>
    </w:p>
    <w:p w14:paraId="277FAD79" w14:textId="363650CF" w:rsidR="00E4121A" w:rsidRPr="00AF2C08" w:rsidRDefault="004223CA" w:rsidP="00855037">
      <w:r>
        <w:t>DOVATO</w:t>
      </w:r>
      <w:r w:rsidR="004A09A2" w:rsidRPr="00AF2C08">
        <w:t xml:space="preserve"> is contraindicated in patients with known hypersensitivity to dolutegravir or </w:t>
      </w:r>
      <w:r w:rsidR="00BE163C">
        <w:t>lamivudine</w:t>
      </w:r>
      <w:r w:rsidR="004A09A2" w:rsidRPr="00AF2C08">
        <w:t xml:space="preserve"> or t</w:t>
      </w:r>
      <w:r w:rsidR="00E4121A" w:rsidRPr="00AF2C08">
        <w:t>o any of the excipients</w:t>
      </w:r>
      <w:r w:rsidR="00445D66">
        <w:t xml:space="preserve"> </w:t>
      </w:r>
      <w:r w:rsidR="00445D66" w:rsidRPr="00566C94">
        <w:t>(see Section 6.1 LIST OF EXCIPIENTS)</w:t>
      </w:r>
      <w:r w:rsidR="00445D66" w:rsidRPr="00E13C70">
        <w:t>.</w:t>
      </w:r>
    </w:p>
    <w:p w14:paraId="506A433D" w14:textId="234A52B2" w:rsidR="003D316B" w:rsidRPr="00AF2C08" w:rsidRDefault="004223CA" w:rsidP="00BE163C">
      <w:r>
        <w:t>DOVATO</w:t>
      </w:r>
      <w:r w:rsidR="004A09A2" w:rsidRPr="00AF2C08">
        <w:t xml:space="preserve"> is contr</w:t>
      </w:r>
      <w:r w:rsidR="00BE163C">
        <w:t xml:space="preserve">aindicated in combination with </w:t>
      </w:r>
      <w:proofErr w:type="spellStart"/>
      <w:r w:rsidR="00BE163C">
        <w:t>dofetilide</w:t>
      </w:r>
      <w:proofErr w:type="spellEnd"/>
      <w:r w:rsidR="00BE163C">
        <w:t xml:space="preserve"> or </w:t>
      </w:r>
      <w:proofErr w:type="spellStart"/>
      <w:r w:rsidR="00BE163C">
        <w:t>pilsicainide</w:t>
      </w:r>
      <w:proofErr w:type="spellEnd"/>
      <w:r w:rsidR="00BE163C">
        <w:t>.</w:t>
      </w:r>
    </w:p>
    <w:p w14:paraId="17A25D65" w14:textId="5DF03556" w:rsidR="003D316B" w:rsidRDefault="004A09A2" w:rsidP="00192B58">
      <w:pPr>
        <w:pStyle w:val="Heading2"/>
      </w:pPr>
      <w:r w:rsidRPr="00AF2C08">
        <w:t>Special warnings and precautions for use</w:t>
      </w:r>
    </w:p>
    <w:p w14:paraId="633B06D9" w14:textId="008A5B2C" w:rsidR="00BE163C" w:rsidRPr="00BE163C" w:rsidRDefault="00BE163C" w:rsidP="00BE163C">
      <w:pPr>
        <w:rPr>
          <w:bCs/>
          <w:lang w:val="en-US"/>
        </w:rPr>
      </w:pPr>
      <w:r w:rsidRPr="009F60FD">
        <w:t xml:space="preserve">The special warnings and precautions relevant to dolutegravir and lamivudine are included in this section. There are no additional precautions and warnings relevant to </w:t>
      </w:r>
      <w:r>
        <w:t>DOVATO</w:t>
      </w:r>
      <w:r w:rsidRPr="009F60FD">
        <w:t>.</w:t>
      </w:r>
      <w:r w:rsidRPr="009F60FD">
        <w:rPr>
          <w:bCs/>
          <w:lang w:val="en-US"/>
        </w:rPr>
        <w:t xml:space="preserve"> </w:t>
      </w:r>
    </w:p>
    <w:p w14:paraId="4AE5A430" w14:textId="77777777" w:rsidR="00A8073E" w:rsidRPr="00AF2C08" w:rsidRDefault="000968C1" w:rsidP="00192B58">
      <w:pPr>
        <w:pStyle w:val="Heading3"/>
      </w:pPr>
      <w:r w:rsidRPr="00AF2C08">
        <w:t xml:space="preserve">Hypersensitivity </w:t>
      </w:r>
      <w:r w:rsidR="0004222B">
        <w:t>r</w:t>
      </w:r>
      <w:r w:rsidR="004A09A2" w:rsidRPr="00AF2C08">
        <w:t>eactions</w:t>
      </w:r>
    </w:p>
    <w:p w14:paraId="66D89DA0" w14:textId="1A3DCE8B" w:rsidR="003D316B" w:rsidRDefault="004A09A2" w:rsidP="00192B58">
      <w:r w:rsidRPr="00AF2C08">
        <w:t xml:space="preserve">Hypersensitivity reactions have been reported with integrase inhibitors, including dolutegravir, and were characterised by rash, constitutional findings, and sometimes, organ dysfunction, including liver injury. Discontinue </w:t>
      </w:r>
      <w:r w:rsidR="004223CA">
        <w:t>DOVATO</w:t>
      </w:r>
      <w:r w:rsidRPr="00AF2C08">
        <w:t xml:space="preserve"> and other suspect agents immediately if signs or symptoms of hypersensitivity reactions develop (including, but not limited to, severe rash or rash accompanied by fever, general malaise, fatigue, muscle or joint aches, blisters, oral lesions, conjunctivitis, facial oedema, hepatitis, eosinophilia, </w:t>
      </w:r>
      <w:r w:rsidRPr="00AF2C08">
        <w:lastRenderedPageBreak/>
        <w:t xml:space="preserve">angioedema). Clinical status including liver aminotransferases should be monitored and appropriate therapy initiated. Delay in stopping treatment with </w:t>
      </w:r>
      <w:r w:rsidR="004223CA">
        <w:t>DOVATO</w:t>
      </w:r>
      <w:r w:rsidRPr="00AF2C08">
        <w:t xml:space="preserve"> or other suspect agents after the onset of hypersensitivity may result in a life-threatening reaction.</w:t>
      </w:r>
    </w:p>
    <w:p w14:paraId="11C0C748" w14:textId="40D59963" w:rsidR="00043657" w:rsidRDefault="00043657" w:rsidP="00F85BB5">
      <w:pPr>
        <w:pStyle w:val="Heading3"/>
      </w:pPr>
      <w:r w:rsidRPr="00A27888">
        <w:t>Lactic acidosis/severe hepatomegaly with steatosis</w:t>
      </w:r>
    </w:p>
    <w:p w14:paraId="7DD79689" w14:textId="77777777" w:rsidR="00A27888" w:rsidRPr="00A27888" w:rsidRDefault="00A27888" w:rsidP="00A27888">
      <w:r w:rsidRPr="00A27888">
        <w:t>Lactic acidosis and severe hepatomegaly with steatosis, including fatal cases, have been reported with the use of antiretroviral nucleoside analogues either alone or in combination, including lamivudine. A majority of these cases have been in women.</w:t>
      </w:r>
    </w:p>
    <w:p w14:paraId="52B706DF" w14:textId="77777777" w:rsidR="00A27888" w:rsidRPr="00A27888" w:rsidRDefault="00A27888" w:rsidP="00A27888">
      <w:r w:rsidRPr="00A27888">
        <w:t>Clinical features which may be indicative of the development of lactic acidosis include generalised weakness, anorexia, and sudden unexplained weight loss, gastrointestinal symptoms and respiratory symptoms (dyspnoea and tachypnoea).</w:t>
      </w:r>
    </w:p>
    <w:p w14:paraId="5D6A410E" w14:textId="603EAD8D" w:rsidR="00A27888" w:rsidRDefault="00A27888" w:rsidP="00A27888">
      <w:r w:rsidRPr="00A27888">
        <w:t xml:space="preserve">Caution should be exercised when administering </w:t>
      </w:r>
      <w:r>
        <w:t>DOVATO</w:t>
      </w:r>
      <w:r w:rsidRPr="00A27888">
        <w:t xml:space="preserve"> particularly to those with known risk factors for liver disease. Treatment with </w:t>
      </w:r>
      <w:r>
        <w:t>DOVATO</w:t>
      </w:r>
      <w:r w:rsidRPr="00A27888">
        <w:t xml:space="preserve"> should be suspended in any patient who develops clinical or laboratory findings suggestive of lactic acidosis with or without hepatitis (which may include hepatomegaly and steatosis even in the absence of marked transaminase elevations).</w:t>
      </w:r>
    </w:p>
    <w:p w14:paraId="5F94E7EB" w14:textId="5107001A" w:rsidR="00A27888" w:rsidRDefault="00A27888" w:rsidP="00A27888">
      <w:pPr>
        <w:pStyle w:val="Heading3"/>
      </w:pPr>
      <w:r w:rsidRPr="00A27888">
        <w:t>Serum lipids and blood glucose</w:t>
      </w:r>
    </w:p>
    <w:p w14:paraId="149BC79B" w14:textId="083A3D1C" w:rsidR="00A27888" w:rsidRDefault="00A27888" w:rsidP="00A27888">
      <w:r w:rsidRPr="00A27888">
        <w:t>Serum lipid and blood glucose levels may increase during antiretroviral therapy. Disease control and life style changes may also be contributing factors. Consideration should be given to the measurement of serum lipids and blood glucose. Lipid disorders should be managed as clinically appropriate.</w:t>
      </w:r>
    </w:p>
    <w:p w14:paraId="3D47158B" w14:textId="4CC11C44" w:rsidR="00773070" w:rsidRDefault="00773070" w:rsidP="00A27888">
      <w:r w:rsidRPr="00773070">
        <w:t xml:space="preserve">In the GEMINI clinical </w:t>
      </w:r>
      <w:r w:rsidR="003666B4">
        <w:t>trials</w:t>
      </w:r>
      <w:r w:rsidRPr="00773070">
        <w:t xml:space="preserve"> (see Section 5.1 PHARMACODYNAMIC PROPERTIES, Clinical trials), for both pooled treatment groups, the overall lipid profiles were generally improved from </w:t>
      </w:r>
      <w:r>
        <w:t>b</w:t>
      </w:r>
      <w:r w:rsidRPr="00773070">
        <w:t>aseline, and the proportions of subjects showing favourable improvements in total cholesterol/HDL cholesterol ratio were similar between the 2 treatment groups</w:t>
      </w:r>
      <w:r w:rsidR="002F0E7F">
        <w:t xml:space="preserve"> (see </w:t>
      </w:r>
      <w:r w:rsidR="002F0E7F" w:rsidRPr="00566C94">
        <w:t>Section 4.8 ADVERSE EFFECTS (UNDESIRABLE EFFECTS</w:t>
      </w:r>
      <w:r w:rsidR="002F0E7F">
        <w:t>)).</w:t>
      </w:r>
    </w:p>
    <w:p w14:paraId="37971658" w14:textId="689F46DB" w:rsidR="00792AF8" w:rsidRPr="00792AF8" w:rsidRDefault="00792AF8" w:rsidP="00792AF8">
      <w:pPr>
        <w:pStyle w:val="Heading3"/>
      </w:pPr>
      <w:r w:rsidRPr="00792AF8">
        <w:t>Fat loss or fat gain</w:t>
      </w:r>
    </w:p>
    <w:p w14:paraId="6E21D618" w14:textId="65AB8260" w:rsidR="00792AF8" w:rsidRPr="00A27888" w:rsidRDefault="00792AF8" w:rsidP="00A27888">
      <w:r w:rsidRPr="00792AF8">
        <w:t>Fat loss or fat gain has been reported during combination antiretroviral therapy. The long term consequences of these events are currently unknown. A causal relationship has not been established.</w:t>
      </w:r>
    </w:p>
    <w:p w14:paraId="51F0C6CA" w14:textId="189038F6" w:rsidR="00FF6023" w:rsidRDefault="00FF6023" w:rsidP="00FF6023">
      <w:pPr>
        <w:pStyle w:val="Heading3"/>
      </w:pPr>
      <w:r>
        <w:t xml:space="preserve">Immune Reactivation Syndrome </w:t>
      </w:r>
    </w:p>
    <w:p w14:paraId="7F91F72A" w14:textId="27663BA4" w:rsidR="00A27888" w:rsidRPr="00A27888" w:rsidRDefault="00A27888" w:rsidP="00A27888">
      <w:r w:rsidRPr="00A27888">
        <w:t xml:space="preserve">In HIV-infected patients with severe immune deficiency at the time of initiation of anti-retroviral therapy (ART), an inflammatory reaction to asymptomatic or residual opportunistic infections may arise and cause serious clinical conditions, or aggravation of symptoms. Typically, such reactions have been observed within the first few weeks or months of initiation of ART.  Relevant examples are cytomegalovirus retinitis, generalised and/or focal mycobacterial infections and </w:t>
      </w:r>
      <w:r w:rsidRPr="00C8308C">
        <w:rPr>
          <w:i/>
        </w:rPr>
        <w:t xml:space="preserve">Pneumocystis </w:t>
      </w:r>
      <w:proofErr w:type="spellStart"/>
      <w:r w:rsidRPr="00C8308C">
        <w:rPr>
          <w:i/>
        </w:rPr>
        <w:t>jiroveci</w:t>
      </w:r>
      <w:proofErr w:type="spellEnd"/>
      <w:r w:rsidRPr="00A27888">
        <w:t xml:space="preserve"> pneumonia. Any inflammatory symptoms must be evaluated without delay and treatment initiated when necessary. Autoimmune disorders (such as Graves’ disease, polymyositis and Guillain-Barr</w:t>
      </w:r>
      <w:r w:rsidR="00C8308C">
        <w:t>é</w:t>
      </w:r>
      <w:r w:rsidRPr="00A27888">
        <w:t xml:space="preserve"> syndrome) have also been reported to occur in the setting of immune reconstitution, however, the time to onset is more variable, and can occur many months after initiation of treatment and sometimes can be an atypical presentation.</w:t>
      </w:r>
    </w:p>
    <w:p w14:paraId="1DC3FBD3" w14:textId="4DBA08CA" w:rsidR="00A27888" w:rsidRPr="009F60FD" w:rsidRDefault="00A27888" w:rsidP="00A27888">
      <w:pPr>
        <w:rPr>
          <w:rStyle w:val="CSIchar"/>
        </w:rPr>
      </w:pPr>
      <w:r w:rsidRPr="00A27888">
        <w:lastRenderedPageBreak/>
        <w:t xml:space="preserve">Liver chemistry elevations consistent with immune reconstitution syndrome were observed in some hepatitis B and/or C co-infected patients at the start of dolutegravir therapy.  Monitoring of liver chemistries is recommended in patients with hepatitis B and/or C co-infection </w:t>
      </w:r>
      <w:r w:rsidRPr="009F60FD">
        <w:t>(</w:t>
      </w:r>
      <w:r w:rsidR="00445D66" w:rsidRPr="00566C94">
        <w:t>see Patients co-infected with Hepatitis B Virus (HBV) later in this section and Section 4.8 ADVERSE EFFECTS (UNDESIRABLE EFFECTS)</w:t>
      </w:r>
      <w:r w:rsidRPr="009F60FD">
        <w:t>)</w:t>
      </w:r>
      <w:r w:rsidRPr="009F60FD">
        <w:rPr>
          <w:i/>
        </w:rPr>
        <w:t>.</w:t>
      </w:r>
      <w:r w:rsidRPr="009F60FD">
        <w:rPr>
          <w:rFonts w:eastAsia="SimSun"/>
          <w:i/>
          <w:shd w:val="clear" w:color="auto" w:fill="BFBFBF"/>
          <w:lang w:eastAsia="en-GB"/>
        </w:rPr>
        <w:t xml:space="preserve"> </w:t>
      </w:r>
    </w:p>
    <w:p w14:paraId="399C8E33" w14:textId="7C02233E" w:rsidR="00A27888" w:rsidRDefault="00A27888" w:rsidP="00A27888">
      <w:pPr>
        <w:pStyle w:val="Heading3"/>
      </w:pPr>
      <w:r w:rsidRPr="009F60FD">
        <w:t>Patients co-infect</w:t>
      </w:r>
      <w:r>
        <w:t>ed with hepatitis B virus (HBV)</w:t>
      </w:r>
      <w:r w:rsidR="0036091F">
        <w:t xml:space="preserve"> </w:t>
      </w:r>
      <w:r w:rsidR="00633675">
        <w:t>or hepatitis C virus (HCV)</w:t>
      </w:r>
    </w:p>
    <w:p w14:paraId="66C17DE8" w14:textId="0E08AE65" w:rsidR="00792AF8" w:rsidRPr="00792AF8" w:rsidRDefault="00792AF8" w:rsidP="00792AF8">
      <w:r w:rsidRPr="00792AF8">
        <w:t xml:space="preserve">Patients with chronic hepatitis B or C and treated with combination antiretroviral therapy are at an increased risk of severe </w:t>
      </w:r>
      <w:r w:rsidR="0036091F">
        <w:t xml:space="preserve">and potentially fatal </w:t>
      </w:r>
      <w:r w:rsidRPr="00792AF8">
        <w:t>hepatic adverse reactions. In case of concomitant antiviral therapy for hepatitis B or C, please refer also to the relevant product information for these medicinal products.</w:t>
      </w:r>
    </w:p>
    <w:p w14:paraId="4608071B" w14:textId="06870FB7" w:rsidR="00A27888" w:rsidRPr="00A27888" w:rsidRDefault="00A27888" w:rsidP="00A27888">
      <w:r w:rsidRPr="00792AF8">
        <w:t xml:space="preserve">Particular diligence should be applied in initiating or maintaining effective hepatitis B therapy when starting therapy with </w:t>
      </w:r>
      <w:r w:rsidRPr="00AE5CC9">
        <w:t>DOVATO in hepatitis B co-infected patients.</w:t>
      </w:r>
      <w:r w:rsidR="00792AF8" w:rsidRPr="00AE5CC9">
        <w:t xml:space="preserve"> DOVATO includes lamivudine, which is active against hepatitis B. Dolutegravir lacks such activity. Lamivudine monotherapy is generally not considered an adequate treatment for hepatitis B, since the risk for hepatitis B resistance development is high. If DOVATO is used in patients co-infected with hepatitis B, an additional antiviral is therefore generally needed. Reference should be made to treatment guidelines.</w:t>
      </w:r>
    </w:p>
    <w:p w14:paraId="3D0562B6" w14:textId="4E9F321A" w:rsidR="00A27888" w:rsidRDefault="00AE5CC9" w:rsidP="00A27888">
      <w:r>
        <w:t>Data from c</w:t>
      </w:r>
      <w:r w:rsidR="00A27888" w:rsidRPr="00A27888">
        <w:t xml:space="preserve">linical </w:t>
      </w:r>
      <w:r w:rsidR="003666B4">
        <w:t>trials</w:t>
      </w:r>
      <w:r w:rsidRPr="00A27888">
        <w:t xml:space="preserve"> </w:t>
      </w:r>
      <w:r w:rsidR="00A27888" w:rsidRPr="00A27888">
        <w:t xml:space="preserve">and marketed use of lamivudine, have shown that some patients </w:t>
      </w:r>
      <w:r>
        <w:t xml:space="preserve">co-infected </w:t>
      </w:r>
      <w:r w:rsidR="00A27888" w:rsidRPr="00A27888">
        <w:t xml:space="preserve">with chronic HBV disease may experience clinical or laboratory evidence of recurrent hepatitis upon discontinuation of lamivudine, which may have more severe consequences in patients with decompensated liver disease. If </w:t>
      </w:r>
      <w:r w:rsidR="00A27888">
        <w:t>DOVATO</w:t>
      </w:r>
      <w:r w:rsidR="00A27888" w:rsidRPr="00A27888">
        <w:t xml:space="preserve"> is discontinued in patients co-infected with HBV, periodic monitoring of both liver function tests and markers of HBV replication </w:t>
      </w:r>
      <w:r>
        <w:t>is strongly recommended</w:t>
      </w:r>
      <w:r w:rsidR="00A27888" w:rsidRPr="00A27888">
        <w:t>.</w:t>
      </w:r>
    </w:p>
    <w:p w14:paraId="6C09BFED" w14:textId="211B18C4" w:rsidR="000D4883" w:rsidRDefault="000D4883" w:rsidP="000D4883">
      <w:pPr>
        <w:pStyle w:val="Heading3"/>
      </w:pPr>
      <w:r>
        <w:t>Hepatotoxicity</w:t>
      </w:r>
    </w:p>
    <w:p w14:paraId="33B061AE" w14:textId="4660C3CF" w:rsidR="000D4883" w:rsidRDefault="000D4883" w:rsidP="00A27888">
      <w:pPr>
        <w:rPr>
          <w:iCs/>
        </w:rPr>
      </w:pPr>
      <w:r w:rsidRPr="000D4883">
        <w:rPr>
          <w:iCs/>
        </w:rPr>
        <w:t>Patients with pre-existing liver dysfunction, including chronic active hepatitis, have an increased frequency of liver function abnormalities during combination antiretroviral therapy. Cases of hepatic toxicity, including abnormal liver function tests, hepatitis, and acute liver failure, have also been reported in patients receiving a dolutegravir-containing regimen who had no pre-existing hepatic disease or other identifiable risk factors. Monitoring for hepatotoxicity is recommended. If there is evidence of worsening liver disease, interruption or discontinuation of treatment must be considered</w:t>
      </w:r>
      <w:r>
        <w:rPr>
          <w:iCs/>
        </w:rPr>
        <w:t>.</w:t>
      </w:r>
    </w:p>
    <w:p w14:paraId="10DE603B" w14:textId="66EEDEAB" w:rsidR="000D4883" w:rsidRPr="00AF2C08" w:rsidRDefault="000D4883" w:rsidP="000D4883">
      <w:pPr>
        <w:pStyle w:val="Heading3"/>
      </w:pPr>
      <w:r w:rsidRPr="00AF2C08">
        <w:t>O</w:t>
      </w:r>
      <w:r>
        <w:t>steonecrosis</w:t>
      </w:r>
    </w:p>
    <w:p w14:paraId="0944A6AE" w14:textId="3A7E661E" w:rsidR="000D4883" w:rsidRPr="000D4883" w:rsidRDefault="000D4883" w:rsidP="00A27888">
      <w:r>
        <w:t xml:space="preserve">Although the aetiology is considered to be multifactorial (including corticosteroid use, </w:t>
      </w:r>
      <w:proofErr w:type="spellStart"/>
      <w:r>
        <w:t>biphosphonates</w:t>
      </w:r>
      <w:proofErr w:type="spellEnd"/>
      <w:r>
        <w:t>, alcohol consumption, severe immunosuppression, higher body mass index), cases of osteonecrosis have been reported in patients with advanced HIV-disease and/or long-term exposure to ART. Patients should be advised to seek medical advice if they experience joint aches and pain, joint stiffness or difficulty in movement.</w:t>
      </w:r>
    </w:p>
    <w:p w14:paraId="1F23FB50" w14:textId="77777777" w:rsidR="00A8073E" w:rsidRPr="00AF2C08" w:rsidRDefault="004A09A2" w:rsidP="00192B58">
      <w:pPr>
        <w:pStyle w:val="Heading3"/>
      </w:pPr>
      <w:r w:rsidRPr="00AF2C08">
        <w:t>Opportunist</w:t>
      </w:r>
      <w:r w:rsidR="000968C1" w:rsidRPr="00AF2C08">
        <w:t xml:space="preserve">ic </w:t>
      </w:r>
      <w:r w:rsidR="0004222B">
        <w:t>i</w:t>
      </w:r>
      <w:r w:rsidRPr="00AF2C08">
        <w:t>nfections</w:t>
      </w:r>
    </w:p>
    <w:p w14:paraId="426CED07" w14:textId="0496E341" w:rsidR="003D316B" w:rsidRPr="00AF2C08" w:rsidRDefault="004A09A2" w:rsidP="00192B58">
      <w:r w:rsidRPr="00AF2C08">
        <w:t xml:space="preserve">Patients receiving </w:t>
      </w:r>
      <w:r w:rsidR="004223CA">
        <w:t>DOVATO</w:t>
      </w:r>
      <w:r w:rsidRPr="00AF2C08">
        <w:t xml:space="preserve"> or any other antiretroviral therapy may still develop opportunistic infections and other complications of HIV infection. Therefore</w:t>
      </w:r>
      <w:r w:rsidR="004E3172">
        <w:t>,</w:t>
      </w:r>
      <w:r w:rsidRPr="00AF2C08">
        <w:t xml:space="preserve"> patients should remain under close clinical observation by physicians experienced in the treatment of these associated HIV diseases.</w:t>
      </w:r>
    </w:p>
    <w:p w14:paraId="67CDEB86" w14:textId="77777777" w:rsidR="003D316B" w:rsidRPr="00AF2C08" w:rsidRDefault="000968C1" w:rsidP="00192B58">
      <w:pPr>
        <w:pStyle w:val="Heading3"/>
      </w:pPr>
      <w:r w:rsidRPr="00AF2C08">
        <w:lastRenderedPageBreak/>
        <w:t xml:space="preserve">Transmission of </w:t>
      </w:r>
      <w:r w:rsidR="0004222B">
        <w:t>i</w:t>
      </w:r>
      <w:r w:rsidR="004A09A2" w:rsidRPr="00AF2C08">
        <w:t>nfection</w:t>
      </w:r>
    </w:p>
    <w:p w14:paraId="77EC97CA" w14:textId="77777777" w:rsidR="009771DD" w:rsidRPr="009F60FD" w:rsidRDefault="009771DD" w:rsidP="009771DD">
      <w:pPr>
        <w:rPr>
          <w:rStyle w:val="CSIchar"/>
        </w:rPr>
      </w:pPr>
      <w:r w:rsidRPr="009771DD">
        <w:t>While effective viral suppression with antiretroviral therapy has been proven to substantially reduce the risk of sexual transmission, a residual risk cannot be excluded. Precautions to prevent transmission should be taken in accordance with national guidelines</w:t>
      </w:r>
      <w:r>
        <w:rPr>
          <w:rStyle w:val="CSIchar"/>
        </w:rPr>
        <w:t>.</w:t>
      </w:r>
    </w:p>
    <w:p w14:paraId="3633EA4F" w14:textId="77777777" w:rsidR="003750A2" w:rsidRPr="00AF2C08" w:rsidRDefault="003750A2" w:rsidP="003750A2">
      <w:pPr>
        <w:pStyle w:val="Heading3"/>
      </w:pPr>
      <w:r w:rsidRPr="00AF2C08">
        <w:t>Use in hepatic impairment</w:t>
      </w:r>
    </w:p>
    <w:p w14:paraId="00B0A641" w14:textId="51530239" w:rsidR="003750A2" w:rsidRPr="00AF2C08" w:rsidRDefault="003750A2" w:rsidP="003750A2">
      <w:r w:rsidRPr="00AF2C08">
        <w:t xml:space="preserve">See Section 4.2 </w:t>
      </w:r>
      <w:r w:rsidR="00CD24CA" w:rsidRPr="00AF2C08">
        <w:t xml:space="preserve">DOSE AND METHOD OF ADMINISTRATION </w:t>
      </w:r>
      <w:r w:rsidRPr="00AF2C08">
        <w:t xml:space="preserve">and Section 5.2 </w:t>
      </w:r>
      <w:r w:rsidR="00CD24CA" w:rsidRPr="00AF2C08">
        <w:t>PHARMACOKINETIC PROPERTIES</w:t>
      </w:r>
      <w:r w:rsidRPr="00AF2C08">
        <w:t>, Special patient populations.</w:t>
      </w:r>
    </w:p>
    <w:p w14:paraId="13E6BF04" w14:textId="77777777" w:rsidR="003750A2" w:rsidRPr="00AF2C08" w:rsidRDefault="003750A2" w:rsidP="003750A2">
      <w:pPr>
        <w:pStyle w:val="Heading3"/>
      </w:pPr>
      <w:r w:rsidRPr="00AF2C08">
        <w:t>Use in renal impairment</w:t>
      </w:r>
    </w:p>
    <w:p w14:paraId="435E18AD" w14:textId="6C15C560" w:rsidR="00E4121A" w:rsidRPr="00AF2C08" w:rsidRDefault="003750A2" w:rsidP="003750A2">
      <w:r w:rsidRPr="00AF2C08">
        <w:t xml:space="preserve">See Section 4.2 </w:t>
      </w:r>
      <w:r w:rsidR="00CD24CA" w:rsidRPr="00AF2C08">
        <w:t xml:space="preserve">DOSE AND METHOD OF ADMINISTRATION </w:t>
      </w:r>
      <w:r w:rsidRPr="00AF2C08">
        <w:t xml:space="preserve">and Section 5.2 </w:t>
      </w:r>
      <w:r w:rsidR="00CD24CA" w:rsidRPr="00AF2C08">
        <w:t>PHARMACOKINETIC PROPERTIES</w:t>
      </w:r>
      <w:r w:rsidRPr="00AF2C08">
        <w:t>, Special patient populations.</w:t>
      </w:r>
    </w:p>
    <w:p w14:paraId="0BE56FA1" w14:textId="77777777" w:rsidR="003D316B" w:rsidRPr="00AF2C08" w:rsidRDefault="000968C1" w:rsidP="00192B58">
      <w:pPr>
        <w:pStyle w:val="Heading3"/>
      </w:pPr>
      <w:r w:rsidRPr="00AF2C08">
        <w:t xml:space="preserve">Use in the </w:t>
      </w:r>
      <w:r w:rsidR="008A379A" w:rsidRPr="00AF2C08">
        <w:t>elderly</w:t>
      </w:r>
    </w:p>
    <w:p w14:paraId="61509D13" w14:textId="77777777" w:rsidR="009771DD" w:rsidRDefault="009771DD" w:rsidP="009771DD">
      <w:r w:rsidRPr="00AF2C08">
        <w:t>See Section 4.2 DOSE AND METHOD OF ADMINISTRATION and Section 5.2 PHARMACOKINETIC PROPERTIES, Special patient populations.</w:t>
      </w:r>
    </w:p>
    <w:p w14:paraId="7B93D109" w14:textId="753DDCE8" w:rsidR="003D316B" w:rsidRPr="00AF2C08" w:rsidRDefault="004A09A2" w:rsidP="00192B58">
      <w:pPr>
        <w:pStyle w:val="Heading3"/>
      </w:pPr>
      <w:r w:rsidRPr="00AF2C08">
        <w:t xml:space="preserve">Paediatric </w:t>
      </w:r>
      <w:r w:rsidR="00B77BE2" w:rsidRPr="00AF2C08">
        <w:t>u</w:t>
      </w:r>
      <w:r w:rsidRPr="00AF2C08">
        <w:t>se</w:t>
      </w:r>
    </w:p>
    <w:p w14:paraId="68B9A910" w14:textId="5CD95652" w:rsidR="004B0071" w:rsidRDefault="004B0071" w:rsidP="004B0071">
      <w:r>
        <w:t>DOVATO</w:t>
      </w:r>
      <w:r w:rsidRPr="009F60FD">
        <w:t xml:space="preserve"> is not currently recommended for the treatment of children less than 12 years of age as the necessary dose adjustment cannot be made. Clinical data is currently not available for this combination. Physicians should refer to the individual product information for dolutegravir</w:t>
      </w:r>
      <w:r w:rsidR="00D20D17">
        <w:t xml:space="preserve"> </w:t>
      </w:r>
      <w:r w:rsidRPr="009F60FD">
        <w:t>and lamivudine</w:t>
      </w:r>
      <w:r w:rsidR="00EF7CB7">
        <w:t>.</w:t>
      </w:r>
    </w:p>
    <w:p w14:paraId="2660734B" w14:textId="4AF30954" w:rsidR="003D316B" w:rsidRPr="00AF2C08" w:rsidRDefault="004A09A2" w:rsidP="00192B58">
      <w:pPr>
        <w:pStyle w:val="Heading3"/>
      </w:pPr>
      <w:r w:rsidRPr="00AF2C08">
        <w:t>Effects on laboratory tests</w:t>
      </w:r>
    </w:p>
    <w:p w14:paraId="52E14F14" w14:textId="3E147CCF" w:rsidR="004B0071" w:rsidRPr="004B0071" w:rsidRDefault="004B0071" w:rsidP="004B0071">
      <w:r w:rsidRPr="004B0071">
        <w:t>Increases in serum creatinine occurred within the first 4 weeks of treatment with dolutegravir plus lamivudine and remained stable through 48 weeks. A mean change from baseline of 10.3 </w:t>
      </w:r>
      <w:r w:rsidRPr="004B0071">
        <w:sym w:font="Symbol" w:char="F06D"/>
      </w:r>
      <w:r w:rsidRPr="004B0071">
        <w:t xml:space="preserve">mol/L (range: -36.3 </w:t>
      </w:r>
      <w:r w:rsidRPr="004B0071">
        <w:sym w:font="Symbol" w:char="F06D"/>
      </w:r>
      <w:r w:rsidRPr="004B0071">
        <w:t xml:space="preserve">mol/L to 55.7 </w:t>
      </w:r>
      <w:r w:rsidRPr="004B0071">
        <w:sym w:font="Symbol" w:char="F06D"/>
      </w:r>
      <w:r w:rsidRPr="004B0071">
        <w:t xml:space="preserve">mol/L) was observed after 48 weeks of treatment. These changes are not considered to be clinically relevant since they do not reflect a change in glomerular filtration rate (see </w:t>
      </w:r>
      <w:r w:rsidR="00137386">
        <w:t xml:space="preserve">Section 5.1 </w:t>
      </w:r>
      <w:r w:rsidR="00137386" w:rsidRPr="004B0071">
        <w:t>PHARMACODYNAMICS</w:t>
      </w:r>
      <w:r w:rsidR="00137386">
        <w:t>, Effects on renal f</w:t>
      </w:r>
      <w:r w:rsidRPr="004B0071">
        <w:t xml:space="preserve">unction). </w:t>
      </w:r>
    </w:p>
    <w:p w14:paraId="28A38AFC" w14:textId="2B63995E" w:rsidR="004B0071" w:rsidRPr="004B0071" w:rsidRDefault="004B0071" w:rsidP="004B0071">
      <w:r w:rsidRPr="004B0071">
        <w:t xml:space="preserve">Small increases in total bilirubin (without clinical jaundice) were observed with dolutegravir plus lamivudine. These changes are not considered clinically relevant as they likely reflect competition between dolutegravir and unconjugated bilirubin for a common clearance pathway (UGT1A1) (see </w:t>
      </w:r>
      <w:r w:rsidR="00137386" w:rsidRPr="00AF2C08">
        <w:t>Section 5.2 PHARMACOKINETIC PROPERTIES</w:t>
      </w:r>
      <w:r w:rsidR="00137386">
        <w:t>,</w:t>
      </w:r>
      <w:r w:rsidRPr="004B0071">
        <w:t xml:space="preserve"> Metabolism). </w:t>
      </w:r>
    </w:p>
    <w:p w14:paraId="25179B6C" w14:textId="77777777" w:rsidR="004B0071" w:rsidRPr="004B0071" w:rsidRDefault="004B0071" w:rsidP="004B0071">
      <w:r w:rsidRPr="004B0071">
        <w:t>Asymptomatic creatine phosphokinase (CPK) elevations mainly in association with exercise have also been reported with dolutegravir therapy.</w:t>
      </w:r>
    </w:p>
    <w:p w14:paraId="0D693F56" w14:textId="77777777" w:rsidR="003D316B" w:rsidRPr="00AF2C08" w:rsidRDefault="004A09A2" w:rsidP="00192B58">
      <w:pPr>
        <w:pStyle w:val="Heading2"/>
      </w:pPr>
      <w:r w:rsidRPr="00AF2C08">
        <w:t>Interactions with other medicines and other forms of interactions</w:t>
      </w:r>
    </w:p>
    <w:p w14:paraId="4087A315" w14:textId="764B1C76" w:rsidR="004E5B0A" w:rsidRDefault="004E5B0A" w:rsidP="004E5B0A">
      <w:r>
        <w:t>Caution should be given to co-administering medications (prescription and non-prescription) that may reduce the exposure of dolutegravir, lamivudine or medications that may have their exposure changed by DOVATO).</w:t>
      </w:r>
    </w:p>
    <w:p w14:paraId="5D04BB85" w14:textId="37AB7852" w:rsidR="00F07511" w:rsidRPr="00F07511" w:rsidRDefault="00F07511" w:rsidP="004E5B0A">
      <w:r>
        <w:t>DOVATO</w:t>
      </w:r>
      <w:r>
        <w:rPr>
          <w:i/>
          <w:iCs/>
        </w:rPr>
        <w:t xml:space="preserve"> </w:t>
      </w:r>
      <w:r w:rsidRPr="00F07511">
        <w:rPr>
          <w:iCs/>
        </w:rPr>
        <w:t>should not be administered concurrently with other medicinal products containing any of the same active components (dolutegravir and/or lamivudine).</w:t>
      </w:r>
    </w:p>
    <w:p w14:paraId="2E883C63" w14:textId="5150148E" w:rsidR="004E5B0A" w:rsidRDefault="00F07511" w:rsidP="004E5B0A">
      <w:r>
        <w:lastRenderedPageBreak/>
        <w:t>Since t</w:t>
      </w:r>
      <w:r w:rsidR="004E5B0A">
        <w:t xml:space="preserve">he recommended dose of dolutegravir is 50 mg twice daily </w:t>
      </w:r>
      <w:r>
        <w:t>for patients taking etravirine (without boosted protease inhibitors), efavirenz, nevirapine</w:t>
      </w:r>
      <w:r w:rsidR="004E5B0A">
        <w:t xml:space="preserve"> rifampicin, </w:t>
      </w:r>
      <w:r>
        <w:t xml:space="preserve">tipranavir/ritonavir, </w:t>
      </w:r>
      <w:r w:rsidR="004E5B0A">
        <w:t>carbamazepine, phenytoin, phenobarbital</w:t>
      </w:r>
      <w:r>
        <w:t xml:space="preserve"> and</w:t>
      </w:r>
      <w:r w:rsidR="004E5B0A">
        <w:t xml:space="preserve"> St. John’s wort, </w:t>
      </w:r>
      <w:r>
        <w:t>the use of DOVATO is not recommended for patients taking these medicines</w:t>
      </w:r>
      <w:r w:rsidR="004E5B0A">
        <w:t xml:space="preserve">. </w:t>
      </w:r>
    </w:p>
    <w:p w14:paraId="3B81810D" w14:textId="69995998" w:rsidR="004E5B0A" w:rsidRDefault="004E5B0A" w:rsidP="004E5B0A">
      <w:r>
        <w:t>Dolutegravir should not be co-administered with polyvalent cation-containing antacids. DOVATO is thus recommended to be administered 2 hours before or 6 hours after these agents</w:t>
      </w:r>
      <w:r w:rsidR="004004E5">
        <w:t>.</w:t>
      </w:r>
    </w:p>
    <w:p w14:paraId="72409674" w14:textId="732E6749" w:rsidR="004E5B0A" w:rsidRDefault="003F6F52" w:rsidP="004E5B0A">
      <w:r>
        <w:t>DOVATO</w:t>
      </w:r>
      <w:r w:rsidR="004E5B0A">
        <w:t xml:space="preserve"> is recommended to be administered 2 hours before or 6 hours after taking calcium</w:t>
      </w:r>
      <w:r w:rsidR="00DC74E3">
        <w:t>,</w:t>
      </w:r>
      <w:r w:rsidR="004E5B0A">
        <w:t xml:space="preserve"> </w:t>
      </w:r>
      <w:r w:rsidR="00607258">
        <w:t xml:space="preserve">magnesium </w:t>
      </w:r>
      <w:r w:rsidR="004E5B0A">
        <w:t>or iron supplements, or alternatively, administe</w:t>
      </w:r>
      <w:r>
        <w:t>red with food</w:t>
      </w:r>
      <w:r w:rsidR="004E5B0A">
        <w:t>.</w:t>
      </w:r>
    </w:p>
    <w:p w14:paraId="7AAF8717" w14:textId="0CB6E47D" w:rsidR="00BB2089" w:rsidRDefault="004E5B0A" w:rsidP="004E5B0A">
      <w:r>
        <w:t xml:space="preserve">Dolutegravir increased metformin concentrations. A dose adjustment of metformin should be considered when starting and stopping coadministration of </w:t>
      </w:r>
      <w:r w:rsidR="003F6F52">
        <w:t>DOVATO</w:t>
      </w:r>
      <w:r>
        <w:t xml:space="preserve"> with metformin, to maintain glyc</w:t>
      </w:r>
      <w:r w:rsidR="003F6F52">
        <w:t>aemic control</w:t>
      </w:r>
      <w:r>
        <w:t>.</w:t>
      </w:r>
    </w:p>
    <w:p w14:paraId="5F684C66" w14:textId="6141FD68" w:rsidR="009968EC" w:rsidRPr="00AF2C08" w:rsidRDefault="009968EC" w:rsidP="004E5B0A">
      <w:r w:rsidRPr="009F60FD">
        <w:t xml:space="preserve">As </w:t>
      </w:r>
      <w:r>
        <w:t>DOVATO</w:t>
      </w:r>
      <w:r w:rsidRPr="009F60FD">
        <w:t xml:space="preserve"> contains dolutegravir and lamivudine, any interactions that have been identified with these agents individually may occur with </w:t>
      </w:r>
      <w:r>
        <w:t>DOVATO</w:t>
      </w:r>
      <w:r w:rsidRPr="009F60FD">
        <w:t xml:space="preserve">. Due to the different routes of metabolism and elimination, no clinically significant drug interactions are expected between dolutegravir and lamivudine. </w:t>
      </w:r>
    </w:p>
    <w:p w14:paraId="3ADE87D3" w14:textId="01E61B63" w:rsidR="00BB2089" w:rsidRPr="00AF2C08" w:rsidRDefault="00FA4FA8" w:rsidP="00BB2089">
      <w:pPr>
        <w:rPr>
          <w:b/>
        </w:rPr>
      </w:pPr>
      <w:r w:rsidRPr="00AF2C08">
        <w:rPr>
          <w:b/>
        </w:rPr>
        <w:t xml:space="preserve">Effect of </w:t>
      </w:r>
      <w:r w:rsidR="004223CA">
        <w:rPr>
          <w:b/>
        </w:rPr>
        <w:t>DOVATO</w:t>
      </w:r>
      <w:r w:rsidRPr="00AF2C08">
        <w:rPr>
          <w:b/>
        </w:rPr>
        <w:t xml:space="preserve"> on the </w:t>
      </w:r>
      <w:r w:rsidR="00024896">
        <w:rPr>
          <w:b/>
        </w:rPr>
        <w:t>p</w:t>
      </w:r>
      <w:r w:rsidRPr="00AF2C08">
        <w:rPr>
          <w:b/>
        </w:rPr>
        <w:t xml:space="preserve">harmacokinetics of </w:t>
      </w:r>
      <w:r w:rsidR="00024896">
        <w:rPr>
          <w:b/>
        </w:rPr>
        <w:t>o</w:t>
      </w:r>
      <w:r w:rsidRPr="00AF2C08">
        <w:rPr>
          <w:b/>
        </w:rPr>
        <w:t xml:space="preserve">ther </w:t>
      </w:r>
      <w:r w:rsidR="00024896">
        <w:rPr>
          <w:b/>
        </w:rPr>
        <w:t>a</w:t>
      </w:r>
      <w:r w:rsidRPr="00AF2C08">
        <w:rPr>
          <w:b/>
        </w:rPr>
        <w:t>gents</w:t>
      </w:r>
    </w:p>
    <w:p w14:paraId="060D76E8" w14:textId="77777777" w:rsidR="00192B58" w:rsidRPr="00AF2C08" w:rsidRDefault="00020F64" w:rsidP="00BB2089">
      <w:pPr>
        <w:spacing w:before="200" w:after="0"/>
        <w:rPr>
          <w:b/>
          <w:i/>
        </w:rPr>
      </w:pPr>
      <w:r w:rsidRPr="00AF2C08">
        <w:rPr>
          <w:b/>
          <w:i/>
        </w:rPr>
        <w:t xml:space="preserve">Effect of </w:t>
      </w:r>
      <w:r w:rsidR="00024896">
        <w:rPr>
          <w:b/>
          <w:i/>
        </w:rPr>
        <w:t>d</w:t>
      </w:r>
      <w:r w:rsidRPr="00AF2C08">
        <w:rPr>
          <w:b/>
          <w:i/>
        </w:rPr>
        <w:t xml:space="preserve">olutegravir on the </w:t>
      </w:r>
      <w:r w:rsidR="00024896">
        <w:rPr>
          <w:b/>
          <w:i/>
        </w:rPr>
        <w:t>p</w:t>
      </w:r>
      <w:r w:rsidRPr="00AF2C08">
        <w:rPr>
          <w:b/>
          <w:i/>
        </w:rPr>
        <w:t xml:space="preserve">harmacokinetics of </w:t>
      </w:r>
      <w:r w:rsidR="00024896">
        <w:rPr>
          <w:b/>
          <w:i/>
        </w:rPr>
        <w:t>o</w:t>
      </w:r>
      <w:r w:rsidRPr="00AF2C08">
        <w:rPr>
          <w:b/>
          <w:i/>
        </w:rPr>
        <w:t xml:space="preserve">ther </w:t>
      </w:r>
      <w:r w:rsidR="00024896">
        <w:rPr>
          <w:b/>
          <w:i/>
        </w:rPr>
        <w:t>a</w:t>
      </w:r>
      <w:r w:rsidR="00FA4FA8" w:rsidRPr="00AF2C08">
        <w:rPr>
          <w:b/>
          <w:i/>
        </w:rPr>
        <w:t>gents</w:t>
      </w:r>
    </w:p>
    <w:p w14:paraId="637645E9" w14:textId="77777777" w:rsidR="00F82677" w:rsidRPr="00F82677" w:rsidRDefault="00F82677" w:rsidP="00192B58">
      <w:pPr>
        <w:rPr>
          <w:iCs/>
        </w:rPr>
      </w:pPr>
      <w:r w:rsidRPr="00F82677">
        <w:rPr>
          <w:iCs/>
        </w:rPr>
        <w:t xml:space="preserve">Dolutegravir is not expected to affect the pharmacokinetics of drugs that are substrates of cytochrome P450 enzymes, uridine diphosphate </w:t>
      </w:r>
      <w:proofErr w:type="spellStart"/>
      <w:r w:rsidRPr="00F82677">
        <w:rPr>
          <w:iCs/>
        </w:rPr>
        <w:t>glucuronosyl</w:t>
      </w:r>
      <w:proofErr w:type="spellEnd"/>
      <w:r w:rsidRPr="00F82677">
        <w:rPr>
          <w:iCs/>
        </w:rPr>
        <w:t xml:space="preserve"> transferase (UGT), or the transporters P-glycoprotein (</w:t>
      </w:r>
      <w:proofErr w:type="spellStart"/>
      <w:r w:rsidRPr="00F82677">
        <w:rPr>
          <w:iCs/>
        </w:rPr>
        <w:t>Pgp</w:t>
      </w:r>
      <w:proofErr w:type="spellEnd"/>
      <w:r w:rsidRPr="00F82677">
        <w:rPr>
          <w:iCs/>
        </w:rPr>
        <w:t>), breast cancer resistance protein (BCRP), bile salt export pump (BSEP), organic anion transporting polypeptide (OATP) 1B1, OATP1B3, organic cation transporter (OCT) 1, multidrug resistance-associated protein (MRP) 2 or MRP4.</w:t>
      </w:r>
    </w:p>
    <w:p w14:paraId="15D9C271" w14:textId="0EAD583F" w:rsidR="00F82677" w:rsidRDefault="00F82677" w:rsidP="00F82677">
      <w:r w:rsidRPr="00AF2C08">
        <w:rPr>
          <w:i/>
          <w:iCs/>
        </w:rPr>
        <w:t>In vitro,</w:t>
      </w:r>
      <w:r w:rsidRPr="00AF2C08">
        <w:t xml:space="preserve"> dolutegravir demonstrated no direct, or weak inhibition (IC</w:t>
      </w:r>
      <w:r w:rsidRPr="00AF2C08">
        <w:rPr>
          <w:vertAlign w:val="subscript"/>
        </w:rPr>
        <w:t>50</w:t>
      </w:r>
      <w:r w:rsidRPr="00AF2C08">
        <w:t xml:space="preserve"> &gt; 50 </w:t>
      </w:r>
      <w:r w:rsidRPr="00024896">
        <w:rPr>
          <w:rStyle w:val="CSI"/>
        </w:rPr>
        <w:sym w:font="Symbol" w:char="F06D"/>
      </w:r>
      <w:r w:rsidRPr="00AF2C08">
        <w:t xml:space="preserve">M) of the enzymes cytochrome P450 (CYP)1A2, CYP2A6, CYP2B6, CYP2C8, CYP2C9, CYP2C19, CYP2D6 CYP3A, uridine diphosphate </w:t>
      </w:r>
      <w:proofErr w:type="spellStart"/>
      <w:r w:rsidRPr="00AF2C08">
        <w:t>glucuronosyl</w:t>
      </w:r>
      <w:proofErr w:type="spellEnd"/>
      <w:r w:rsidRPr="00AF2C08">
        <w:t xml:space="preserve"> transferase (UGT)1A1 or UGT2B7, or the transporters </w:t>
      </w:r>
      <w:proofErr w:type="spellStart"/>
      <w:r w:rsidRPr="00AF2C08">
        <w:t>Pgp</w:t>
      </w:r>
      <w:proofErr w:type="spellEnd"/>
      <w:r w:rsidRPr="00AF2C08">
        <w:t>, BCRP, BSEP, OATP1B1, OATP1B3, OCT1, MRP2 or MRP4.</w:t>
      </w:r>
      <w:r w:rsidRPr="00AF2C08">
        <w:rPr>
          <w:i/>
          <w:iCs/>
        </w:rPr>
        <w:t xml:space="preserve"> In vitro,</w:t>
      </w:r>
      <w:r w:rsidRPr="00AF2C08">
        <w:t xml:space="preserve"> dolutegravir did not induce CYP1A2, CYP2B6 or CYP3A4. </w:t>
      </w:r>
      <w:r w:rsidRPr="00B861BE">
        <w:rPr>
          <w:i/>
        </w:rPr>
        <w:t>In vivo</w:t>
      </w:r>
      <w:r w:rsidRPr="002D0F38">
        <w:t xml:space="preserve">, dolutegravir did not have an effect on midazolam, a CYP3A4 probe. </w:t>
      </w:r>
      <w:r w:rsidRPr="00AF2C08">
        <w:t>Based on these data, dolutegravir is not expected to affect the pharmacokinetics of drugs that are substrates of these enzymes or transporters</w:t>
      </w:r>
      <w:r w:rsidR="004004E5">
        <w:t>.</w:t>
      </w:r>
    </w:p>
    <w:p w14:paraId="5C33E0CA" w14:textId="7D5FB8EF" w:rsidR="00F82677" w:rsidRPr="00AF2C08" w:rsidRDefault="00F82677" w:rsidP="00F82677">
      <w:r w:rsidRPr="00AF2C08">
        <w:t xml:space="preserve">In drug interaction studies, dolutegravir did not have a clinically relevant effect on the pharmacokinetics of the following: tenofovir, ritonavir, methadone, </w:t>
      </w:r>
      <w:proofErr w:type="spellStart"/>
      <w:r w:rsidRPr="00AF2C08">
        <w:t>efavirenz</w:t>
      </w:r>
      <w:proofErr w:type="spellEnd"/>
      <w:r w:rsidRPr="00AF2C08">
        <w:t xml:space="preserve">, </w:t>
      </w:r>
      <w:proofErr w:type="spellStart"/>
      <w:r w:rsidRPr="00AF2C08">
        <w:t>lopinavir</w:t>
      </w:r>
      <w:proofErr w:type="spellEnd"/>
      <w:r w:rsidRPr="00AF2C08">
        <w:t xml:space="preserve">, </w:t>
      </w:r>
      <w:proofErr w:type="spellStart"/>
      <w:r w:rsidRPr="00AF2C08">
        <w:t>atazanavir</w:t>
      </w:r>
      <w:proofErr w:type="spellEnd"/>
      <w:r w:rsidRPr="00AF2C08">
        <w:t xml:space="preserve">, </w:t>
      </w:r>
      <w:proofErr w:type="spellStart"/>
      <w:r w:rsidRPr="00AF2C08">
        <w:t>darunavir</w:t>
      </w:r>
      <w:proofErr w:type="spellEnd"/>
      <w:r w:rsidRPr="00AF2C08">
        <w:t xml:space="preserve">, </w:t>
      </w:r>
      <w:proofErr w:type="spellStart"/>
      <w:r w:rsidRPr="00AF2C08">
        <w:t>etravirine</w:t>
      </w:r>
      <w:proofErr w:type="spellEnd"/>
      <w:r w:rsidRPr="00AF2C08">
        <w:t xml:space="preserve">, </w:t>
      </w:r>
      <w:proofErr w:type="spellStart"/>
      <w:r w:rsidRPr="00AF2C08">
        <w:t>fosamprenavir</w:t>
      </w:r>
      <w:proofErr w:type="spellEnd"/>
      <w:r w:rsidRPr="00AF2C08">
        <w:t xml:space="preserve">, </w:t>
      </w:r>
      <w:proofErr w:type="spellStart"/>
      <w:r w:rsidRPr="00AF2C08">
        <w:t>rilpivirine</w:t>
      </w:r>
      <w:proofErr w:type="spellEnd"/>
      <w:r w:rsidRPr="00AF2C08">
        <w:t xml:space="preserve">, </w:t>
      </w:r>
      <w:proofErr w:type="spellStart"/>
      <w:r w:rsidRPr="00AF2C08">
        <w:t>boceprevir</w:t>
      </w:r>
      <w:proofErr w:type="spellEnd"/>
      <w:r w:rsidRPr="00AF2C08">
        <w:t xml:space="preserve">, </w:t>
      </w:r>
      <w:proofErr w:type="spellStart"/>
      <w:r w:rsidRPr="00AF2C08">
        <w:t>daclatasvir</w:t>
      </w:r>
      <w:proofErr w:type="spellEnd"/>
      <w:r w:rsidRPr="00AF2C08">
        <w:t xml:space="preserve">, and oral contraceptives containing </w:t>
      </w:r>
      <w:proofErr w:type="spellStart"/>
      <w:r w:rsidRPr="00AF2C08">
        <w:t>norgestimate</w:t>
      </w:r>
      <w:proofErr w:type="spellEnd"/>
      <w:r w:rsidRPr="00AF2C08">
        <w:t xml:space="preserve"> and </w:t>
      </w:r>
      <w:proofErr w:type="spellStart"/>
      <w:r w:rsidRPr="00AF2C08">
        <w:t>ethinyl</w:t>
      </w:r>
      <w:proofErr w:type="spellEnd"/>
      <w:r w:rsidRPr="00AF2C08">
        <w:t xml:space="preserve"> </w:t>
      </w:r>
      <w:proofErr w:type="spellStart"/>
      <w:r w:rsidRPr="00AF2C08">
        <w:t>estradiol</w:t>
      </w:r>
      <w:proofErr w:type="spellEnd"/>
      <w:r w:rsidRPr="00AF2C08">
        <w:t>.</w:t>
      </w:r>
    </w:p>
    <w:p w14:paraId="4D97602C" w14:textId="49B34B45" w:rsidR="00192B58" w:rsidRPr="00AF2C08" w:rsidRDefault="004A09A2" w:rsidP="00192B58">
      <w:r w:rsidRPr="00AF2C08">
        <w:rPr>
          <w:i/>
          <w:iCs/>
        </w:rPr>
        <w:t>In vitro,</w:t>
      </w:r>
      <w:r w:rsidRPr="00AF2C08">
        <w:t xml:space="preserve"> dolutegravir inhibited the renal organic cation transporter 2 (OCT2) (IC</w:t>
      </w:r>
      <w:r w:rsidRPr="00AF2C08">
        <w:rPr>
          <w:vertAlign w:val="subscript"/>
        </w:rPr>
        <w:t>50</w:t>
      </w:r>
      <w:r w:rsidRPr="00AF2C08">
        <w:t xml:space="preserve"> = 1.93 </w:t>
      </w:r>
      <w:r w:rsidR="00024896" w:rsidRPr="00024896">
        <w:rPr>
          <w:rStyle w:val="CSI"/>
        </w:rPr>
        <w:sym w:font="Symbol" w:char="F06D"/>
      </w:r>
      <w:r w:rsidRPr="00AF2C08">
        <w:t>M), multidrug and toxin extrusion transporter (MATE) 1 (IC</w:t>
      </w:r>
      <w:r w:rsidRPr="00AF2C08">
        <w:rPr>
          <w:vertAlign w:val="subscript"/>
        </w:rPr>
        <w:t>50</w:t>
      </w:r>
      <w:r w:rsidRPr="00AF2C08">
        <w:t xml:space="preserve"> = 6.34 </w:t>
      </w:r>
      <w:r w:rsidR="00024896" w:rsidRPr="00024896">
        <w:rPr>
          <w:rStyle w:val="CSI"/>
        </w:rPr>
        <w:sym w:font="Symbol" w:char="F06D"/>
      </w:r>
      <w:r w:rsidRPr="00AF2C08">
        <w:t>M) and MATE2-K (IC</w:t>
      </w:r>
      <w:r w:rsidRPr="00AF2C08">
        <w:rPr>
          <w:vertAlign w:val="subscript"/>
        </w:rPr>
        <w:t>50</w:t>
      </w:r>
      <w:r w:rsidRPr="00AF2C08">
        <w:t xml:space="preserve"> = 24.8 </w:t>
      </w:r>
      <w:r w:rsidR="00024896" w:rsidRPr="00024896">
        <w:rPr>
          <w:rStyle w:val="CSI"/>
        </w:rPr>
        <w:sym w:font="Symbol" w:char="F06D"/>
      </w:r>
      <w:r w:rsidRPr="00AF2C08">
        <w:t xml:space="preserve">M). </w:t>
      </w:r>
      <w:r w:rsidR="002D0F38" w:rsidRPr="00AF2C08">
        <w:t xml:space="preserve">Given the </w:t>
      </w:r>
      <w:r w:rsidR="002D0F38" w:rsidRPr="00AF2C08">
        <w:rPr>
          <w:i/>
          <w:iCs/>
        </w:rPr>
        <w:t>in vivo</w:t>
      </w:r>
      <w:r w:rsidR="002D0F38" w:rsidRPr="00AF2C08">
        <w:t xml:space="preserve"> exposure, dolutegravir has a low potential to affect the transport of MATE2-K substrates </w:t>
      </w:r>
      <w:r w:rsidR="002D0F38" w:rsidRPr="00AF2C08">
        <w:rPr>
          <w:i/>
          <w:iCs/>
        </w:rPr>
        <w:t>in vivo.</w:t>
      </w:r>
      <w:r w:rsidR="00151964">
        <w:rPr>
          <w:i/>
          <w:iCs/>
        </w:rPr>
        <w:t xml:space="preserve"> </w:t>
      </w:r>
      <w:r w:rsidRPr="00AF2C08">
        <w:rPr>
          <w:i/>
          <w:iCs/>
        </w:rPr>
        <w:t>In vivo</w:t>
      </w:r>
      <w:r w:rsidRPr="00AF2C08">
        <w:t xml:space="preserve"> dolutegravir increases plasma concentrations of drugs in which excretion is dependent upon OCT2 or MATE1 (</w:t>
      </w:r>
      <w:proofErr w:type="spellStart"/>
      <w:r w:rsidRPr="00AF2C08">
        <w:t>dofetilide</w:t>
      </w:r>
      <w:proofErr w:type="spellEnd"/>
      <w:r w:rsidRPr="00AF2C08">
        <w:t xml:space="preserve">, </w:t>
      </w:r>
      <w:proofErr w:type="spellStart"/>
      <w:r w:rsidR="00AF5708">
        <w:t>pilsicainide</w:t>
      </w:r>
      <w:proofErr w:type="spellEnd"/>
      <w:r w:rsidR="00AF5708">
        <w:t xml:space="preserve"> </w:t>
      </w:r>
      <w:r w:rsidRPr="00AF2C08">
        <w:t>or metformin) (</w:t>
      </w:r>
      <w:r w:rsidR="00024896">
        <w:t xml:space="preserve">see </w:t>
      </w:r>
      <w:r w:rsidRPr="00AF2C08">
        <w:t xml:space="preserve">Table </w:t>
      </w:r>
      <w:r w:rsidR="00BA0F52">
        <w:t>1</w:t>
      </w:r>
      <w:r w:rsidRPr="00AF2C08">
        <w:t xml:space="preserve">). </w:t>
      </w:r>
    </w:p>
    <w:p w14:paraId="4351532C" w14:textId="77777777" w:rsidR="00192B58" w:rsidRPr="00AF2C08" w:rsidRDefault="004A09A2" w:rsidP="00192B58">
      <w:r w:rsidRPr="00AF2C08">
        <w:rPr>
          <w:i/>
          <w:iCs/>
        </w:rPr>
        <w:lastRenderedPageBreak/>
        <w:t>In vitro,</w:t>
      </w:r>
      <w:r w:rsidRPr="00AF2C08">
        <w:t xml:space="preserve"> dolutegravir inhibited the basolateral renal transporters: organic anion transporter (OAT) 1 (IC</w:t>
      </w:r>
      <w:r w:rsidRPr="00AF2C08">
        <w:rPr>
          <w:vertAlign w:val="subscript"/>
        </w:rPr>
        <w:t>50</w:t>
      </w:r>
      <w:r w:rsidRPr="00AF2C08">
        <w:t xml:space="preserve"> = 2.12 </w:t>
      </w:r>
      <w:r w:rsidR="00024896" w:rsidRPr="00024896">
        <w:rPr>
          <w:rStyle w:val="CSI"/>
        </w:rPr>
        <w:sym w:font="Symbol" w:char="F06D"/>
      </w:r>
      <w:r w:rsidRPr="00AF2C08">
        <w:t>M) and OAT3 (IC</w:t>
      </w:r>
      <w:r w:rsidRPr="00AF2C08">
        <w:rPr>
          <w:vertAlign w:val="subscript"/>
        </w:rPr>
        <w:t>50</w:t>
      </w:r>
      <w:r w:rsidRPr="00AF2C08">
        <w:t xml:space="preserve"> = 1.97 </w:t>
      </w:r>
      <w:r w:rsidR="00024896" w:rsidRPr="00024896">
        <w:rPr>
          <w:rStyle w:val="CSI"/>
        </w:rPr>
        <w:sym w:font="Symbol" w:char="F06D"/>
      </w:r>
      <w:r w:rsidRPr="00AF2C08">
        <w:t xml:space="preserve">M). However, dolutegravir had no notable effect on the </w:t>
      </w:r>
      <w:r w:rsidRPr="00AF2C08">
        <w:rPr>
          <w:i/>
          <w:iCs/>
        </w:rPr>
        <w:t>in vivo</w:t>
      </w:r>
      <w:r w:rsidRPr="00AF2C08">
        <w:t xml:space="preserve"> pharmacokinetics of the OAT substrates tenofovir and para </w:t>
      </w:r>
      <w:proofErr w:type="spellStart"/>
      <w:r w:rsidRPr="00AF2C08">
        <w:t>aminohippurate</w:t>
      </w:r>
      <w:proofErr w:type="spellEnd"/>
      <w:r w:rsidRPr="00AF2C08">
        <w:t>, and therefore has low propensity to cause drug interactions via inhibition of OAT transporte</w:t>
      </w:r>
      <w:r w:rsidR="00192B58" w:rsidRPr="00AF2C08">
        <w:t>rs.</w:t>
      </w:r>
    </w:p>
    <w:p w14:paraId="3EF7505F" w14:textId="68C0DC3F" w:rsidR="00192B58" w:rsidRPr="00AF2C08" w:rsidRDefault="00020F64" w:rsidP="00BB2089">
      <w:pPr>
        <w:spacing w:before="200" w:after="0"/>
        <w:rPr>
          <w:b/>
          <w:i/>
        </w:rPr>
      </w:pPr>
      <w:r w:rsidRPr="00AF2C08">
        <w:rPr>
          <w:b/>
          <w:i/>
        </w:rPr>
        <w:t xml:space="preserve">Effect of </w:t>
      </w:r>
      <w:r w:rsidR="007022BB">
        <w:rPr>
          <w:b/>
          <w:i/>
        </w:rPr>
        <w:t>lamivudine</w:t>
      </w:r>
      <w:r w:rsidRPr="00AF2C08">
        <w:rPr>
          <w:b/>
          <w:i/>
        </w:rPr>
        <w:t xml:space="preserve"> on the </w:t>
      </w:r>
      <w:r w:rsidR="00024896">
        <w:rPr>
          <w:b/>
          <w:i/>
        </w:rPr>
        <w:t>p</w:t>
      </w:r>
      <w:r w:rsidRPr="00AF2C08">
        <w:rPr>
          <w:b/>
          <w:i/>
        </w:rPr>
        <w:t xml:space="preserve">harmacokinetics of </w:t>
      </w:r>
      <w:r w:rsidR="00024896">
        <w:rPr>
          <w:b/>
          <w:i/>
        </w:rPr>
        <w:t>o</w:t>
      </w:r>
      <w:r w:rsidRPr="00AF2C08">
        <w:rPr>
          <w:b/>
          <w:i/>
        </w:rPr>
        <w:t xml:space="preserve">ther </w:t>
      </w:r>
      <w:r w:rsidR="00024896">
        <w:rPr>
          <w:b/>
          <w:i/>
        </w:rPr>
        <w:t>a</w:t>
      </w:r>
      <w:r w:rsidR="00FA4FA8" w:rsidRPr="00AF2C08">
        <w:rPr>
          <w:b/>
          <w:i/>
        </w:rPr>
        <w:t>gents</w:t>
      </w:r>
    </w:p>
    <w:p w14:paraId="5D76B627" w14:textId="77777777" w:rsidR="007022BB" w:rsidRPr="009F60FD" w:rsidRDefault="007022BB" w:rsidP="007022BB">
      <w:bookmarkStart w:id="2" w:name="_Hlk516149857"/>
      <w:r w:rsidRPr="009F60FD">
        <w:rPr>
          <w:bCs/>
          <w:szCs w:val="24"/>
        </w:rPr>
        <w:t xml:space="preserve">Lamivudine does not inhibit or induce CYP enzymes (such as CYP3A4, CYP2C9 or CYP2D6) and demonstrates no or weak inhibition of the drug transporters OATP1B1, OATP1B3, BCRP and </w:t>
      </w:r>
      <w:proofErr w:type="spellStart"/>
      <w:r w:rsidRPr="009F60FD">
        <w:rPr>
          <w:bCs/>
          <w:szCs w:val="24"/>
        </w:rPr>
        <w:t>Pgp</w:t>
      </w:r>
      <w:proofErr w:type="spellEnd"/>
      <w:r w:rsidRPr="009F60FD">
        <w:rPr>
          <w:bCs/>
          <w:szCs w:val="24"/>
        </w:rPr>
        <w:t xml:space="preserve">, OCT3, MATE1 or MATE2-K. </w:t>
      </w:r>
      <w:bookmarkEnd w:id="2"/>
      <w:r w:rsidRPr="009F60FD">
        <w:rPr>
          <w:bCs/>
          <w:szCs w:val="24"/>
        </w:rPr>
        <w:t>Lamivudine is therefore not expected to affect the plasma concentrations of drugs that are substrates of these enzymes or transporters.</w:t>
      </w:r>
    </w:p>
    <w:p w14:paraId="2E36D182" w14:textId="77777777" w:rsidR="007022BB" w:rsidRPr="009F60FD" w:rsidRDefault="007022BB" w:rsidP="007022BB">
      <w:r w:rsidRPr="009F60FD">
        <w:rPr>
          <w:bCs/>
          <w:szCs w:val="24"/>
        </w:rPr>
        <w:t xml:space="preserve">Although lamivudine is an inhibitor of OCT1 and OCT2 </w:t>
      </w:r>
      <w:r w:rsidRPr="00BC2DEE">
        <w:rPr>
          <w:bCs/>
          <w:i/>
          <w:szCs w:val="24"/>
        </w:rPr>
        <w:t>in vitro</w:t>
      </w:r>
      <w:r w:rsidRPr="009F60FD">
        <w:rPr>
          <w:bCs/>
          <w:szCs w:val="24"/>
        </w:rPr>
        <w:t xml:space="preserve">, it has low potential to affect the plasma concentrations of substrates of these transporters at the therapeutic dose (300mg)/exposure. </w:t>
      </w:r>
    </w:p>
    <w:p w14:paraId="73762954" w14:textId="1CC60845" w:rsidR="00BB2089" w:rsidRPr="00AF2C08" w:rsidRDefault="0032294A" w:rsidP="00E825E3">
      <w:pPr>
        <w:keepNext/>
        <w:rPr>
          <w:b/>
        </w:rPr>
      </w:pPr>
      <w:r w:rsidRPr="00AF2C08">
        <w:rPr>
          <w:b/>
        </w:rPr>
        <w:t xml:space="preserve">Effect of </w:t>
      </w:r>
      <w:r w:rsidR="00024896">
        <w:rPr>
          <w:b/>
        </w:rPr>
        <w:t>o</w:t>
      </w:r>
      <w:r w:rsidRPr="00AF2C08">
        <w:rPr>
          <w:b/>
        </w:rPr>
        <w:t xml:space="preserve">ther </w:t>
      </w:r>
      <w:r w:rsidR="00024896">
        <w:rPr>
          <w:b/>
        </w:rPr>
        <w:t>a</w:t>
      </w:r>
      <w:r w:rsidRPr="00AF2C08">
        <w:rPr>
          <w:b/>
        </w:rPr>
        <w:t xml:space="preserve">gents on the </w:t>
      </w:r>
      <w:r w:rsidR="00024896">
        <w:rPr>
          <w:b/>
        </w:rPr>
        <w:t>p</w:t>
      </w:r>
      <w:r w:rsidRPr="00AF2C08">
        <w:rPr>
          <w:b/>
        </w:rPr>
        <w:t xml:space="preserve">harmacokinetics of </w:t>
      </w:r>
      <w:r w:rsidR="006E29E7">
        <w:rPr>
          <w:b/>
        </w:rPr>
        <w:t>DOVATO</w:t>
      </w:r>
    </w:p>
    <w:p w14:paraId="171C6A7D" w14:textId="77777777" w:rsidR="00BB2089" w:rsidRPr="00AF2C08" w:rsidRDefault="00020F64" w:rsidP="00E825E3">
      <w:pPr>
        <w:keepNext/>
        <w:spacing w:before="200" w:after="0"/>
        <w:rPr>
          <w:b/>
        </w:rPr>
      </w:pPr>
      <w:r w:rsidRPr="00AF2C08">
        <w:rPr>
          <w:b/>
          <w:i/>
        </w:rPr>
        <w:t xml:space="preserve">Effect of </w:t>
      </w:r>
      <w:r w:rsidR="00024896">
        <w:rPr>
          <w:b/>
          <w:i/>
        </w:rPr>
        <w:t>o</w:t>
      </w:r>
      <w:r w:rsidRPr="00AF2C08">
        <w:rPr>
          <w:b/>
          <w:i/>
        </w:rPr>
        <w:t xml:space="preserve">ther </w:t>
      </w:r>
      <w:r w:rsidR="00024896">
        <w:rPr>
          <w:b/>
          <w:i/>
        </w:rPr>
        <w:t>a</w:t>
      </w:r>
      <w:r w:rsidRPr="00AF2C08">
        <w:rPr>
          <w:b/>
          <w:i/>
        </w:rPr>
        <w:t xml:space="preserve">gents on the </w:t>
      </w:r>
      <w:r w:rsidR="00024896">
        <w:rPr>
          <w:b/>
          <w:i/>
        </w:rPr>
        <w:t>p</w:t>
      </w:r>
      <w:r w:rsidRPr="00AF2C08">
        <w:rPr>
          <w:b/>
          <w:i/>
        </w:rPr>
        <w:t xml:space="preserve">harmacokinetics of </w:t>
      </w:r>
      <w:r w:rsidR="00024896">
        <w:rPr>
          <w:b/>
          <w:i/>
        </w:rPr>
        <w:t>d</w:t>
      </w:r>
      <w:r w:rsidRPr="00AF2C08">
        <w:rPr>
          <w:b/>
          <w:i/>
        </w:rPr>
        <w:t>olutegravir</w:t>
      </w:r>
    </w:p>
    <w:p w14:paraId="382DF156" w14:textId="371AD7F2" w:rsidR="00410EF5" w:rsidRPr="00AF2C08" w:rsidRDefault="004A09A2" w:rsidP="00E825E3">
      <w:pPr>
        <w:keepNext/>
        <w:rPr>
          <w:b/>
        </w:rPr>
      </w:pPr>
      <w:r w:rsidRPr="00AF2C08">
        <w:t xml:space="preserve">Dolutegravir is </w:t>
      </w:r>
      <w:r w:rsidR="006E29E7">
        <w:t xml:space="preserve">eliminated mainly through </w:t>
      </w:r>
      <w:r w:rsidRPr="00AF2C08">
        <w:t>metabolis</w:t>
      </w:r>
      <w:r w:rsidR="006E29E7">
        <w:t>m</w:t>
      </w:r>
      <w:r w:rsidRPr="00AF2C08">
        <w:t xml:space="preserve"> by UGT1A1</w:t>
      </w:r>
      <w:r w:rsidR="00E72358">
        <w:t xml:space="preserve"> with some contribution from CYP3A</w:t>
      </w:r>
      <w:r w:rsidRPr="00AF2C08">
        <w:t xml:space="preserve">. Dolutegravir is also a substrate of UGT1A3, UGT1A9, </w:t>
      </w:r>
      <w:proofErr w:type="spellStart"/>
      <w:r w:rsidRPr="00AF2C08">
        <w:t>Pgp</w:t>
      </w:r>
      <w:proofErr w:type="spellEnd"/>
      <w:r w:rsidRPr="00AF2C08">
        <w:t xml:space="preserve">, and BCRP </w:t>
      </w:r>
      <w:r w:rsidRPr="00AF2C08">
        <w:rPr>
          <w:i/>
          <w:iCs/>
        </w:rPr>
        <w:t>in vitro;</w:t>
      </w:r>
      <w:r w:rsidRPr="00AF2C08">
        <w:t xml:space="preserve"> therefore drugs that induce those enzymes or transporters may decrease dolutegravir plasma concentration and reduce the therapeutic effect of dolutegravir. Co-administration of dolutegravir and other drugs that inhibit these enzymes</w:t>
      </w:r>
      <w:r w:rsidR="00F10457" w:rsidRPr="00F10457">
        <w:t xml:space="preserve"> or transporters</w:t>
      </w:r>
      <w:r w:rsidRPr="00AF2C08">
        <w:t xml:space="preserve"> may increase dolutegravir p</w:t>
      </w:r>
      <w:r w:rsidR="00C5009F" w:rsidRPr="00AF2C08">
        <w:t xml:space="preserve">lasma concentration (see Table </w:t>
      </w:r>
      <w:r w:rsidR="00BA0F52">
        <w:t>1</w:t>
      </w:r>
      <w:r w:rsidR="00410EF5" w:rsidRPr="00AF2C08">
        <w:t>).</w:t>
      </w:r>
    </w:p>
    <w:p w14:paraId="5590455C" w14:textId="2F046671" w:rsidR="00410EF5" w:rsidRDefault="004A09A2" w:rsidP="00410EF5">
      <w:r w:rsidRPr="00AF2C08">
        <w:rPr>
          <w:i/>
          <w:iCs/>
        </w:rPr>
        <w:t>In vitro,</w:t>
      </w:r>
      <w:r w:rsidRPr="00AF2C08">
        <w:t xml:space="preserve"> dolutegravir is not a substrate of human OATP1B1, OATP1B3, or OCT1, therefore drugs that solely modulate these transporters are not expected to affect dolu</w:t>
      </w:r>
      <w:r w:rsidR="00410EF5" w:rsidRPr="00AF2C08">
        <w:t>tegravir plasma concentration.</w:t>
      </w:r>
    </w:p>
    <w:p w14:paraId="56DAB7CB" w14:textId="7DC648EB" w:rsidR="00BA0F52" w:rsidRPr="00AF2C08" w:rsidRDefault="00BA0F52" w:rsidP="00410EF5">
      <w:r w:rsidRPr="00BA0F52">
        <w:t xml:space="preserve">Rifampicin, carbamazepine, phenytoin, phenobarbital, St. John’s wort, etravirine (without boosted protease inhibitors), efavirenz, nevirapine, or tipranavir/ritonavir each reduced the plasma concentrations of dolutegravir significantly and require dolutegravir dose adjustment to 50 mg twice daily.  A separate preparation of dolutegravir is available where a dose adjustment is required due to drug-drug interactions. An additional dose of 50 mg dolutegravir should be administered, approximately 12 hours after </w:t>
      </w:r>
      <w:r>
        <w:t>DOVATO</w:t>
      </w:r>
      <w:r w:rsidRPr="00BA0F52">
        <w:t xml:space="preserve">.  In these cases the physician should refer to the </w:t>
      </w:r>
      <w:r w:rsidR="0080762A">
        <w:t>dolutegravir</w:t>
      </w:r>
      <w:r w:rsidR="0080762A" w:rsidRPr="00BA0F52">
        <w:t xml:space="preserve"> </w:t>
      </w:r>
      <w:r w:rsidRPr="00BA0F52">
        <w:t>product information.</w:t>
      </w:r>
    </w:p>
    <w:p w14:paraId="7766593C" w14:textId="0D3AF533" w:rsidR="00410EF5" w:rsidRPr="00AF2C08" w:rsidRDefault="008F3193" w:rsidP="00364EDE">
      <w:pPr>
        <w:spacing w:before="200" w:after="0"/>
        <w:rPr>
          <w:b/>
          <w:i/>
          <w:iCs/>
        </w:rPr>
      </w:pPr>
      <w:r w:rsidRPr="00AF2C08">
        <w:rPr>
          <w:b/>
          <w:i/>
          <w:iCs/>
        </w:rPr>
        <w:t xml:space="preserve">Effect of </w:t>
      </w:r>
      <w:r w:rsidR="00BD41C6">
        <w:rPr>
          <w:b/>
          <w:i/>
          <w:iCs/>
        </w:rPr>
        <w:t>o</w:t>
      </w:r>
      <w:r w:rsidRPr="00AF2C08">
        <w:rPr>
          <w:b/>
          <w:i/>
          <w:iCs/>
        </w:rPr>
        <w:t xml:space="preserve">ther </w:t>
      </w:r>
      <w:r w:rsidR="00BD41C6">
        <w:rPr>
          <w:b/>
          <w:i/>
          <w:iCs/>
        </w:rPr>
        <w:t>a</w:t>
      </w:r>
      <w:r w:rsidR="004A09A2" w:rsidRPr="00AF2C08">
        <w:rPr>
          <w:b/>
          <w:i/>
          <w:iCs/>
        </w:rPr>
        <w:t xml:space="preserve">gents on the </w:t>
      </w:r>
      <w:r w:rsidR="00BD41C6">
        <w:rPr>
          <w:b/>
          <w:i/>
          <w:iCs/>
        </w:rPr>
        <w:t>p</w:t>
      </w:r>
      <w:r w:rsidRPr="00AF2C08">
        <w:rPr>
          <w:b/>
          <w:i/>
          <w:iCs/>
        </w:rPr>
        <w:t xml:space="preserve">harmacokinetics of </w:t>
      </w:r>
      <w:r w:rsidR="00BA0F52">
        <w:rPr>
          <w:b/>
          <w:i/>
          <w:iCs/>
        </w:rPr>
        <w:t>lamivudine</w:t>
      </w:r>
    </w:p>
    <w:p w14:paraId="68737F57" w14:textId="081728C8" w:rsidR="00410EF5" w:rsidRPr="00AF2C08" w:rsidRDefault="00BA0F52" w:rsidP="00192B58">
      <w:r w:rsidRPr="009F60FD">
        <w:rPr>
          <w:bCs/>
          <w:szCs w:val="24"/>
        </w:rPr>
        <w:t xml:space="preserve">The likelihood of metabolic interactions with lamivudine is low due to limited metabolism and plasma protein binding, and almost complete renal clearance. Lamivudine is not significantly metabolised by CYP enzymes.  Although lamivudine is a substrate of BCRP and </w:t>
      </w:r>
      <w:proofErr w:type="spellStart"/>
      <w:r w:rsidRPr="009F60FD">
        <w:rPr>
          <w:bCs/>
          <w:szCs w:val="24"/>
        </w:rPr>
        <w:t>Pgp</w:t>
      </w:r>
      <w:proofErr w:type="spellEnd"/>
      <w:r w:rsidRPr="009F60FD">
        <w:rPr>
          <w:bCs/>
          <w:szCs w:val="24"/>
        </w:rPr>
        <w:t xml:space="preserve"> </w:t>
      </w:r>
      <w:r w:rsidRPr="00BC2DEE">
        <w:rPr>
          <w:bCs/>
          <w:i/>
          <w:szCs w:val="24"/>
        </w:rPr>
        <w:t>in vitro</w:t>
      </w:r>
      <w:r w:rsidRPr="009F60FD">
        <w:rPr>
          <w:bCs/>
          <w:szCs w:val="24"/>
        </w:rPr>
        <w:t xml:space="preserve">, inhibitors of these efflux transporters are unlikely to affect the disposition of lamivudine due to its high bioavailability. Lamivudine is an </w:t>
      </w:r>
      <w:r w:rsidRPr="00BC2DEE">
        <w:rPr>
          <w:bCs/>
          <w:i/>
          <w:szCs w:val="24"/>
        </w:rPr>
        <w:t>in vitro</w:t>
      </w:r>
      <w:r w:rsidRPr="009F60FD">
        <w:rPr>
          <w:bCs/>
          <w:szCs w:val="24"/>
        </w:rPr>
        <w:t xml:space="preserve"> substrate of MATE1, MATE2-K and OCT2. Trimethoprim (an inhibitor of these drug transporters) has been shown to increase lamivudine plasma concentrations however; the resulting increase was of such magnitude that a dose adjustment is not recommended as it is not expected to have clinical significance. Lamivudine is a substrate of the hepatic uptake transporter OCT1.  As hepatic </w:t>
      </w:r>
      <w:r w:rsidRPr="009F60FD">
        <w:rPr>
          <w:bCs/>
          <w:szCs w:val="24"/>
        </w:rPr>
        <w:lastRenderedPageBreak/>
        <w:t xml:space="preserve">elimination plays a minor role in the clearance of lamivudine, drug interactions due to inhibition of OCT1 are unlikely to be of clinical significance. </w:t>
      </w:r>
    </w:p>
    <w:p w14:paraId="20D95ADB" w14:textId="4722BADE" w:rsidR="00BA0F52" w:rsidRPr="009F60FD" w:rsidRDefault="00BA0F52" w:rsidP="00BA0F52">
      <w:pPr>
        <w:rPr>
          <w:bCs/>
          <w:szCs w:val="24"/>
          <w:highlight w:val="yellow"/>
        </w:rPr>
      </w:pPr>
      <w:r w:rsidRPr="009F60FD">
        <w:rPr>
          <w:bCs/>
          <w:szCs w:val="24"/>
        </w:rPr>
        <w:t xml:space="preserve">Selected drug interactions are presented in Tables 1 and 2.  Recommendations are based on either drug interaction studies </w:t>
      </w:r>
      <w:r w:rsidR="00B118B9">
        <w:rPr>
          <w:bCs/>
          <w:szCs w:val="24"/>
        </w:rPr>
        <w:t xml:space="preserve">performed in adults </w:t>
      </w:r>
      <w:r w:rsidRPr="009F60FD">
        <w:rPr>
          <w:bCs/>
          <w:szCs w:val="24"/>
        </w:rPr>
        <w:t xml:space="preserve">or predicted interactions due to the expected magnitude of interaction and potential for serious adverse events or loss of efficacy.  </w:t>
      </w:r>
      <w:r w:rsidR="00A6660C">
        <w:rPr>
          <w:bCs/>
          <w:szCs w:val="24"/>
        </w:rPr>
        <w:t>DOVATO</w:t>
      </w:r>
      <w:r w:rsidRPr="009F60FD">
        <w:rPr>
          <w:bCs/>
          <w:szCs w:val="24"/>
        </w:rPr>
        <w:t xml:space="preserve"> is not expected to be co-administered with other HIV-1 antiviral agents and information is provided for reference.</w:t>
      </w:r>
    </w:p>
    <w:p w14:paraId="44F8B510" w14:textId="563D4D09" w:rsidR="00BB04EE" w:rsidRPr="00AF2C08" w:rsidRDefault="00BB04EE" w:rsidP="00FB7D66">
      <w:pPr>
        <w:pStyle w:val="captiontable"/>
        <w:ind w:left="1134" w:hanging="1134"/>
      </w:pPr>
      <w:bookmarkStart w:id="3" w:name="Table_2"/>
      <w:r w:rsidRPr="00AF2C08">
        <w:t xml:space="preserve">Table </w:t>
      </w:r>
      <w:bookmarkEnd w:id="3"/>
      <w:r w:rsidR="00DF28F7">
        <w:t>1</w:t>
      </w:r>
      <w:r w:rsidR="00DC74E3">
        <w:t>:</w:t>
      </w:r>
      <w:r w:rsidR="00CD5CAE">
        <w:tab/>
      </w:r>
      <w:r w:rsidR="00DF28F7">
        <w:t>Drug i</w:t>
      </w:r>
      <w:r w:rsidRPr="00AF2C08">
        <w:t>nteractions</w:t>
      </w:r>
      <w:r w:rsidR="00DF28F7">
        <w:t xml:space="preserve"> studied with dolutegravir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005"/>
        <w:gridCol w:w="3686"/>
      </w:tblGrid>
      <w:tr w:rsidR="00BB04EE" w:rsidRPr="00BD41C6" w14:paraId="369F6100" w14:textId="77777777" w:rsidTr="00F276E3">
        <w:trPr>
          <w:tblHeader/>
        </w:trPr>
        <w:tc>
          <w:tcPr>
            <w:tcW w:w="2235" w:type="dxa"/>
          </w:tcPr>
          <w:p w14:paraId="14470467" w14:textId="77777777" w:rsidR="00BB04EE" w:rsidRPr="00BD41C6" w:rsidRDefault="00BB04EE" w:rsidP="00BB04EE">
            <w:pPr>
              <w:spacing w:after="0" w:line="240" w:lineRule="auto"/>
              <w:rPr>
                <w:rFonts w:ascii="Arial Narrow" w:eastAsia="Times New Roman" w:hAnsi="Arial Narrow"/>
                <w:b/>
                <w:sz w:val="20"/>
                <w:szCs w:val="20"/>
              </w:rPr>
            </w:pPr>
            <w:r w:rsidRPr="00BD41C6">
              <w:rPr>
                <w:rFonts w:ascii="Arial Narrow" w:eastAsia="Times New Roman" w:hAnsi="Arial Narrow"/>
                <w:b/>
                <w:sz w:val="20"/>
                <w:szCs w:val="20"/>
              </w:rPr>
              <w:t>Concomitant Drug Class:</w:t>
            </w:r>
            <w:r w:rsidRPr="00BD41C6">
              <w:rPr>
                <w:rFonts w:ascii="Arial Narrow" w:eastAsia="Times New Roman" w:hAnsi="Arial Narrow"/>
                <w:b/>
                <w:sz w:val="20"/>
                <w:szCs w:val="20"/>
              </w:rPr>
              <w:br/>
              <w:t>Drug Name</w:t>
            </w:r>
          </w:p>
        </w:tc>
        <w:tc>
          <w:tcPr>
            <w:tcW w:w="3005" w:type="dxa"/>
          </w:tcPr>
          <w:p w14:paraId="038091E1" w14:textId="46A44A2B" w:rsidR="00BB04EE" w:rsidRPr="00BD41C6" w:rsidRDefault="00BB04EE" w:rsidP="00BB04EE">
            <w:pPr>
              <w:spacing w:after="0" w:line="240" w:lineRule="auto"/>
              <w:rPr>
                <w:rFonts w:ascii="Arial Narrow" w:eastAsia="Times New Roman" w:hAnsi="Arial Narrow"/>
                <w:b/>
                <w:sz w:val="20"/>
                <w:szCs w:val="20"/>
              </w:rPr>
            </w:pPr>
            <w:r w:rsidRPr="00BD41C6">
              <w:rPr>
                <w:rFonts w:ascii="Arial Narrow" w:eastAsia="Times New Roman" w:hAnsi="Arial Narrow"/>
                <w:b/>
                <w:sz w:val="20"/>
                <w:szCs w:val="20"/>
              </w:rPr>
              <w:t xml:space="preserve">Effect on Concentration of Dolutegravir, </w:t>
            </w:r>
            <w:r w:rsidR="00AF3C64">
              <w:rPr>
                <w:rFonts w:ascii="Arial Narrow" w:eastAsia="Times New Roman" w:hAnsi="Arial Narrow"/>
                <w:b/>
                <w:sz w:val="20"/>
                <w:szCs w:val="20"/>
              </w:rPr>
              <w:t>Lamivudine</w:t>
            </w:r>
            <w:r w:rsidRPr="00BD41C6">
              <w:rPr>
                <w:rFonts w:ascii="Arial Narrow" w:eastAsia="Times New Roman" w:hAnsi="Arial Narrow"/>
                <w:b/>
                <w:sz w:val="20"/>
                <w:szCs w:val="20"/>
              </w:rPr>
              <w:t>, or Concomitant Drug*</w:t>
            </w:r>
          </w:p>
        </w:tc>
        <w:tc>
          <w:tcPr>
            <w:tcW w:w="3686" w:type="dxa"/>
          </w:tcPr>
          <w:p w14:paraId="76690986" w14:textId="77777777" w:rsidR="00BB04EE" w:rsidRPr="00BD41C6" w:rsidRDefault="00BB04EE" w:rsidP="008327C7">
            <w:pPr>
              <w:spacing w:after="120" w:line="240" w:lineRule="auto"/>
              <w:rPr>
                <w:rFonts w:ascii="Arial Narrow" w:eastAsia="Times New Roman" w:hAnsi="Arial Narrow"/>
                <w:b/>
                <w:sz w:val="20"/>
                <w:szCs w:val="20"/>
              </w:rPr>
            </w:pPr>
            <w:r w:rsidRPr="00BD41C6">
              <w:rPr>
                <w:rFonts w:ascii="Arial Narrow" w:eastAsia="Times New Roman" w:hAnsi="Arial Narrow"/>
                <w:b/>
                <w:sz w:val="20"/>
                <w:szCs w:val="20"/>
              </w:rPr>
              <w:t>Clinical Comment</w:t>
            </w:r>
          </w:p>
        </w:tc>
      </w:tr>
      <w:tr w:rsidR="00BB04EE" w:rsidRPr="00BD41C6" w14:paraId="441304AC" w14:textId="77777777" w:rsidTr="00BD41C6">
        <w:tc>
          <w:tcPr>
            <w:tcW w:w="8926" w:type="dxa"/>
            <w:gridSpan w:val="3"/>
          </w:tcPr>
          <w:p w14:paraId="1B5918A4" w14:textId="77777777" w:rsidR="00BB04EE" w:rsidRPr="00BD41C6" w:rsidRDefault="00BB04EE" w:rsidP="008327C7">
            <w:pPr>
              <w:spacing w:after="120" w:line="240" w:lineRule="auto"/>
              <w:rPr>
                <w:rFonts w:ascii="Arial Narrow" w:eastAsia="Times New Roman" w:hAnsi="Arial Narrow"/>
                <w:b/>
                <w:sz w:val="20"/>
                <w:szCs w:val="20"/>
              </w:rPr>
            </w:pPr>
            <w:r w:rsidRPr="00BD41C6">
              <w:rPr>
                <w:rFonts w:ascii="Arial Narrow" w:eastAsia="Times New Roman" w:hAnsi="Arial Narrow"/>
                <w:b/>
                <w:sz w:val="20"/>
                <w:szCs w:val="20"/>
              </w:rPr>
              <w:t>HIV-1 Antiviral Agents</w:t>
            </w:r>
          </w:p>
        </w:tc>
      </w:tr>
      <w:tr w:rsidR="00BB04EE" w:rsidRPr="00BD41C6" w14:paraId="75B9F6F2" w14:textId="77777777" w:rsidTr="00BD41C6">
        <w:tc>
          <w:tcPr>
            <w:tcW w:w="2235" w:type="dxa"/>
          </w:tcPr>
          <w:p w14:paraId="28A7240F" w14:textId="3AE86A97" w:rsidR="00BB04EE" w:rsidRPr="00AA1596" w:rsidRDefault="00DF28F7" w:rsidP="008327C7">
            <w:pPr>
              <w:spacing w:line="240" w:lineRule="auto"/>
              <w:rPr>
                <w:rFonts w:ascii="Arial Narrow" w:hAnsi="Arial Narrow"/>
                <w:sz w:val="20"/>
                <w:szCs w:val="20"/>
              </w:rPr>
            </w:pPr>
            <w:r w:rsidRPr="00AA1596">
              <w:rPr>
                <w:rFonts w:ascii="Arial Narrow" w:hAnsi="Arial Narrow"/>
                <w:sz w:val="20"/>
                <w:szCs w:val="20"/>
              </w:rPr>
              <w:t>Non-nucleoside Reverse Transcriptase Inhibitor:</w:t>
            </w:r>
            <w:r w:rsidRPr="00AA1596">
              <w:rPr>
                <w:rFonts w:ascii="Arial Narrow" w:hAnsi="Arial Narrow"/>
                <w:sz w:val="20"/>
                <w:szCs w:val="20"/>
              </w:rPr>
              <w:br/>
              <w:t xml:space="preserve">Etravirine (ETR) without boosted </w:t>
            </w:r>
            <w:r w:rsidR="00B861BE" w:rsidRPr="00AA1596">
              <w:rPr>
                <w:rFonts w:ascii="Arial Narrow" w:hAnsi="Arial Narrow"/>
                <w:sz w:val="20"/>
                <w:szCs w:val="20"/>
              </w:rPr>
              <w:t>protease</w:t>
            </w:r>
            <w:r w:rsidRPr="00AA1596">
              <w:rPr>
                <w:rFonts w:ascii="Arial Narrow" w:hAnsi="Arial Narrow"/>
                <w:sz w:val="20"/>
                <w:szCs w:val="20"/>
              </w:rPr>
              <w:t xml:space="preserve"> inhibitors</w:t>
            </w:r>
          </w:p>
        </w:tc>
        <w:tc>
          <w:tcPr>
            <w:tcW w:w="3005" w:type="dxa"/>
          </w:tcPr>
          <w:p w14:paraId="62FAD586" w14:textId="77777777" w:rsidR="00DF28F7" w:rsidRPr="00AA1596" w:rsidRDefault="00DF28F7" w:rsidP="008327C7">
            <w:pPr>
              <w:spacing w:line="240" w:lineRule="auto"/>
              <w:rPr>
                <w:rFonts w:ascii="Arial Narrow" w:hAnsi="Arial Narrow"/>
                <w:sz w:val="20"/>
                <w:szCs w:val="20"/>
              </w:rPr>
            </w:pPr>
            <w:proofErr w:type="spellStart"/>
            <w:r w:rsidRPr="00AA1596">
              <w:rPr>
                <w:rFonts w:ascii="Arial Narrow" w:hAnsi="Arial Narrow"/>
                <w:sz w:val="20"/>
                <w:szCs w:val="20"/>
              </w:rPr>
              <w:t>Dolutegravir</w:t>
            </w:r>
            <w:proofErr w:type="spellEnd"/>
            <w:r w:rsidRPr="00AA1596">
              <w:rPr>
                <w:rFonts w:ascii="Arial Narrow" w:hAnsi="Arial Narrow"/>
                <w:sz w:val="20"/>
                <w:szCs w:val="20"/>
              </w:rPr>
              <w:t xml:space="preserve"> </w:t>
            </w:r>
            <w:r w:rsidRPr="00AA1596">
              <w:rPr>
                <w:rFonts w:ascii="Arial Narrow" w:hAnsi="Arial Narrow"/>
                <w:sz w:val="20"/>
                <w:szCs w:val="20"/>
              </w:rPr>
              <w:sym w:font="Symbol" w:char="F0AF"/>
            </w:r>
            <w:r w:rsidRPr="00AA1596">
              <w:rPr>
                <w:rFonts w:ascii="Arial Narrow" w:hAnsi="Arial Narrow"/>
                <w:sz w:val="20"/>
                <w:szCs w:val="20"/>
              </w:rPr>
              <w:br/>
              <w:t xml:space="preserve">AUC </w:t>
            </w:r>
            <w:r w:rsidRPr="00AA1596">
              <w:rPr>
                <w:rFonts w:ascii="Arial Narrow" w:hAnsi="Arial Narrow"/>
                <w:sz w:val="20"/>
                <w:szCs w:val="20"/>
              </w:rPr>
              <w:sym w:font="Symbol" w:char="F0AF"/>
            </w:r>
            <w:r w:rsidRPr="00AA1596">
              <w:rPr>
                <w:rFonts w:ascii="Arial Narrow" w:hAnsi="Arial Narrow"/>
                <w:sz w:val="20"/>
                <w:szCs w:val="20"/>
              </w:rPr>
              <w:t xml:space="preserve"> 71%</w:t>
            </w:r>
            <w:r w:rsidRPr="00AA1596">
              <w:rPr>
                <w:rFonts w:ascii="Arial Narrow" w:hAnsi="Arial Narrow"/>
                <w:sz w:val="20"/>
                <w:szCs w:val="20"/>
              </w:rPr>
              <w:br/>
            </w:r>
            <w:proofErr w:type="spellStart"/>
            <w:r w:rsidRPr="00AA1596">
              <w:rPr>
                <w:rFonts w:ascii="Arial Narrow" w:hAnsi="Arial Narrow"/>
                <w:sz w:val="20"/>
                <w:szCs w:val="20"/>
              </w:rPr>
              <w:t>C</w:t>
            </w:r>
            <w:r w:rsidRPr="00AA1596">
              <w:rPr>
                <w:rFonts w:ascii="Arial Narrow" w:hAnsi="Arial Narrow"/>
                <w:sz w:val="20"/>
                <w:szCs w:val="20"/>
                <w:vertAlign w:val="subscript"/>
              </w:rPr>
              <w:t>max</w:t>
            </w:r>
            <w:proofErr w:type="spellEnd"/>
            <w:r w:rsidRPr="00AA1596">
              <w:rPr>
                <w:rFonts w:ascii="Arial Narrow" w:hAnsi="Arial Narrow"/>
                <w:sz w:val="20"/>
                <w:szCs w:val="20"/>
              </w:rPr>
              <w:t xml:space="preserve"> </w:t>
            </w:r>
            <w:r w:rsidRPr="00AA1596">
              <w:rPr>
                <w:rFonts w:ascii="Arial Narrow" w:hAnsi="Arial Narrow"/>
                <w:sz w:val="20"/>
                <w:szCs w:val="20"/>
              </w:rPr>
              <w:sym w:font="Symbol" w:char="F0AF"/>
            </w:r>
            <w:r w:rsidRPr="00AA1596">
              <w:rPr>
                <w:rFonts w:ascii="Arial Narrow" w:hAnsi="Arial Narrow"/>
                <w:sz w:val="20"/>
                <w:szCs w:val="20"/>
              </w:rPr>
              <w:t xml:space="preserve"> 52%</w:t>
            </w:r>
            <w:r w:rsidRPr="00AA1596">
              <w:rPr>
                <w:rFonts w:ascii="Arial Narrow" w:hAnsi="Arial Narrow"/>
                <w:sz w:val="20"/>
                <w:szCs w:val="20"/>
              </w:rPr>
              <w:br/>
              <w:t>C</w:t>
            </w:r>
            <w:r w:rsidRPr="00AA1596">
              <w:rPr>
                <w:rFonts w:ascii="Arial Narrow" w:hAnsi="Arial Narrow"/>
                <w:sz w:val="20"/>
                <w:szCs w:val="20"/>
              </w:rPr>
              <w:sym w:font="Symbol" w:char="F074"/>
            </w:r>
            <w:r w:rsidRPr="00AA1596">
              <w:rPr>
                <w:rFonts w:ascii="Arial Narrow" w:hAnsi="Arial Narrow"/>
                <w:sz w:val="20"/>
                <w:szCs w:val="20"/>
              </w:rPr>
              <w:t xml:space="preserve"> </w:t>
            </w:r>
            <w:r w:rsidRPr="00AA1596">
              <w:rPr>
                <w:rFonts w:ascii="Arial Narrow" w:hAnsi="Arial Narrow"/>
                <w:sz w:val="20"/>
                <w:szCs w:val="20"/>
              </w:rPr>
              <w:sym w:font="Symbol" w:char="F0AF"/>
            </w:r>
            <w:r w:rsidRPr="00AA1596">
              <w:rPr>
                <w:rFonts w:ascii="Arial Narrow" w:hAnsi="Arial Narrow"/>
                <w:sz w:val="20"/>
                <w:szCs w:val="20"/>
              </w:rPr>
              <w:t xml:space="preserve"> 88%</w:t>
            </w:r>
          </w:p>
          <w:p w14:paraId="59B4A614" w14:textId="4BDE6EFD" w:rsidR="00BB04EE" w:rsidRPr="00AA1596" w:rsidRDefault="00DF28F7" w:rsidP="008327C7">
            <w:pPr>
              <w:spacing w:line="240" w:lineRule="auto"/>
              <w:rPr>
                <w:rFonts w:ascii="Arial Narrow" w:hAnsi="Arial Narrow"/>
                <w:sz w:val="20"/>
                <w:szCs w:val="20"/>
              </w:rPr>
            </w:pPr>
            <w:r w:rsidRPr="00AA1596">
              <w:rPr>
                <w:rFonts w:ascii="Arial Narrow" w:hAnsi="Arial Narrow"/>
                <w:sz w:val="20"/>
                <w:szCs w:val="20"/>
              </w:rPr>
              <w:t xml:space="preserve">ETR </w:t>
            </w:r>
            <w:r w:rsidRPr="00AA1596">
              <w:rPr>
                <w:rFonts w:ascii="Arial Narrow" w:hAnsi="Arial Narrow"/>
                <w:sz w:val="20"/>
                <w:szCs w:val="20"/>
              </w:rPr>
              <w:sym w:font="Symbol" w:char="F0AB"/>
            </w:r>
          </w:p>
        </w:tc>
        <w:tc>
          <w:tcPr>
            <w:tcW w:w="3686" w:type="dxa"/>
          </w:tcPr>
          <w:p w14:paraId="025443CE" w14:textId="627B9845" w:rsidR="00BB04EE" w:rsidRPr="00AA1596" w:rsidRDefault="00DF28F7" w:rsidP="008327C7">
            <w:pPr>
              <w:spacing w:after="120" w:line="240" w:lineRule="auto"/>
              <w:rPr>
                <w:rFonts w:ascii="Arial Narrow" w:hAnsi="Arial Narrow"/>
                <w:sz w:val="20"/>
                <w:szCs w:val="20"/>
              </w:rPr>
            </w:pPr>
            <w:r w:rsidRPr="00AA1596">
              <w:rPr>
                <w:rFonts w:ascii="Arial Narrow" w:hAnsi="Arial Narrow"/>
                <w:sz w:val="20"/>
                <w:szCs w:val="20"/>
              </w:rPr>
              <w:t xml:space="preserve">Etravirine without boosted protease inhibitors decreased plasma dolutegravir concentration. </w:t>
            </w:r>
            <w:r w:rsidR="00C161D9">
              <w:rPr>
                <w:rFonts w:ascii="Arial Narrow" w:hAnsi="Arial Narrow"/>
                <w:sz w:val="20"/>
                <w:szCs w:val="20"/>
              </w:rPr>
              <w:t>Since t</w:t>
            </w:r>
            <w:r w:rsidRPr="00AA1596">
              <w:rPr>
                <w:rFonts w:ascii="Arial Narrow" w:hAnsi="Arial Narrow"/>
                <w:sz w:val="20"/>
                <w:szCs w:val="20"/>
              </w:rPr>
              <w:t>he recommended dose of dolutegravir is 50 mg twice daily for patients taking etravirine without boosted protease inhibitors.</w:t>
            </w:r>
            <w:r w:rsidR="00C161D9">
              <w:rPr>
                <w:rFonts w:ascii="Arial Narrow" w:hAnsi="Arial Narrow"/>
                <w:sz w:val="20"/>
                <w:szCs w:val="20"/>
              </w:rPr>
              <w:t>,</w:t>
            </w:r>
            <w:r w:rsidRPr="00AA1596">
              <w:rPr>
                <w:rFonts w:ascii="Arial Narrow" w:hAnsi="Arial Narrow"/>
                <w:sz w:val="20"/>
                <w:szCs w:val="20"/>
              </w:rPr>
              <w:t xml:space="preserve">  </w:t>
            </w:r>
            <w:r w:rsidR="00A6660C">
              <w:rPr>
                <w:rFonts w:ascii="Arial Narrow" w:hAnsi="Arial Narrow"/>
                <w:sz w:val="20"/>
                <w:szCs w:val="20"/>
              </w:rPr>
              <w:t>DOVATO</w:t>
            </w:r>
            <w:r w:rsidRPr="00AA1596">
              <w:rPr>
                <w:rFonts w:ascii="Arial Narrow" w:hAnsi="Arial Narrow"/>
                <w:sz w:val="20"/>
                <w:szCs w:val="20"/>
              </w:rPr>
              <w:t xml:space="preserve"> is </w:t>
            </w:r>
            <w:r w:rsidR="00C161D9">
              <w:rPr>
                <w:rFonts w:ascii="Arial Narrow" w:hAnsi="Arial Narrow"/>
                <w:sz w:val="20"/>
                <w:szCs w:val="20"/>
              </w:rPr>
              <w:t>not recommended for patients taking etravirine without co-administration of atazanavir/r</w:t>
            </w:r>
            <w:r w:rsidR="003666B4">
              <w:rPr>
                <w:rFonts w:ascii="Arial Narrow" w:hAnsi="Arial Narrow"/>
                <w:sz w:val="20"/>
                <w:szCs w:val="20"/>
              </w:rPr>
              <w:t>i</w:t>
            </w:r>
            <w:r w:rsidR="00C161D9">
              <w:rPr>
                <w:rFonts w:ascii="Arial Narrow" w:hAnsi="Arial Narrow"/>
                <w:sz w:val="20"/>
                <w:szCs w:val="20"/>
              </w:rPr>
              <w:t>t</w:t>
            </w:r>
            <w:r w:rsidR="003666B4">
              <w:rPr>
                <w:rFonts w:ascii="Arial Narrow" w:hAnsi="Arial Narrow"/>
                <w:sz w:val="20"/>
                <w:szCs w:val="20"/>
              </w:rPr>
              <w:t>o</w:t>
            </w:r>
            <w:r w:rsidR="00C161D9">
              <w:rPr>
                <w:rFonts w:ascii="Arial Narrow" w:hAnsi="Arial Narrow"/>
                <w:sz w:val="20"/>
                <w:szCs w:val="20"/>
              </w:rPr>
              <w:t>navir, darunavir/ritonavir or lopinavir/ritonavir</w:t>
            </w:r>
            <w:r w:rsidRPr="00AA1596">
              <w:rPr>
                <w:rFonts w:ascii="Arial Narrow" w:hAnsi="Arial Narrow"/>
                <w:sz w:val="20"/>
                <w:szCs w:val="20"/>
              </w:rPr>
              <w:t>.</w:t>
            </w:r>
          </w:p>
        </w:tc>
      </w:tr>
      <w:tr w:rsidR="00AA1596" w:rsidRPr="00AA1596" w14:paraId="3F0E5C5D" w14:textId="77777777" w:rsidTr="00BD41C6">
        <w:tc>
          <w:tcPr>
            <w:tcW w:w="2235" w:type="dxa"/>
          </w:tcPr>
          <w:p w14:paraId="06466C61" w14:textId="77777777" w:rsidR="00A6660C" w:rsidRDefault="00AA1596" w:rsidP="008327C7">
            <w:pPr>
              <w:spacing w:after="0" w:line="240" w:lineRule="auto"/>
              <w:rPr>
                <w:rFonts w:ascii="Arial Narrow" w:hAnsi="Arial Narrow"/>
                <w:sz w:val="20"/>
                <w:szCs w:val="20"/>
              </w:rPr>
            </w:pPr>
            <w:r w:rsidRPr="00AA1596">
              <w:rPr>
                <w:rFonts w:ascii="Arial Narrow" w:hAnsi="Arial Narrow"/>
                <w:sz w:val="20"/>
                <w:szCs w:val="20"/>
              </w:rPr>
              <w:t>Protease Inhibitor:</w:t>
            </w:r>
            <w:r w:rsidRPr="00AA1596">
              <w:rPr>
                <w:rFonts w:ascii="Arial Narrow" w:hAnsi="Arial Narrow"/>
                <w:sz w:val="20"/>
                <w:szCs w:val="20"/>
              </w:rPr>
              <w:br/>
              <w:t xml:space="preserve">Lopinavir/ritonavir + Etravirine </w:t>
            </w:r>
          </w:p>
          <w:p w14:paraId="7A439C32" w14:textId="0AE4CAD8" w:rsidR="00AA1596" w:rsidRPr="00AA1596" w:rsidRDefault="00AA1596" w:rsidP="008327C7">
            <w:pPr>
              <w:spacing w:after="0" w:line="240" w:lineRule="auto"/>
              <w:rPr>
                <w:rFonts w:ascii="Arial Narrow" w:eastAsia="Times New Roman" w:hAnsi="Arial Narrow"/>
                <w:sz w:val="20"/>
                <w:szCs w:val="20"/>
              </w:rPr>
            </w:pPr>
            <w:r w:rsidRPr="00AA1596">
              <w:rPr>
                <w:rFonts w:ascii="Arial Narrow" w:hAnsi="Arial Narrow"/>
                <w:sz w:val="20"/>
                <w:szCs w:val="20"/>
              </w:rPr>
              <w:t>(LPV/RTV+ETR)</w:t>
            </w:r>
          </w:p>
        </w:tc>
        <w:tc>
          <w:tcPr>
            <w:tcW w:w="3005" w:type="dxa"/>
          </w:tcPr>
          <w:p w14:paraId="3F193957" w14:textId="77777777" w:rsidR="00AA1596" w:rsidRPr="00AA1596" w:rsidRDefault="00AA1596" w:rsidP="008327C7">
            <w:pPr>
              <w:spacing w:line="240" w:lineRule="auto"/>
              <w:rPr>
                <w:rFonts w:ascii="Arial Narrow" w:hAnsi="Arial Narrow"/>
                <w:sz w:val="20"/>
                <w:szCs w:val="20"/>
                <w:lang w:val="en-US"/>
              </w:rPr>
            </w:pPr>
            <w:proofErr w:type="spellStart"/>
            <w:r w:rsidRPr="00AA1596">
              <w:rPr>
                <w:rFonts w:ascii="Arial Narrow" w:hAnsi="Arial Narrow"/>
                <w:sz w:val="20"/>
                <w:szCs w:val="20"/>
                <w:lang w:val="en-US"/>
              </w:rPr>
              <w:t>Dolutegravir</w:t>
            </w:r>
            <w:proofErr w:type="spellEnd"/>
            <w:r w:rsidRPr="00AA1596">
              <w:rPr>
                <w:rFonts w:ascii="Arial Narrow" w:hAnsi="Arial Narrow"/>
                <w:sz w:val="20"/>
                <w:szCs w:val="20"/>
                <w:lang w:val="en-US"/>
              </w:rPr>
              <w:t xml:space="preserve"> </w:t>
            </w:r>
            <w:r w:rsidRPr="00AA1596">
              <w:rPr>
                <w:rFonts w:ascii="Arial Narrow" w:hAnsi="Arial Narrow"/>
                <w:sz w:val="20"/>
                <w:szCs w:val="20"/>
              </w:rPr>
              <w:sym w:font="Symbol" w:char="F0AB"/>
            </w:r>
            <w:r w:rsidRPr="00AA1596">
              <w:rPr>
                <w:rFonts w:ascii="Arial Narrow" w:hAnsi="Arial Narrow"/>
                <w:sz w:val="20"/>
                <w:szCs w:val="20"/>
                <w:lang w:val="en-US"/>
              </w:rPr>
              <w:br/>
              <w:t xml:space="preserve">AUC </w:t>
            </w:r>
            <w:r w:rsidRPr="00AA1596">
              <w:rPr>
                <w:rFonts w:ascii="Arial Narrow" w:hAnsi="Arial Narrow"/>
                <w:sz w:val="20"/>
                <w:szCs w:val="20"/>
              </w:rPr>
              <w:sym w:font="Symbol" w:char="F0AD"/>
            </w:r>
            <w:r w:rsidRPr="00AA1596">
              <w:rPr>
                <w:rFonts w:ascii="Arial Narrow" w:hAnsi="Arial Narrow"/>
                <w:sz w:val="20"/>
                <w:szCs w:val="20"/>
              </w:rPr>
              <w:t xml:space="preserve"> 11%</w:t>
            </w:r>
            <w:r w:rsidRPr="00AA1596">
              <w:rPr>
                <w:rFonts w:ascii="Arial Narrow" w:hAnsi="Arial Narrow"/>
                <w:sz w:val="20"/>
                <w:szCs w:val="20"/>
                <w:lang w:val="en-US"/>
              </w:rPr>
              <w:br/>
            </w:r>
            <w:proofErr w:type="spellStart"/>
            <w:r w:rsidRPr="00AA1596">
              <w:rPr>
                <w:rFonts w:ascii="Arial Narrow" w:hAnsi="Arial Narrow"/>
                <w:sz w:val="20"/>
                <w:szCs w:val="20"/>
                <w:lang w:val="en-US"/>
              </w:rPr>
              <w:t>C</w:t>
            </w:r>
            <w:r w:rsidRPr="00AA1596">
              <w:rPr>
                <w:rFonts w:ascii="Arial Narrow" w:hAnsi="Arial Narrow"/>
                <w:sz w:val="20"/>
                <w:szCs w:val="20"/>
                <w:vertAlign w:val="subscript"/>
                <w:lang w:val="en-US"/>
              </w:rPr>
              <w:t>max</w:t>
            </w:r>
            <w:proofErr w:type="spellEnd"/>
            <w:r w:rsidRPr="00AA1596">
              <w:rPr>
                <w:rFonts w:ascii="Arial Narrow" w:hAnsi="Arial Narrow"/>
                <w:sz w:val="20"/>
                <w:szCs w:val="20"/>
                <w:lang w:val="en-US"/>
              </w:rPr>
              <w:t xml:space="preserve"> </w:t>
            </w:r>
            <w:r w:rsidRPr="00AA1596">
              <w:rPr>
                <w:rFonts w:ascii="Arial Narrow" w:hAnsi="Arial Narrow"/>
                <w:sz w:val="20"/>
                <w:szCs w:val="20"/>
              </w:rPr>
              <w:sym w:font="Symbol" w:char="F0AD"/>
            </w:r>
            <w:r w:rsidRPr="00AA1596">
              <w:rPr>
                <w:rFonts w:ascii="Arial Narrow" w:hAnsi="Arial Narrow"/>
                <w:sz w:val="20"/>
                <w:szCs w:val="20"/>
              </w:rPr>
              <w:t xml:space="preserve"> 7%</w:t>
            </w:r>
            <w:r w:rsidRPr="00AA1596">
              <w:rPr>
                <w:rFonts w:ascii="Arial Narrow" w:hAnsi="Arial Narrow"/>
                <w:sz w:val="20"/>
                <w:szCs w:val="20"/>
                <w:lang w:val="en-US"/>
              </w:rPr>
              <w:br/>
              <w:t>C</w:t>
            </w:r>
            <w:r w:rsidRPr="00AA1596">
              <w:rPr>
                <w:rFonts w:ascii="Arial Narrow" w:hAnsi="Arial Narrow"/>
                <w:sz w:val="20"/>
                <w:szCs w:val="20"/>
              </w:rPr>
              <w:sym w:font="Symbol" w:char="F074"/>
            </w:r>
            <w:r w:rsidRPr="00AA1596">
              <w:rPr>
                <w:rFonts w:ascii="Arial Narrow" w:hAnsi="Arial Narrow"/>
                <w:sz w:val="20"/>
                <w:szCs w:val="20"/>
                <w:lang w:val="en-US"/>
              </w:rPr>
              <w:t xml:space="preserve"> </w:t>
            </w:r>
            <w:r w:rsidRPr="00AA1596">
              <w:rPr>
                <w:rFonts w:ascii="Arial Narrow" w:hAnsi="Arial Narrow"/>
                <w:sz w:val="20"/>
                <w:szCs w:val="20"/>
              </w:rPr>
              <w:sym w:font="Symbol" w:char="F0AD"/>
            </w:r>
            <w:r w:rsidRPr="00AA1596">
              <w:rPr>
                <w:rFonts w:ascii="Arial Narrow" w:hAnsi="Arial Narrow"/>
                <w:sz w:val="20"/>
                <w:szCs w:val="20"/>
              </w:rPr>
              <w:t xml:space="preserve"> 28%</w:t>
            </w:r>
          </w:p>
          <w:p w14:paraId="0ECC2BDE" w14:textId="45B99E97" w:rsidR="00AA1596" w:rsidRPr="00AA1596" w:rsidRDefault="00AA1596" w:rsidP="008327C7">
            <w:pPr>
              <w:spacing w:after="0" w:line="240" w:lineRule="auto"/>
              <w:rPr>
                <w:rFonts w:ascii="Arial Narrow" w:eastAsia="Times New Roman" w:hAnsi="Arial Narrow"/>
                <w:sz w:val="20"/>
                <w:szCs w:val="20"/>
              </w:rPr>
            </w:pPr>
            <w:r w:rsidRPr="00AA1596">
              <w:rPr>
                <w:rFonts w:ascii="Arial Narrow" w:hAnsi="Arial Narrow"/>
                <w:sz w:val="20"/>
                <w:szCs w:val="20"/>
                <w:lang w:val="en-US"/>
              </w:rPr>
              <w:t xml:space="preserve">LPV </w:t>
            </w:r>
            <w:r w:rsidRPr="00AA1596">
              <w:rPr>
                <w:rFonts w:ascii="Arial Narrow" w:hAnsi="Arial Narrow"/>
                <w:sz w:val="20"/>
                <w:szCs w:val="20"/>
              </w:rPr>
              <w:sym w:font="Symbol" w:char="F0AB"/>
            </w:r>
            <w:r w:rsidRPr="00AA1596">
              <w:rPr>
                <w:rFonts w:ascii="Arial Narrow" w:hAnsi="Arial Narrow"/>
                <w:sz w:val="20"/>
                <w:szCs w:val="20"/>
                <w:lang w:val="en-US"/>
              </w:rPr>
              <w:br/>
              <w:t xml:space="preserve">RTV </w:t>
            </w:r>
            <w:r w:rsidRPr="00AA1596">
              <w:rPr>
                <w:rFonts w:ascii="Arial Narrow" w:hAnsi="Arial Narrow"/>
                <w:sz w:val="20"/>
                <w:szCs w:val="20"/>
              </w:rPr>
              <w:sym w:font="Symbol" w:char="F0AB"/>
            </w:r>
          </w:p>
        </w:tc>
        <w:tc>
          <w:tcPr>
            <w:tcW w:w="3686" w:type="dxa"/>
          </w:tcPr>
          <w:p w14:paraId="49BBA74F" w14:textId="7D05D47A" w:rsidR="00AA1596" w:rsidRPr="00AA1596" w:rsidRDefault="00AA1596" w:rsidP="008327C7">
            <w:pPr>
              <w:spacing w:after="120" w:line="240" w:lineRule="auto"/>
              <w:rPr>
                <w:rFonts w:ascii="Arial Narrow" w:hAnsi="Arial Narrow"/>
                <w:sz w:val="20"/>
                <w:szCs w:val="20"/>
              </w:rPr>
            </w:pPr>
            <w:r w:rsidRPr="00AA1596">
              <w:rPr>
                <w:rFonts w:ascii="Arial Narrow" w:hAnsi="Arial Narrow"/>
                <w:sz w:val="20"/>
                <w:szCs w:val="20"/>
              </w:rPr>
              <w:t>Lopinavir/ritonavir and etravirine did not change dolutegravir plasma concentration to a clinically relevant extent.  No dose adjustment is necessary.</w:t>
            </w:r>
          </w:p>
        </w:tc>
      </w:tr>
      <w:tr w:rsidR="00AA1596" w:rsidRPr="00AA1596" w14:paraId="4F305A6C" w14:textId="77777777" w:rsidTr="00BD41C6">
        <w:tc>
          <w:tcPr>
            <w:tcW w:w="2235" w:type="dxa"/>
          </w:tcPr>
          <w:p w14:paraId="6E37C344" w14:textId="77777777" w:rsidR="00A6660C" w:rsidRDefault="00AA1596" w:rsidP="008327C7">
            <w:pPr>
              <w:spacing w:after="0" w:line="240" w:lineRule="auto"/>
              <w:rPr>
                <w:rFonts w:ascii="Arial Narrow" w:hAnsi="Arial Narrow"/>
                <w:sz w:val="20"/>
                <w:szCs w:val="20"/>
              </w:rPr>
            </w:pPr>
            <w:r w:rsidRPr="00AA1596">
              <w:rPr>
                <w:rFonts w:ascii="Arial Narrow" w:hAnsi="Arial Narrow"/>
                <w:sz w:val="20"/>
                <w:szCs w:val="20"/>
              </w:rPr>
              <w:t>Protease Inhibitor:</w:t>
            </w:r>
            <w:r w:rsidRPr="00AA1596">
              <w:rPr>
                <w:rFonts w:ascii="Arial Narrow" w:hAnsi="Arial Narrow"/>
                <w:sz w:val="20"/>
                <w:szCs w:val="20"/>
              </w:rPr>
              <w:br/>
              <w:t xml:space="preserve">Darunavir/ritonavir + Etravirine </w:t>
            </w:r>
          </w:p>
          <w:p w14:paraId="24FA2D62" w14:textId="35468A63" w:rsidR="00AA1596" w:rsidRPr="00AA1596" w:rsidRDefault="00AA1596" w:rsidP="008327C7">
            <w:pPr>
              <w:spacing w:after="0" w:line="240" w:lineRule="auto"/>
              <w:rPr>
                <w:rFonts w:ascii="Arial Narrow" w:eastAsia="Times New Roman" w:hAnsi="Arial Narrow"/>
                <w:sz w:val="20"/>
                <w:szCs w:val="20"/>
              </w:rPr>
            </w:pPr>
            <w:r w:rsidRPr="00AA1596">
              <w:rPr>
                <w:rFonts w:ascii="Arial Narrow" w:hAnsi="Arial Narrow"/>
                <w:sz w:val="20"/>
                <w:szCs w:val="20"/>
              </w:rPr>
              <w:t>(DRV/RTV+ETR)</w:t>
            </w:r>
          </w:p>
        </w:tc>
        <w:tc>
          <w:tcPr>
            <w:tcW w:w="3005" w:type="dxa"/>
          </w:tcPr>
          <w:p w14:paraId="3E4DF687" w14:textId="77777777" w:rsidR="00AA1596" w:rsidRPr="00AA1596" w:rsidRDefault="00AA1596" w:rsidP="008327C7">
            <w:pPr>
              <w:spacing w:line="240" w:lineRule="auto"/>
              <w:rPr>
                <w:rFonts w:ascii="Arial Narrow" w:hAnsi="Arial Narrow"/>
                <w:sz w:val="20"/>
                <w:szCs w:val="20"/>
                <w:lang w:val="en-US"/>
              </w:rPr>
            </w:pPr>
            <w:proofErr w:type="spellStart"/>
            <w:r w:rsidRPr="00AA1596">
              <w:rPr>
                <w:rFonts w:ascii="Arial Narrow" w:hAnsi="Arial Narrow"/>
                <w:sz w:val="20"/>
                <w:szCs w:val="20"/>
                <w:lang w:val="en-US"/>
              </w:rPr>
              <w:t>Dolutegravir</w:t>
            </w:r>
            <w:proofErr w:type="spellEnd"/>
            <w:r w:rsidRPr="00AA1596">
              <w:rPr>
                <w:rFonts w:ascii="Arial Narrow" w:hAnsi="Arial Narrow"/>
                <w:sz w:val="20"/>
                <w:szCs w:val="20"/>
                <w:lang w:val="en-US"/>
              </w:rPr>
              <w:t xml:space="preserve"> </w:t>
            </w:r>
            <w:r w:rsidRPr="00AA1596">
              <w:rPr>
                <w:rFonts w:ascii="Arial Narrow" w:hAnsi="Arial Narrow"/>
                <w:sz w:val="20"/>
                <w:szCs w:val="20"/>
              </w:rPr>
              <w:sym w:font="Symbol" w:char="F0AF"/>
            </w:r>
            <w:r w:rsidRPr="00AA1596">
              <w:rPr>
                <w:rFonts w:ascii="Arial Narrow" w:hAnsi="Arial Narrow"/>
                <w:sz w:val="20"/>
                <w:szCs w:val="20"/>
                <w:lang w:val="en-US"/>
              </w:rPr>
              <w:br/>
              <w:t xml:space="preserve">AUC </w:t>
            </w:r>
            <w:r w:rsidRPr="00AA1596">
              <w:rPr>
                <w:rFonts w:ascii="Arial Narrow" w:hAnsi="Arial Narrow"/>
                <w:sz w:val="20"/>
                <w:szCs w:val="20"/>
              </w:rPr>
              <w:sym w:font="Symbol" w:char="F0AF"/>
            </w:r>
            <w:r w:rsidRPr="00AA1596">
              <w:rPr>
                <w:rFonts w:ascii="Arial Narrow" w:hAnsi="Arial Narrow"/>
                <w:sz w:val="20"/>
                <w:szCs w:val="20"/>
                <w:lang w:val="en-US"/>
              </w:rPr>
              <w:t xml:space="preserve"> 25%</w:t>
            </w:r>
            <w:r w:rsidRPr="00AA1596">
              <w:rPr>
                <w:rFonts w:ascii="Arial Narrow" w:hAnsi="Arial Narrow"/>
                <w:sz w:val="20"/>
                <w:szCs w:val="20"/>
                <w:lang w:val="en-US"/>
              </w:rPr>
              <w:br/>
            </w:r>
            <w:proofErr w:type="spellStart"/>
            <w:r w:rsidRPr="00AA1596">
              <w:rPr>
                <w:rFonts w:ascii="Arial Narrow" w:hAnsi="Arial Narrow"/>
                <w:sz w:val="20"/>
                <w:szCs w:val="20"/>
                <w:lang w:val="en-US"/>
              </w:rPr>
              <w:t>C</w:t>
            </w:r>
            <w:r w:rsidRPr="00AA1596">
              <w:rPr>
                <w:rFonts w:ascii="Arial Narrow" w:hAnsi="Arial Narrow"/>
                <w:sz w:val="20"/>
                <w:szCs w:val="20"/>
                <w:vertAlign w:val="subscript"/>
                <w:lang w:val="en-US"/>
              </w:rPr>
              <w:t>max</w:t>
            </w:r>
            <w:proofErr w:type="spellEnd"/>
            <w:r w:rsidRPr="00AA1596">
              <w:rPr>
                <w:rFonts w:ascii="Arial Narrow" w:hAnsi="Arial Narrow"/>
                <w:sz w:val="20"/>
                <w:szCs w:val="20"/>
                <w:lang w:val="en-US"/>
              </w:rPr>
              <w:t xml:space="preserve"> </w:t>
            </w:r>
            <w:r w:rsidRPr="00AA1596">
              <w:rPr>
                <w:rFonts w:ascii="Arial Narrow" w:hAnsi="Arial Narrow"/>
                <w:sz w:val="20"/>
                <w:szCs w:val="20"/>
              </w:rPr>
              <w:sym w:font="Symbol" w:char="F0AF"/>
            </w:r>
            <w:r w:rsidRPr="00AA1596">
              <w:rPr>
                <w:rFonts w:ascii="Arial Narrow" w:hAnsi="Arial Narrow"/>
                <w:sz w:val="20"/>
                <w:szCs w:val="20"/>
                <w:lang w:val="en-US"/>
              </w:rPr>
              <w:t xml:space="preserve"> 12%</w:t>
            </w:r>
            <w:r w:rsidRPr="00AA1596">
              <w:rPr>
                <w:rFonts w:ascii="Arial Narrow" w:hAnsi="Arial Narrow"/>
                <w:sz w:val="20"/>
                <w:szCs w:val="20"/>
                <w:lang w:val="en-US"/>
              </w:rPr>
              <w:br/>
              <w:t>C</w:t>
            </w:r>
            <w:r w:rsidRPr="00AA1596">
              <w:rPr>
                <w:rFonts w:ascii="Arial Narrow" w:hAnsi="Arial Narrow"/>
                <w:sz w:val="20"/>
                <w:szCs w:val="20"/>
              </w:rPr>
              <w:sym w:font="Symbol" w:char="F074"/>
            </w:r>
            <w:r w:rsidRPr="00AA1596">
              <w:rPr>
                <w:rFonts w:ascii="Arial Narrow" w:hAnsi="Arial Narrow"/>
                <w:sz w:val="20"/>
                <w:szCs w:val="20"/>
              </w:rPr>
              <w:t xml:space="preserve"> </w:t>
            </w:r>
            <w:r w:rsidRPr="00AA1596">
              <w:rPr>
                <w:rFonts w:ascii="Arial Narrow" w:hAnsi="Arial Narrow"/>
                <w:sz w:val="20"/>
                <w:szCs w:val="20"/>
              </w:rPr>
              <w:sym w:font="Symbol" w:char="F0AF"/>
            </w:r>
            <w:r w:rsidRPr="00AA1596">
              <w:rPr>
                <w:rFonts w:ascii="Arial Narrow" w:hAnsi="Arial Narrow"/>
                <w:sz w:val="20"/>
                <w:szCs w:val="20"/>
                <w:lang w:val="en-US"/>
              </w:rPr>
              <w:t xml:space="preserve"> 36%</w:t>
            </w:r>
          </w:p>
          <w:p w14:paraId="510AD16C" w14:textId="4FF77DE5" w:rsidR="00AA1596" w:rsidRPr="00AA1596" w:rsidRDefault="00AA1596" w:rsidP="008327C7">
            <w:pPr>
              <w:spacing w:after="0" w:line="240" w:lineRule="auto"/>
              <w:rPr>
                <w:rFonts w:ascii="Arial Narrow" w:eastAsia="Times New Roman" w:hAnsi="Arial Narrow"/>
                <w:sz w:val="20"/>
                <w:szCs w:val="20"/>
              </w:rPr>
            </w:pPr>
            <w:r w:rsidRPr="00AA1596">
              <w:rPr>
                <w:rFonts w:ascii="Arial Narrow" w:hAnsi="Arial Narrow"/>
                <w:sz w:val="20"/>
                <w:szCs w:val="20"/>
                <w:lang w:val="en-US"/>
              </w:rPr>
              <w:t xml:space="preserve">DRV </w:t>
            </w:r>
            <w:r w:rsidRPr="00AA1596">
              <w:rPr>
                <w:rFonts w:ascii="Arial Narrow" w:hAnsi="Arial Narrow"/>
                <w:sz w:val="20"/>
                <w:szCs w:val="20"/>
              </w:rPr>
              <w:sym w:font="Symbol" w:char="F0AB"/>
            </w:r>
            <w:r w:rsidRPr="00AA1596">
              <w:rPr>
                <w:rFonts w:ascii="Arial Narrow" w:hAnsi="Arial Narrow"/>
                <w:sz w:val="20"/>
                <w:szCs w:val="20"/>
                <w:lang w:val="en-US"/>
              </w:rPr>
              <w:br/>
              <w:t xml:space="preserve">RTV </w:t>
            </w:r>
            <w:r w:rsidRPr="00AA1596">
              <w:rPr>
                <w:rFonts w:ascii="Arial Narrow" w:hAnsi="Arial Narrow"/>
                <w:sz w:val="20"/>
                <w:szCs w:val="20"/>
              </w:rPr>
              <w:sym w:font="Symbol" w:char="F0AB"/>
            </w:r>
          </w:p>
        </w:tc>
        <w:tc>
          <w:tcPr>
            <w:tcW w:w="3686" w:type="dxa"/>
          </w:tcPr>
          <w:p w14:paraId="2710EBBC" w14:textId="64A5A6C3" w:rsidR="00AA1596" w:rsidRPr="00AA1596" w:rsidRDefault="00AA1596" w:rsidP="008327C7">
            <w:pPr>
              <w:spacing w:after="120" w:line="240" w:lineRule="auto"/>
              <w:rPr>
                <w:rFonts w:ascii="Arial Narrow" w:hAnsi="Arial Narrow"/>
                <w:sz w:val="20"/>
                <w:szCs w:val="20"/>
              </w:rPr>
            </w:pPr>
            <w:r w:rsidRPr="00AA1596">
              <w:rPr>
                <w:rFonts w:ascii="Arial Narrow" w:hAnsi="Arial Narrow"/>
                <w:sz w:val="20"/>
                <w:szCs w:val="20"/>
              </w:rPr>
              <w:t>Darunavir/ritonavir and etravirine did not change dolutegravir plasma concentration to a clinically relevant extent.  No dose adjustment is necessary.</w:t>
            </w:r>
          </w:p>
        </w:tc>
      </w:tr>
      <w:tr w:rsidR="00AA1596" w:rsidRPr="00AA1596" w14:paraId="6719EAC9" w14:textId="77777777" w:rsidTr="00BD41C6">
        <w:tc>
          <w:tcPr>
            <w:tcW w:w="2235" w:type="dxa"/>
          </w:tcPr>
          <w:p w14:paraId="0D09B3E2" w14:textId="41FB683F" w:rsidR="00AA1596" w:rsidRPr="00AA1596" w:rsidRDefault="00AA1596" w:rsidP="008327C7">
            <w:pPr>
              <w:spacing w:line="240" w:lineRule="auto"/>
              <w:rPr>
                <w:rFonts w:ascii="Arial Narrow" w:hAnsi="Arial Narrow"/>
                <w:sz w:val="20"/>
                <w:szCs w:val="20"/>
              </w:rPr>
            </w:pPr>
            <w:r w:rsidRPr="00AA1596">
              <w:rPr>
                <w:rFonts w:ascii="Arial Narrow" w:hAnsi="Arial Narrow"/>
                <w:sz w:val="20"/>
                <w:szCs w:val="20"/>
              </w:rPr>
              <w:t>Non-nucleoside Reverse Transcriptase Inhibitor:</w:t>
            </w:r>
            <w:r w:rsidRPr="00AA1596">
              <w:rPr>
                <w:rFonts w:ascii="Arial Narrow" w:hAnsi="Arial Narrow"/>
                <w:sz w:val="20"/>
                <w:szCs w:val="20"/>
              </w:rPr>
              <w:br/>
              <w:t>Efavirenz (EFV)</w:t>
            </w:r>
          </w:p>
        </w:tc>
        <w:tc>
          <w:tcPr>
            <w:tcW w:w="3005" w:type="dxa"/>
          </w:tcPr>
          <w:p w14:paraId="64DB17D2" w14:textId="77777777" w:rsidR="00AA1596" w:rsidRPr="00AA1596" w:rsidRDefault="00AA1596" w:rsidP="008327C7">
            <w:pPr>
              <w:spacing w:line="240" w:lineRule="auto"/>
              <w:rPr>
                <w:rFonts w:ascii="Arial Narrow" w:hAnsi="Arial Narrow"/>
                <w:sz w:val="20"/>
                <w:szCs w:val="20"/>
              </w:rPr>
            </w:pPr>
            <w:proofErr w:type="spellStart"/>
            <w:r w:rsidRPr="00AA1596">
              <w:rPr>
                <w:rFonts w:ascii="Arial Narrow" w:hAnsi="Arial Narrow"/>
                <w:sz w:val="20"/>
                <w:szCs w:val="20"/>
              </w:rPr>
              <w:t>Dolutegravir</w:t>
            </w:r>
            <w:proofErr w:type="spellEnd"/>
            <w:r w:rsidRPr="00AA1596">
              <w:rPr>
                <w:rFonts w:ascii="Arial Narrow" w:hAnsi="Arial Narrow"/>
                <w:sz w:val="20"/>
                <w:szCs w:val="20"/>
              </w:rPr>
              <w:t xml:space="preserve"> </w:t>
            </w:r>
            <w:r w:rsidRPr="00AA1596">
              <w:rPr>
                <w:rFonts w:ascii="Arial Narrow" w:hAnsi="Arial Narrow"/>
                <w:sz w:val="20"/>
                <w:szCs w:val="20"/>
              </w:rPr>
              <w:sym w:font="Symbol" w:char="F0AF"/>
            </w:r>
            <w:r w:rsidRPr="00AA1596">
              <w:rPr>
                <w:rFonts w:ascii="Arial Narrow" w:hAnsi="Arial Narrow"/>
                <w:sz w:val="20"/>
                <w:szCs w:val="20"/>
              </w:rPr>
              <w:br/>
              <w:t xml:space="preserve">AUC </w:t>
            </w:r>
            <w:r w:rsidRPr="00AA1596">
              <w:rPr>
                <w:rFonts w:ascii="Arial Narrow" w:hAnsi="Arial Narrow"/>
                <w:sz w:val="20"/>
                <w:szCs w:val="20"/>
              </w:rPr>
              <w:sym w:font="Symbol" w:char="F0AF"/>
            </w:r>
            <w:r w:rsidRPr="00AA1596">
              <w:rPr>
                <w:rFonts w:ascii="Arial Narrow" w:hAnsi="Arial Narrow"/>
                <w:sz w:val="20"/>
                <w:szCs w:val="20"/>
              </w:rPr>
              <w:t xml:space="preserve"> 57%</w:t>
            </w:r>
            <w:r w:rsidRPr="00AA1596">
              <w:rPr>
                <w:rFonts w:ascii="Arial Narrow" w:hAnsi="Arial Narrow"/>
                <w:sz w:val="20"/>
                <w:szCs w:val="20"/>
              </w:rPr>
              <w:br/>
            </w:r>
            <w:proofErr w:type="spellStart"/>
            <w:r w:rsidRPr="00AA1596">
              <w:rPr>
                <w:rFonts w:ascii="Arial Narrow" w:hAnsi="Arial Narrow"/>
                <w:sz w:val="20"/>
                <w:szCs w:val="20"/>
              </w:rPr>
              <w:t>C</w:t>
            </w:r>
            <w:r w:rsidRPr="00AA1596">
              <w:rPr>
                <w:rFonts w:ascii="Arial Narrow" w:hAnsi="Arial Narrow"/>
                <w:sz w:val="20"/>
                <w:szCs w:val="20"/>
                <w:vertAlign w:val="subscript"/>
              </w:rPr>
              <w:t>max</w:t>
            </w:r>
            <w:proofErr w:type="spellEnd"/>
            <w:r w:rsidRPr="00AA1596">
              <w:rPr>
                <w:rFonts w:ascii="Arial Narrow" w:hAnsi="Arial Narrow"/>
                <w:sz w:val="20"/>
                <w:szCs w:val="20"/>
              </w:rPr>
              <w:t xml:space="preserve"> </w:t>
            </w:r>
            <w:r w:rsidRPr="00AA1596">
              <w:rPr>
                <w:rFonts w:ascii="Arial Narrow" w:hAnsi="Arial Narrow"/>
                <w:sz w:val="20"/>
                <w:szCs w:val="20"/>
              </w:rPr>
              <w:sym w:font="Symbol" w:char="F0AF"/>
            </w:r>
            <w:r w:rsidRPr="00AA1596">
              <w:rPr>
                <w:rFonts w:ascii="Arial Narrow" w:hAnsi="Arial Narrow"/>
                <w:sz w:val="20"/>
                <w:szCs w:val="20"/>
              </w:rPr>
              <w:t xml:space="preserve"> 39%</w:t>
            </w:r>
            <w:r w:rsidRPr="00AA1596">
              <w:rPr>
                <w:rFonts w:ascii="Arial Narrow" w:hAnsi="Arial Narrow"/>
                <w:sz w:val="20"/>
                <w:szCs w:val="20"/>
              </w:rPr>
              <w:br/>
              <w:t>C</w:t>
            </w:r>
            <w:r w:rsidRPr="00AA1596">
              <w:rPr>
                <w:rFonts w:ascii="Arial Narrow" w:hAnsi="Arial Narrow"/>
                <w:sz w:val="20"/>
                <w:szCs w:val="20"/>
              </w:rPr>
              <w:sym w:font="Symbol" w:char="F074"/>
            </w:r>
            <w:r w:rsidRPr="00AA1596">
              <w:rPr>
                <w:rFonts w:ascii="Arial Narrow" w:hAnsi="Arial Narrow"/>
                <w:sz w:val="20"/>
                <w:szCs w:val="20"/>
              </w:rPr>
              <w:t xml:space="preserve"> </w:t>
            </w:r>
            <w:r w:rsidRPr="00AA1596">
              <w:rPr>
                <w:rFonts w:ascii="Arial Narrow" w:hAnsi="Arial Narrow"/>
                <w:sz w:val="20"/>
                <w:szCs w:val="20"/>
              </w:rPr>
              <w:sym w:font="Symbol" w:char="F0AF"/>
            </w:r>
            <w:r w:rsidRPr="00AA1596">
              <w:rPr>
                <w:rFonts w:ascii="Arial Narrow" w:hAnsi="Arial Narrow"/>
                <w:sz w:val="20"/>
                <w:szCs w:val="20"/>
              </w:rPr>
              <w:t xml:space="preserve"> 75%</w:t>
            </w:r>
          </w:p>
          <w:p w14:paraId="595AC049" w14:textId="442DB273" w:rsidR="00AA1596" w:rsidRPr="00AA1596" w:rsidRDefault="00AA1596" w:rsidP="008327C7">
            <w:pPr>
              <w:spacing w:line="240" w:lineRule="auto"/>
              <w:rPr>
                <w:rFonts w:ascii="Arial Narrow" w:hAnsi="Arial Narrow"/>
                <w:sz w:val="20"/>
                <w:szCs w:val="20"/>
              </w:rPr>
            </w:pPr>
            <w:r w:rsidRPr="00AA1596">
              <w:rPr>
                <w:rFonts w:ascii="Arial Narrow" w:hAnsi="Arial Narrow"/>
                <w:sz w:val="20"/>
                <w:szCs w:val="20"/>
              </w:rPr>
              <w:t xml:space="preserve">EFV </w:t>
            </w:r>
            <w:r w:rsidRPr="00AA1596">
              <w:rPr>
                <w:rFonts w:ascii="Arial Narrow" w:hAnsi="Arial Narrow"/>
                <w:sz w:val="20"/>
                <w:szCs w:val="20"/>
              </w:rPr>
              <w:sym w:font="Symbol" w:char="F0AB"/>
            </w:r>
          </w:p>
        </w:tc>
        <w:tc>
          <w:tcPr>
            <w:tcW w:w="3686" w:type="dxa"/>
          </w:tcPr>
          <w:p w14:paraId="098FA782" w14:textId="0E644FED" w:rsidR="00AA1596" w:rsidRPr="00AA1596" w:rsidRDefault="00AA1596" w:rsidP="008327C7">
            <w:pPr>
              <w:spacing w:after="120" w:line="240" w:lineRule="auto"/>
              <w:rPr>
                <w:rFonts w:ascii="Arial Narrow" w:hAnsi="Arial Narrow"/>
                <w:sz w:val="20"/>
                <w:szCs w:val="20"/>
              </w:rPr>
            </w:pPr>
            <w:r w:rsidRPr="00AA1596">
              <w:rPr>
                <w:rFonts w:ascii="Arial Narrow" w:hAnsi="Arial Narrow"/>
                <w:sz w:val="20"/>
                <w:szCs w:val="20"/>
              </w:rPr>
              <w:t xml:space="preserve">Efavirenz decreased dolutegravir plasma concentrations. </w:t>
            </w:r>
            <w:r w:rsidR="00C161D9">
              <w:rPr>
                <w:rFonts w:ascii="Arial Narrow" w:hAnsi="Arial Narrow"/>
                <w:sz w:val="20"/>
                <w:szCs w:val="20"/>
              </w:rPr>
              <w:t>Since t</w:t>
            </w:r>
            <w:r w:rsidRPr="00AA1596">
              <w:rPr>
                <w:rFonts w:ascii="Arial Narrow" w:hAnsi="Arial Narrow"/>
                <w:sz w:val="20"/>
                <w:szCs w:val="20"/>
              </w:rPr>
              <w:t>he recommended dose of dolutegravir is 50 mg twice daily when co-administered with efavirenz</w:t>
            </w:r>
            <w:r w:rsidR="00E659D8">
              <w:rPr>
                <w:rFonts w:ascii="Arial Narrow" w:hAnsi="Arial Narrow"/>
                <w:sz w:val="20"/>
                <w:szCs w:val="20"/>
              </w:rPr>
              <w:t>,</w:t>
            </w:r>
            <w:r w:rsidRPr="00AA1596">
              <w:rPr>
                <w:rFonts w:ascii="Arial Narrow" w:hAnsi="Arial Narrow"/>
                <w:sz w:val="20"/>
                <w:szCs w:val="20"/>
              </w:rPr>
              <w:t xml:space="preserve"> </w:t>
            </w:r>
            <w:r w:rsidR="00C161D9">
              <w:rPr>
                <w:rFonts w:ascii="Arial Narrow" w:hAnsi="Arial Narrow"/>
                <w:sz w:val="20"/>
                <w:szCs w:val="20"/>
              </w:rPr>
              <w:t xml:space="preserve"> the co-administration of efavirenz with DOVATO is not recommended</w:t>
            </w:r>
          </w:p>
        </w:tc>
      </w:tr>
      <w:tr w:rsidR="00AA1596" w:rsidRPr="00AA1596" w14:paraId="0AC646C9" w14:textId="77777777" w:rsidTr="00BD41C6">
        <w:tc>
          <w:tcPr>
            <w:tcW w:w="2235" w:type="dxa"/>
          </w:tcPr>
          <w:p w14:paraId="68510293" w14:textId="7CA93705" w:rsidR="00AA1596" w:rsidRPr="00AA1596" w:rsidRDefault="00AA1596" w:rsidP="008327C7">
            <w:pPr>
              <w:spacing w:line="240" w:lineRule="auto"/>
              <w:rPr>
                <w:rFonts w:ascii="Arial Narrow" w:hAnsi="Arial Narrow"/>
                <w:sz w:val="20"/>
                <w:szCs w:val="20"/>
              </w:rPr>
            </w:pPr>
            <w:r w:rsidRPr="00AA1596">
              <w:rPr>
                <w:rFonts w:ascii="Arial Narrow" w:hAnsi="Arial Narrow"/>
                <w:sz w:val="20"/>
                <w:szCs w:val="20"/>
              </w:rPr>
              <w:t>Non-nucleoside Reverse Transcriptase Inhibitor:</w:t>
            </w:r>
            <w:r w:rsidRPr="00AA1596">
              <w:rPr>
                <w:rFonts w:ascii="Arial Narrow" w:hAnsi="Arial Narrow"/>
                <w:sz w:val="20"/>
                <w:szCs w:val="20"/>
              </w:rPr>
              <w:br/>
              <w:t>Nevirapine</w:t>
            </w:r>
          </w:p>
        </w:tc>
        <w:tc>
          <w:tcPr>
            <w:tcW w:w="3005" w:type="dxa"/>
          </w:tcPr>
          <w:p w14:paraId="06DCAE47" w14:textId="02B0A3A5" w:rsidR="00AA1596" w:rsidRPr="00AA1596" w:rsidRDefault="00AA1596" w:rsidP="008327C7">
            <w:pPr>
              <w:spacing w:line="240" w:lineRule="auto"/>
              <w:rPr>
                <w:rFonts w:ascii="Arial Narrow" w:hAnsi="Arial Narrow"/>
                <w:sz w:val="20"/>
                <w:szCs w:val="20"/>
              </w:rPr>
            </w:pPr>
            <w:r w:rsidRPr="00AA1596">
              <w:rPr>
                <w:rFonts w:ascii="Arial Narrow" w:hAnsi="Arial Narrow"/>
                <w:sz w:val="20"/>
                <w:szCs w:val="20"/>
              </w:rPr>
              <w:t xml:space="preserve">Dolutegravir </w:t>
            </w:r>
            <w:r w:rsidRPr="00AA1596">
              <w:rPr>
                <w:rFonts w:ascii="Arial Narrow" w:hAnsi="Arial Narrow"/>
                <w:sz w:val="20"/>
                <w:szCs w:val="20"/>
              </w:rPr>
              <w:sym w:font="Symbol" w:char="F0AF"/>
            </w:r>
          </w:p>
        </w:tc>
        <w:tc>
          <w:tcPr>
            <w:tcW w:w="3686" w:type="dxa"/>
          </w:tcPr>
          <w:p w14:paraId="5B168A58" w14:textId="5260ED98" w:rsidR="00AA1596" w:rsidRPr="00AA1596" w:rsidRDefault="00AA1596" w:rsidP="008327C7">
            <w:pPr>
              <w:spacing w:after="120" w:line="240" w:lineRule="auto"/>
              <w:rPr>
                <w:rFonts w:ascii="Arial Narrow" w:hAnsi="Arial Narrow"/>
                <w:sz w:val="20"/>
                <w:szCs w:val="20"/>
              </w:rPr>
            </w:pPr>
            <w:r w:rsidRPr="00AA1596">
              <w:rPr>
                <w:rFonts w:ascii="Arial Narrow" w:hAnsi="Arial Narrow"/>
                <w:sz w:val="20"/>
                <w:szCs w:val="20"/>
              </w:rPr>
              <w:t xml:space="preserve">Co-administration with nevirapine has the potential to decrease dolutegravir plasma concentration due to enzyme induction and has not been studied. Effect of nevirapine on dolutegravir exposure is likely similar to or less than that of efavirenz. </w:t>
            </w:r>
            <w:r w:rsidR="00C161D9">
              <w:rPr>
                <w:rFonts w:ascii="Arial Narrow" w:hAnsi="Arial Narrow"/>
                <w:sz w:val="20"/>
                <w:szCs w:val="20"/>
              </w:rPr>
              <w:t>Since t</w:t>
            </w:r>
            <w:r w:rsidRPr="00AA1596">
              <w:rPr>
                <w:rFonts w:ascii="Arial Narrow" w:hAnsi="Arial Narrow"/>
                <w:sz w:val="20"/>
                <w:szCs w:val="20"/>
              </w:rPr>
              <w:t>he recommended dose of dolutegravir is 50 mg twice daily when co-administered with nevirapine</w:t>
            </w:r>
            <w:r w:rsidR="0026169B">
              <w:rPr>
                <w:rFonts w:ascii="Arial Narrow" w:hAnsi="Arial Narrow"/>
                <w:sz w:val="20"/>
                <w:szCs w:val="20"/>
              </w:rPr>
              <w:t>,</w:t>
            </w:r>
            <w:r w:rsidRPr="00AA1596">
              <w:rPr>
                <w:rFonts w:ascii="Arial Narrow" w:hAnsi="Arial Narrow"/>
                <w:sz w:val="20"/>
                <w:szCs w:val="20"/>
              </w:rPr>
              <w:t xml:space="preserve"> </w:t>
            </w:r>
            <w:r w:rsidR="00C161D9">
              <w:rPr>
                <w:rFonts w:ascii="Arial Narrow" w:hAnsi="Arial Narrow"/>
                <w:sz w:val="20"/>
                <w:szCs w:val="20"/>
              </w:rPr>
              <w:t xml:space="preserve"> the co-administration of nevirapine with DOVATO is not recommended</w:t>
            </w:r>
            <w:r w:rsidR="00A93C3A">
              <w:rPr>
                <w:rFonts w:ascii="Arial Narrow" w:hAnsi="Arial Narrow"/>
                <w:sz w:val="20"/>
                <w:szCs w:val="20"/>
              </w:rPr>
              <w:t>.</w:t>
            </w:r>
            <w:r w:rsidRPr="00AA1596">
              <w:rPr>
                <w:rFonts w:ascii="Arial Narrow" w:hAnsi="Arial Narrow"/>
                <w:sz w:val="20"/>
                <w:szCs w:val="20"/>
              </w:rPr>
              <w:t xml:space="preserve"> </w:t>
            </w:r>
          </w:p>
        </w:tc>
      </w:tr>
      <w:tr w:rsidR="00AA1596" w:rsidRPr="00BD41C6" w14:paraId="33C2BFD6" w14:textId="77777777" w:rsidTr="00BD41C6">
        <w:tc>
          <w:tcPr>
            <w:tcW w:w="2235" w:type="dxa"/>
          </w:tcPr>
          <w:p w14:paraId="72C507D9" w14:textId="2896E6CA" w:rsidR="00AA1596" w:rsidRPr="00AA1596" w:rsidRDefault="00AA1596" w:rsidP="008327C7">
            <w:pPr>
              <w:spacing w:line="240" w:lineRule="auto"/>
              <w:rPr>
                <w:rFonts w:ascii="Arial Narrow" w:hAnsi="Arial Narrow"/>
                <w:sz w:val="20"/>
                <w:szCs w:val="20"/>
              </w:rPr>
            </w:pPr>
            <w:r w:rsidRPr="00AA1596">
              <w:rPr>
                <w:rFonts w:ascii="Arial Narrow" w:hAnsi="Arial Narrow"/>
                <w:sz w:val="20"/>
                <w:szCs w:val="20"/>
              </w:rPr>
              <w:lastRenderedPageBreak/>
              <w:t>Protease Inhibitor:</w:t>
            </w:r>
            <w:r w:rsidRPr="00AA1596">
              <w:rPr>
                <w:rFonts w:ascii="Arial Narrow" w:hAnsi="Arial Narrow"/>
                <w:sz w:val="20"/>
                <w:szCs w:val="20"/>
              </w:rPr>
              <w:br/>
              <w:t>Atazanavir (ATV)</w:t>
            </w:r>
          </w:p>
        </w:tc>
        <w:tc>
          <w:tcPr>
            <w:tcW w:w="3005" w:type="dxa"/>
          </w:tcPr>
          <w:p w14:paraId="40208C54" w14:textId="77777777" w:rsidR="00AA1596" w:rsidRPr="00AA1596" w:rsidRDefault="00AA1596" w:rsidP="008327C7">
            <w:pPr>
              <w:spacing w:line="240" w:lineRule="auto"/>
              <w:rPr>
                <w:rFonts w:ascii="Arial Narrow" w:hAnsi="Arial Narrow"/>
                <w:sz w:val="20"/>
                <w:szCs w:val="20"/>
              </w:rPr>
            </w:pPr>
            <w:proofErr w:type="spellStart"/>
            <w:r w:rsidRPr="00AA1596">
              <w:rPr>
                <w:rFonts w:ascii="Arial Narrow" w:hAnsi="Arial Narrow"/>
                <w:sz w:val="20"/>
                <w:szCs w:val="20"/>
              </w:rPr>
              <w:t>Dolutegravir</w:t>
            </w:r>
            <w:proofErr w:type="spellEnd"/>
            <w:r w:rsidRPr="00AA1596">
              <w:rPr>
                <w:rFonts w:ascii="Arial Narrow" w:hAnsi="Arial Narrow"/>
                <w:sz w:val="20"/>
                <w:szCs w:val="20"/>
              </w:rPr>
              <w:t xml:space="preserve"> </w:t>
            </w:r>
            <w:r w:rsidRPr="00AA1596">
              <w:rPr>
                <w:rFonts w:ascii="Arial Narrow" w:hAnsi="Arial Narrow"/>
                <w:sz w:val="20"/>
                <w:szCs w:val="20"/>
              </w:rPr>
              <w:sym w:font="Symbol" w:char="F0AD"/>
            </w:r>
            <w:r w:rsidRPr="00AA1596">
              <w:rPr>
                <w:rFonts w:ascii="Arial Narrow" w:hAnsi="Arial Narrow"/>
                <w:sz w:val="20"/>
                <w:szCs w:val="20"/>
              </w:rPr>
              <w:br/>
              <w:t xml:space="preserve">AUC </w:t>
            </w:r>
            <w:r w:rsidRPr="00AA1596">
              <w:rPr>
                <w:rFonts w:ascii="Arial Narrow" w:hAnsi="Arial Narrow"/>
                <w:sz w:val="20"/>
                <w:szCs w:val="20"/>
              </w:rPr>
              <w:sym w:font="Symbol" w:char="F0AD"/>
            </w:r>
            <w:r w:rsidRPr="00AA1596">
              <w:rPr>
                <w:rFonts w:ascii="Arial Narrow" w:hAnsi="Arial Narrow"/>
                <w:sz w:val="20"/>
                <w:szCs w:val="20"/>
              </w:rPr>
              <w:t xml:space="preserve"> 91%</w:t>
            </w:r>
            <w:r w:rsidRPr="00AA1596">
              <w:rPr>
                <w:rFonts w:ascii="Arial Narrow" w:hAnsi="Arial Narrow"/>
                <w:sz w:val="20"/>
                <w:szCs w:val="20"/>
              </w:rPr>
              <w:br/>
            </w:r>
            <w:proofErr w:type="spellStart"/>
            <w:r w:rsidRPr="00AA1596">
              <w:rPr>
                <w:rFonts w:ascii="Arial Narrow" w:hAnsi="Arial Narrow"/>
                <w:sz w:val="20"/>
                <w:szCs w:val="20"/>
              </w:rPr>
              <w:t>C</w:t>
            </w:r>
            <w:r w:rsidRPr="00AA1596">
              <w:rPr>
                <w:rFonts w:ascii="Arial Narrow" w:hAnsi="Arial Narrow"/>
                <w:sz w:val="20"/>
                <w:szCs w:val="20"/>
                <w:vertAlign w:val="subscript"/>
              </w:rPr>
              <w:t>max</w:t>
            </w:r>
            <w:proofErr w:type="spellEnd"/>
            <w:r w:rsidRPr="00AA1596">
              <w:rPr>
                <w:rFonts w:ascii="Arial Narrow" w:hAnsi="Arial Narrow"/>
                <w:sz w:val="20"/>
                <w:szCs w:val="20"/>
              </w:rPr>
              <w:t xml:space="preserve"> </w:t>
            </w:r>
            <w:r w:rsidRPr="00AA1596">
              <w:rPr>
                <w:rFonts w:ascii="Arial Narrow" w:hAnsi="Arial Narrow"/>
                <w:sz w:val="20"/>
                <w:szCs w:val="20"/>
              </w:rPr>
              <w:sym w:font="Symbol" w:char="F0AD"/>
            </w:r>
            <w:r w:rsidRPr="00AA1596">
              <w:rPr>
                <w:rFonts w:ascii="Arial Narrow" w:hAnsi="Arial Narrow"/>
                <w:sz w:val="20"/>
                <w:szCs w:val="20"/>
              </w:rPr>
              <w:t xml:space="preserve"> 50%</w:t>
            </w:r>
            <w:r w:rsidRPr="00AA1596">
              <w:rPr>
                <w:rFonts w:ascii="Arial Narrow" w:hAnsi="Arial Narrow"/>
                <w:sz w:val="20"/>
                <w:szCs w:val="20"/>
              </w:rPr>
              <w:br/>
              <w:t>C</w:t>
            </w:r>
            <w:r w:rsidRPr="00AA1596">
              <w:rPr>
                <w:rFonts w:ascii="Arial Narrow" w:hAnsi="Arial Narrow"/>
                <w:sz w:val="20"/>
                <w:szCs w:val="20"/>
              </w:rPr>
              <w:sym w:font="Symbol" w:char="F074"/>
            </w:r>
            <w:r w:rsidRPr="00AA1596">
              <w:rPr>
                <w:rFonts w:ascii="Arial Narrow" w:hAnsi="Arial Narrow"/>
                <w:sz w:val="20"/>
                <w:szCs w:val="20"/>
              </w:rPr>
              <w:t xml:space="preserve"> </w:t>
            </w:r>
            <w:r w:rsidRPr="00AA1596">
              <w:rPr>
                <w:rFonts w:ascii="Arial Narrow" w:hAnsi="Arial Narrow"/>
                <w:sz w:val="20"/>
                <w:szCs w:val="20"/>
              </w:rPr>
              <w:sym w:font="Symbol" w:char="F0AD"/>
            </w:r>
            <w:r w:rsidRPr="00AA1596">
              <w:rPr>
                <w:rFonts w:ascii="Arial Narrow" w:hAnsi="Arial Narrow"/>
                <w:sz w:val="20"/>
                <w:szCs w:val="20"/>
              </w:rPr>
              <w:t xml:space="preserve"> 180%</w:t>
            </w:r>
          </w:p>
          <w:p w14:paraId="06E2AA3A" w14:textId="3BB44E27" w:rsidR="00AA1596" w:rsidRPr="00AA1596" w:rsidRDefault="00AA1596" w:rsidP="008327C7">
            <w:pPr>
              <w:spacing w:line="240" w:lineRule="auto"/>
              <w:rPr>
                <w:rFonts w:ascii="Arial Narrow" w:hAnsi="Arial Narrow"/>
                <w:sz w:val="20"/>
                <w:szCs w:val="20"/>
              </w:rPr>
            </w:pPr>
            <w:r w:rsidRPr="00AA1596">
              <w:rPr>
                <w:rFonts w:ascii="Arial Narrow" w:hAnsi="Arial Narrow"/>
                <w:sz w:val="20"/>
                <w:szCs w:val="20"/>
              </w:rPr>
              <w:t xml:space="preserve">ATV </w:t>
            </w:r>
            <w:r w:rsidRPr="00AA1596">
              <w:rPr>
                <w:rFonts w:ascii="Arial Narrow" w:hAnsi="Arial Narrow"/>
                <w:sz w:val="20"/>
                <w:szCs w:val="20"/>
              </w:rPr>
              <w:sym w:font="Symbol" w:char="F0AB"/>
            </w:r>
          </w:p>
        </w:tc>
        <w:tc>
          <w:tcPr>
            <w:tcW w:w="3686" w:type="dxa"/>
          </w:tcPr>
          <w:p w14:paraId="40A92379" w14:textId="0F270DA1" w:rsidR="00AA1596" w:rsidRPr="00AA1596" w:rsidRDefault="00AA1596" w:rsidP="008327C7">
            <w:pPr>
              <w:spacing w:after="120" w:line="240" w:lineRule="auto"/>
              <w:rPr>
                <w:rFonts w:ascii="Arial Narrow" w:hAnsi="Arial Narrow"/>
                <w:sz w:val="20"/>
                <w:szCs w:val="20"/>
              </w:rPr>
            </w:pPr>
            <w:r w:rsidRPr="00AA1596">
              <w:rPr>
                <w:rFonts w:ascii="Arial Narrow" w:hAnsi="Arial Narrow"/>
                <w:sz w:val="20"/>
                <w:szCs w:val="20"/>
              </w:rPr>
              <w:t>Atazanavir increased dolutegravir plasma concentration.  No dose adjustment is necessary.</w:t>
            </w:r>
          </w:p>
        </w:tc>
      </w:tr>
      <w:tr w:rsidR="00AA1596" w:rsidRPr="00BD41C6" w14:paraId="44BD54C3" w14:textId="77777777" w:rsidTr="00BD41C6">
        <w:tc>
          <w:tcPr>
            <w:tcW w:w="2235" w:type="dxa"/>
          </w:tcPr>
          <w:p w14:paraId="51463747" w14:textId="68429CB2" w:rsidR="00AA1596" w:rsidRPr="00AA1596" w:rsidRDefault="00AA1596" w:rsidP="008327C7">
            <w:pPr>
              <w:spacing w:line="240" w:lineRule="auto"/>
              <w:rPr>
                <w:rFonts w:ascii="Arial Narrow" w:hAnsi="Arial Narrow"/>
                <w:sz w:val="20"/>
                <w:szCs w:val="20"/>
              </w:rPr>
            </w:pPr>
            <w:r w:rsidRPr="00AA1596">
              <w:rPr>
                <w:rFonts w:ascii="Arial Narrow" w:hAnsi="Arial Narrow"/>
                <w:sz w:val="20"/>
                <w:szCs w:val="20"/>
              </w:rPr>
              <w:t>Protease Inhibitor:</w:t>
            </w:r>
            <w:r w:rsidRPr="00AA1596">
              <w:rPr>
                <w:rFonts w:ascii="Arial Narrow" w:hAnsi="Arial Narrow"/>
                <w:sz w:val="20"/>
                <w:szCs w:val="20"/>
              </w:rPr>
              <w:br/>
              <w:t>Atazanavir/ritonavir (ATV+RTV)</w:t>
            </w:r>
          </w:p>
        </w:tc>
        <w:tc>
          <w:tcPr>
            <w:tcW w:w="3005" w:type="dxa"/>
          </w:tcPr>
          <w:p w14:paraId="5E82563E" w14:textId="77777777" w:rsidR="00AA1596" w:rsidRPr="00AA1596" w:rsidRDefault="00AA1596" w:rsidP="008327C7">
            <w:pPr>
              <w:spacing w:line="240" w:lineRule="auto"/>
              <w:rPr>
                <w:rFonts w:ascii="Arial Narrow" w:hAnsi="Arial Narrow"/>
                <w:sz w:val="20"/>
                <w:szCs w:val="20"/>
              </w:rPr>
            </w:pPr>
            <w:proofErr w:type="spellStart"/>
            <w:r w:rsidRPr="00AA1596">
              <w:rPr>
                <w:rFonts w:ascii="Arial Narrow" w:hAnsi="Arial Narrow"/>
                <w:sz w:val="20"/>
                <w:szCs w:val="20"/>
              </w:rPr>
              <w:t>Dolutegravir</w:t>
            </w:r>
            <w:proofErr w:type="spellEnd"/>
            <w:r w:rsidRPr="00AA1596">
              <w:rPr>
                <w:rFonts w:ascii="Arial Narrow" w:hAnsi="Arial Narrow"/>
                <w:sz w:val="20"/>
                <w:szCs w:val="20"/>
              </w:rPr>
              <w:t xml:space="preserve"> </w:t>
            </w:r>
            <w:r w:rsidRPr="00AA1596">
              <w:rPr>
                <w:rFonts w:ascii="Arial Narrow" w:hAnsi="Arial Narrow"/>
                <w:sz w:val="20"/>
                <w:szCs w:val="20"/>
              </w:rPr>
              <w:sym w:font="Symbol" w:char="F0AD"/>
            </w:r>
            <w:r w:rsidRPr="00AA1596">
              <w:rPr>
                <w:rFonts w:ascii="Arial Narrow" w:hAnsi="Arial Narrow"/>
                <w:sz w:val="20"/>
                <w:szCs w:val="20"/>
              </w:rPr>
              <w:br/>
              <w:t xml:space="preserve">AUC </w:t>
            </w:r>
            <w:r w:rsidRPr="00AA1596">
              <w:rPr>
                <w:rFonts w:ascii="Arial Narrow" w:hAnsi="Arial Narrow"/>
                <w:sz w:val="20"/>
                <w:szCs w:val="20"/>
              </w:rPr>
              <w:sym w:font="Symbol" w:char="F0AD"/>
            </w:r>
            <w:r w:rsidRPr="00AA1596">
              <w:rPr>
                <w:rFonts w:ascii="Arial Narrow" w:hAnsi="Arial Narrow"/>
                <w:sz w:val="20"/>
                <w:szCs w:val="20"/>
              </w:rPr>
              <w:t xml:space="preserve"> 62%</w:t>
            </w:r>
            <w:r w:rsidRPr="00AA1596">
              <w:rPr>
                <w:rFonts w:ascii="Arial Narrow" w:hAnsi="Arial Narrow"/>
                <w:sz w:val="20"/>
                <w:szCs w:val="20"/>
              </w:rPr>
              <w:br/>
            </w:r>
            <w:proofErr w:type="spellStart"/>
            <w:r w:rsidRPr="00AA1596">
              <w:rPr>
                <w:rFonts w:ascii="Arial Narrow" w:hAnsi="Arial Narrow"/>
                <w:sz w:val="20"/>
                <w:szCs w:val="20"/>
              </w:rPr>
              <w:t>C</w:t>
            </w:r>
            <w:r w:rsidRPr="00AA1596">
              <w:rPr>
                <w:rFonts w:ascii="Arial Narrow" w:hAnsi="Arial Narrow"/>
                <w:sz w:val="20"/>
                <w:szCs w:val="20"/>
                <w:vertAlign w:val="subscript"/>
              </w:rPr>
              <w:t>max</w:t>
            </w:r>
            <w:proofErr w:type="spellEnd"/>
            <w:r w:rsidRPr="00AA1596">
              <w:rPr>
                <w:rFonts w:ascii="Arial Narrow" w:hAnsi="Arial Narrow"/>
                <w:sz w:val="20"/>
                <w:szCs w:val="20"/>
              </w:rPr>
              <w:t xml:space="preserve"> </w:t>
            </w:r>
            <w:r w:rsidRPr="00AA1596">
              <w:rPr>
                <w:rFonts w:ascii="Arial Narrow" w:hAnsi="Arial Narrow"/>
                <w:sz w:val="20"/>
                <w:szCs w:val="20"/>
              </w:rPr>
              <w:sym w:font="Symbol" w:char="F0AD"/>
            </w:r>
            <w:r w:rsidRPr="00AA1596">
              <w:rPr>
                <w:rFonts w:ascii="Arial Narrow" w:hAnsi="Arial Narrow"/>
                <w:sz w:val="20"/>
                <w:szCs w:val="20"/>
              </w:rPr>
              <w:t xml:space="preserve"> 34%</w:t>
            </w:r>
            <w:r w:rsidRPr="00AA1596">
              <w:rPr>
                <w:rFonts w:ascii="Arial Narrow" w:hAnsi="Arial Narrow"/>
                <w:sz w:val="20"/>
                <w:szCs w:val="20"/>
              </w:rPr>
              <w:br/>
              <w:t>C</w:t>
            </w:r>
            <w:r w:rsidRPr="00AA1596">
              <w:rPr>
                <w:rFonts w:ascii="Arial Narrow" w:hAnsi="Arial Narrow"/>
                <w:sz w:val="20"/>
                <w:szCs w:val="20"/>
              </w:rPr>
              <w:sym w:font="Symbol" w:char="F074"/>
            </w:r>
            <w:r w:rsidRPr="00AA1596">
              <w:rPr>
                <w:rFonts w:ascii="Arial Narrow" w:hAnsi="Arial Narrow"/>
                <w:sz w:val="20"/>
                <w:szCs w:val="20"/>
              </w:rPr>
              <w:t xml:space="preserve"> </w:t>
            </w:r>
            <w:r w:rsidRPr="00AA1596">
              <w:rPr>
                <w:rFonts w:ascii="Arial Narrow" w:hAnsi="Arial Narrow"/>
                <w:sz w:val="20"/>
                <w:szCs w:val="20"/>
              </w:rPr>
              <w:sym w:font="Symbol" w:char="F0AD"/>
            </w:r>
            <w:r w:rsidRPr="00AA1596">
              <w:rPr>
                <w:rFonts w:ascii="Arial Narrow" w:hAnsi="Arial Narrow"/>
                <w:sz w:val="20"/>
                <w:szCs w:val="20"/>
              </w:rPr>
              <w:t xml:space="preserve"> 121%</w:t>
            </w:r>
          </w:p>
          <w:p w14:paraId="4C12C596" w14:textId="493372D9" w:rsidR="00AA1596" w:rsidRPr="00AA1596" w:rsidRDefault="00AA1596" w:rsidP="008327C7">
            <w:pPr>
              <w:spacing w:line="240" w:lineRule="auto"/>
              <w:rPr>
                <w:rFonts w:ascii="Arial Narrow" w:hAnsi="Arial Narrow"/>
                <w:sz w:val="20"/>
                <w:szCs w:val="20"/>
              </w:rPr>
            </w:pPr>
            <w:r w:rsidRPr="00AA1596">
              <w:rPr>
                <w:rFonts w:ascii="Arial Narrow" w:hAnsi="Arial Narrow"/>
                <w:sz w:val="20"/>
                <w:szCs w:val="20"/>
              </w:rPr>
              <w:t xml:space="preserve">ATV </w:t>
            </w:r>
            <w:r w:rsidRPr="00AA1596">
              <w:rPr>
                <w:rFonts w:ascii="Arial Narrow" w:hAnsi="Arial Narrow"/>
                <w:sz w:val="20"/>
                <w:szCs w:val="20"/>
              </w:rPr>
              <w:sym w:font="Symbol" w:char="F0AB"/>
            </w:r>
            <w:r w:rsidRPr="00AA1596">
              <w:rPr>
                <w:rFonts w:ascii="Arial Narrow" w:hAnsi="Arial Narrow"/>
                <w:sz w:val="20"/>
                <w:szCs w:val="20"/>
              </w:rPr>
              <w:br/>
              <w:t xml:space="preserve">RTV </w:t>
            </w:r>
            <w:r w:rsidRPr="00AA1596">
              <w:rPr>
                <w:rFonts w:ascii="Arial Narrow" w:hAnsi="Arial Narrow"/>
                <w:sz w:val="20"/>
                <w:szCs w:val="20"/>
              </w:rPr>
              <w:sym w:font="Symbol" w:char="F0AB"/>
            </w:r>
          </w:p>
        </w:tc>
        <w:tc>
          <w:tcPr>
            <w:tcW w:w="3686" w:type="dxa"/>
          </w:tcPr>
          <w:p w14:paraId="0732D90C" w14:textId="55C9BF01" w:rsidR="00AA1596" w:rsidRPr="00AA1596" w:rsidRDefault="00AA1596" w:rsidP="008327C7">
            <w:pPr>
              <w:spacing w:after="120" w:line="240" w:lineRule="auto"/>
              <w:rPr>
                <w:rFonts w:ascii="Arial Narrow" w:hAnsi="Arial Narrow"/>
                <w:sz w:val="20"/>
                <w:szCs w:val="20"/>
              </w:rPr>
            </w:pPr>
            <w:r w:rsidRPr="00AA1596">
              <w:rPr>
                <w:rFonts w:ascii="Arial Narrow" w:hAnsi="Arial Narrow"/>
                <w:sz w:val="20"/>
                <w:szCs w:val="20"/>
              </w:rPr>
              <w:t>Atazanavir/ritonavir increased dolutegravir plasma concentration. No dose adjustment is necessary.</w:t>
            </w:r>
          </w:p>
        </w:tc>
      </w:tr>
      <w:tr w:rsidR="00AA1596" w:rsidRPr="00BD41C6" w14:paraId="741254E4" w14:textId="77777777" w:rsidTr="00BD41C6">
        <w:tc>
          <w:tcPr>
            <w:tcW w:w="2235" w:type="dxa"/>
          </w:tcPr>
          <w:p w14:paraId="2181BD02" w14:textId="37B170D7" w:rsidR="00AA1596" w:rsidRPr="00AA1596" w:rsidRDefault="00AA1596" w:rsidP="008327C7">
            <w:pPr>
              <w:spacing w:line="240" w:lineRule="auto"/>
              <w:rPr>
                <w:rFonts w:ascii="Arial Narrow" w:hAnsi="Arial Narrow"/>
                <w:sz w:val="20"/>
                <w:szCs w:val="20"/>
              </w:rPr>
            </w:pPr>
            <w:r w:rsidRPr="00AA1596">
              <w:rPr>
                <w:rFonts w:ascii="Arial Narrow" w:hAnsi="Arial Narrow"/>
                <w:sz w:val="20"/>
                <w:szCs w:val="20"/>
              </w:rPr>
              <w:t>Protease Inhibitor:</w:t>
            </w:r>
            <w:r w:rsidRPr="00AA1596">
              <w:rPr>
                <w:rFonts w:ascii="Arial Narrow" w:hAnsi="Arial Narrow"/>
                <w:sz w:val="20"/>
                <w:szCs w:val="20"/>
              </w:rPr>
              <w:br/>
              <w:t>Tipranavir/ritonavir (TPV+RTV)</w:t>
            </w:r>
          </w:p>
        </w:tc>
        <w:tc>
          <w:tcPr>
            <w:tcW w:w="3005" w:type="dxa"/>
          </w:tcPr>
          <w:p w14:paraId="0868263B" w14:textId="77777777" w:rsidR="000E564B" w:rsidRDefault="00AA1596" w:rsidP="008327C7">
            <w:pPr>
              <w:spacing w:line="240" w:lineRule="auto"/>
              <w:rPr>
                <w:rFonts w:ascii="Arial Narrow" w:hAnsi="Arial Narrow"/>
                <w:sz w:val="20"/>
                <w:szCs w:val="20"/>
              </w:rPr>
            </w:pPr>
            <w:r w:rsidRPr="00AA1596">
              <w:rPr>
                <w:rFonts w:ascii="Arial Narrow" w:hAnsi="Arial Narrow"/>
                <w:sz w:val="20"/>
                <w:szCs w:val="20"/>
              </w:rPr>
              <w:t xml:space="preserve">Dolutegravir </w:t>
            </w:r>
            <w:r w:rsidRPr="00AA1596">
              <w:rPr>
                <w:rFonts w:ascii="Arial Narrow" w:hAnsi="Arial Narrow"/>
                <w:sz w:val="20"/>
                <w:szCs w:val="20"/>
              </w:rPr>
              <w:sym w:font="Symbol" w:char="F0AF"/>
            </w:r>
            <w:r w:rsidRPr="00AA1596">
              <w:rPr>
                <w:rFonts w:ascii="Arial Narrow" w:hAnsi="Arial Narrow"/>
                <w:sz w:val="20"/>
                <w:szCs w:val="20"/>
              </w:rPr>
              <w:br/>
              <w:t xml:space="preserve">AUC </w:t>
            </w:r>
            <w:r w:rsidRPr="00AA1596">
              <w:rPr>
                <w:rFonts w:ascii="Arial Narrow" w:hAnsi="Arial Narrow"/>
                <w:sz w:val="20"/>
                <w:szCs w:val="20"/>
              </w:rPr>
              <w:sym w:font="Symbol" w:char="F0AF"/>
            </w:r>
            <w:r w:rsidRPr="00AA1596">
              <w:rPr>
                <w:rFonts w:ascii="Arial Narrow" w:hAnsi="Arial Narrow"/>
                <w:sz w:val="20"/>
                <w:szCs w:val="20"/>
              </w:rPr>
              <w:t xml:space="preserve"> 59%</w:t>
            </w:r>
          </w:p>
          <w:p w14:paraId="2D42BC07" w14:textId="18172AE1" w:rsidR="00AA1596" w:rsidRPr="00AA1596" w:rsidRDefault="00AA1596" w:rsidP="008327C7">
            <w:pPr>
              <w:spacing w:line="240" w:lineRule="auto"/>
              <w:rPr>
                <w:rFonts w:ascii="Arial Narrow" w:hAnsi="Arial Narrow"/>
                <w:sz w:val="20"/>
                <w:szCs w:val="20"/>
              </w:rPr>
            </w:pPr>
            <w:proofErr w:type="spellStart"/>
            <w:r w:rsidRPr="00AA1596">
              <w:rPr>
                <w:rFonts w:ascii="Arial Narrow" w:hAnsi="Arial Narrow"/>
                <w:sz w:val="20"/>
                <w:szCs w:val="20"/>
              </w:rPr>
              <w:t>C</w:t>
            </w:r>
            <w:r w:rsidRPr="00AA1596">
              <w:rPr>
                <w:rFonts w:ascii="Arial Narrow" w:hAnsi="Arial Narrow"/>
                <w:sz w:val="20"/>
                <w:szCs w:val="20"/>
                <w:vertAlign w:val="subscript"/>
              </w:rPr>
              <w:t>max</w:t>
            </w:r>
            <w:proofErr w:type="spellEnd"/>
            <w:r w:rsidRPr="00AA1596">
              <w:rPr>
                <w:rFonts w:ascii="Arial Narrow" w:hAnsi="Arial Narrow"/>
                <w:sz w:val="20"/>
                <w:szCs w:val="20"/>
              </w:rPr>
              <w:t xml:space="preserve"> </w:t>
            </w:r>
            <w:r w:rsidRPr="00AA1596">
              <w:rPr>
                <w:rFonts w:ascii="Arial Narrow" w:hAnsi="Arial Narrow"/>
                <w:sz w:val="20"/>
                <w:szCs w:val="20"/>
              </w:rPr>
              <w:sym w:font="Symbol" w:char="F0AF"/>
            </w:r>
            <w:r w:rsidRPr="00AA1596">
              <w:rPr>
                <w:rFonts w:ascii="Arial Narrow" w:hAnsi="Arial Narrow"/>
                <w:sz w:val="20"/>
                <w:szCs w:val="20"/>
              </w:rPr>
              <w:t xml:space="preserve"> 47%</w:t>
            </w:r>
            <w:r w:rsidRPr="00AA1596">
              <w:rPr>
                <w:rFonts w:ascii="Arial Narrow" w:hAnsi="Arial Narrow"/>
                <w:sz w:val="20"/>
                <w:szCs w:val="20"/>
              </w:rPr>
              <w:br/>
              <w:t>C</w:t>
            </w:r>
            <w:r w:rsidRPr="00AA1596">
              <w:rPr>
                <w:rFonts w:ascii="Arial Narrow" w:hAnsi="Arial Narrow"/>
                <w:sz w:val="20"/>
                <w:szCs w:val="20"/>
              </w:rPr>
              <w:sym w:font="Symbol" w:char="F074"/>
            </w:r>
            <w:r w:rsidRPr="00AA1596">
              <w:rPr>
                <w:rFonts w:ascii="Arial Narrow" w:hAnsi="Arial Narrow"/>
                <w:sz w:val="20"/>
                <w:szCs w:val="20"/>
              </w:rPr>
              <w:t xml:space="preserve"> </w:t>
            </w:r>
            <w:r w:rsidRPr="00AA1596">
              <w:rPr>
                <w:rFonts w:ascii="Arial Narrow" w:hAnsi="Arial Narrow"/>
                <w:sz w:val="20"/>
                <w:szCs w:val="20"/>
              </w:rPr>
              <w:sym w:font="Symbol" w:char="F0AF"/>
            </w:r>
            <w:r w:rsidRPr="00AA1596">
              <w:rPr>
                <w:rFonts w:ascii="Arial Narrow" w:hAnsi="Arial Narrow"/>
                <w:sz w:val="20"/>
                <w:szCs w:val="20"/>
              </w:rPr>
              <w:t xml:space="preserve"> 76%</w:t>
            </w:r>
          </w:p>
          <w:p w14:paraId="50995FE8" w14:textId="74341CCD" w:rsidR="00AA1596" w:rsidRPr="00AA1596" w:rsidRDefault="00AA1596" w:rsidP="008327C7">
            <w:pPr>
              <w:spacing w:line="240" w:lineRule="auto"/>
              <w:rPr>
                <w:rFonts w:ascii="Arial Narrow" w:hAnsi="Arial Narrow"/>
                <w:sz w:val="20"/>
                <w:szCs w:val="20"/>
              </w:rPr>
            </w:pPr>
            <w:r w:rsidRPr="00AA1596">
              <w:rPr>
                <w:rFonts w:ascii="Arial Narrow" w:hAnsi="Arial Narrow"/>
                <w:sz w:val="20"/>
                <w:szCs w:val="20"/>
              </w:rPr>
              <w:t xml:space="preserve">TPV </w:t>
            </w:r>
            <w:r w:rsidRPr="00AA1596">
              <w:rPr>
                <w:rFonts w:ascii="Arial Narrow" w:hAnsi="Arial Narrow"/>
                <w:sz w:val="20"/>
                <w:szCs w:val="20"/>
              </w:rPr>
              <w:sym w:font="Symbol" w:char="F0AB"/>
            </w:r>
            <w:r w:rsidRPr="00AA1596">
              <w:rPr>
                <w:rFonts w:ascii="Arial Narrow" w:hAnsi="Arial Narrow"/>
                <w:sz w:val="20"/>
                <w:szCs w:val="20"/>
              </w:rPr>
              <w:br/>
              <w:t xml:space="preserve">RTV </w:t>
            </w:r>
            <w:r w:rsidRPr="00AA1596">
              <w:rPr>
                <w:rFonts w:ascii="Arial Narrow" w:hAnsi="Arial Narrow"/>
                <w:sz w:val="20"/>
                <w:szCs w:val="20"/>
              </w:rPr>
              <w:sym w:font="Symbol" w:char="F0AB"/>
            </w:r>
          </w:p>
        </w:tc>
        <w:tc>
          <w:tcPr>
            <w:tcW w:w="3686" w:type="dxa"/>
          </w:tcPr>
          <w:p w14:paraId="2701331B" w14:textId="080ADE33" w:rsidR="00AA1596" w:rsidRPr="00AA1596" w:rsidRDefault="00AA1596" w:rsidP="008327C7">
            <w:pPr>
              <w:spacing w:after="120" w:line="240" w:lineRule="auto"/>
              <w:rPr>
                <w:rFonts w:ascii="Arial Narrow" w:hAnsi="Arial Narrow"/>
                <w:sz w:val="20"/>
                <w:szCs w:val="20"/>
              </w:rPr>
            </w:pPr>
            <w:r w:rsidRPr="00AA1596">
              <w:rPr>
                <w:rFonts w:ascii="Arial Narrow" w:hAnsi="Arial Narrow"/>
                <w:sz w:val="20"/>
                <w:szCs w:val="20"/>
              </w:rPr>
              <w:t xml:space="preserve">Tipranavir/ritonavir decreases dolutegravir concentrations. </w:t>
            </w:r>
            <w:r w:rsidR="00C161D9">
              <w:rPr>
                <w:rFonts w:ascii="Arial Narrow" w:hAnsi="Arial Narrow"/>
                <w:sz w:val="20"/>
                <w:szCs w:val="20"/>
              </w:rPr>
              <w:t>Since t</w:t>
            </w:r>
            <w:r w:rsidRPr="00AA1596">
              <w:rPr>
                <w:rFonts w:ascii="Arial Narrow" w:hAnsi="Arial Narrow"/>
                <w:sz w:val="20"/>
                <w:szCs w:val="20"/>
              </w:rPr>
              <w:t xml:space="preserve">he recommended dose of dolutegravir is 50 mg twice daily </w:t>
            </w:r>
            <w:r w:rsidR="00C161D9">
              <w:rPr>
                <w:rFonts w:ascii="Arial Narrow" w:hAnsi="Arial Narrow"/>
                <w:sz w:val="20"/>
                <w:szCs w:val="20"/>
              </w:rPr>
              <w:t>when co-administered with</w:t>
            </w:r>
            <w:r w:rsidRPr="00AA1596">
              <w:rPr>
                <w:rFonts w:ascii="Arial Narrow" w:hAnsi="Arial Narrow"/>
                <w:sz w:val="20"/>
                <w:szCs w:val="20"/>
              </w:rPr>
              <w:t xml:space="preserve"> tipranavir/ritonavir</w:t>
            </w:r>
            <w:r w:rsidR="0026169B">
              <w:rPr>
                <w:rFonts w:ascii="Arial Narrow" w:hAnsi="Arial Narrow"/>
                <w:sz w:val="20"/>
                <w:szCs w:val="20"/>
              </w:rPr>
              <w:t>,</w:t>
            </w:r>
            <w:r w:rsidRPr="00AA1596">
              <w:rPr>
                <w:rFonts w:ascii="Arial Narrow" w:hAnsi="Arial Narrow"/>
                <w:sz w:val="20"/>
                <w:szCs w:val="20"/>
              </w:rPr>
              <w:t xml:space="preserve">  </w:t>
            </w:r>
            <w:r w:rsidR="00CF0475">
              <w:rPr>
                <w:rFonts w:ascii="Arial Narrow" w:hAnsi="Arial Narrow"/>
                <w:sz w:val="20"/>
                <w:szCs w:val="20"/>
              </w:rPr>
              <w:t>T</w:t>
            </w:r>
            <w:r w:rsidR="000E564B">
              <w:rPr>
                <w:rFonts w:ascii="Arial Narrow" w:hAnsi="Arial Narrow"/>
                <w:sz w:val="20"/>
                <w:szCs w:val="20"/>
              </w:rPr>
              <w:t>he co-administration of tipranavir/ritonavir with DOVATO is not recommended</w:t>
            </w:r>
          </w:p>
        </w:tc>
      </w:tr>
      <w:tr w:rsidR="00AA1596" w:rsidRPr="00AA1596" w14:paraId="549B2A8B" w14:textId="77777777" w:rsidTr="00BD41C6">
        <w:tc>
          <w:tcPr>
            <w:tcW w:w="2235" w:type="dxa"/>
          </w:tcPr>
          <w:p w14:paraId="7E4FB6F8" w14:textId="3EE4755E" w:rsidR="00AA1596" w:rsidRPr="00AA1596" w:rsidRDefault="00AA1596" w:rsidP="008327C7">
            <w:pPr>
              <w:spacing w:line="240" w:lineRule="auto"/>
              <w:rPr>
                <w:rFonts w:ascii="Arial Narrow" w:hAnsi="Arial Narrow"/>
                <w:sz w:val="20"/>
                <w:szCs w:val="20"/>
              </w:rPr>
            </w:pPr>
            <w:r w:rsidRPr="00AA1596">
              <w:rPr>
                <w:rFonts w:ascii="Arial Narrow" w:hAnsi="Arial Narrow"/>
                <w:sz w:val="20"/>
                <w:szCs w:val="20"/>
              </w:rPr>
              <w:t>Protease Inhibitor:</w:t>
            </w:r>
            <w:r w:rsidRPr="00AA1596">
              <w:rPr>
                <w:rFonts w:ascii="Arial Narrow" w:hAnsi="Arial Narrow"/>
                <w:sz w:val="20"/>
                <w:szCs w:val="20"/>
              </w:rPr>
              <w:br/>
            </w:r>
            <w:proofErr w:type="spellStart"/>
            <w:r w:rsidRPr="00AA1596">
              <w:rPr>
                <w:rFonts w:ascii="Arial Narrow" w:hAnsi="Arial Narrow"/>
                <w:sz w:val="20"/>
                <w:szCs w:val="20"/>
              </w:rPr>
              <w:t>Fosamprenavir</w:t>
            </w:r>
            <w:proofErr w:type="spellEnd"/>
            <w:r w:rsidRPr="00AA1596">
              <w:rPr>
                <w:rFonts w:ascii="Arial Narrow" w:hAnsi="Arial Narrow"/>
                <w:sz w:val="20"/>
                <w:szCs w:val="20"/>
              </w:rPr>
              <w:t>/ritonavir (FPV+RTV)</w:t>
            </w:r>
          </w:p>
        </w:tc>
        <w:tc>
          <w:tcPr>
            <w:tcW w:w="3005" w:type="dxa"/>
          </w:tcPr>
          <w:p w14:paraId="14116838" w14:textId="77777777" w:rsidR="00AA1596" w:rsidRPr="00AA1596" w:rsidRDefault="00AA1596" w:rsidP="008327C7">
            <w:pPr>
              <w:spacing w:line="240" w:lineRule="auto"/>
              <w:rPr>
                <w:rFonts w:ascii="Arial Narrow" w:hAnsi="Arial Narrow"/>
                <w:sz w:val="20"/>
                <w:szCs w:val="20"/>
              </w:rPr>
            </w:pPr>
            <w:proofErr w:type="spellStart"/>
            <w:r w:rsidRPr="00AA1596">
              <w:rPr>
                <w:rFonts w:ascii="Arial Narrow" w:hAnsi="Arial Narrow"/>
                <w:sz w:val="20"/>
                <w:szCs w:val="20"/>
              </w:rPr>
              <w:t>Dolutegravir</w:t>
            </w:r>
            <w:proofErr w:type="spellEnd"/>
            <w:r w:rsidRPr="00AA1596">
              <w:rPr>
                <w:rFonts w:ascii="Arial Narrow" w:hAnsi="Arial Narrow"/>
                <w:sz w:val="20"/>
                <w:szCs w:val="20"/>
              </w:rPr>
              <w:t xml:space="preserve"> </w:t>
            </w:r>
            <w:r w:rsidRPr="00AA1596">
              <w:rPr>
                <w:rFonts w:ascii="Arial Narrow" w:hAnsi="Arial Narrow"/>
                <w:sz w:val="20"/>
                <w:szCs w:val="20"/>
              </w:rPr>
              <w:sym w:font="Symbol" w:char="F0AF"/>
            </w:r>
            <w:r w:rsidRPr="00AA1596">
              <w:rPr>
                <w:rFonts w:ascii="Arial Narrow" w:hAnsi="Arial Narrow"/>
                <w:sz w:val="20"/>
                <w:szCs w:val="20"/>
              </w:rPr>
              <w:br/>
              <w:t xml:space="preserve">AUC </w:t>
            </w:r>
            <w:r w:rsidRPr="00AA1596">
              <w:rPr>
                <w:rFonts w:ascii="Arial Narrow" w:hAnsi="Arial Narrow"/>
                <w:sz w:val="20"/>
                <w:szCs w:val="20"/>
              </w:rPr>
              <w:sym w:font="Symbol" w:char="F0AF"/>
            </w:r>
            <w:r w:rsidRPr="00AA1596">
              <w:rPr>
                <w:rFonts w:ascii="Arial Narrow" w:hAnsi="Arial Narrow"/>
                <w:sz w:val="20"/>
                <w:szCs w:val="20"/>
              </w:rPr>
              <w:t xml:space="preserve"> 35%</w:t>
            </w:r>
            <w:r w:rsidRPr="00AA1596">
              <w:rPr>
                <w:rFonts w:ascii="Arial Narrow" w:hAnsi="Arial Narrow"/>
                <w:sz w:val="20"/>
                <w:szCs w:val="20"/>
              </w:rPr>
              <w:br/>
            </w:r>
            <w:proofErr w:type="spellStart"/>
            <w:r w:rsidRPr="00AA1596">
              <w:rPr>
                <w:rFonts w:ascii="Arial Narrow" w:hAnsi="Arial Narrow"/>
                <w:sz w:val="20"/>
                <w:szCs w:val="20"/>
              </w:rPr>
              <w:t>C</w:t>
            </w:r>
            <w:r w:rsidRPr="00726952">
              <w:rPr>
                <w:rFonts w:ascii="Arial Narrow" w:hAnsi="Arial Narrow"/>
                <w:sz w:val="20"/>
                <w:szCs w:val="20"/>
                <w:vertAlign w:val="subscript"/>
              </w:rPr>
              <w:t>max</w:t>
            </w:r>
            <w:proofErr w:type="spellEnd"/>
            <w:r w:rsidRPr="00AA1596">
              <w:rPr>
                <w:rFonts w:ascii="Arial Narrow" w:hAnsi="Arial Narrow"/>
                <w:sz w:val="20"/>
                <w:szCs w:val="20"/>
              </w:rPr>
              <w:t xml:space="preserve"> </w:t>
            </w:r>
            <w:r w:rsidRPr="00AA1596">
              <w:rPr>
                <w:rFonts w:ascii="Arial Narrow" w:hAnsi="Arial Narrow"/>
                <w:sz w:val="20"/>
                <w:szCs w:val="20"/>
              </w:rPr>
              <w:sym w:font="Symbol" w:char="F0AF"/>
            </w:r>
            <w:r w:rsidRPr="00AA1596">
              <w:rPr>
                <w:rFonts w:ascii="Arial Narrow" w:hAnsi="Arial Narrow"/>
                <w:sz w:val="20"/>
                <w:szCs w:val="20"/>
              </w:rPr>
              <w:t xml:space="preserve"> 24%</w:t>
            </w:r>
            <w:r w:rsidRPr="00AA1596">
              <w:rPr>
                <w:rFonts w:ascii="Arial Narrow" w:hAnsi="Arial Narrow"/>
                <w:sz w:val="20"/>
                <w:szCs w:val="20"/>
              </w:rPr>
              <w:br/>
              <w:t>C</w:t>
            </w:r>
            <w:r w:rsidRPr="00AA1596">
              <w:rPr>
                <w:rFonts w:ascii="Arial Narrow" w:hAnsi="Arial Narrow"/>
                <w:sz w:val="20"/>
                <w:szCs w:val="20"/>
              </w:rPr>
              <w:sym w:font="Symbol" w:char="F074"/>
            </w:r>
            <w:r w:rsidRPr="00AA1596">
              <w:rPr>
                <w:rFonts w:ascii="Arial Narrow" w:hAnsi="Arial Narrow"/>
                <w:sz w:val="20"/>
                <w:szCs w:val="20"/>
              </w:rPr>
              <w:t xml:space="preserve"> </w:t>
            </w:r>
            <w:r w:rsidRPr="00AA1596">
              <w:rPr>
                <w:rFonts w:ascii="Arial Narrow" w:hAnsi="Arial Narrow"/>
                <w:sz w:val="20"/>
                <w:szCs w:val="20"/>
              </w:rPr>
              <w:sym w:font="Symbol" w:char="F0AF"/>
            </w:r>
            <w:r w:rsidRPr="00AA1596">
              <w:rPr>
                <w:rFonts w:ascii="Arial Narrow" w:hAnsi="Arial Narrow"/>
                <w:sz w:val="20"/>
                <w:szCs w:val="20"/>
              </w:rPr>
              <w:t xml:space="preserve"> 49%</w:t>
            </w:r>
          </w:p>
          <w:p w14:paraId="23FA5370" w14:textId="7AD7ED14" w:rsidR="00AA1596" w:rsidRPr="00AA1596" w:rsidRDefault="00AA1596" w:rsidP="008327C7">
            <w:pPr>
              <w:spacing w:line="240" w:lineRule="auto"/>
              <w:rPr>
                <w:rFonts w:ascii="Arial Narrow" w:hAnsi="Arial Narrow"/>
                <w:sz w:val="20"/>
                <w:szCs w:val="20"/>
              </w:rPr>
            </w:pPr>
            <w:r w:rsidRPr="00AA1596">
              <w:rPr>
                <w:rFonts w:ascii="Arial Narrow" w:hAnsi="Arial Narrow"/>
                <w:sz w:val="20"/>
                <w:szCs w:val="20"/>
              </w:rPr>
              <w:t xml:space="preserve">FPV </w:t>
            </w:r>
            <w:r w:rsidRPr="00AA1596">
              <w:rPr>
                <w:rFonts w:ascii="Arial Narrow" w:hAnsi="Arial Narrow"/>
                <w:sz w:val="20"/>
                <w:szCs w:val="20"/>
              </w:rPr>
              <w:sym w:font="Symbol" w:char="F0AB"/>
            </w:r>
            <w:r w:rsidRPr="00AA1596">
              <w:rPr>
                <w:rFonts w:ascii="Arial Narrow" w:hAnsi="Arial Narrow"/>
                <w:sz w:val="20"/>
                <w:szCs w:val="20"/>
              </w:rPr>
              <w:br/>
              <w:t xml:space="preserve">RTV </w:t>
            </w:r>
            <w:r w:rsidRPr="00AA1596">
              <w:rPr>
                <w:rFonts w:ascii="Arial Narrow" w:hAnsi="Arial Narrow"/>
                <w:sz w:val="20"/>
                <w:szCs w:val="20"/>
              </w:rPr>
              <w:sym w:font="Symbol" w:char="F0AB"/>
            </w:r>
          </w:p>
        </w:tc>
        <w:tc>
          <w:tcPr>
            <w:tcW w:w="3686" w:type="dxa"/>
          </w:tcPr>
          <w:p w14:paraId="555FBB24" w14:textId="48AF1612" w:rsidR="00AA1596" w:rsidRPr="00AA1596" w:rsidRDefault="00AA1596" w:rsidP="008327C7">
            <w:pPr>
              <w:spacing w:after="120" w:line="240" w:lineRule="auto"/>
              <w:rPr>
                <w:rFonts w:ascii="Arial Narrow" w:hAnsi="Arial Narrow"/>
                <w:sz w:val="20"/>
                <w:szCs w:val="20"/>
              </w:rPr>
            </w:pPr>
            <w:proofErr w:type="spellStart"/>
            <w:r w:rsidRPr="00AA1596">
              <w:rPr>
                <w:rFonts w:ascii="Arial Narrow" w:hAnsi="Arial Narrow"/>
                <w:sz w:val="20"/>
                <w:szCs w:val="20"/>
              </w:rPr>
              <w:t>Fosamprenavir</w:t>
            </w:r>
            <w:proofErr w:type="spellEnd"/>
            <w:r w:rsidRPr="00AA1596">
              <w:rPr>
                <w:rFonts w:ascii="Arial Narrow" w:hAnsi="Arial Narrow"/>
                <w:sz w:val="20"/>
                <w:szCs w:val="20"/>
              </w:rPr>
              <w:t xml:space="preserve">/ritonavir decreases </w:t>
            </w:r>
            <w:proofErr w:type="spellStart"/>
            <w:r w:rsidRPr="00AA1596">
              <w:rPr>
                <w:rFonts w:ascii="Arial Narrow" w:hAnsi="Arial Narrow"/>
                <w:sz w:val="20"/>
                <w:szCs w:val="20"/>
              </w:rPr>
              <w:t>dolutegravir</w:t>
            </w:r>
            <w:proofErr w:type="spellEnd"/>
            <w:r w:rsidRPr="00AA1596">
              <w:rPr>
                <w:rFonts w:ascii="Arial Narrow" w:hAnsi="Arial Narrow"/>
                <w:sz w:val="20"/>
                <w:szCs w:val="20"/>
              </w:rPr>
              <w:t xml:space="preserve"> concentrations, but based on limited data, did not result in decreased efficacy in Phase III studies. No dose adjustment is necessary in INI-naïve patients. </w:t>
            </w:r>
          </w:p>
        </w:tc>
      </w:tr>
      <w:tr w:rsidR="00AA1596" w:rsidRPr="00AA1596" w14:paraId="2F697105" w14:textId="77777777" w:rsidTr="00BD41C6">
        <w:tc>
          <w:tcPr>
            <w:tcW w:w="2235" w:type="dxa"/>
          </w:tcPr>
          <w:p w14:paraId="7CE2C7E9" w14:textId="2456B4E1" w:rsidR="00AA1596" w:rsidRPr="00AA1596" w:rsidRDefault="00AA1596" w:rsidP="008327C7">
            <w:pPr>
              <w:spacing w:line="240" w:lineRule="auto"/>
              <w:rPr>
                <w:rFonts w:ascii="Arial Narrow" w:hAnsi="Arial Narrow"/>
                <w:sz w:val="20"/>
                <w:szCs w:val="20"/>
              </w:rPr>
            </w:pPr>
            <w:r w:rsidRPr="00AA1596">
              <w:rPr>
                <w:rFonts w:ascii="Arial Narrow" w:hAnsi="Arial Narrow"/>
                <w:sz w:val="20"/>
                <w:szCs w:val="20"/>
              </w:rPr>
              <w:t>Protease Inhibitor:</w:t>
            </w:r>
            <w:r w:rsidRPr="00AA1596">
              <w:rPr>
                <w:rFonts w:ascii="Arial Narrow" w:hAnsi="Arial Narrow"/>
                <w:sz w:val="20"/>
                <w:szCs w:val="20"/>
              </w:rPr>
              <w:br/>
              <w:t>Lopinavir/ritonavir (LPV+RTV)</w:t>
            </w:r>
          </w:p>
        </w:tc>
        <w:tc>
          <w:tcPr>
            <w:tcW w:w="3005" w:type="dxa"/>
          </w:tcPr>
          <w:p w14:paraId="2D65EA1D" w14:textId="77777777" w:rsidR="00AA1596" w:rsidRPr="00AA1596" w:rsidRDefault="00AA1596" w:rsidP="008327C7">
            <w:pPr>
              <w:spacing w:line="240" w:lineRule="auto"/>
              <w:rPr>
                <w:rFonts w:ascii="Arial Narrow" w:hAnsi="Arial Narrow"/>
                <w:sz w:val="20"/>
                <w:szCs w:val="20"/>
              </w:rPr>
            </w:pPr>
            <w:r w:rsidRPr="00AA1596">
              <w:rPr>
                <w:rFonts w:ascii="Arial Narrow" w:hAnsi="Arial Narrow"/>
                <w:sz w:val="20"/>
                <w:szCs w:val="20"/>
              </w:rPr>
              <w:t xml:space="preserve">DTG </w:t>
            </w:r>
            <w:r w:rsidRPr="00AA1596">
              <w:rPr>
                <w:rFonts w:ascii="Arial Narrow" w:hAnsi="Arial Narrow"/>
                <w:sz w:val="20"/>
                <w:szCs w:val="20"/>
              </w:rPr>
              <w:sym w:font="Symbol" w:char="F0AB"/>
            </w:r>
            <w:r w:rsidRPr="00AA1596">
              <w:rPr>
                <w:rFonts w:ascii="Arial Narrow" w:hAnsi="Arial Narrow"/>
                <w:sz w:val="20"/>
                <w:szCs w:val="20"/>
              </w:rPr>
              <w:br/>
              <w:t xml:space="preserve">AUC </w:t>
            </w:r>
            <w:r w:rsidRPr="00AA1596">
              <w:rPr>
                <w:rFonts w:ascii="Arial Narrow" w:hAnsi="Arial Narrow"/>
                <w:sz w:val="20"/>
                <w:szCs w:val="20"/>
              </w:rPr>
              <w:sym w:font="Symbol" w:char="F0AF"/>
            </w:r>
            <w:r w:rsidRPr="00AA1596">
              <w:rPr>
                <w:rFonts w:ascii="Arial Narrow" w:hAnsi="Arial Narrow"/>
                <w:sz w:val="20"/>
                <w:szCs w:val="20"/>
              </w:rPr>
              <w:t xml:space="preserve"> 4%</w:t>
            </w:r>
            <w:r w:rsidRPr="00AA1596">
              <w:rPr>
                <w:rFonts w:ascii="Arial Narrow" w:hAnsi="Arial Narrow"/>
                <w:sz w:val="20"/>
                <w:szCs w:val="20"/>
              </w:rPr>
              <w:br/>
            </w:r>
            <w:proofErr w:type="spellStart"/>
            <w:r w:rsidRPr="00AA1596">
              <w:rPr>
                <w:rFonts w:ascii="Arial Narrow" w:hAnsi="Arial Narrow"/>
                <w:sz w:val="20"/>
                <w:szCs w:val="20"/>
              </w:rPr>
              <w:t>C</w:t>
            </w:r>
            <w:r w:rsidRPr="00726952">
              <w:rPr>
                <w:rFonts w:ascii="Arial Narrow" w:hAnsi="Arial Narrow"/>
                <w:sz w:val="20"/>
                <w:szCs w:val="20"/>
                <w:vertAlign w:val="subscript"/>
              </w:rPr>
              <w:t>max</w:t>
            </w:r>
            <w:proofErr w:type="spellEnd"/>
            <w:r w:rsidRPr="00AA1596">
              <w:rPr>
                <w:rFonts w:ascii="Arial Narrow" w:hAnsi="Arial Narrow"/>
                <w:sz w:val="20"/>
                <w:szCs w:val="20"/>
              </w:rPr>
              <w:t xml:space="preserve"> </w:t>
            </w:r>
            <w:r w:rsidRPr="00AA1596">
              <w:rPr>
                <w:rFonts w:ascii="Arial Narrow" w:hAnsi="Arial Narrow"/>
                <w:sz w:val="20"/>
                <w:szCs w:val="20"/>
              </w:rPr>
              <w:sym w:font="Symbol" w:char="F0AB"/>
            </w:r>
            <w:r w:rsidRPr="00AA1596">
              <w:rPr>
                <w:rFonts w:ascii="Arial Narrow" w:hAnsi="Arial Narrow"/>
                <w:sz w:val="20"/>
                <w:szCs w:val="20"/>
              </w:rPr>
              <w:br/>
              <w:t>C</w:t>
            </w:r>
            <w:r w:rsidRPr="00AA1596">
              <w:rPr>
                <w:rFonts w:ascii="Arial Narrow" w:hAnsi="Arial Narrow"/>
                <w:sz w:val="20"/>
                <w:szCs w:val="20"/>
              </w:rPr>
              <w:sym w:font="Symbol" w:char="F074"/>
            </w:r>
            <w:r w:rsidRPr="00AA1596">
              <w:rPr>
                <w:rFonts w:ascii="Arial Narrow" w:hAnsi="Arial Narrow"/>
                <w:sz w:val="20"/>
                <w:szCs w:val="20"/>
              </w:rPr>
              <w:t xml:space="preserve"> </w:t>
            </w:r>
            <w:r w:rsidRPr="00AA1596">
              <w:rPr>
                <w:rFonts w:ascii="Arial Narrow" w:hAnsi="Arial Narrow"/>
                <w:sz w:val="20"/>
                <w:szCs w:val="20"/>
              </w:rPr>
              <w:sym w:font="Symbol" w:char="F0AF"/>
            </w:r>
            <w:r w:rsidRPr="00AA1596">
              <w:rPr>
                <w:rFonts w:ascii="Arial Narrow" w:hAnsi="Arial Narrow"/>
                <w:sz w:val="20"/>
                <w:szCs w:val="20"/>
              </w:rPr>
              <w:t xml:space="preserve"> 6%</w:t>
            </w:r>
          </w:p>
          <w:p w14:paraId="040FBFCB" w14:textId="39D3343A" w:rsidR="00AA1596" w:rsidRPr="00AA1596" w:rsidRDefault="00AA1596" w:rsidP="008327C7">
            <w:pPr>
              <w:spacing w:line="240" w:lineRule="auto"/>
              <w:rPr>
                <w:rFonts w:ascii="Arial Narrow" w:hAnsi="Arial Narrow"/>
                <w:sz w:val="20"/>
                <w:szCs w:val="20"/>
              </w:rPr>
            </w:pPr>
            <w:r w:rsidRPr="00AA1596">
              <w:rPr>
                <w:rFonts w:ascii="Arial Narrow" w:hAnsi="Arial Narrow"/>
                <w:sz w:val="20"/>
                <w:szCs w:val="20"/>
              </w:rPr>
              <w:t xml:space="preserve">LPV </w:t>
            </w:r>
            <w:r w:rsidRPr="00AA1596">
              <w:rPr>
                <w:rFonts w:ascii="Arial Narrow" w:hAnsi="Arial Narrow"/>
                <w:sz w:val="20"/>
                <w:szCs w:val="20"/>
              </w:rPr>
              <w:sym w:font="Symbol" w:char="F0AB"/>
            </w:r>
            <w:r w:rsidRPr="00AA1596">
              <w:rPr>
                <w:rFonts w:ascii="Arial Narrow" w:hAnsi="Arial Narrow"/>
                <w:sz w:val="20"/>
                <w:szCs w:val="20"/>
              </w:rPr>
              <w:br/>
              <w:t xml:space="preserve">RTV </w:t>
            </w:r>
            <w:r w:rsidRPr="00AA1596">
              <w:rPr>
                <w:rFonts w:ascii="Arial Narrow" w:hAnsi="Arial Narrow"/>
                <w:sz w:val="20"/>
                <w:szCs w:val="20"/>
              </w:rPr>
              <w:sym w:font="Symbol" w:char="F0AB"/>
            </w:r>
          </w:p>
        </w:tc>
        <w:tc>
          <w:tcPr>
            <w:tcW w:w="3686" w:type="dxa"/>
          </w:tcPr>
          <w:p w14:paraId="6B3D72C9" w14:textId="768758CD" w:rsidR="00AA1596" w:rsidRPr="00AA1596" w:rsidRDefault="00AA1596" w:rsidP="008327C7">
            <w:pPr>
              <w:spacing w:after="120" w:line="240" w:lineRule="auto"/>
              <w:rPr>
                <w:rFonts w:ascii="Arial Narrow" w:hAnsi="Arial Narrow"/>
                <w:sz w:val="20"/>
                <w:szCs w:val="20"/>
              </w:rPr>
            </w:pPr>
            <w:r w:rsidRPr="00AA1596">
              <w:rPr>
                <w:rFonts w:ascii="Arial Narrow" w:hAnsi="Arial Narrow"/>
                <w:sz w:val="20"/>
                <w:szCs w:val="20"/>
              </w:rPr>
              <w:t>Lopinavir/ritonavir did not change dolutegravir plasma concentration to a clinically relevant extent.  No dose adjustment is necessary.</w:t>
            </w:r>
          </w:p>
        </w:tc>
      </w:tr>
      <w:tr w:rsidR="00AA1596" w:rsidRPr="00AA1596" w14:paraId="2797A8A5" w14:textId="77777777" w:rsidTr="00BD41C6">
        <w:tc>
          <w:tcPr>
            <w:tcW w:w="2235" w:type="dxa"/>
          </w:tcPr>
          <w:p w14:paraId="6C1AE92C" w14:textId="4166B878" w:rsidR="00AA1596" w:rsidRPr="00AA1596" w:rsidRDefault="00AA1596" w:rsidP="008327C7">
            <w:pPr>
              <w:spacing w:line="240" w:lineRule="auto"/>
              <w:rPr>
                <w:rFonts w:ascii="Arial Narrow" w:hAnsi="Arial Narrow"/>
                <w:sz w:val="20"/>
                <w:szCs w:val="20"/>
              </w:rPr>
            </w:pPr>
            <w:r w:rsidRPr="00AA1596">
              <w:rPr>
                <w:rFonts w:ascii="Arial Narrow" w:hAnsi="Arial Narrow"/>
                <w:sz w:val="20"/>
                <w:szCs w:val="20"/>
              </w:rPr>
              <w:t>Protease Inhibitor:</w:t>
            </w:r>
            <w:r w:rsidRPr="00AA1596">
              <w:rPr>
                <w:rFonts w:ascii="Arial Narrow" w:hAnsi="Arial Narrow"/>
                <w:sz w:val="20"/>
                <w:szCs w:val="20"/>
              </w:rPr>
              <w:br/>
              <w:t>Darunavir/ritonavir (DRV+RTV)</w:t>
            </w:r>
          </w:p>
        </w:tc>
        <w:tc>
          <w:tcPr>
            <w:tcW w:w="3005" w:type="dxa"/>
          </w:tcPr>
          <w:p w14:paraId="1CBFA126" w14:textId="77777777" w:rsidR="00AA1596" w:rsidRPr="00AA1596" w:rsidRDefault="00AA1596" w:rsidP="008327C7">
            <w:pPr>
              <w:spacing w:line="240" w:lineRule="auto"/>
              <w:rPr>
                <w:rFonts w:ascii="Arial Narrow" w:hAnsi="Arial Narrow"/>
                <w:sz w:val="20"/>
                <w:szCs w:val="20"/>
              </w:rPr>
            </w:pPr>
            <w:proofErr w:type="spellStart"/>
            <w:r w:rsidRPr="00AA1596">
              <w:rPr>
                <w:rFonts w:ascii="Arial Narrow" w:hAnsi="Arial Narrow"/>
                <w:sz w:val="20"/>
                <w:szCs w:val="20"/>
              </w:rPr>
              <w:t>Dolutegravir</w:t>
            </w:r>
            <w:proofErr w:type="spellEnd"/>
            <w:r w:rsidRPr="00AA1596">
              <w:rPr>
                <w:rFonts w:ascii="Arial Narrow" w:hAnsi="Arial Narrow"/>
                <w:sz w:val="20"/>
                <w:szCs w:val="20"/>
              </w:rPr>
              <w:t xml:space="preserve"> </w:t>
            </w:r>
            <w:r w:rsidRPr="00AA1596">
              <w:rPr>
                <w:rFonts w:ascii="Arial Narrow" w:hAnsi="Arial Narrow"/>
                <w:sz w:val="20"/>
                <w:szCs w:val="20"/>
              </w:rPr>
              <w:sym w:font="Symbol" w:char="F0AF"/>
            </w:r>
            <w:r w:rsidRPr="00AA1596">
              <w:rPr>
                <w:rFonts w:ascii="Arial Narrow" w:hAnsi="Arial Narrow"/>
                <w:sz w:val="20"/>
                <w:szCs w:val="20"/>
              </w:rPr>
              <w:br/>
              <w:t xml:space="preserve">AUC </w:t>
            </w:r>
            <w:r w:rsidRPr="00AA1596">
              <w:rPr>
                <w:rFonts w:ascii="Arial Narrow" w:hAnsi="Arial Narrow"/>
                <w:sz w:val="20"/>
                <w:szCs w:val="20"/>
              </w:rPr>
              <w:sym w:font="Symbol" w:char="F0AF"/>
            </w:r>
            <w:r w:rsidRPr="00AA1596">
              <w:rPr>
                <w:rFonts w:ascii="Arial Narrow" w:hAnsi="Arial Narrow"/>
                <w:sz w:val="20"/>
                <w:szCs w:val="20"/>
              </w:rPr>
              <w:t xml:space="preserve"> 22% </w:t>
            </w:r>
            <w:r w:rsidRPr="00AA1596">
              <w:rPr>
                <w:rFonts w:ascii="Arial Narrow" w:hAnsi="Arial Narrow"/>
                <w:sz w:val="20"/>
                <w:szCs w:val="20"/>
              </w:rPr>
              <w:br/>
            </w:r>
            <w:proofErr w:type="spellStart"/>
            <w:r w:rsidRPr="00AA1596">
              <w:rPr>
                <w:rFonts w:ascii="Arial Narrow" w:hAnsi="Arial Narrow"/>
                <w:sz w:val="20"/>
                <w:szCs w:val="20"/>
              </w:rPr>
              <w:t>C</w:t>
            </w:r>
            <w:r w:rsidRPr="00726952">
              <w:rPr>
                <w:rFonts w:ascii="Arial Narrow" w:hAnsi="Arial Narrow"/>
                <w:sz w:val="20"/>
                <w:szCs w:val="20"/>
                <w:vertAlign w:val="subscript"/>
              </w:rPr>
              <w:t>max</w:t>
            </w:r>
            <w:proofErr w:type="spellEnd"/>
            <w:r w:rsidRPr="00AA1596">
              <w:rPr>
                <w:rFonts w:ascii="Arial Narrow" w:hAnsi="Arial Narrow"/>
                <w:sz w:val="20"/>
                <w:szCs w:val="20"/>
              </w:rPr>
              <w:t xml:space="preserve"> </w:t>
            </w:r>
            <w:r w:rsidRPr="00AA1596">
              <w:rPr>
                <w:rFonts w:ascii="Arial Narrow" w:hAnsi="Arial Narrow"/>
                <w:sz w:val="20"/>
                <w:szCs w:val="20"/>
              </w:rPr>
              <w:sym w:font="Symbol" w:char="F0AF"/>
            </w:r>
            <w:r w:rsidRPr="00AA1596">
              <w:rPr>
                <w:rFonts w:ascii="Arial Narrow" w:hAnsi="Arial Narrow"/>
                <w:sz w:val="20"/>
                <w:szCs w:val="20"/>
              </w:rPr>
              <w:t xml:space="preserve"> 11%</w:t>
            </w:r>
            <w:r w:rsidRPr="00AA1596">
              <w:rPr>
                <w:rFonts w:ascii="Arial Narrow" w:hAnsi="Arial Narrow"/>
                <w:sz w:val="20"/>
                <w:szCs w:val="20"/>
              </w:rPr>
              <w:br/>
              <w:t>C</w:t>
            </w:r>
            <w:r w:rsidRPr="00AA1596">
              <w:rPr>
                <w:rFonts w:ascii="Arial Narrow" w:hAnsi="Arial Narrow"/>
                <w:sz w:val="20"/>
                <w:szCs w:val="20"/>
              </w:rPr>
              <w:sym w:font="Symbol" w:char="F074"/>
            </w:r>
            <w:r w:rsidRPr="00AA1596">
              <w:rPr>
                <w:rFonts w:ascii="Arial Narrow" w:hAnsi="Arial Narrow"/>
                <w:sz w:val="20"/>
                <w:szCs w:val="20"/>
              </w:rPr>
              <w:t xml:space="preserve"> </w:t>
            </w:r>
            <w:r w:rsidRPr="00AA1596">
              <w:rPr>
                <w:rFonts w:ascii="Arial Narrow" w:hAnsi="Arial Narrow"/>
                <w:sz w:val="20"/>
                <w:szCs w:val="20"/>
              </w:rPr>
              <w:sym w:font="Symbol" w:char="F0AF"/>
            </w:r>
            <w:r w:rsidRPr="00AA1596">
              <w:rPr>
                <w:rFonts w:ascii="Arial Narrow" w:hAnsi="Arial Narrow"/>
                <w:sz w:val="20"/>
                <w:szCs w:val="20"/>
              </w:rPr>
              <w:t xml:space="preserve"> 38%</w:t>
            </w:r>
          </w:p>
          <w:p w14:paraId="5F702EA6" w14:textId="7E95E234" w:rsidR="00AA1596" w:rsidRPr="00AA1596" w:rsidRDefault="00AA1596" w:rsidP="008327C7">
            <w:pPr>
              <w:spacing w:line="240" w:lineRule="auto"/>
              <w:rPr>
                <w:rFonts w:ascii="Arial Narrow" w:hAnsi="Arial Narrow"/>
                <w:sz w:val="20"/>
                <w:szCs w:val="20"/>
              </w:rPr>
            </w:pPr>
            <w:r w:rsidRPr="00AA1596">
              <w:rPr>
                <w:rFonts w:ascii="Arial Narrow" w:hAnsi="Arial Narrow"/>
                <w:sz w:val="20"/>
                <w:szCs w:val="20"/>
              </w:rPr>
              <w:t xml:space="preserve">DRV </w:t>
            </w:r>
            <w:r w:rsidRPr="00AA1596">
              <w:rPr>
                <w:rFonts w:ascii="Arial Narrow" w:hAnsi="Arial Narrow"/>
                <w:sz w:val="20"/>
                <w:szCs w:val="20"/>
              </w:rPr>
              <w:sym w:font="Symbol" w:char="F0AB"/>
            </w:r>
            <w:r w:rsidRPr="00AA1596">
              <w:rPr>
                <w:rFonts w:ascii="Arial Narrow" w:hAnsi="Arial Narrow"/>
                <w:sz w:val="20"/>
                <w:szCs w:val="20"/>
              </w:rPr>
              <w:br/>
              <w:t xml:space="preserve">RTV </w:t>
            </w:r>
            <w:r w:rsidRPr="00AA1596">
              <w:rPr>
                <w:rFonts w:ascii="Arial Narrow" w:hAnsi="Arial Narrow"/>
                <w:sz w:val="20"/>
                <w:szCs w:val="20"/>
              </w:rPr>
              <w:sym w:font="Symbol" w:char="F0AB"/>
            </w:r>
          </w:p>
        </w:tc>
        <w:tc>
          <w:tcPr>
            <w:tcW w:w="3686" w:type="dxa"/>
          </w:tcPr>
          <w:p w14:paraId="6DBA8545" w14:textId="5713D5F5" w:rsidR="00AA1596" w:rsidRPr="00AA1596" w:rsidRDefault="00AA1596" w:rsidP="008327C7">
            <w:pPr>
              <w:spacing w:after="120" w:line="240" w:lineRule="auto"/>
              <w:rPr>
                <w:rFonts w:ascii="Arial Narrow" w:hAnsi="Arial Narrow"/>
                <w:sz w:val="20"/>
                <w:szCs w:val="20"/>
              </w:rPr>
            </w:pPr>
            <w:r w:rsidRPr="00AA1596">
              <w:rPr>
                <w:rFonts w:ascii="Arial Narrow" w:hAnsi="Arial Narrow"/>
                <w:sz w:val="20"/>
                <w:szCs w:val="20"/>
              </w:rPr>
              <w:t>Darunavir/ritonavir did not change dolutegravir plasma concentration to a clinically relevant extent.  No dose adjustment is necessary.</w:t>
            </w:r>
          </w:p>
        </w:tc>
      </w:tr>
      <w:tr w:rsidR="00AA1596" w:rsidRPr="00726952" w14:paraId="3C1CB556" w14:textId="77777777" w:rsidTr="00BD41C6">
        <w:tc>
          <w:tcPr>
            <w:tcW w:w="2235" w:type="dxa"/>
          </w:tcPr>
          <w:p w14:paraId="002D9019" w14:textId="2F03F597" w:rsidR="00AA1596" w:rsidRPr="00726952" w:rsidRDefault="00AA1596" w:rsidP="008327C7">
            <w:pPr>
              <w:spacing w:line="240" w:lineRule="auto"/>
              <w:rPr>
                <w:rFonts w:ascii="Arial Narrow" w:hAnsi="Arial Narrow"/>
                <w:sz w:val="20"/>
                <w:szCs w:val="20"/>
              </w:rPr>
            </w:pPr>
            <w:r w:rsidRPr="00726952">
              <w:rPr>
                <w:rFonts w:ascii="Arial Narrow" w:hAnsi="Arial Narrow"/>
                <w:sz w:val="20"/>
                <w:szCs w:val="20"/>
              </w:rPr>
              <w:t>Nucleoside Reverse Transcriptase Inhibitor:</w:t>
            </w:r>
            <w:r w:rsidRPr="00726952">
              <w:rPr>
                <w:rFonts w:ascii="Arial Narrow" w:hAnsi="Arial Narrow"/>
                <w:sz w:val="20"/>
                <w:szCs w:val="20"/>
              </w:rPr>
              <w:br/>
              <w:t>Tenofovir (TDF)</w:t>
            </w:r>
          </w:p>
        </w:tc>
        <w:tc>
          <w:tcPr>
            <w:tcW w:w="3005" w:type="dxa"/>
          </w:tcPr>
          <w:p w14:paraId="45F176AD" w14:textId="77777777" w:rsidR="00AA1596" w:rsidRPr="00726952" w:rsidRDefault="00AA1596" w:rsidP="008327C7">
            <w:pPr>
              <w:spacing w:after="0" w:line="240" w:lineRule="auto"/>
              <w:rPr>
                <w:rFonts w:ascii="Arial Narrow" w:hAnsi="Arial Narrow"/>
                <w:sz w:val="20"/>
                <w:szCs w:val="20"/>
              </w:rPr>
            </w:pPr>
            <w:r w:rsidRPr="00726952">
              <w:rPr>
                <w:rFonts w:ascii="Arial Narrow" w:hAnsi="Arial Narrow"/>
                <w:sz w:val="20"/>
                <w:szCs w:val="20"/>
              </w:rPr>
              <w:t xml:space="preserve">Dolutegravir </w:t>
            </w:r>
            <w:r w:rsidRPr="00726952">
              <w:rPr>
                <w:rFonts w:ascii="Arial Narrow" w:hAnsi="Arial Narrow"/>
                <w:sz w:val="20"/>
                <w:szCs w:val="20"/>
              </w:rPr>
              <w:sym w:font="Symbol" w:char="F0AB"/>
            </w:r>
          </w:p>
          <w:p w14:paraId="6EFDAD80" w14:textId="5B629600" w:rsidR="00AA1596" w:rsidRPr="00726952" w:rsidRDefault="00AA1596" w:rsidP="008327C7">
            <w:pPr>
              <w:spacing w:line="240" w:lineRule="auto"/>
              <w:rPr>
                <w:rFonts w:ascii="Arial Narrow" w:hAnsi="Arial Narrow"/>
                <w:sz w:val="20"/>
                <w:szCs w:val="20"/>
              </w:rPr>
            </w:pPr>
            <w:r w:rsidRPr="00726952">
              <w:rPr>
                <w:rFonts w:ascii="Arial Narrow" w:hAnsi="Arial Narrow"/>
                <w:sz w:val="20"/>
                <w:szCs w:val="20"/>
              </w:rPr>
              <w:t xml:space="preserve">AUC </w:t>
            </w:r>
            <w:r w:rsidRPr="00726952">
              <w:rPr>
                <w:rFonts w:ascii="Arial Narrow" w:hAnsi="Arial Narrow"/>
                <w:sz w:val="20"/>
                <w:szCs w:val="20"/>
              </w:rPr>
              <w:sym w:font="Symbol" w:char="F0AB"/>
            </w:r>
            <w:r w:rsidRPr="00726952">
              <w:rPr>
                <w:rFonts w:ascii="Arial Narrow" w:hAnsi="Arial Narrow"/>
                <w:sz w:val="20"/>
                <w:szCs w:val="20"/>
              </w:rPr>
              <w:br/>
            </w:r>
            <w:proofErr w:type="spellStart"/>
            <w:r w:rsidRPr="00726952">
              <w:rPr>
                <w:rFonts w:ascii="Arial Narrow" w:hAnsi="Arial Narrow"/>
                <w:sz w:val="20"/>
                <w:szCs w:val="20"/>
              </w:rPr>
              <w:t>C</w:t>
            </w:r>
            <w:r w:rsidRPr="00726952">
              <w:rPr>
                <w:rFonts w:ascii="Arial Narrow" w:hAnsi="Arial Narrow"/>
                <w:sz w:val="20"/>
                <w:szCs w:val="20"/>
                <w:vertAlign w:val="subscript"/>
              </w:rPr>
              <w:t>max</w:t>
            </w:r>
            <w:proofErr w:type="spellEnd"/>
            <w:r w:rsidRPr="00726952">
              <w:rPr>
                <w:rFonts w:ascii="Arial Narrow" w:hAnsi="Arial Narrow"/>
                <w:sz w:val="20"/>
                <w:szCs w:val="20"/>
              </w:rPr>
              <w:t xml:space="preserve"> </w:t>
            </w:r>
            <w:r w:rsidRPr="00726952">
              <w:rPr>
                <w:rFonts w:ascii="Arial Narrow" w:hAnsi="Arial Narrow"/>
                <w:sz w:val="20"/>
                <w:szCs w:val="20"/>
              </w:rPr>
              <w:sym w:font="Symbol" w:char="F0AF"/>
            </w:r>
            <w:r w:rsidRPr="00726952">
              <w:rPr>
                <w:rFonts w:ascii="Arial Narrow" w:hAnsi="Arial Narrow"/>
                <w:sz w:val="20"/>
                <w:szCs w:val="20"/>
              </w:rPr>
              <w:t>3%</w:t>
            </w:r>
            <w:r w:rsidRPr="00726952">
              <w:rPr>
                <w:rFonts w:ascii="Arial Narrow" w:hAnsi="Arial Narrow"/>
                <w:sz w:val="20"/>
                <w:szCs w:val="20"/>
              </w:rPr>
              <w:br/>
              <w:t>C</w:t>
            </w:r>
            <w:r w:rsidRPr="00726952">
              <w:rPr>
                <w:rFonts w:ascii="Arial Narrow" w:hAnsi="Arial Narrow"/>
                <w:sz w:val="20"/>
                <w:szCs w:val="20"/>
              </w:rPr>
              <w:sym w:font="Symbol" w:char="F074"/>
            </w:r>
            <w:r w:rsidRPr="00726952">
              <w:rPr>
                <w:rFonts w:ascii="Arial Narrow" w:hAnsi="Arial Narrow"/>
                <w:sz w:val="20"/>
                <w:szCs w:val="20"/>
              </w:rPr>
              <w:t xml:space="preserve"> </w:t>
            </w:r>
            <w:r w:rsidRPr="00726952">
              <w:rPr>
                <w:rFonts w:ascii="Arial Narrow" w:hAnsi="Arial Narrow"/>
                <w:sz w:val="20"/>
                <w:szCs w:val="20"/>
              </w:rPr>
              <w:sym w:font="Symbol" w:char="F0AF"/>
            </w:r>
            <w:r w:rsidRPr="00726952">
              <w:rPr>
                <w:rFonts w:ascii="Arial Narrow" w:hAnsi="Arial Narrow"/>
                <w:sz w:val="20"/>
                <w:szCs w:val="20"/>
              </w:rPr>
              <w:t xml:space="preserve"> 8%</w:t>
            </w:r>
            <w:r w:rsidRPr="00726952">
              <w:rPr>
                <w:rFonts w:ascii="Arial Narrow" w:hAnsi="Arial Narrow"/>
                <w:sz w:val="20"/>
                <w:szCs w:val="20"/>
              </w:rPr>
              <w:br/>
            </w:r>
            <w:r w:rsidRPr="00726952">
              <w:rPr>
                <w:rFonts w:ascii="Arial Narrow" w:hAnsi="Arial Narrow"/>
                <w:sz w:val="20"/>
                <w:szCs w:val="20"/>
              </w:rPr>
              <w:br/>
              <w:t xml:space="preserve">Tenofovir </w:t>
            </w:r>
            <w:r w:rsidRPr="00726952">
              <w:rPr>
                <w:rFonts w:ascii="Arial Narrow" w:hAnsi="Arial Narrow"/>
                <w:sz w:val="20"/>
                <w:szCs w:val="20"/>
              </w:rPr>
              <w:sym w:font="Symbol" w:char="F0AB"/>
            </w:r>
            <w:r w:rsidRPr="00726952">
              <w:rPr>
                <w:rFonts w:ascii="Arial Narrow" w:hAnsi="Arial Narrow"/>
                <w:sz w:val="20"/>
                <w:szCs w:val="20"/>
              </w:rPr>
              <w:br/>
              <w:t xml:space="preserve">AUC </w:t>
            </w:r>
            <w:r w:rsidRPr="00726952">
              <w:rPr>
                <w:rFonts w:ascii="Arial Narrow" w:hAnsi="Arial Narrow"/>
                <w:sz w:val="20"/>
                <w:szCs w:val="20"/>
              </w:rPr>
              <w:sym w:font="Symbol" w:char="F0AD"/>
            </w:r>
            <w:r w:rsidRPr="00726952">
              <w:rPr>
                <w:rFonts w:ascii="Arial Narrow" w:hAnsi="Arial Narrow"/>
                <w:sz w:val="20"/>
                <w:szCs w:val="20"/>
              </w:rPr>
              <w:t xml:space="preserve"> 12%</w:t>
            </w:r>
            <w:r w:rsidRPr="00726952">
              <w:rPr>
                <w:rFonts w:ascii="Arial Narrow" w:hAnsi="Arial Narrow"/>
                <w:sz w:val="20"/>
                <w:szCs w:val="20"/>
              </w:rPr>
              <w:br/>
            </w:r>
            <w:proofErr w:type="spellStart"/>
            <w:r w:rsidRPr="00726952">
              <w:rPr>
                <w:rFonts w:ascii="Arial Narrow" w:hAnsi="Arial Narrow"/>
                <w:sz w:val="20"/>
                <w:szCs w:val="20"/>
              </w:rPr>
              <w:lastRenderedPageBreak/>
              <w:t>C</w:t>
            </w:r>
            <w:r w:rsidRPr="00726952">
              <w:rPr>
                <w:rFonts w:ascii="Arial Narrow" w:hAnsi="Arial Narrow"/>
                <w:sz w:val="20"/>
                <w:szCs w:val="20"/>
                <w:vertAlign w:val="subscript"/>
              </w:rPr>
              <w:t>max</w:t>
            </w:r>
            <w:proofErr w:type="spellEnd"/>
            <w:r w:rsidRPr="00726952">
              <w:rPr>
                <w:rFonts w:ascii="Arial Narrow" w:hAnsi="Arial Narrow"/>
                <w:sz w:val="20"/>
                <w:szCs w:val="20"/>
              </w:rPr>
              <w:t xml:space="preserve"> </w:t>
            </w:r>
            <w:r w:rsidRPr="00726952">
              <w:rPr>
                <w:rFonts w:ascii="Arial Narrow" w:hAnsi="Arial Narrow"/>
                <w:sz w:val="20"/>
                <w:szCs w:val="20"/>
              </w:rPr>
              <w:sym w:font="Symbol" w:char="F0AD"/>
            </w:r>
            <w:r w:rsidRPr="00726952">
              <w:rPr>
                <w:rFonts w:ascii="Arial Narrow" w:hAnsi="Arial Narrow"/>
                <w:sz w:val="20"/>
                <w:szCs w:val="20"/>
              </w:rPr>
              <w:t xml:space="preserve"> 9%</w:t>
            </w:r>
            <w:r w:rsidRPr="00726952">
              <w:rPr>
                <w:rFonts w:ascii="Arial Narrow" w:hAnsi="Arial Narrow"/>
                <w:sz w:val="20"/>
                <w:szCs w:val="20"/>
              </w:rPr>
              <w:br/>
              <w:t>C</w:t>
            </w:r>
            <w:r w:rsidRPr="00726952">
              <w:rPr>
                <w:rFonts w:ascii="Arial Narrow" w:hAnsi="Arial Narrow"/>
                <w:sz w:val="20"/>
                <w:szCs w:val="20"/>
              </w:rPr>
              <w:sym w:font="Symbol" w:char="F074"/>
            </w:r>
            <w:r w:rsidRPr="00726952">
              <w:rPr>
                <w:rFonts w:ascii="Arial Narrow" w:hAnsi="Arial Narrow"/>
                <w:sz w:val="20"/>
                <w:szCs w:val="20"/>
              </w:rPr>
              <w:t xml:space="preserve"> </w:t>
            </w:r>
            <w:r w:rsidRPr="00726952">
              <w:rPr>
                <w:rFonts w:ascii="Arial Narrow" w:hAnsi="Arial Narrow"/>
                <w:sz w:val="20"/>
                <w:szCs w:val="20"/>
              </w:rPr>
              <w:sym w:font="Symbol" w:char="F0AD"/>
            </w:r>
            <w:r w:rsidRPr="00726952">
              <w:rPr>
                <w:rFonts w:ascii="Arial Narrow" w:hAnsi="Arial Narrow"/>
                <w:sz w:val="20"/>
                <w:szCs w:val="20"/>
              </w:rPr>
              <w:t xml:space="preserve"> 19%</w:t>
            </w:r>
          </w:p>
        </w:tc>
        <w:tc>
          <w:tcPr>
            <w:tcW w:w="3686" w:type="dxa"/>
          </w:tcPr>
          <w:p w14:paraId="14F5FDF7" w14:textId="70215EF4" w:rsidR="00AA1596" w:rsidRPr="00726952" w:rsidRDefault="00AA1596" w:rsidP="008327C7">
            <w:pPr>
              <w:spacing w:after="120" w:line="240" w:lineRule="auto"/>
              <w:rPr>
                <w:rFonts w:ascii="Arial Narrow" w:hAnsi="Arial Narrow"/>
                <w:sz w:val="20"/>
                <w:szCs w:val="20"/>
              </w:rPr>
            </w:pPr>
            <w:r w:rsidRPr="00726952">
              <w:rPr>
                <w:rFonts w:ascii="Arial Narrow" w:hAnsi="Arial Narrow"/>
                <w:sz w:val="20"/>
                <w:szCs w:val="20"/>
              </w:rPr>
              <w:lastRenderedPageBreak/>
              <w:t>Tenofovir did not change dolutegravir plasma concentration to a clinically relevant extent.  No dose adjustment is necessary.</w:t>
            </w:r>
          </w:p>
        </w:tc>
      </w:tr>
      <w:tr w:rsidR="00AA1596" w:rsidRPr="00BD41C6" w14:paraId="0A4B92CC" w14:textId="77777777" w:rsidTr="00BD41C6">
        <w:tc>
          <w:tcPr>
            <w:tcW w:w="8926" w:type="dxa"/>
            <w:gridSpan w:val="3"/>
          </w:tcPr>
          <w:p w14:paraId="45B34ADB" w14:textId="77777777" w:rsidR="00AA1596" w:rsidRPr="00BD41C6" w:rsidRDefault="00AA1596" w:rsidP="008327C7">
            <w:pPr>
              <w:spacing w:after="120" w:line="240" w:lineRule="auto"/>
              <w:rPr>
                <w:rFonts w:ascii="Arial Narrow" w:eastAsia="Times New Roman" w:hAnsi="Arial Narrow"/>
                <w:b/>
                <w:sz w:val="20"/>
                <w:szCs w:val="20"/>
              </w:rPr>
            </w:pPr>
            <w:r w:rsidRPr="00BD41C6">
              <w:rPr>
                <w:rFonts w:ascii="Arial Narrow" w:eastAsia="Times New Roman" w:hAnsi="Arial Narrow"/>
                <w:b/>
                <w:sz w:val="20"/>
                <w:szCs w:val="20"/>
              </w:rPr>
              <w:t>Other Agents</w:t>
            </w:r>
          </w:p>
        </w:tc>
      </w:tr>
      <w:tr w:rsidR="00AA1596" w:rsidRPr="00BD41C6" w14:paraId="282DE33D" w14:textId="77777777" w:rsidTr="00BD41C6">
        <w:tc>
          <w:tcPr>
            <w:tcW w:w="2235" w:type="dxa"/>
          </w:tcPr>
          <w:p w14:paraId="104B4A6B" w14:textId="5DC5BCB4" w:rsidR="00AA1596" w:rsidRDefault="00AA1596" w:rsidP="008327C7">
            <w:pPr>
              <w:spacing w:after="0" w:line="240" w:lineRule="auto"/>
              <w:rPr>
                <w:rFonts w:ascii="Arial Narrow" w:eastAsia="Times New Roman" w:hAnsi="Arial Narrow"/>
                <w:sz w:val="20"/>
                <w:szCs w:val="20"/>
                <w:lang w:eastAsia="en-AU"/>
              </w:rPr>
            </w:pPr>
            <w:proofErr w:type="spellStart"/>
            <w:r w:rsidRPr="00BD41C6">
              <w:rPr>
                <w:rFonts w:ascii="Arial Narrow" w:eastAsia="Times New Roman" w:hAnsi="Arial Narrow"/>
                <w:sz w:val="20"/>
                <w:szCs w:val="20"/>
                <w:lang w:eastAsia="en-AU"/>
              </w:rPr>
              <w:t>Dofetilide</w:t>
            </w:r>
            <w:proofErr w:type="spellEnd"/>
          </w:p>
          <w:p w14:paraId="05E527DA" w14:textId="3F3597FE" w:rsidR="00AF5708" w:rsidRDefault="00AF5708" w:rsidP="008327C7">
            <w:pPr>
              <w:spacing w:after="0" w:line="240" w:lineRule="auto"/>
              <w:rPr>
                <w:rFonts w:ascii="Arial Narrow" w:eastAsia="Times New Roman" w:hAnsi="Arial Narrow"/>
                <w:sz w:val="20"/>
                <w:szCs w:val="20"/>
                <w:lang w:eastAsia="en-AU"/>
              </w:rPr>
            </w:pPr>
          </w:p>
          <w:p w14:paraId="0614B408" w14:textId="2318A75B" w:rsidR="00AF5708" w:rsidRPr="00BD41C6" w:rsidRDefault="00AF5708" w:rsidP="008327C7">
            <w:pPr>
              <w:spacing w:after="0" w:line="240" w:lineRule="auto"/>
              <w:rPr>
                <w:rFonts w:ascii="Arial Narrow" w:eastAsia="Times New Roman" w:hAnsi="Arial Narrow"/>
                <w:sz w:val="20"/>
                <w:szCs w:val="20"/>
                <w:lang w:eastAsia="en-AU"/>
              </w:rPr>
            </w:pPr>
            <w:proofErr w:type="spellStart"/>
            <w:r>
              <w:rPr>
                <w:rFonts w:ascii="Arial Narrow" w:eastAsia="Times New Roman" w:hAnsi="Arial Narrow"/>
                <w:sz w:val="20"/>
                <w:szCs w:val="20"/>
                <w:lang w:eastAsia="en-AU"/>
              </w:rPr>
              <w:t>Pilsicainide</w:t>
            </w:r>
            <w:proofErr w:type="spellEnd"/>
          </w:p>
          <w:p w14:paraId="3372A817" w14:textId="77777777" w:rsidR="00AA1596" w:rsidRPr="00BD41C6" w:rsidRDefault="00AA1596" w:rsidP="008327C7">
            <w:pPr>
              <w:spacing w:after="0" w:line="240" w:lineRule="auto"/>
              <w:rPr>
                <w:rFonts w:ascii="Arial Narrow" w:eastAsia="Times New Roman" w:hAnsi="Arial Narrow"/>
                <w:sz w:val="20"/>
                <w:szCs w:val="20"/>
              </w:rPr>
            </w:pPr>
          </w:p>
        </w:tc>
        <w:tc>
          <w:tcPr>
            <w:tcW w:w="3005" w:type="dxa"/>
          </w:tcPr>
          <w:p w14:paraId="3AE35B8A" w14:textId="5C8B719E" w:rsidR="00AA1596" w:rsidRDefault="00AA1596" w:rsidP="008327C7">
            <w:pPr>
              <w:spacing w:after="0" w:line="240" w:lineRule="auto"/>
              <w:rPr>
                <w:rFonts w:ascii="Arial Narrow" w:eastAsia="Times New Roman" w:hAnsi="Arial Narrow"/>
                <w:sz w:val="20"/>
                <w:szCs w:val="20"/>
              </w:rPr>
            </w:pPr>
            <w:proofErr w:type="spellStart"/>
            <w:r w:rsidRPr="00BD41C6">
              <w:rPr>
                <w:rFonts w:ascii="Arial Narrow" w:eastAsia="Times New Roman" w:hAnsi="Arial Narrow"/>
                <w:sz w:val="20"/>
                <w:szCs w:val="20"/>
              </w:rPr>
              <w:t>Dofetilide</w:t>
            </w:r>
            <w:proofErr w:type="spellEnd"/>
            <w:r w:rsidRPr="00BD41C6">
              <w:rPr>
                <w:rFonts w:ascii="Arial Narrow" w:eastAsia="Times New Roman" w:hAnsi="Arial Narrow"/>
                <w:sz w:val="20"/>
                <w:szCs w:val="20"/>
              </w:rPr>
              <w:t xml:space="preserve"> </w:t>
            </w:r>
            <w:r w:rsidRPr="00BD41C6">
              <w:rPr>
                <w:rFonts w:ascii="Arial Narrow" w:eastAsia="Times New Roman" w:hAnsi="Arial Narrow"/>
                <w:sz w:val="20"/>
                <w:szCs w:val="20"/>
              </w:rPr>
              <w:sym w:font="Symbol" w:char="F0AD"/>
            </w:r>
            <w:r w:rsidRPr="00BD41C6">
              <w:rPr>
                <w:rFonts w:ascii="Arial Narrow" w:eastAsia="Times New Roman" w:hAnsi="Arial Narrow"/>
                <w:sz w:val="20"/>
                <w:szCs w:val="20"/>
              </w:rPr>
              <w:t xml:space="preserve"> </w:t>
            </w:r>
          </w:p>
          <w:p w14:paraId="6C928F71" w14:textId="79B6C9D3" w:rsidR="00AF5708" w:rsidRDefault="00AF5708" w:rsidP="008327C7">
            <w:pPr>
              <w:spacing w:after="0" w:line="240" w:lineRule="auto"/>
              <w:rPr>
                <w:rFonts w:ascii="Arial Narrow" w:eastAsia="Times New Roman" w:hAnsi="Arial Narrow"/>
                <w:sz w:val="20"/>
                <w:szCs w:val="20"/>
              </w:rPr>
            </w:pPr>
          </w:p>
          <w:p w14:paraId="429EE0B2" w14:textId="1BDB4C18" w:rsidR="00AF5708" w:rsidRPr="00BD41C6" w:rsidRDefault="00AF5708" w:rsidP="00AF5708">
            <w:pPr>
              <w:spacing w:after="0" w:line="240" w:lineRule="auto"/>
              <w:rPr>
                <w:rFonts w:ascii="Arial Narrow" w:eastAsia="Times New Roman" w:hAnsi="Arial Narrow"/>
                <w:sz w:val="20"/>
                <w:szCs w:val="20"/>
                <w:lang w:eastAsia="en-AU"/>
              </w:rPr>
            </w:pPr>
            <w:proofErr w:type="spellStart"/>
            <w:r>
              <w:rPr>
                <w:rFonts w:ascii="Arial Narrow" w:eastAsia="Times New Roman" w:hAnsi="Arial Narrow"/>
                <w:sz w:val="20"/>
                <w:szCs w:val="20"/>
                <w:lang w:eastAsia="en-AU"/>
              </w:rPr>
              <w:t>Pilsicainide</w:t>
            </w:r>
            <w:proofErr w:type="spellEnd"/>
            <w:r>
              <w:rPr>
                <w:rFonts w:ascii="Arial Narrow" w:eastAsia="Times New Roman" w:hAnsi="Arial Narrow"/>
                <w:sz w:val="20"/>
                <w:szCs w:val="20"/>
                <w:lang w:eastAsia="en-AU"/>
              </w:rPr>
              <w:t xml:space="preserve"> </w:t>
            </w:r>
            <w:r w:rsidRPr="00BD41C6">
              <w:rPr>
                <w:rFonts w:ascii="Arial Narrow" w:eastAsia="Times New Roman" w:hAnsi="Arial Narrow"/>
                <w:sz w:val="20"/>
                <w:szCs w:val="20"/>
              </w:rPr>
              <w:sym w:font="Symbol" w:char="F0AD"/>
            </w:r>
          </w:p>
          <w:p w14:paraId="74699FF5" w14:textId="77777777" w:rsidR="00AF5708" w:rsidRPr="00BD41C6" w:rsidRDefault="00AF5708" w:rsidP="008327C7">
            <w:pPr>
              <w:spacing w:after="0" w:line="240" w:lineRule="auto"/>
              <w:rPr>
                <w:rFonts w:ascii="Arial Narrow" w:eastAsia="Times New Roman" w:hAnsi="Arial Narrow"/>
                <w:sz w:val="20"/>
                <w:szCs w:val="20"/>
              </w:rPr>
            </w:pPr>
          </w:p>
          <w:p w14:paraId="3F3B95B3" w14:textId="77777777" w:rsidR="00AA1596" w:rsidRPr="00BD41C6" w:rsidRDefault="00AA1596" w:rsidP="008327C7">
            <w:pPr>
              <w:spacing w:after="0" w:line="240" w:lineRule="auto"/>
              <w:rPr>
                <w:rFonts w:ascii="Arial Narrow" w:eastAsia="Times New Roman" w:hAnsi="Arial Narrow"/>
                <w:sz w:val="20"/>
                <w:szCs w:val="20"/>
              </w:rPr>
            </w:pPr>
          </w:p>
        </w:tc>
        <w:tc>
          <w:tcPr>
            <w:tcW w:w="3686" w:type="dxa"/>
          </w:tcPr>
          <w:p w14:paraId="6BEAC253" w14:textId="4D95A443" w:rsidR="00AA1596" w:rsidRPr="00BD41C6" w:rsidRDefault="00726952" w:rsidP="008327C7">
            <w:pPr>
              <w:spacing w:after="120" w:line="240" w:lineRule="auto"/>
              <w:rPr>
                <w:rFonts w:ascii="Arial Narrow" w:eastAsia="Times New Roman" w:hAnsi="Arial Narrow"/>
                <w:sz w:val="20"/>
                <w:szCs w:val="20"/>
                <w:shd w:val="clear" w:color="auto" w:fill="CCCCCC"/>
                <w:lang w:eastAsia="en-AU"/>
              </w:rPr>
            </w:pPr>
            <w:r w:rsidRPr="00726952">
              <w:rPr>
                <w:rFonts w:ascii="Arial Narrow" w:eastAsia="Times New Roman" w:hAnsi="Arial Narrow"/>
                <w:sz w:val="20"/>
                <w:szCs w:val="20"/>
                <w:lang w:eastAsia="en-AU"/>
              </w:rPr>
              <w:t xml:space="preserve">Co-administration of dolutegravir has the potential to increase </w:t>
            </w:r>
            <w:proofErr w:type="spellStart"/>
            <w:r w:rsidRPr="00726952">
              <w:rPr>
                <w:rFonts w:ascii="Arial Narrow" w:eastAsia="Times New Roman" w:hAnsi="Arial Narrow"/>
                <w:sz w:val="20"/>
                <w:szCs w:val="20"/>
                <w:lang w:eastAsia="en-AU"/>
              </w:rPr>
              <w:t>dofetilide</w:t>
            </w:r>
            <w:proofErr w:type="spellEnd"/>
            <w:r w:rsidR="00AF5708">
              <w:rPr>
                <w:rFonts w:ascii="Arial Narrow" w:eastAsia="Times New Roman" w:hAnsi="Arial Narrow"/>
                <w:sz w:val="20"/>
                <w:szCs w:val="20"/>
                <w:lang w:eastAsia="en-AU"/>
              </w:rPr>
              <w:t xml:space="preserve"> or </w:t>
            </w:r>
            <w:proofErr w:type="spellStart"/>
            <w:r w:rsidR="00AF5708">
              <w:rPr>
                <w:rFonts w:ascii="Arial Narrow" w:eastAsia="Times New Roman" w:hAnsi="Arial Narrow"/>
                <w:sz w:val="20"/>
                <w:szCs w:val="20"/>
                <w:lang w:eastAsia="en-AU"/>
              </w:rPr>
              <w:t>pilsicainide</w:t>
            </w:r>
            <w:proofErr w:type="spellEnd"/>
            <w:r w:rsidRPr="00726952">
              <w:rPr>
                <w:rFonts w:ascii="Arial Narrow" w:eastAsia="Times New Roman" w:hAnsi="Arial Narrow"/>
                <w:sz w:val="20"/>
                <w:szCs w:val="20"/>
                <w:lang w:eastAsia="en-AU"/>
              </w:rPr>
              <w:t xml:space="preserve"> plasma concentration via inhibition of OCT2 transporter; co-administration has not been studied. </w:t>
            </w:r>
            <w:proofErr w:type="spellStart"/>
            <w:r w:rsidRPr="00726952">
              <w:rPr>
                <w:rFonts w:ascii="Arial Narrow" w:eastAsia="Times New Roman" w:hAnsi="Arial Narrow"/>
                <w:sz w:val="20"/>
                <w:szCs w:val="20"/>
                <w:lang w:eastAsia="en-AU"/>
              </w:rPr>
              <w:t>Dofetilide</w:t>
            </w:r>
            <w:proofErr w:type="spellEnd"/>
            <w:r w:rsidR="00AF5708">
              <w:rPr>
                <w:rFonts w:ascii="Arial Narrow" w:eastAsia="Times New Roman" w:hAnsi="Arial Narrow"/>
                <w:sz w:val="20"/>
                <w:szCs w:val="20"/>
                <w:lang w:eastAsia="en-AU"/>
              </w:rPr>
              <w:t xml:space="preserve"> or </w:t>
            </w:r>
            <w:proofErr w:type="spellStart"/>
            <w:r w:rsidR="00AF5708">
              <w:rPr>
                <w:rFonts w:ascii="Arial Narrow" w:eastAsia="Times New Roman" w:hAnsi="Arial Narrow"/>
                <w:sz w:val="20"/>
                <w:szCs w:val="20"/>
                <w:lang w:eastAsia="en-AU"/>
              </w:rPr>
              <w:t>pilsicainide</w:t>
            </w:r>
            <w:proofErr w:type="spellEnd"/>
            <w:r w:rsidRPr="00726952">
              <w:rPr>
                <w:rFonts w:ascii="Arial Narrow" w:eastAsia="Times New Roman" w:hAnsi="Arial Narrow"/>
                <w:sz w:val="20"/>
                <w:szCs w:val="20"/>
                <w:lang w:eastAsia="en-AU"/>
              </w:rPr>
              <w:t xml:space="preserve"> co-administration with dolutegravir is contraindicated due to potential life-threatening toxicity caused by high </w:t>
            </w:r>
            <w:proofErr w:type="spellStart"/>
            <w:r w:rsidRPr="00726952">
              <w:rPr>
                <w:rFonts w:ascii="Arial Narrow" w:eastAsia="Times New Roman" w:hAnsi="Arial Narrow"/>
                <w:sz w:val="20"/>
                <w:szCs w:val="20"/>
                <w:lang w:eastAsia="en-AU"/>
              </w:rPr>
              <w:t>dofetilide</w:t>
            </w:r>
            <w:proofErr w:type="spellEnd"/>
            <w:r w:rsidRPr="00726952">
              <w:rPr>
                <w:rFonts w:ascii="Arial Narrow" w:eastAsia="Times New Roman" w:hAnsi="Arial Narrow"/>
                <w:sz w:val="20"/>
                <w:szCs w:val="20"/>
                <w:lang w:eastAsia="en-AU"/>
              </w:rPr>
              <w:t xml:space="preserve"> </w:t>
            </w:r>
            <w:r w:rsidR="00AF5708">
              <w:rPr>
                <w:rFonts w:ascii="Arial Narrow" w:eastAsia="Times New Roman" w:hAnsi="Arial Narrow"/>
                <w:sz w:val="20"/>
                <w:szCs w:val="20"/>
                <w:lang w:eastAsia="en-AU"/>
              </w:rPr>
              <w:t xml:space="preserve">or </w:t>
            </w:r>
            <w:proofErr w:type="spellStart"/>
            <w:r w:rsidR="00AF5708">
              <w:rPr>
                <w:rFonts w:ascii="Arial Narrow" w:eastAsia="Times New Roman" w:hAnsi="Arial Narrow"/>
                <w:sz w:val="20"/>
                <w:szCs w:val="20"/>
                <w:lang w:eastAsia="en-AU"/>
              </w:rPr>
              <w:t>pilsicainide</w:t>
            </w:r>
            <w:proofErr w:type="spellEnd"/>
            <w:r w:rsidR="00AF5708">
              <w:rPr>
                <w:rFonts w:ascii="Arial Narrow" w:eastAsia="Times New Roman" w:hAnsi="Arial Narrow"/>
                <w:sz w:val="20"/>
                <w:szCs w:val="20"/>
                <w:lang w:eastAsia="en-AU"/>
              </w:rPr>
              <w:t xml:space="preserve"> </w:t>
            </w:r>
            <w:r w:rsidRPr="00726952">
              <w:rPr>
                <w:rFonts w:ascii="Arial Narrow" w:eastAsia="Times New Roman" w:hAnsi="Arial Narrow"/>
                <w:sz w:val="20"/>
                <w:szCs w:val="20"/>
                <w:lang w:eastAsia="en-AU"/>
              </w:rPr>
              <w:t>concentration.</w:t>
            </w:r>
          </w:p>
        </w:tc>
      </w:tr>
      <w:tr w:rsidR="00AA1596" w:rsidRPr="00BD41C6" w14:paraId="6B8857A9" w14:textId="77777777" w:rsidTr="00BD41C6">
        <w:tc>
          <w:tcPr>
            <w:tcW w:w="2235" w:type="dxa"/>
          </w:tcPr>
          <w:p w14:paraId="03736305" w14:textId="144BF113" w:rsidR="00AA1596" w:rsidRPr="00BD41C6" w:rsidRDefault="00AA1596" w:rsidP="008327C7">
            <w:pPr>
              <w:spacing w:after="0" w:line="240" w:lineRule="auto"/>
              <w:rPr>
                <w:rFonts w:ascii="Arial Narrow" w:eastAsia="Times New Roman" w:hAnsi="Arial Narrow"/>
                <w:sz w:val="20"/>
                <w:szCs w:val="20"/>
              </w:rPr>
            </w:pPr>
            <w:r w:rsidRPr="00BD41C6">
              <w:rPr>
                <w:rFonts w:ascii="Arial Narrow" w:eastAsia="Times New Roman" w:hAnsi="Arial Narrow"/>
                <w:sz w:val="20"/>
                <w:szCs w:val="20"/>
              </w:rPr>
              <w:t>Carbamazepine</w:t>
            </w:r>
          </w:p>
          <w:p w14:paraId="7CAA71B5" w14:textId="66CC19A1" w:rsidR="00AA1596" w:rsidRPr="00BD41C6" w:rsidRDefault="00AA1596" w:rsidP="008327C7">
            <w:pPr>
              <w:spacing w:after="0" w:line="240" w:lineRule="auto"/>
              <w:rPr>
                <w:rFonts w:ascii="Arial Narrow" w:eastAsia="Times New Roman" w:hAnsi="Arial Narrow"/>
                <w:sz w:val="20"/>
                <w:szCs w:val="20"/>
              </w:rPr>
            </w:pPr>
          </w:p>
          <w:p w14:paraId="4EE2CB02" w14:textId="77777777" w:rsidR="00AA1596" w:rsidRPr="00BD41C6" w:rsidRDefault="00AA1596" w:rsidP="008327C7">
            <w:pPr>
              <w:spacing w:after="0" w:line="240" w:lineRule="auto"/>
              <w:rPr>
                <w:rFonts w:ascii="Arial Narrow" w:eastAsia="Times New Roman" w:hAnsi="Arial Narrow"/>
                <w:sz w:val="20"/>
                <w:szCs w:val="20"/>
                <w:lang w:eastAsia="en-AU"/>
              </w:rPr>
            </w:pPr>
          </w:p>
        </w:tc>
        <w:tc>
          <w:tcPr>
            <w:tcW w:w="3005" w:type="dxa"/>
          </w:tcPr>
          <w:p w14:paraId="3A01A061" w14:textId="77777777" w:rsidR="00AA1596" w:rsidRPr="00BD41C6" w:rsidRDefault="00AA1596" w:rsidP="008327C7">
            <w:pPr>
              <w:spacing w:after="0" w:line="240" w:lineRule="auto"/>
              <w:rPr>
                <w:rFonts w:ascii="Arial Narrow" w:eastAsia="Times New Roman" w:hAnsi="Arial Narrow"/>
                <w:sz w:val="20"/>
                <w:szCs w:val="20"/>
              </w:rPr>
            </w:pPr>
            <w:proofErr w:type="spellStart"/>
            <w:r w:rsidRPr="00BD41C6">
              <w:rPr>
                <w:rFonts w:ascii="Arial Narrow" w:eastAsia="Times New Roman" w:hAnsi="Arial Narrow"/>
                <w:sz w:val="20"/>
                <w:szCs w:val="20"/>
              </w:rPr>
              <w:t>Dolutegravir</w:t>
            </w:r>
            <w:proofErr w:type="spellEnd"/>
            <w:r w:rsidRPr="00BD41C6">
              <w:rPr>
                <w:rFonts w:ascii="Arial Narrow" w:eastAsia="Times New Roman" w:hAnsi="Arial Narrow"/>
                <w:sz w:val="20"/>
                <w:szCs w:val="20"/>
              </w:rPr>
              <w:t xml:space="preserve"> </w:t>
            </w:r>
            <w:r w:rsidRPr="00BD41C6">
              <w:rPr>
                <w:rFonts w:ascii="Arial Narrow" w:eastAsia="Times New Roman" w:hAnsi="Arial Narrow"/>
                <w:sz w:val="20"/>
                <w:szCs w:val="20"/>
              </w:rPr>
              <w:sym w:font="Symbol" w:char="F0AF"/>
            </w:r>
            <w:r w:rsidRPr="00BD41C6">
              <w:rPr>
                <w:rFonts w:ascii="Arial Narrow" w:eastAsia="Times New Roman" w:hAnsi="Arial Narrow"/>
                <w:sz w:val="20"/>
                <w:szCs w:val="20"/>
              </w:rPr>
              <w:br/>
              <w:t xml:space="preserve">AUC </w:t>
            </w:r>
            <w:r w:rsidRPr="00BD41C6">
              <w:rPr>
                <w:rFonts w:ascii="Arial Narrow" w:eastAsia="Times New Roman" w:hAnsi="Arial Narrow"/>
                <w:sz w:val="20"/>
                <w:szCs w:val="20"/>
              </w:rPr>
              <w:sym w:font="Symbol" w:char="F0AF"/>
            </w:r>
            <w:r w:rsidRPr="00BD41C6">
              <w:rPr>
                <w:rFonts w:ascii="Arial Narrow" w:eastAsia="Times New Roman" w:hAnsi="Arial Narrow"/>
                <w:sz w:val="20"/>
                <w:szCs w:val="20"/>
              </w:rPr>
              <w:t xml:space="preserve"> </w:t>
            </w:r>
            <w:r w:rsidRPr="00BD41C6">
              <w:rPr>
                <w:rFonts w:ascii="Arial Narrow" w:eastAsia="Times New Roman" w:hAnsi="Arial Narrow"/>
                <w:sz w:val="20"/>
                <w:szCs w:val="20"/>
                <w:lang w:eastAsia="en-AU"/>
              </w:rPr>
              <w:t>49</w:t>
            </w:r>
            <w:r w:rsidRPr="00BD41C6">
              <w:rPr>
                <w:rFonts w:ascii="Arial Narrow" w:eastAsia="Times New Roman" w:hAnsi="Arial Narrow"/>
                <w:sz w:val="20"/>
                <w:szCs w:val="20"/>
              </w:rPr>
              <w:t>%</w:t>
            </w:r>
            <w:r w:rsidRPr="00BD41C6">
              <w:rPr>
                <w:rFonts w:ascii="Arial Narrow" w:eastAsia="Times New Roman" w:hAnsi="Arial Narrow"/>
                <w:sz w:val="20"/>
                <w:szCs w:val="20"/>
              </w:rPr>
              <w:br/>
            </w:r>
            <w:proofErr w:type="spellStart"/>
            <w:r w:rsidRPr="00BD41C6">
              <w:rPr>
                <w:rFonts w:ascii="Arial Narrow" w:eastAsia="Times New Roman" w:hAnsi="Arial Narrow"/>
                <w:sz w:val="20"/>
                <w:szCs w:val="20"/>
              </w:rPr>
              <w:t>C</w:t>
            </w:r>
            <w:r w:rsidRPr="00BD41C6">
              <w:rPr>
                <w:rFonts w:ascii="Arial Narrow" w:eastAsia="Times New Roman" w:hAnsi="Arial Narrow"/>
                <w:sz w:val="20"/>
                <w:szCs w:val="20"/>
                <w:vertAlign w:val="subscript"/>
              </w:rPr>
              <w:t>max</w:t>
            </w:r>
            <w:proofErr w:type="spellEnd"/>
            <w:r w:rsidRPr="00BD41C6">
              <w:rPr>
                <w:rFonts w:ascii="Arial Narrow" w:eastAsia="Times New Roman" w:hAnsi="Arial Narrow"/>
                <w:sz w:val="20"/>
                <w:szCs w:val="20"/>
              </w:rPr>
              <w:t xml:space="preserve"> </w:t>
            </w:r>
            <w:r w:rsidRPr="00BD41C6">
              <w:rPr>
                <w:rFonts w:ascii="Arial Narrow" w:eastAsia="Times New Roman" w:hAnsi="Arial Narrow"/>
                <w:sz w:val="20"/>
                <w:szCs w:val="20"/>
              </w:rPr>
              <w:sym w:font="Symbol" w:char="F0AF"/>
            </w:r>
            <w:r w:rsidRPr="00BD41C6">
              <w:rPr>
                <w:rFonts w:ascii="Arial Narrow" w:eastAsia="Times New Roman" w:hAnsi="Arial Narrow"/>
                <w:sz w:val="20"/>
                <w:szCs w:val="20"/>
              </w:rPr>
              <w:t xml:space="preserve"> </w:t>
            </w:r>
            <w:r w:rsidRPr="00BD41C6">
              <w:rPr>
                <w:rFonts w:ascii="Arial Narrow" w:eastAsia="Times New Roman" w:hAnsi="Arial Narrow"/>
                <w:sz w:val="20"/>
                <w:szCs w:val="20"/>
                <w:lang w:eastAsia="en-AU"/>
              </w:rPr>
              <w:t>33</w:t>
            </w:r>
            <w:r w:rsidRPr="00BD41C6">
              <w:rPr>
                <w:rFonts w:ascii="Arial Narrow" w:eastAsia="Times New Roman" w:hAnsi="Arial Narrow"/>
                <w:sz w:val="20"/>
                <w:szCs w:val="20"/>
              </w:rPr>
              <w:t>%</w:t>
            </w:r>
            <w:r w:rsidRPr="00BD41C6">
              <w:rPr>
                <w:rFonts w:ascii="Arial Narrow" w:eastAsia="Times New Roman" w:hAnsi="Arial Narrow"/>
                <w:sz w:val="20"/>
                <w:szCs w:val="20"/>
              </w:rPr>
              <w:br/>
              <w:t>C</w:t>
            </w:r>
            <w:r w:rsidRPr="00BD41C6">
              <w:rPr>
                <w:rFonts w:ascii="Arial Narrow" w:eastAsia="Times New Roman" w:hAnsi="Arial Narrow"/>
                <w:sz w:val="20"/>
                <w:szCs w:val="20"/>
              </w:rPr>
              <w:sym w:font="Symbol" w:char="F074"/>
            </w:r>
            <w:r w:rsidRPr="00BD41C6">
              <w:rPr>
                <w:rFonts w:ascii="Arial Narrow" w:eastAsia="Times New Roman" w:hAnsi="Arial Narrow"/>
                <w:sz w:val="20"/>
                <w:szCs w:val="20"/>
              </w:rPr>
              <w:t xml:space="preserve"> </w:t>
            </w:r>
            <w:r w:rsidRPr="00BD41C6">
              <w:rPr>
                <w:rFonts w:ascii="Arial Narrow" w:eastAsia="Times New Roman" w:hAnsi="Arial Narrow"/>
                <w:sz w:val="20"/>
                <w:szCs w:val="20"/>
              </w:rPr>
              <w:sym w:font="Symbol" w:char="F0AF"/>
            </w:r>
            <w:r w:rsidRPr="00BD41C6">
              <w:rPr>
                <w:rFonts w:ascii="Arial Narrow" w:eastAsia="Times New Roman" w:hAnsi="Arial Narrow"/>
                <w:sz w:val="20"/>
                <w:szCs w:val="20"/>
              </w:rPr>
              <w:t xml:space="preserve"> </w:t>
            </w:r>
            <w:r w:rsidRPr="00BD41C6">
              <w:rPr>
                <w:rFonts w:ascii="Arial Narrow" w:eastAsia="Times New Roman" w:hAnsi="Arial Narrow"/>
                <w:sz w:val="20"/>
                <w:szCs w:val="20"/>
                <w:lang w:eastAsia="en-AU"/>
              </w:rPr>
              <w:t>73</w:t>
            </w:r>
            <w:r w:rsidRPr="00BD41C6">
              <w:rPr>
                <w:rFonts w:ascii="Arial Narrow" w:eastAsia="Times New Roman" w:hAnsi="Arial Narrow"/>
                <w:sz w:val="20"/>
                <w:szCs w:val="20"/>
              </w:rPr>
              <w:t>%</w:t>
            </w:r>
          </w:p>
          <w:p w14:paraId="6B728061" w14:textId="7A07CA86" w:rsidR="00AA1596" w:rsidRPr="00BD41C6" w:rsidRDefault="00AA1596" w:rsidP="008327C7">
            <w:pPr>
              <w:spacing w:after="0" w:line="240" w:lineRule="auto"/>
              <w:rPr>
                <w:rFonts w:ascii="Arial Narrow" w:eastAsia="MS Mincho" w:hAnsi="Arial Narrow"/>
                <w:sz w:val="20"/>
                <w:szCs w:val="20"/>
                <w:lang w:eastAsia="ja-JP"/>
              </w:rPr>
            </w:pPr>
          </w:p>
        </w:tc>
        <w:tc>
          <w:tcPr>
            <w:tcW w:w="3686" w:type="dxa"/>
          </w:tcPr>
          <w:p w14:paraId="22B3EC98" w14:textId="15EB4DA1" w:rsidR="00AA1596" w:rsidRPr="00BD41C6" w:rsidRDefault="00726952" w:rsidP="008327C7">
            <w:pPr>
              <w:spacing w:after="120" w:line="240" w:lineRule="auto"/>
              <w:rPr>
                <w:rFonts w:ascii="Arial Narrow" w:eastAsia="Times New Roman" w:hAnsi="Arial Narrow"/>
                <w:sz w:val="20"/>
                <w:szCs w:val="20"/>
                <w:lang w:eastAsia="en-AU"/>
              </w:rPr>
            </w:pPr>
            <w:r w:rsidRPr="00726952">
              <w:rPr>
                <w:rFonts w:ascii="Arial Narrow" w:eastAsia="Times New Roman" w:hAnsi="Arial Narrow"/>
                <w:sz w:val="20"/>
                <w:szCs w:val="20"/>
                <w:lang w:eastAsia="en-AU"/>
              </w:rPr>
              <w:t xml:space="preserve">Carbamazepine decreased dolutegravir plasma concentration. </w:t>
            </w:r>
            <w:r w:rsidR="000E564B">
              <w:rPr>
                <w:rFonts w:ascii="Arial Narrow" w:eastAsia="Times New Roman" w:hAnsi="Arial Narrow"/>
                <w:sz w:val="20"/>
                <w:szCs w:val="20"/>
                <w:lang w:eastAsia="en-AU"/>
              </w:rPr>
              <w:t>Since t</w:t>
            </w:r>
            <w:r w:rsidRPr="00726952">
              <w:rPr>
                <w:rFonts w:ascii="Arial Narrow" w:eastAsia="Times New Roman" w:hAnsi="Arial Narrow"/>
                <w:sz w:val="20"/>
                <w:szCs w:val="20"/>
                <w:lang w:eastAsia="en-AU"/>
              </w:rPr>
              <w:t xml:space="preserve">he recommended dose of dolutegravir is 50 mg twice daily </w:t>
            </w:r>
            <w:r w:rsidR="000E564B">
              <w:rPr>
                <w:rFonts w:ascii="Arial Narrow" w:eastAsia="Times New Roman" w:hAnsi="Arial Narrow"/>
                <w:sz w:val="20"/>
                <w:szCs w:val="20"/>
                <w:lang w:eastAsia="en-AU"/>
              </w:rPr>
              <w:t>when co-administered with</w:t>
            </w:r>
            <w:r w:rsidRPr="00726952">
              <w:rPr>
                <w:rFonts w:ascii="Arial Narrow" w:eastAsia="Times New Roman" w:hAnsi="Arial Narrow"/>
                <w:sz w:val="20"/>
                <w:szCs w:val="20"/>
                <w:lang w:eastAsia="en-AU"/>
              </w:rPr>
              <w:t xml:space="preserve"> carbamazepine</w:t>
            </w:r>
            <w:r w:rsidR="000E564B">
              <w:rPr>
                <w:rFonts w:ascii="Arial Narrow" w:eastAsia="Times New Roman" w:hAnsi="Arial Narrow"/>
                <w:sz w:val="20"/>
                <w:szCs w:val="20"/>
                <w:lang w:eastAsia="en-AU"/>
              </w:rPr>
              <w:t>,</w:t>
            </w:r>
            <w:r w:rsidRPr="00726952">
              <w:rPr>
                <w:rFonts w:ascii="Arial Narrow" w:eastAsia="Times New Roman" w:hAnsi="Arial Narrow"/>
                <w:sz w:val="20"/>
                <w:szCs w:val="20"/>
                <w:lang w:eastAsia="en-AU"/>
              </w:rPr>
              <w:t xml:space="preserve"> </w:t>
            </w:r>
            <w:r>
              <w:rPr>
                <w:rFonts w:ascii="Arial Narrow" w:eastAsia="Times New Roman" w:hAnsi="Arial Narrow"/>
                <w:sz w:val="20"/>
                <w:szCs w:val="20"/>
                <w:lang w:eastAsia="en-AU"/>
              </w:rPr>
              <w:t>DOVATO</w:t>
            </w:r>
            <w:r w:rsidRPr="00726952">
              <w:rPr>
                <w:rFonts w:ascii="Arial Narrow" w:eastAsia="Times New Roman" w:hAnsi="Arial Narrow"/>
                <w:sz w:val="20"/>
                <w:szCs w:val="20"/>
                <w:lang w:eastAsia="en-AU"/>
              </w:rPr>
              <w:t xml:space="preserve"> </w:t>
            </w:r>
            <w:r w:rsidR="000E564B">
              <w:rPr>
                <w:rFonts w:ascii="Arial Narrow" w:eastAsia="Times New Roman" w:hAnsi="Arial Narrow"/>
                <w:sz w:val="20"/>
                <w:szCs w:val="20"/>
                <w:lang w:eastAsia="en-AU"/>
              </w:rPr>
              <w:t>is not recommended for patients taking carbamazepine.</w:t>
            </w:r>
          </w:p>
        </w:tc>
      </w:tr>
      <w:tr w:rsidR="00AA1596" w:rsidRPr="00BD41C6" w14:paraId="1201BDE1" w14:textId="77777777" w:rsidTr="00BD41C6">
        <w:tc>
          <w:tcPr>
            <w:tcW w:w="2235" w:type="dxa"/>
          </w:tcPr>
          <w:p w14:paraId="306C1F39" w14:textId="77777777" w:rsidR="00726952" w:rsidRPr="00BD41C6" w:rsidRDefault="00726952" w:rsidP="008327C7">
            <w:pPr>
              <w:spacing w:after="0" w:line="240" w:lineRule="auto"/>
              <w:rPr>
                <w:rFonts w:ascii="Arial Narrow" w:eastAsia="Times New Roman" w:hAnsi="Arial Narrow"/>
                <w:sz w:val="20"/>
                <w:szCs w:val="20"/>
              </w:rPr>
            </w:pPr>
            <w:r w:rsidRPr="00BD41C6">
              <w:rPr>
                <w:rFonts w:ascii="Arial Narrow" w:eastAsia="Times New Roman" w:hAnsi="Arial Narrow"/>
                <w:sz w:val="20"/>
                <w:szCs w:val="20"/>
              </w:rPr>
              <w:t>Phenytoin</w:t>
            </w:r>
          </w:p>
          <w:p w14:paraId="3EF68BE6" w14:textId="77777777" w:rsidR="00726952" w:rsidRPr="00BD41C6" w:rsidRDefault="00726952" w:rsidP="008327C7">
            <w:pPr>
              <w:spacing w:after="0" w:line="240" w:lineRule="auto"/>
              <w:rPr>
                <w:rFonts w:ascii="Arial Narrow" w:eastAsia="Times New Roman" w:hAnsi="Arial Narrow"/>
                <w:sz w:val="20"/>
                <w:szCs w:val="20"/>
              </w:rPr>
            </w:pPr>
            <w:r w:rsidRPr="00BD41C6">
              <w:rPr>
                <w:rFonts w:ascii="Arial Narrow" w:eastAsia="Times New Roman" w:hAnsi="Arial Narrow"/>
                <w:sz w:val="20"/>
                <w:szCs w:val="20"/>
              </w:rPr>
              <w:t>Phenobarbital</w:t>
            </w:r>
          </w:p>
          <w:p w14:paraId="25FCE8AD" w14:textId="77777777" w:rsidR="00AA1596" w:rsidRPr="00BD41C6" w:rsidRDefault="00AA1596" w:rsidP="008327C7">
            <w:pPr>
              <w:spacing w:after="0" w:line="240" w:lineRule="auto"/>
              <w:rPr>
                <w:rFonts w:ascii="Arial Narrow" w:eastAsia="Times New Roman" w:hAnsi="Arial Narrow"/>
                <w:sz w:val="20"/>
                <w:szCs w:val="20"/>
                <w:lang w:eastAsia="en-AU"/>
              </w:rPr>
            </w:pPr>
            <w:r w:rsidRPr="00BD41C6">
              <w:rPr>
                <w:rFonts w:ascii="Arial Narrow" w:eastAsia="Times New Roman" w:hAnsi="Arial Narrow"/>
                <w:sz w:val="20"/>
                <w:szCs w:val="20"/>
              </w:rPr>
              <w:t xml:space="preserve">St. John’s </w:t>
            </w:r>
            <w:proofErr w:type="spellStart"/>
            <w:r w:rsidRPr="00BD41C6">
              <w:rPr>
                <w:rFonts w:ascii="Arial Narrow" w:eastAsia="Times New Roman" w:hAnsi="Arial Narrow"/>
                <w:sz w:val="20"/>
                <w:szCs w:val="20"/>
              </w:rPr>
              <w:t>wort</w:t>
            </w:r>
            <w:proofErr w:type="spellEnd"/>
            <w:r w:rsidRPr="00BD41C6">
              <w:rPr>
                <w:rFonts w:ascii="Arial Narrow" w:eastAsia="Times New Roman" w:hAnsi="Arial Narrow"/>
                <w:sz w:val="20"/>
                <w:szCs w:val="20"/>
              </w:rPr>
              <w:t xml:space="preserve"> (</w:t>
            </w:r>
            <w:proofErr w:type="spellStart"/>
            <w:r w:rsidRPr="00BD41C6">
              <w:rPr>
                <w:rFonts w:ascii="Arial Narrow" w:eastAsia="Times New Roman" w:hAnsi="Arial Narrow"/>
                <w:i/>
                <w:sz w:val="20"/>
                <w:szCs w:val="20"/>
              </w:rPr>
              <w:t>Hypericum</w:t>
            </w:r>
            <w:proofErr w:type="spellEnd"/>
            <w:r w:rsidRPr="00BD41C6">
              <w:rPr>
                <w:rFonts w:ascii="Arial Narrow" w:eastAsia="Times New Roman" w:hAnsi="Arial Narrow"/>
                <w:i/>
                <w:sz w:val="20"/>
                <w:szCs w:val="20"/>
              </w:rPr>
              <w:t xml:space="preserve"> </w:t>
            </w:r>
            <w:proofErr w:type="spellStart"/>
            <w:r w:rsidRPr="00BD41C6">
              <w:rPr>
                <w:rFonts w:ascii="Arial Narrow" w:eastAsia="Times New Roman" w:hAnsi="Arial Narrow"/>
                <w:i/>
                <w:sz w:val="20"/>
                <w:szCs w:val="20"/>
              </w:rPr>
              <w:t>perforatum</w:t>
            </w:r>
            <w:proofErr w:type="spellEnd"/>
            <w:r w:rsidRPr="00BD41C6">
              <w:rPr>
                <w:rFonts w:ascii="Arial Narrow" w:eastAsia="Times New Roman" w:hAnsi="Arial Narrow"/>
                <w:sz w:val="20"/>
                <w:szCs w:val="20"/>
              </w:rPr>
              <w:t>)</w:t>
            </w:r>
          </w:p>
        </w:tc>
        <w:tc>
          <w:tcPr>
            <w:tcW w:w="3005" w:type="dxa"/>
          </w:tcPr>
          <w:p w14:paraId="7276F608" w14:textId="77777777" w:rsidR="00AA1596" w:rsidRPr="00BD41C6" w:rsidRDefault="00AA1596" w:rsidP="008327C7">
            <w:pPr>
              <w:spacing w:after="0" w:line="240" w:lineRule="auto"/>
              <w:rPr>
                <w:rFonts w:ascii="Arial Narrow" w:eastAsia="Times New Roman" w:hAnsi="Arial Narrow"/>
                <w:sz w:val="20"/>
                <w:szCs w:val="20"/>
              </w:rPr>
            </w:pPr>
            <w:r w:rsidRPr="00BD41C6">
              <w:rPr>
                <w:rFonts w:ascii="Arial Narrow" w:eastAsia="Times New Roman" w:hAnsi="Arial Narrow"/>
                <w:sz w:val="20"/>
                <w:szCs w:val="20"/>
              </w:rPr>
              <w:t xml:space="preserve">Dolutegravir </w:t>
            </w:r>
            <w:r w:rsidRPr="00BD41C6">
              <w:rPr>
                <w:rFonts w:ascii="Arial Narrow" w:eastAsia="Times New Roman" w:hAnsi="Arial Narrow"/>
                <w:sz w:val="20"/>
                <w:szCs w:val="20"/>
              </w:rPr>
              <w:sym w:font="Symbol" w:char="F0AF"/>
            </w:r>
            <w:r w:rsidRPr="00BD41C6">
              <w:rPr>
                <w:rFonts w:ascii="Arial Narrow" w:eastAsia="Times New Roman" w:hAnsi="Arial Narrow"/>
                <w:sz w:val="20"/>
                <w:szCs w:val="20"/>
              </w:rPr>
              <w:br/>
            </w:r>
          </w:p>
          <w:p w14:paraId="47F8EF1C" w14:textId="77777777" w:rsidR="00AA1596" w:rsidRPr="00BD41C6" w:rsidRDefault="00AA1596" w:rsidP="008327C7">
            <w:pPr>
              <w:spacing w:after="0" w:line="240" w:lineRule="auto"/>
              <w:rPr>
                <w:rFonts w:ascii="Arial Narrow" w:eastAsia="Times New Roman" w:hAnsi="Arial Narrow"/>
                <w:sz w:val="20"/>
                <w:szCs w:val="20"/>
              </w:rPr>
            </w:pPr>
          </w:p>
        </w:tc>
        <w:tc>
          <w:tcPr>
            <w:tcW w:w="3686" w:type="dxa"/>
          </w:tcPr>
          <w:p w14:paraId="33F9D233" w14:textId="6E55951D" w:rsidR="00AA1596" w:rsidRPr="00BD41C6" w:rsidRDefault="00726952" w:rsidP="008327C7">
            <w:pPr>
              <w:spacing w:after="120" w:line="240" w:lineRule="auto"/>
              <w:rPr>
                <w:rFonts w:ascii="Arial Narrow" w:eastAsia="Times New Roman" w:hAnsi="Arial Narrow"/>
                <w:sz w:val="20"/>
                <w:szCs w:val="20"/>
                <w:lang w:eastAsia="en-AU"/>
              </w:rPr>
            </w:pPr>
            <w:r w:rsidRPr="00726952">
              <w:rPr>
                <w:rFonts w:ascii="Arial Narrow" w:eastAsia="Times New Roman" w:hAnsi="Arial Narrow"/>
                <w:sz w:val="20"/>
                <w:szCs w:val="20"/>
                <w:lang w:eastAsia="en-AU"/>
              </w:rPr>
              <w:t xml:space="preserve">Co-administration with these metabolic inducers has the potential to decrease dolutegravir plasma concentration due to enzyme induction and has not been studied. The effect of these metabolic inducers on dolutegravir exposure is likely similar to carbamazepine. </w:t>
            </w:r>
            <w:r w:rsidR="000E564B">
              <w:rPr>
                <w:rFonts w:ascii="Arial Narrow" w:eastAsia="Times New Roman" w:hAnsi="Arial Narrow"/>
                <w:sz w:val="20"/>
                <w:szCs w:val="20"/>
                <w:lang w:eastAsia="en-AU"/>
              </w:rPr>
              <w:t xml:space="preserve">Since </w:t>
            </w:r>
            <w:r w:rsidRPr="00726952">
              <w:rPr>
                <w:rFonts w:ascii="Arial Narrow" w:eastAsia="Times New Roman" w:hAnsi="Arial Narrow"/>
                <w:sz w:val="20"/>
                <w:szCs w:val="20"/>
                <w:lang w:eastAsia="en-AU"/>
              </w:rPr>
              <w:t xml:space="preserve"> </w:t>
            </w:r>
            <w:r w:rsidR="000E564B">
              <w:rPr>
                <w:rFonts w:ascii="Arial Narrow" w:eastAsia="Times New Roman" w:hAnsi="Arial Narrow"/>
                <w:sz w:val="20"/>
                <w:szCs w:val="20"/>
                <w:lang w:eastAsia="en-AU"/>
              </w:rPr>
              <w:t>t</w:t>
            </w:r>
            <w:r w:rsidRPr="00726952">
              <w:rPr>
                <w:rFonts w:ascii="Arial Narrow" w:eastAsia="Times New Roman" w:hAnsi="Arial Narrow"/>
                <w:sz w:val="20"/>
                <w:szCs w:val="20"/>
                <w:lang w:eastAsia="en-AU"/>
              </w:rPr>
              <w:t xml:space="preserve">he recommended dose of dolutegravir is 50 mg twice daily </w:t>
            </w:r>
            <w:r w:rsidR="00D21761">
              <w:rPr>
                <w:rFonts w:ascii="Arial Narrow" w:eastAsia="Times New Roman" w:hAnsi="Arial Narrow"/>
                <w:sz w:val="20"/>
                <w:szCs w:val="20"/>
                <w:lang w:eastAsia="en-AU"/>
              </w:rPr>
              <w:t>when co-administered with</w:t>
            </w:r>
            <w:r w:rsidRPr="00726952">
              <w:rPr>
                <w:rFonts w:ascii="Arial Narrow" w:eastAsia="Times New Roman" w:hAnsi="Arial Narrow"/>
                <w:sz w:val="20"/>
                <w:szCs w:val="20"/>
                <w:lang w:eastAsia="en-AU"/>
              </w:rPr>
              <w:t xml:space="preserve"> these metabolic inducers</w:t>
            </w:r>
            <w:r w:rsidR="00D21761">
              <w:rPr>
                <w:rFonts w:ascii="Arial Narrow" w:eastAsia="Times New Roman" w:hAnsi="Arial Narrow"/>
                <w:sz w:val="20"/>
                <w:szCs w:val="20"/>
                <w:lang w:eastAsia="en-AU"/>
              </w:rPr>
              <w:t xml:space="preserve">, </w:t>
            </w:r>
            <w:r>
              <w:rPr>
                <w:rFonts w:ascii="Arial Narrow" w:eastAsia="Times New Roman" w:hAnsi="Arial Narrow"/>
                <w:sz w:val="20"/>
                <w:szCs w:val="20"/>
                <w:lang w:eastAsia="en-AU"/>
              </w:rPr>
              <w:t>DOVATO</w:t>
            </w:r>
            <w:r w:rsidRPr="00726952">
              <w:rPr>
                <w:rFonts w:ascii="Arial Narrow" w:eastAsia="Times New Roman" w:hAnsi="Arial Narrow"/>
                <w:sz w:val="20"/>
                <w:szCs w:val="20"/>
                <w:lang w:eastAsia="en-AU"/>
              </w:rPr>
              <w:t xml:space="preserve"> is </w:t>
            </w:r>
            <w:r w:rsidR="00D21761">
              <w:rPr>
                <w:rFonts w:ascii="Arial Narrow" w:eastAsia="Times New Roman" w:hAnsi="Arial Narrow"/>
                <w:sz w:val="20"/>
                <w:szCs w:val="20"/>
                <w:lang w:eastAsia="en-AU"/>
              </w:rPr>
              <w:t>not recommended for patients taking these metabolic inducers</w:t>
            </w:r>
            <w:r w:rsidR="00C85609">
              <w:rPr>
                <w:rFonts w:ascii="Arial Narrow" w:eastAsia="Times New Roman" w:hAnsi="Arial Narrow"/>
                <w:sz w:val="20"/>
                <w:szCs w:val="20"/>
                <w:lang w:eastAsia="en-AU"/>
              </w:rPr>
              <w:t>.</w:t>
            </w:r>
          </w:p>
        </w:tc>
      </w:tr>
      <w:tr w:rsidR="00726952" w:rsidRPr="00726952" w14:paraId="43F1DE79" w14:textId="77777777" w:rsidTr="00BD41C6">
        <w:tc>
          <w:tcPr>
            <w:tcW w:w="2235" w:type="dxa"/>
          </w:tcPr>
          <w:p w14:paraId="6DA46A57" w14:textId="1AE37C3B" w:rsidR="00726952" w:rsidRPr="00726952" w:rsidRDefault="00726952" w:rsidP="008327C7">
            <w:pPr>
              <w:spacing w:line="240" w:lineRule="auto"/>
              <w:rPr>
                <w:rFonts w:ascii="Arial Narrow" w:hAnsi="Arial Narrow"/>
                <w:sz w:val="20"/>
                <w:szCs w:val="20"/>
              </w:rPr>
            </w:pPr>
            <w:r w:rsidRPr="00726952">
              <w:rPr>
                <w:rFonts w:ascii="Arial Narrow" w:hAnsi="Arial Narrow"/>
                <w:sz w:val="20"/>
                <w:szCs w:val="20"/>
              </w:rPr>
              <w:t>Oxcarbazepine</w:t>
            </w:r>
          </w:p>
        </w:tc>
        <w:tc>
          <w:tcPr>
            <w:tcW w:w="3005" w:type="dxa"/>
          </w:tcPr>
          <w:p w14:paraId="57907BFF" w14:textId="2421B0B0" w:rsidR="00726952" w:rsidRPr="00726952" w:rsidRDefault="00726952" w:rsidP="008327C7">
            <w:pPr>
              <w:spacing w:line="240" w:lineRule="auto"/>
              <w:rPr>
                <w:rFonts w:ascii="Arial Narrow" w:hAnsi="Arial Narrow"/>
                <w:sz w:val="20"/>
                <w:szCs w:val="20"/>
              </w:rPr>
            </w:pPr>
            <w:r w:rsidRPr="00726952">
              <w:rPr>
                <w:rFonts w:ascii="Arial Narrow" w:hAnsi="Arial Narrow"/>
                <w:sz w:val="20"/>
                <w:szCs w:val="20"/>
              </w:rPr>
              <w:t xml:space="preserve">Dolutegravir </w:t>
            </w:r>
            <w:r w:rsidRPr="00726952">
              <w:rPr>
                <w:rFonts w:ascii="Arial Narrow" w:hAnsi="Arial Narrow"/>
                <w:sz w:val="20"/>
                <w:szCs w:val="20"/>
              </w:rPr>
              <w:sym w:font="Symbol" w:char="F0AF"/>
            </w:r>
          </w:p>
        </w:tc>
        <w:tc>
          <w:tcPr>
            <w:tcW w:w="3686" w:type="dxa"/>
          </w:tcPr>
          <w:p w14:paraId="5CF1D128" w14:textId="3B840DD4" w:rsidR="00726952" w:rsidRPr="00726952" w:rsidRDefault="00726952" w:rsidP="008327C7">
            <w:pPr>
              <w:spacing w:after="120" w:line="240" w:lineRule="auto"/>
              <w:rPr>
                <w:rFonts w:ascii="Arial Narrow" w:hAnsi="Arial Narrow"/>
                <w:sz w:val="20"/>
                <w:szCs w:val="20"/>
              </w:rPr>
            </w:pPr>
            <w:r w:rsidRPr="00726952">
              <w:rPr>
                <w:rFonts w:ascii="Arial Narrow" w:hAnsi="Arial Narrow"/>
                <w:sz w:val="20"/>
                <w:szCs w:val="20"/>
              </w:rPr>
              <w:t>This interaction has not been studied. Although an inducer of CYP3A4, based on data from other inducers, a clinically significant decrease in dolutegravir is not expected.  No dose adjustment is necessary.</w:t>
            </w:r>
          </w:p>
        </w:tc>
      </w:tr>
      <w:tr w:rsidR="00726952" w:rsidRPr="00BD41C6" w14:paraId="5AB82DB9" w14:textId="77777777" w:rsidTr="00BD41C6">
        <w:tc>
          <w:tcPr>
            <w:tcW w:w="2235" w:type="dxa"/>
          </w:tcPr>
          <w:p w14:paraId="4FC85BFC" w14:textId="533F152D" w:rsidR="00726952" w:rsidRPr="00BD41C6" w:rsidRDefault="00726952" w:rsidP="008327C7">
            <w:pPr>
              <w:spacing w:after="0" w:line="240" w:lineRule="auto"/>
              <w:rPr>
                <w:rFonts w:ascii="Arial Narrow" w:eastAsia="Times New Roman" w:hAnsi="Arial Narrow"/>
                <w:sz w:val="20"/>
                <w:szCs w:val="20"/>
                <w:lang w:val="fr-FR"/>
              </w:rPr>
            </w:pPr>
            <w:proofErr w:type="spellStart"/>
            <w:r w:rsidRPr="00BD41C6">
              <w:rPr>
                <w:rFonts w:ascii="Arial Narrow" w:eastAsia="Times New Roman" w:hAnsi="Arial Narrow"/>
                <w:sz w:val="20"/>
                <w:szCs w:val="20"/>
                <w:lang w:val="fr-FR"/>
              </w:rPr>
              <w:t>Omeprazole</w:t>
            </w:r>
            <w:proofErr w:type="spellEnd"/>
          </w:p>
          <w:p w14:paraId="1248E3F4" w14:textId="1A8C6F22" w:rsidR="00726952" w:rsidRPr="00BD41C6" w:rsidRDefault="00726952" w:rsidP="008327C7">
            <w:pPr>
              <w:spacing w:after="0" w:line="240" w:lineRule="auto"/>
              <w:rPr>
                <w:rFonts w:ascii="Arial Narrow" w:eastAsia="Times New Roman" w:hAnsi="Arial Narrow"/>
                <w:sz w:val="20"/>
                <w:szCs w:val="20"/>
              </w:rPr>
            </w:pPr>
          </w:p>
        </w:tc>
        <w:tc>
          <w:tcPr>
            <w:tcW w:w="3005" w:type="dxa"/>
          </w:tcPr>
          <w:p w14:paraId="115DCDA0" w14:textId="77777777" w:rsidR="00726952" w:rsidRPr="00BD41C6" w:rsidRDefault="00726952" w:rsidP="008327C7">
            <w:pPr>
              <w:spacing w:after="0" w:line="240" w:lineRule="auto"/>
              <w:rPr>
                <w:rFonts w:ascii="Arial Narrow" w:eastAsia="Times New Roman" w:hAnsi="Arial Narrow"/>
                <w:sz w:val="20"/>
                <w:szCs w:val="20"/>
                <w:lang w:eastAsia="en-AU"/>
              </w:rPr>
            </w:pPr>
            <w:r w:rsidRPr="00BD41C6">
              <w:rPr>
                <w:rFonts w:ascii="Arial Narrow" w:eastAsia="Times New Roman" w:hAnsi="Arial Narrow"/>
                <w:sz w:val="20"/>
                <w:szCs w:val="20"/>
              </w:rPr>
              <w:t xml:space="preserve">Dolutegravir </w:t>
            </w:r>
            <w:r w:rsidRPr="00BD41C6">
              <w:rPr>
                <w:rFonts w:ascii="Arial Narrow" w:eastAsia="Times New Roman" w:hAnsi="Arial Narrow"/>
                <w:sz w:val="20"/>
                <w:szCs w:val="20"/>
                <w:lang w:eastAsia="en-AU"/>
              </w:rPr>
              <w:sym w:font="Symbol" w:char="F0AB"/>
            </w:r>
          </w:p>
          <w:p w14:paraId="56A63FA0" w14:textId="77777777" w:rsidR="00726952" w:rsidRPr="00BD41C6" w:rsidRDefault="00726952" w:rsidP="008327C7">
            <w:pPr>
              <w:spacing w:after="0" w:line="240" w:lineRule="auto"/>
              <w:rPr>
                <w:rFonts w:ascii="Arial Narrow" w:eastAsia="Times New Roman" w:hAnsi="Arial Narrow"/>
                <w:sz w:val="20"/>
                <w:szCs w:val="20"/>
                <w:lang w:eastAsia="en-AU"/>
              </w:rPr>
            </w:pPr>
          </w:p>
          <w:p w14:paraId="53132466" w14:textId="2F18479A" w:rsidR="00726952" w:rsidRPr="00BD41C6" w:rsidRDefault="00726952" w:rsidP="008327C7">
            <w:pPr>
              <w:spacing w:after="0" w:line="240" w:lineRule="auto"/>
              <w:rPr>
                <w:rFonts w:ascii="Arial Narrow" w:eastAsia="Times New Roman" w:hAnsi="Arial Narrow"/>
                <w:sz w:val="20"/>
                <w:szCs w:val="20"/>
                <w:lang w:val="nl-BE" w:eastAsia="en-AU"/>
              </w:rPr>
            </w:pPr>
          </w:p>
        </w:tc>
        <w:tc>
          <w:tcPr>
            <w:tcW w:w="3686" w:type="dxa"/>
          </w:tcPr>
          <w:p w14:paraId="206841FC" w14:textId="126E7AF2" w:rsidR="00726952" w:rsidRPr="00BD41C6" w:rsidRDefault="008327C7" w:rsidP="008327C7">
            <w:pPr>
              <w:spacing w:after="120" w:line="240" w:lineRule="auto"/>
              <w:rPr>
                <w:rFonts w:ascii="Arial Narrow" w:eastAsia="Times New Roman" w:hAnsi="Arial Narrow"/>
                <w:sz w:val="20"/>
                <w:szCs w:val="20"/>
                <w:lang w:eastAsia="en-AU"/>
              </w:rPr>
            </w:pPr>
            <w:r w:rsidRPr="008327C7">
              <w:rPr>
                <w:rFonts w:ascii="Arial Narrow" w:eastAsia="Times New Roman" w:hAnsi="Arial Narrow"/>
                <w:sz w:val="20"/>
                <w:szCs w:val="20"/>
                <w:lang w:eastAsia="en-AU"/>
              </w:rPr>
              <w:t>Omeprazole did not change dolutegravir plasma concentrations to a clinically relevant extent. No dose adjustment is necessary.</w:t>
            </w:r>
          </w:p>
        </w:tc>
      </w:tr>
      <w:tr w:rsidR="008327C7" w:rsidRPr="00BD41C6" w14:paraId="7899462A" w14:textId="77777777" w:rsidTr="00BD41C6">
        <w:tc>
          <w:tcPr>
            <w:tcW w:w="2235" w:type="dxa"/>
          </w:tcPr>
          <w:p w14:paraId="16E82602" w14:textId="4009BF53" w:rsidR="008327C7" w:rsidRPr="008327C7" w:rsidRDefault="008327C7" w:rsidP="008327C7">
            <w:pPr>
              <w:spacing w:line="240" w:lineRule="auto"/>
              <w:rPr>
                <w:rFonts w:ascii="Arial Narrow" w:hAnsi="Arial Narrow"/>
                <w:sz w:val="20"/>
                <w:szCs w:val="20"/>
              </w:rPr>
            </w:pPr>
            <w:r w:rsidRPr="008327C7">
              <w:rPr>
                <w:rFonts w:ascii="Arial Narrow" w:hAnsi="Arial Narrow"/>
                <w:sz w:val="20"/>
                <w:szCs w:val="20"/>
              </w:rPr>
              <w:t>Antacids containing polyvalent cations (e.g., Mg, Al)</w:t>
            </w:r>
          </w:p>
        </w:tc>
        <w:tc>
          <w:tcPr>
            <w:tcW w:w="3005" w:type="dxa"/>
          </w:tcPr>
          <w:p w14:paraId="6306E68D" w14:textId="50FDAF3D" w:rsidR="008327C7" w:rsidRPr="008327C7" w:rsidRDefault="008327C7" w:rsidP="008327C7">
            <w:pPr>
              <w:spacing w:line="240" w:lineRule="auto"/>
              <w:rPr>
                <w:rFonts w:ascii="Arial Narrow" w:hAnsi="Arial Narrow"/>
                <w:sz w:val="20"/>
                <w:szCs w:val="20"/>
              </w:rPr>
            </w:pPr>
            <w:proofErr w:type="spellStart"/>
            <w:r w:rsidRPr="008327C7">
              <w:rPr>
                <w:rFonts w:ascii="Arial Narrow" w:hAnsi="Arial Narrow"/>
                <w:sz w:val="20"/>
                <w:szCs w:val="20"/>
              </w:rPr>
              <w:t>Dolutegravir</w:t>
            </w:r>
            <w:proofErr w:type="spellEnd"/>
            <w:r w:rsidRPr="008327C7">
              <w:rPr>
                <w:rFonts w:ascii="Arial Narrow" w:hAnsi="Arial Narrow"/>
                <w:sz w:val="20"/>
                <w:szCs w:val="20"/>
              </w:rPr>
              <w:t xml:space="preserve"> </w:t>
            </w:r>
            <w:r w:rsidRPr="008327C7">
              <w:rPr>
                <w:rFonts w:ascii="Arial Narrow" w:hAnsi="Arial Narrow"/>
                <w:sz w:val="20"/>
                <w:szCs w:val="20"/>
              </w:rPr>
              <w:sym w:font="Symbol" w:char="F0AF"/>
            </w:r>
            <w:r w:rsidRPr="008327C7">
              <w:rPr>
                <w:rFonts w:ascii="Arial Narrow" w:hAnsi="Arial Narrow"/>
                <w:sz w:val="20"/>
                <w:szCs w:val="20"/>
              </w:rPr>
              <w:br/>
              <w:t xml:space="preserve">AUC </w:t>
            </w:r>
            <w:r w:rsidRPr="008327C7">
              <w:rPr>
                <w:rFonts w:ascii="Arial Narrow" w:hAnsi="Arial Narrow"/>
                <w:sz w:val="20"/>
                <w:szCs w:val="20"/>
              </w:rPr>
              <w:sym w:font="Symbol" w:char="F0AF"/>
            </w:r>
            <w:r w:rsidRPr="008327C7">
              <w:rPr>
                <w:rFonts w:ascii="Arial Narrow" w:hAnsi="Arial Narrow"/>
                <w:sz w:val="20"/>
                <w:szCs w:val="20"/>
              </w:rPr>
              <w:t xml:space="preserve"> 74% </w:t>
            </w:r>
            <w:r w:rsidRPr="008327C7">
              <w:rPr>
                <w:rFonts w:ascii="Arial Narrow" w:hAnsi="Arial Narrow"/>
                <w:sz w:val="20"/>
                <w:szCs w:val="20"/>
              </w:rPr>
              <w:br/>
            </w:r>
            <w:proofErr w:type="spellStart"/>
            <w:r w:rsidRPr="008327C7">
              <w:rPr>
                <w:rFonts w:ascii="Arial Narrow" w:hAnsi="Arial Narrow"/>
                <w:sz w:val="20"/>
                <w:szCs w:val="20"/>
              </w:rPr>
              <w:t>C</w:t>
            </w:r>
            <w:r w:rsidRPr="00D86E6F">
              <w:rPr>
                <w:rFonts w:ascii="Arial Narrow" w:hAnsi="Arial Narrow"/>
                <w:sz w:val="20"/>
                <w:szCs w:val="20"/>
                <w:vertAlign w:val="subscript"/>
              </w:rPr>
              <w:t>max</w:t>
            </w:r>
            <w:proofErr w:type="spellEnd"/>
            <w:r w:rsidRPr="008327C7">
              <w:rPr>
                <w:rFonts w:ascii="Arial Narrow" w:hAnsi="Arial Narrow"/>
                <w:sz w:val="20"/>
                <w:szCs w:val="20"/>
              </w:rPr>
              <w:t xml:space="preserve"> </w:t>
            </w:r>
            <w:r w:rsidRPr="008327C7">
              <w:rPr>
                <w:rFonts w:ascii="Arial Narrow" w:hAnsi="Arial Narrow"/>
                <w:sz w:val="20"/>
                <w:szCs w:val="20"/>
              </w:rPr>
              <w:sym w:font="Symbol" w:char="F0AF"/>
            </w:r>
            <w:r w:rsidRPr="008327C7">
              <w:rPr>
                <w:rFonts w:ascii="Arial Narrow" w:hAnsi="Arial Narrow"/>
                <w:sz w:val="20"/>
                <w:szCs w:val="20"/>
              </w:rPr>
              <w:t xml:space="preserve"> 72%</w:t>
            </w:r>
            <w:r w:rsidRPr="008327C7">
              <w:rPr>
                <w:rFonts w:ascii="Arial Narrow" w:hAnsi="Arial Narrow"/>
                <w:sz w:val="20"/>
                <w:szCs w:val="20"/>
              </w:rPr>
              <w:br/>
              <w:t xml:space="preserve">C24 </w:t>
            </w:r>
            <w:r w:rsidRPr="008327C7">
              <w:rPr>
                <w:rFonts w:ascii="Arial Narrow" w:hAnsi="Arial Narrow"/>
                <w:sz w:val="20"/>
                <w:szCs w:val="20"/>
              </w:rPr>
              <w:sym w:font="Symbol" w:char="F0AF"/>
            </w:r>
            <w:r w:rsidRPr="008327C7">
              <w:rPr>
                <w:rFonts w:ascii="Arial Narrow" w:hAnsi="Arial Narrow"/>
                <w:sz w:val="20"/>
                <w:szCs w:val="20"/>
              </w:rPr>
              <w:t xml:space="preserve"> 74%</w:t>
            </w:r>
          </w:p>
        </w:tc>
        <w:tc>
          <w:tcPr>
            <w:tcW w:w="3686" w:type="dxa"/>
          </w:tcPr>
          <w:p w14:paraId="1AC7A889" w14:textId="1B28D341" w:rsidR="008327C7" w:rsidRPr="008327C7" w:rsidRDefault="008327C7" w:rsidP="008327C7">
            <w:pPr>
              <w:spacing w:after="120" w:line="240" w:lineRule="auto"/>
              <w:rPr>
                <w:rFonts w:ascii="Arial Narrow" w:hAnsi="Arial Narrow"/>
                <w:sz w:val="20"/>
                <w:szCs w:val="20"/>
              </w:rPr>
            </w:pPr>
            <w:r w:rsidRPr="008327C7">
              <w:rPr>
                <w:rFonts w:ascii="Arial Narrow" w:hAnsi="Arial Narrow"/>
                <w:sz w:val="20"/>
                <w:szCs w:val="20"/>
              </w:rPr>
              <w:t xml:space="preserve">Co-administration of antacids containing polyvalent cations decreased dolutegravir plasma concentration. </w:t>
            </w:r>
            <w:r>
              <w:rPr>
                <w:rFonts w:ascii="Arial Narrow" w:hAnsi="Arial Narrow"/>
                <w:sz w:val="20"/>
                <w:szCs w:val="20"/>
              </w:rPr>
              <w:t>DOVATO</w:t>
            </w:r>
            <w:r w:rsidRPr="008327C7">
              <w:rPr>
                <w:rFonts w:ascii="Arial Narrow" w:hAnsi="Arial Narrow"/>
                <w:sz w:val="20"/>
                <w:szCs w:val="20"/>
              </w:rPr>
              <w:t xml:space="preserve"> is recommended to be administered 2 hours before or 6 hours after taking antacid products containing polyvalent cations. </w:t>
            </w:r>
          </w:p>
        </w:tc>
      </w:tr>
      <w:tr w:rsidR="008327C7" w:rsidRPr="00BD41C6" w14:paraId="3AA6DFE4" w14:textId="77777777" w:rsidTr="00BD41C6">
        <w:tc>
          <w:tcPr>
            <w:tcW w:w="2235" w:type="dxa"/>
          </w:tcPr>
          <w:p w14:paraId="2B928B78" w14:textId="3ED16999" w:rsidR="008327C7" w:rsidRPr="00BD41C6" w:rsidRDefault="008327C7" w:rsidP="008327C7">
            <w:pPr>
              <w:spacing w:after="0" w:line="240" w:lineRule="auto"/>
              <w:rPr>
                <w:rFonts w:ascii="Arial Narrow" w:eastAsia="Times New Roman" w:hAnsi="Arial Narrow"/>
                <w:sz w:val="20"/>
                <w:szCs w:val="20"/>
              </w:rPr>
            </w:pPr>
            <w:r>
              <w:rPr>
                <w:rFonts w:ascii="Arial Narrow" w:eastAsia="Times New Roman" w:hAnsi="Arial Narrow"/>
                <w:sz w:val="20"/>
                <w:szCs w:val="20"/>
              </w:rPr>
              <w:t>Calcium</w:t>
            </w:r>
            <w:r w:rsidRPr="00BD41C6">
              <w:rPr>
                <w:rFonts w:ascii="Arial Narrow" w:eastAsia="Times New Roman" w:hAnsi="Arial Narrow"/>
                <w:sz w:val="20"/>
                <w:szCs w:val="20"/>
              </w:rPr>
              <w:t xml:space="preserve"> supplements</w:t>
            </w:r>
          </w:p>
        </w:tc>
        <w:tc>
          <w:tcPr>
            <w:tcW w:w="3005" w:type="dxa"/>
          </w:tcPr>
          <w:p w14:paraId="151B71BE" w14:textId="49409C20" w:rsidR="008327C7" w:rsidRPr="00BD41C6" w:rsidRDefault="008327C7" w:rsidP="008327C7">
            <w:pPr>
              <w:spacing w:after="0" w:line="240" w:lineRule="auto"/>
              <w:rPr>
                <w:rFonts w:ascii="Arial Narrow" w:eastAsia="Times New Roman" w:hAnsi="Arial Narrow"/>
                <w:sz w:val="20"/>
                <w:szCs w:val="20"/>
              </w:rPr>
            </w:pPr>
            <w:proofErr w:type="spellStart"/>
            <w:r w:rsidRPr="00BD41C6">
              <w:rPr>
                <w:rFonts w:ascii="Arial Narrow" w:eastAsia="Times New Roman" w:hAnsi="Arial Narrow"/>
                <w:sz w:val="20"/>
                <w:szCs w:val="20"/>
              </w:rPr>
              <w:t>Dolutegravir</w:t>
            </w:r>
            <w:proofErr w:type="spellEnd"/>
            <w:r w:rsidRPr="00BD41C6">
              <w:rPr>
                <w:rFonts w:ascii="Arial Narrow" w:eastAsia="Times New Roman" w:hAnsi="Arial Narrow"/>
                <w:sz w:val="20"/>
                <w:szCs w:val="20"/>
              </w:rPr>
              <w:t xml:space="preserve"> </w:t>
            </w:r>
            <w:r w:rsidRPr="00BD41C6">
              <w:rPr>
                <w:rFonts w:ascii="Arial Narrow" w:eastAsia="Times New Roman" w:hAnsi="Arial Narrow"/>
                <w:sz w:val="20"/>
                <w:szCs w:val="20"/>
              </w:rPr>
              <w:sym w:font="Symbol" w:char="F0AF"/>
            </w:r>
            <w:r w:rsidRPr="00BD41C6">
              <w:rPr>
                <w:rFonts w:ascii="Arial Narrow" w:eastAsia="Times New Roman" w:hAnsi="Arial Narrow"/>
                <w:sz w:val="20"/>
                <w:szCs w:val="20"/>
              </w:rPr>
              <w:br/>
              <w:t xml:space="preserve">AUC </w:t>
            </w:r>
            <w:r w:rsidRPr="00BD41C6">
              <w:rPr>
                <w:rFonts w:ascii="Arial Narrow" w:eastAsia="Times New Roman" w:hAnsi="Arial Narrow"/>
                <w:sz w:val="20"/>
                <w:szCs w:val="20"/>
              </w:rPr>
              <w:sym w:font="Symbol" w:char="F0AF"/>
            </w:r>
            <w:r w:rsidRPr="00BD41C6">
              <w:rPr>
                <w:rFonts w:ascii="Arial Narrow" w:eastAsia="Times New Roman" w:hAnsi="Arial Narrow"/>
                <w:sz w:val="20"/>
                <w:szCs w:val="20"/>
              </w:rPr>
              <w:t xml:space="preserve"> 39% </w:t>
            </w:r>
            <w:r w:rsidRPr="00BD41C6">
              <w:rPr>
                <w:rFonts w:ascii="Arial Narrow" w:eastAsia="Times New Roman" w:hAnsi="Arial Narrow"/>
                <w:sz w:val="20"/>
                <w:szCs w:val="20"/>
              </w:rPr>
              <w:br/>
            </w:r>
            <w:proofErr w:type="spellStart"/>
            <w:r w:rsidRPr="00BD41C6">
              <w:rPr>
                <w:rFonts w:ascii="Arial Narrow" w:eastAsia="Times New Roman" w:hAnsi="Arial Narrow"/>
                <w:sz w:val="20"/>
                <w:szCs w:val="20"/>
              </w:rPr>
              <w:t>C</w:t>
            </w:r>
            <w:r w:rsidRPr="00BD41C6">
              <w:rPr>
                <w:rFonts w:ascii="Arial Narrow" w:eastAsia="Times New Roman" w:hAnsi="Arial Narrow"/>
                <w:sz w:val="20"/>
                <w:szCs w:val="20"/>
                <w:vertAlign w:val="subscript"/>
              </w:rPr>
              <w:t>max</w:t>
            </w:r>
            <w:proofErr w:type="spellEnd"/>
            <w:r w:rsidRPr="00BD41C6">
              <w:rPr>
                <w:rFonts w:ascii="Arial Narrow" w:eastAsia="Times New Roman" w:hAnsi="Arial Narrow"/>
                <w:sz w:val="20"/>
                <w:szCs w:val="20"/>
              </w:rPr>
              <w:t xml:space="preserve"> </w:t>
            </w:r>
            <w:r w:rsidRPr="00BD41C6">
              <w:rPr>
                <w:rFonts w:ascii="Arial Narrow" w:eastAsia="Times New Roman" w:hAnsi="Arial Narrow"/>
                <w:sz w:val="20"/>
                <w:szCs w:val="20"/>
              </w:rPr>
              <w:sym w:font="Symbol" w:char="F0AF"/>
            </w:r>
            <w:r w:rsidRPr="00BD41C6">
              <w:rPr>
                <w:rFonts w:ascii="Arial Narrow" w:eastAsia="Times New Roman" w:hAnsi="Arial Narrow"/>
                <w:sz w:val="20"/>
                <w:szCs w:val="20"/>
              </w:rPr>
              <w:t xml:space="preserve"> 37%</w:t>
            </w:r>
            <w:r w:rsidRPr="00BD41C6">
              <w:rPr>
                <w:rFonts w:ascii="Arial Narrow" w:eastAsia="Times New Roman" w:hAnsi="Arial Narrow"/>
                <w:sz w:val="20"/>
                <w:szCs w:val="20"/>
              </w:rPr>
              <w:br/>
              <w:t>C</w:t>
            </w:r>
            <w:r w:rsidRPr="00BD41C6">
              <w:rPr>
                <w:rFonts w:ascii="Arial Narrow" w:eastAsia="Times New Roman" w:hAnsi="Arial Narrow"/>
                <w:sz w:val="20"/>
                <w:szCs w:val="20"/>
                <w:vertAlign w:val="subscript"/>
              </w:rPr>
              <w:t>24</w:t>
            </w:r>
            <w:r w:rsidRPr="00BD41C6">
              <w:rPr>
                <w:rFonts w:ascii="Arial Narrow" w:eastAsia="Times New Roman" w:hAnsi="Arial Narrow"/>
                <w:sz w:val="20"/>
                <w:szCs w:val="20"/>
              </w:rPr>
              <w:t xml:space="preserve"> </w:t>
            </w:r>
            <w:r w:rsidRPr="00BD41C6">
              <w:rPr>
                <w:rFonts w:ascii="Arial Narrow" w:eastAsia="Times New Roman" w:hAnsi="Arial Narrow"/>
                <w:sz w:val="20"/>
                <w:szCs w:val="20"/>
              </w:rPr>
              <w:sym w:font="Symbol" w:char="F0AF"/>
            </w:r>
            <w:r w:rsidR="00CB0908">
              <w:rPr>
                <w:rFonts w:ascii="Arial Narrow" w:eastAsia="Times New Roman" w:hAnsi="Arial Narrow"/>
                <w:sz w:val="20"/>
                <w:szCs w:val="20"/>
              </w:rPr>
              <w:t xml:space="preserve"> 39%</w:t>
            </w:r>
          </w:p>
        </w:tc>
        <w:tc>
          <w:tcPr>
            <w:tcW w:w="3686" w:type="dxa"/>
          </w:tcPr>
          <w:p w14:paraId="58E7409E" w14:textId="5B54C562" w:rsidR="008327C7" w:rsidRPr="008327C7" w:rsidRDefault="008327C7" w:rsidP="008327C7">
            <w:pPr>
              <w:spacing w:line="240" w:lineRule="auto"/>
              <w:rPr>
                <w:rFonts w:ascii="Arial Narrow" w:hAnsi="Arial Narrow"/>
                <w:sz w:val="20"/>
                <w:szCs w:val="20"/>
              </w:rPr>
            </w:pPr>
            <w:r w:rsidRPr="008327C7">
              <w:rPr>
                <w:rFonts w:ascii="Arial Narrow" w:hAnsi="Arial Narrow"/>
                <w:sz w:val="20"/>
                <w:szCs w:val="20"/>
              </w:rPr>
              <w:t>DOVATO is recommended to be administered 2 hours before or 6 hours after taking products containing calcium, or alternatively, administer with food.</w:t>
            </w:r>
          </w:p>
        </w:tc>
      </w:tr>
      <w:tr w:rsidR="008327C7" w:rsidRPr="00BD41C6" w14:paraId="025F4CF5" w14:textId="77777777" w:rsidTr="00BD41C6">
        <w:tc>
          <w:tcPr>
            <w:tcW w:w="2235" w:type="dxa"/>
          </w:tcPr>
          <w:p w14:paraId="345A0005" w14:textId="3D3F948F" w:rsidR="008327C7" w:rsidRPr="00BD41C6" w:rsidRDefault="008327C7" w:rsidP="008327C7">
            <w:pPr>
              <w:spacing w:after="0" w:line="240" w:lineRule="auto"/>
              <w:rPr>
                <w:rFonts w:ascii="Arial Narrow" w:eastAsia="Times New Roman" w:hAnsi="Arial Narrow"/>
                <w:sz w:val="20"/>
                <w:szCs w:val="20"/>
              </w:rPr>
            </w:pPr>
            <w:r>
              <w:rPr>
                <w:rFonts w:ascii="Arial Narrow" w:eastAsia="Times New Roman" w:hAnsi="Arial Narrow"/>
                <w:sz w:val="20"/>
                <w:szCs w:val="20"/>
              </w:rPr>
              <w:t>Iron supplements</w:t>
            </w:r>
          </w:p>
        </w:tc>
        <w:tc>
          <w:tcPr>
            <w:tcW w:w="3005" w:type="dxa"/>
          </w:tcPr>
          <w:p w14:paraId="7FA1DD45" w14:textId="4AA29C11" w:rsidR="008327C7" w:rsidRPr="00BD41C6" w:rsidRDefault="008327C7" w:rsidP="008327C7">
            <w:pPr>
              <w:spacing w:after="0" w:line="240" w:lineRule="auto"/>
              <w:rPr>
                <w:rFonts w:ascii="Arial Narrow" w:eastAsia="Times New Roman" w:hAnsi="Arial Narrow"/>
                <w:sz w:val="20"/>
                <w:szCs w:val="20"/>
              </w:rPr>
            </w:pPr>
            <w:proofErr w:type="spellStart"/>
            <w:r w:rsidRPr="00BD41C6">
              <w:rPr>
                <w:rFonts w:ascii="Arial Narrow" w:eastAsia="Times New Roman" w:hAnsi="Arial Narrow"/>
                <w:sz w:val="20"/>
                <w:szCs w:val="20"/>
              </w:rPr>
              <w:t>Dolutegravir</w:t>
            </w:r>
            <w:proofErr w:type="spellEnd"/>
            <w:r w:rsidRPr="00BD41C6">
              <w:rPr>
                <w:rFonts w:ascii="Arial Narrow" w:eastAsia="Times New Roman" w:hAnsi="Arial Narrow"/>
                <w:sz w:val="20"/>
                <w:szCs w:val="20"/>
              </w:rPr>
              <w:t xml:space="preserve"> </w:t>
            </w:r>
            <w:r w:rsidRPr="00BD41C6">
              <w:rPr>
                <w:rFonts w:ascii="Arial Narrow" w:eastAsia="Times New Roman" w:hAnsi="Arial Narrow"/>
                <w:sz w:val="20"/>
                <w:szCs w:val="20"/>
              </w:rPr>
              <w:sym w:font="Symbol" w:char="F0AF"/>
            </w:r>
            <w:r w:rsidRPr="00BD41C6">
              <w:rPr>
                <w:rFonts w:ascii="Arial Narrow" w:eastAsia="Times New Roman" w:hAnsi="Arial Narrow"/>
                <w:sz w:val="20"/>
                <w:szCs w:val="20"/>
              </w:rPr>
              <w:br/>
              <w:t xml:space="preserve">AUC </w:t>
            </w:r>
            <w:r w:rsidRPr="00BD41C6">
              <w:rPr>
                <w:rFonts w:ascii="Arial Narrow" w:eastAsia="Times New Roman" w:hAnsi="Arial Narrow"/>
                <w:sz w:val="20"/>
                <w:szCs w:val="20"/>
              </w:rPr>
              <w:sym w:font="Symbol" w:char="F0AF"/>
            </w:r>
            <w:r w:rsidRPr="00BD41C6">
              <w:rPr>
                <w:rFonts w:ascii="Arial Narrow" w:eastAsia="Times New Roman" w:hAnsi="Arial Narrow"/>
                <w:sz w:val="20"/>
                <w:szCs w:val="20"/>
              </w:rPr>
              <w:t xml:space="preserve"> 54% </w:t>
            </w:r>
            <w:r w:rsidRPr="00BD41C6">
              <w:rPr>
                <w:rFonts w:ascii="Arial Narrow" w:eastAsia="Times New Roman" w:hAnsi="Arial Narrow"/>
                <w:sz w:val="20"/>
                <w:szCs w:val="20"/>
              </w:rPr>
              <w:br/>
            </w:r>
            <w:proofErr w:type="spellStart"/>
            <w:r w:rsidRPr="00BD41C6">
              <w:rPr>
                <w:rFonts w:ascii="Arial Narrow" w:eastAsia="Times New Roman" w:hAnsi="Arial Narrow"/>
                <w:sz w:val="20"/>
                <w:szCs w:val="20"/>
              </w:rPr>
              <w:lastRenderedPageBreak/>
              <w:t>C</w:t>
            </w:r>
            <w:r w:rsidRPr="00BD41C6">
              <w:rPr>
                <w:rFonts w:ascii="Arial Narrow" w:eastAsia="Times New Roman" w:hAnsi="Arial Narrow"/>
                <w:sz w:val="20"/>
                <w:szCs w:val="20"/>
                <w:vertAlign w:val="subscript"/>
              </w:rPr>
              <w:t>max</w:t>
            </w:r>
            <w:proofErr w:type="spellEnd"/>
            <w:r w:rsidRPr="00BD41C6">
              <w:rPr>
                <w:rFonts w:ascii="Arial Narrow" w:eastAsia="Times New Roman" w:hAnsi="Arial Narrow"/>
                <w:sz w:val="20"/>
                <w:szCs w:val="20"/>
              </w:rPr>
              <w:t xml:space="preserve"> </w:t>
            </w:r>
            <w:r w:rsidRPr="00BD41C6">
              <w:rPr>
                <w:rFonts w:ascii="Arial Narrow" w:eastAsia="Times New Roman" w:hAnsi="Arial Narrow"/>
                <w:sz w:val="20"/>
                <w:szCs w:val="20"/>
              </w:rPr>
              <w:sym w:font="Symbol" w:char="F0AF"/>
            </w:r>
            <w:r w:rsidRPr="00BD41C6">
              <w:rPr>
                <w:rFonts w:ascii="Arial Narrow" w:eastAsia="Times New Roman" w:hAnsi="Arial Narrow"/>
                <w:sz w:val="20"/>
                <w:szCs w:val="20"/>
              </w:rPr>
              <w:t xml:space="preserve"> 57%</w:t>
            </w:r>
            <w:r w:rsidRPr="00BD41C6">
              <w:rPr>
                <w:rFonts w:ascii="Arial Narrow" w:eastAsia="Times New Roman" w:hAnsi="Arial Narrow"/>
                <w:sz w:val="20"/>
                <w:szCs w:val="20"/>
              </w:rPr>
              <w:br/>
              <w:t>C</w:t>
            </w:r>
            <w:r w:rsidRPr="00BD41C6">
              <w:rPr>
                <w:rFonts w:ascii="Arial Narrow" w:eastAsia="Times New Roman" w:hAnsi="Arial Narrow"/>
                <w:sz w:val="20"/>
                <w:szCs w:val="20"/>
                <w:vertAlign w:val="subscript"/>
              </w:rPr>
              <w:t>24</w:t>
            </w:r>
            <w:r w:rsidRPr="00BD41C6">
              <w:rPr>
                <w:rFonts w:ascii="Arial Narrow" w:eastAsia="Times New Roman" w:hAnsi="Arial Narrow"/>
                <w:sz w:val="20"/>
                <w:szCs w:val="20"/>
              </w:rPr>
              <w:t xml:space="preserve"> </w:t>
            </w:r>
            <w:r w:rsidRPr="00BD41C6">
              <w:rPr>
                <w:rFonts w:ascii="Arial Narrow" w:eastAsia="Times New Roman" w:hAnsi="Arial Narrow"/>
                <w:sz w:val="20"/>
                <w:szCs w:val="20"/>
              </w:rPr>
              <w:sym w:font="Symbol" w:char="F0AF"/>
            </w:r>
            <w:r w:rsidRPr="00BD41C6">
              <w:rPr>
                <w:rFonts w:ascii="Arial Narrow" w:eastAsia="Times New Roman" w:hAnsi="Arial Narrow"/>
                <w:sz w:val="20"/>
                <w:szCs w:val="20"/>
              </w:rPr>
              <w:t xml:space="preserve"> 56%</w:t>
            </w:r>
          </w:p>
        </w:tc>
        <w:tc>
          <w:tcPr>
            <w:tcW w:w="3686" w:type="dxa"/>
          </w:tcPr>
          <w:p w14:paraId="7FB29DDE" w14:textId="6F5B917A" w:rsidR="008327C7" w:rsidRPr="00BD41C6" w:rsidRDefault="008327C7" w:rsidP="008327C7">
            <w:pPr>
              <w:spacing w:after="120" w:line="240" w:lineRule="auto"/>
              <w:rPr>
                <w:rFonts w:ascii="Arial Narrow" w:eastAsia="Times New Roman" w:hAnsi="Arial Narrow"/>
                <w:sz w:val="20"/>
                <w:szCs w:val="20"/>
                <w:lang w:eastAsia="en-AU"/>
              </w:rPr>
            </w:pPr>
            <w:r>
              <w:rPr>
                <w:rFonts w:ascii="Arial Narrow" w:eastAsia="Times New Roman" w:hAnsi="Arial Narrow"/>
                <w:sz w:val="20"/>
                <w:szCs w:val="20"/>
                <w:lang w:eastAsia="en-AU"/>
              </w:rPr>
              <w:lastRenderedPageBreak/>
              <w:t>DOVATO</w:t>
            </w:r>
            <w:r w:rsidRPr="00BD41C6">
              <w:rPr>
                <w:rFonts w:ascii="Arial Narrow" w:eastAsia="Times New Roman" w:hAnsi="Arial Narrow"/>
                <w:sz w:val="20"/>
                <w:szCs w:val="20"/>
                <w:lang w:eastAsia="en-AU"/>
              </w:rPr>
              <w:t xml:space="preserve"> is recommend</w:t>
            </w:r>
            <w:r>
              <w:rPr>
                <w:rFonts w:ascii="Arial Narrow" w:eastAsia="Times New Roman" w:hAnsi="Arial Narrow"/>
                <w:sz w:val="20"/>
                <w:szCs w:val="20"/>
                <w:lang w:eastAsia="en-AU"/>
              </w:rPr>
              <w:t>ed to be administered at least 2</w:t>
            </w:r>
            <w:r w:rsidRPr="00BD41C6">
              <w:rPr>
                <w:rFonts w:ascii="Arial Narrow" w:eastAsia="Times New Roman" w:hAnsi="Arial Narrow"/>
                <w:sz w:val="20"/>
                <w:szCs w:val="20"/>
                <w:lang w:eastAsia="en-AU"/>
              </w:rPr>
              <w:t xml:space="preserve"> hours before or 6 hours after taking </w:t>
            </w:r>
            <w:r>
              <w:rPr>
                <w:rFonts w:ascii="Arial Narrow" w:eastAsia="Times New Roman" w:hAnsi="Arial Narrow"/>
                <w:sz w:val="20"/>
                <w:szCs w:val="20"/>
                <w:lang w:eastAsia="en-AU"/>
              </w:rPr>
              <w:lastRenderedPageBreak/>
              <w:t>products containing</w:t>
            </w:r>
            <w:r w:rsidRPr="00BD41C6">
              <w:rPr>
                <w:rFonts w:ascii="Arial Narrow" w:eastAsia="Times New Roman" w:hAnsi="Arial Narrow"/>
                <w:sz w:val="20"/>
                <w:szCs w:val="20"/>
                <w:lang w:eastAsia="en-AU"/>
              </w:rPr>
              <w:t xml:space="preserve"> iron</w:t>
            </w:r>
            <w:r w:rsidRPr="008327C7">
              <w:rPr>
                <w:rFonts w:ascii="Arial Narrow" w:hAnsi="Arial Narrow"/>
                <w:sz w:val="20"/>
                <w:szCs w:val="20"/>
              </w:rPr>
              <w:t>, or alternatively, administer with food.</w:t>
            </w:r>
          </w:p>
        </w:tc>
      </w:tr>
      <w:tr w:rsidR="00D21761" w:rsidRPr="00BD41C6" w14:paraId="2FECAE91" w14:textId="77777777" w:rsidTr="00BD41C6">
        <w:tc>
          <w:tcPr>
            <w:tcW w:w="2235" w:type="dxa"/>
          </w:tcPr>
          <w:p w14:paraId="1D17F77F" w14:textId="77777777" w:rsidR="00D21761" w:rsidRPr="00BD41C6" w:rsidRDefault="00D21761" w:rsidP="00D21761">
            <w:pPr>
              <w:spacing w:after="0" w:line="240" w:lineRule="auto"/>
              <w:rPr>
                <w:rFonts w:ascii="Arial Narrow" w:eastAsia="Times New Roman" w:hAnsi="Arial Narrow"/>
                <w:sz w:val="20"/>
                <w:szCs w:val="20"/>
              </w:rPr>
            </w:pPr>
            <w:r w:rsidRPr="00BD41C6">
              <w:rPr>
                <w:rFonts w:ascii="Arial Narrow" w:eastAsia="Times New Roman" w:hAnsi="Arial Narrow"/>
                <w:sz w:val="20"/>
                <w:szCs w:val="20"/>
                <w:lang w:eastAsia="en-AU"/>
              </w:rPr>
              <w:lastRenderedPageBreak/>
              <w:t>Metformin</w:t>
            </w:r>
          </w:p>
        </w:tc>
        <w:tc>
          <w:tcPr>
            <w:tcW w:w="3005" w:type="dxa"/>
          </w:tcPr>
          <w:p w14:paraId="003CCF53" w14:textId="77777777" w:rsidR="00D21761" w:rsidRPr="00BD41C6" w:rsidRDefault="00D21761" w:rsidP="00D21761">
            <w:pPr>
              <w:spacing w:after="0" w:line="240" w:lineRule="auto"/>
              <w:rPr>
                <w:rFonts w:ascii="Arial Narrow" w:eastAsia="Times New Roman" w:hAnsi="Arial Narrow"/>
                <w:sz w:val="20"/>
                <w:szCs w:val="20"/>
              </w:rPr>
            </w:pPr>
            <w:r w:rsidRPr="00BD41C6">
              <w:rPr>
                <w:rFonts w:ascii="Arial Narrow" w:eastAsia="Times New Roman" w:hAnsi="Arial Narrow"/>
                <w:sz w:val="20"/>
                <w:szCs w:val="20"/>
              </w:rPr>
              <w:t xml:space="preserve">Metformin </w:t>
            </w:r>
            <w:r w:rsidRPr="00BD41C6">
              <w:rPr>
                <w:rFonts w:ascii="Arial Narrow" w:eastAsia="Times New Roman" w:hAnsi="Arial Narrow"/>
                <w:sz w:val="20"/>
                <w:szCs w:val="20"/>
              </w:rPr>
              <w:sym w:font="Symbol" w:char="F0AD"/>
            </w:r>
            <w:r w:rsidRPr="00BD41C6">
              <w:rPr>
                <w:rFonts w:ascii="Arial Narrow" w:eastAsia="Times New Roman" w:hAnsi="Arial Narrow"/>
                <w:sz w:val="20"/>
                <w:szCs w:val="20"/>
              </w:rPr>
              <w:t xml:space="preserve"> </w:t>
            </w:r>
          </w:p>
          <w:p w14:paraId="523C8FCC" w14:textId="77777777" w:rsidR="00D21761" w:rsidRDefault="00D21761" w:rsidP="00D21761">
            <w:pPr>
              <w:spacing w:after="0" w:line="240" w:lineRule="auto"/>
              <w:rPr>
                <w:rFonts w:ascii="Arial Narrow" w:eastAsia="Times New Roman" w:hAnsi="Arial Narrow"/>
                <w:sz w:val="20"/>
                <w:szCs w:val="20"/>
              </w:rPr>
            </w:pPr>
          </w:p>
          <w:p w14:paraId="7B138959" w14:textId="25E13CAB" w:rsidR="00D21761" w:rsidRDefault="00D21761" w:rsidP="00D21761">
            <w:pPr>
              <w:spacing w:after="0" w:line="240" w:lineRule="auto"/>
              <w:rPr>
                <w:rFonts w:ascii="Arial Narrow" w:eastAsia="Times New Roman" w:hAnsi="Arial Narrow"/>
                <w:sz w:val="20"/>
                <w:szCs w:val="20"/>
              </w:rPr>
            </w:pPr>
            <w:r>
              <w:rPr>
                <w:rFonts w:ascii="Arial Narrow" w:eastAsia="Times New Roman" w:hAnsi="Arial Narrow"/>
                <w:sz w:val="20"/>
                <w:szCs w:val="20"/>
              </w:rPr>
              <w:t>When co-administered with dolutegravir 50 mg QD:</w:t>
            </w:r>
          </w:p>
          <w:p w14:paraId="6FE2AB6A" w14:textId="77777777" w:rsidR="00D21761" w:rsidRDefault="00D21761" w:rsidP="00D21761">
            <w:pPr>
              <w:spacing w:after="0" w:line="240" w:lineRule="auto"/>
              <w:rPr>
                <w:rFonts w:ascii="Arial Narrow" w:eastAsia="Times New Roman" w:hAnsi="Arial Narrow"/>
                <w:sz w:val="20"/>
                <w:szCs w:val="20"/>
              </w:rPr>
            </w:pPr>
            <w:proofErr w:type="spellStart"/>
            <w:r w:rsidRPr="00BD41C6">
              <w:rPr>
                <w:rFonts w:ascii="Arial Narrow" w:eastAsia="Times New Roman" w:hAnsi="Arial Narrow"/>
                <w:sz w:val="20"/>
                <w:szCs w:val="20"/>
                <w:lang w:val="fr-FR"/>
              </w:rPr>
              <w:t>Metformin</w:t>
            </w:r>
            <w:proofErr w:type="spellEnd"/>
            <w:r w:rsidRPr="00BD41C6">
              <w:rPr>
                <w:rFonts w:ascii="Arial Narrow" w:eastAsia="Times New Roman" w:hAnsi="Arial Narrow"/>
                <w:sz w:val="20"/>
                <w:szCs w:val="20"/>
              </w:rPr>
              <w:t xml:space="preserve"> </w:t>
            </w:r>
          </w:p>
          <w:p w14:paraId="37EA43BF" w14:textId="11BF3861" w:rsidR="00D21761" w:rsidRPr="00BD41C6" w:rsidRDefault="00D21761" w:rsidP="00D21761">
            <w:pPr>
              <w:spacing w:after="0" w:line="240" w:lineRule="auto"/>
              <w:rPr>
                <w:rFonts w:ascii="Arial Narrow" w:eastAsia="Times New Roman" w:hAnsi="Arial Narrow"/>
                <w:sz w:val="20"/>
                <w:szCs w:val="20"/>
              </w:rPr>
            </w:pPr>
            <w:r w:rsidRPr="00BD41C6">
              <w:rPr>
                <w:rFonts w:ascii="Arial Narrow" w:eastAsia="Times New Roman" w:hAnsi="Arial Narrow"/>
                <w:sz w:val="20"/>
                <w:szCs w:val="20"/>
              </w:rPr>
              <w:t xml:space="preserve">AUC </w:t>
            </w:r>
            <w:r w:rsidRPr="00BD41C6">
              <w:rPr>
                <w:rFonts w:ascii="Arial Narrow" w:eastAsia="Times New Roman" w:hAnsi="Arial Narrow"/>
                <w:sz w:val="20"/>
                <w:szCs w:val="20"/>
              </w:rPr>
              <w:sym w:font="Symbol" w:char="F0AD"/>
            </w:r>
            <w:r w:rsidRPr="00BD41C6">
              <w:rPr>
                <w:rFonts w:ascii="Arial Narrow" w:eastAsia="Times New Roman" w:hAnsi="Arial Narrow"/>
                <w:sz w:val="20"/>
                <w:szCs w:val="20"/>
              </w:rPr>
              <w:t xml:space="preserve"> 79% </w:t>
            </w:r>
            <w:r w:rsidRPr="00BD41C6">
              <w:rPr>
                <w:rFonts w:ascii="Arial Narrow" w:eastAsia="Times New Roman" w:hAnsi="Arial Narrow"/>
                <w:sz w:val="20"/>
                <w:szCs w:val="20"/>
              </w:rPr>
              <w:br/>
            </w:r>
            <w:proofErr w:type="spellStart"/>
            <w:r w:rsidRPr="00BD41C6">
              <w:rPr>
                <w:rFonts w:ascii="Arial Narrow" w:eastAsia="Times New Roman" w:hAnsi="Arial Narrow"/>
                <w:sz w:val="20"/>
                <w:szCs w:val="20"/>
              </w:rPr>
              <w:t>C</w:t>
            </w:r>
            <w:r w:rsidRPr="00BD41C6">
              <w:rPr>
                <w:rFonts w:ascii="Arial Narrow" w:eastAsia="Times New Roman" w:hAnsi="Arial Narrow"/>
                <w:sz w:val="20"/>
                <w:szCs w:val="20"/>
                <w:vertAlign w:val="subscript"/>
              </w:rPr>
              <w:t>max</w:t>
            </w:r>
            <w:proofErr w:type="spellEnd"/>
            <w:r w:rsidRPr="00BD41C6">
              <w:rPr>
                <w:rFonts w:ascii="Arial Narrow" w:eastAsia="Times New Roman" w:hAnsi="Arial Narrow"/>
                <w:sz w:val="20"/>
                <w:szCs w:val="20"/>
              </w:rPr>
              <w:t xml:space="preserve"> </w:t>
            </w:r>
            <w:r w:rsidRPr="00BD41C6">
              <w:rPr>
                <w:rFonts w:ascii="Arial Narrow" w:eastAsia="Times New Roman" w:hAnsi="Arial Narrow"/>
                <w:sz w:val="20"/>
                <w:szCs w:val="20"/>
              </w:rPr>
              <w:sym w:font="Symbol" w:char="F0AD"/>
            </w:r>
            <w:r w:rsidRPr="00BD41C6">
              <w:rPr>
                <w:rFonts w:ascii="Arial Narrow" w:eastAsia="Times New Roman" w:hAnsi="Arial Narrow"/>
                <w:sz w:val="20"/>
                <w:szCs w:val="20"/>
              </w:rPr>
              <w:t xml:space="preserve"> 66%</w:t>
            </w:r>
          </w:p>
          <w:p w14:paraId="40C33298" w14:textId="4AF8EE80" w:rsidR="00D21761" w:rsidRDefault="00D21761" w:rsidP="00D21761">
            <w:pPr>
              <w:spacing w:after="0" w:line="240" w:lineRule="auto"/>
              <w:rPr>
                <w:rFonts w:ascii="Arial Narrow" w:eastAsia="Times New Roman" w:hAnsi="Arial Narrow"/>
                <w:sz w:val="20"/>
                <w:szCs w:val="20"/>
              </w:rPr>
            </w:pPr>
            <w:r w:rsidRPr="00BD41C6">
              <w:rPr>
                <w:rFonts w:ascii="Arial Narrow" w:eastAsia="Times New Roman" w:hAnsi="Arial Narrow"/>
                <w:sz w:val="20"/>
                <w:szCs w:val="20"/>
              </w:rPr>
              <w:br/>
            </w:r>
            <w:r>
              <w:rPr>
                <w:rFonts w:ascii="Arial Narrow" w:eastAsia="Times New Roman" w:hAnsi="Arial Narrow"/>
                <w:sz w:val="20"/>
                <w:szCs w:val="20"/>
              </w:rPr>
              <w:t>When co-administered with dolutegravir 50 mg BID:</w:t>
            </w:r>
          </w:p>
          <w:p w14:paraId="78964038" w14:textId="44C06618" w:rsidR="00D21761" w:rsidRPr="00BD41C6" w:rsidRDefault="00D21761" w:rsidP="00D21761">
            <w:pPr>
              <w:spacing w:after="0" w:line="240" w:lineRule="auto"/>
              <w:rPr>
                <w:rFonts w:ascii="Arial Narrow" w:eastAsia="Times New Roman" w:hAnsi="Arial Narrow"/>
                <w:sz w:val="20"/>
                <w:szCs w:val="20"/>
                <w:lang w:val="fr-FR" w:eastAsia="en-AU"/>
              </w:rPr>
            </w:pPr>
            <w:proofErr w:type="spellStart"/>
            <w:r w:rsidRPr="00BD41C6">
              <w:rPr>
                <w:rFonts w:ascii="Arial Narrow" w:eastAsia="Times New Roman" w:hAnsi="Arial Narrow"/>
                <w:sz w:val="20"/>
                <w:szCs w:val="20"/>
                <w:lang w:val="fr-FR"/>
              </w:rPr>
              <w:t>Metformin</w:t>
            </w:r>
            <w:proofErr w:type="spellEnd"/>
            <w:r w:rsidRPr="00BD41C6">
              <w:rPr>
                <w:rFonts w:ascii="Arial Narrow" w:eastAsia="Times New Roman" w:hAnsi="Arial Narrow"/>
                <w:sz w:val="20"/>
                <w:szCs w:val="20"/>
                <w:lang w:val="fr-FR"/>
              </w:rPr>
              <w:t xml:space="preserve"> </w:t>
            </w:r>
          </w:p>
          <w:p w14:paraId="372AA8D1" w14:textId="60E4B040" w:rsidR="00D21761" w:rsidRPr="00CB0908" w:rsidRDefault="00D21761" w:rsidP="00D21761">
            <w:pPr>
              <w:spacing w:after="0" w:line="240" w:lineRule="auto"/>
              <w:rPr>
                <w:rFonts w:ascii="Arial Narrow" w:eastAsia="Times New Roman" w:hAnsi="Arial Narrow"/>
                <w:sz w:val="20"/>
                <w:szCs w:val="20"/>
                <w:lang w:val="fr-FR"/>
              </w:rPr>
            </w:pPr>
            <w:r w:rsidRPr="00CB0908">
              <w:rPr>
                <w:rFonts w:ascii="Arial Narrow" w:hAnsi="Arial Narrow"/>
                <w:sz w:val="20"/>
                <w:szCs w:val="20"/>
              </w:rPr>
              <w:t xml:space="preserve">AUC </w:t>
            </w:r>
            <w:r w:rsidRPr="00CB0908">
              <w:rPr>
                <w:rFonts w:ascii="Arial Narrow" w:hAnsi="Arial Narrow"/>
                <w:sz w:val="20"/>
                <w:szCs w:val="20"/>
              </w:rPr>
              <w:sym w:font="Symbol" w:char="F0AD"/>
            </w:r>
            <w:r w:rsidRPr="00CB0908">
              <w:rPr>
                <w:rFonts w:ascii="Arial Narrow" w:hAnsi="Arial Narrow"/>
                <w:sz w:val="20"/>
                <w:szCs w:val="20"/>
              </w:rPr>
              <w:t xml:space="preserve"> 145% </w:t>
            </w:r>
            <w:r w:rsidRPr="00CB0908">
              <w:rPr>
                <w:rFonts w:ascii="Arial Narrow" w:hAnsi="Arial Narrow"/>
                <w:sz w:val="20"/>
                <w:szCs w:val="20"/>
              </w:rPr>
              <w:br/>
            </w:r>
            <w:proofErr w:type="spellStart"/>
            <w:r w:rsidRPr="00CB0908">
              <w:rPr>
                <w:rFonts w:ascii="Arial Narrow" w:hAnsi="Arial Narrow"/>
                <w:sz w:val="20"/>
                <w:szCs w:val="20"/>
              </w:rPr>
              <w:t>C</w:t>
            </w:r>
            <w:r w:rsidRPr="00CB0908">
              <w:rPr>
                <w:rFonts w:ascii="Arial Narrow" w:hAnsi="Arial Narrow"/>
                <w:sz w:val="20"/>
                <w:szCs w:val="20"/>
                <w:vertAlign w:val="subscript"/>
              </w:rPr>
              <w:t>max</w:t>
            </w:r>
            <w:proofErr w:type="spellEnd"/>
            <w:r w:rsidRPr="00CB0908">
              <w:rPr>
                <w:rFonts w:ascii="Arial Narrow" w:hAnsi="Arial Narrow"/>
                <w:sz w:val="20"/>
                <w:szCs w:val="20"/>
              </w:rPr>
              <w:t xml:space="preserve">  </w:t>
            </w:r>
            <w:r w:rsidRPr="00CB0908">
              <w:rPr>
                <w:rFonts w:ascii="Arial Narrow" w:hAnsi="Arial Narrow"/>
                <w:sz w:val="20"/>
                <w:szCs w:val="20"/>
              </w:rPr>
              <w:sym w:font="Symbol" w:char="F0AD"/>
            </w:r>
            <w:r w:rsidRPr="00CB0908">
              <w:rPr>
                <w:rFonts w:ascii="Arial Narrow" w:hAnsi="Arial Narrow"/>
                <w:sz w:val="20"/>
                <w:szCs w:val="20"/>
              </w:rPr>
              <w:t xml:space="preserve"> 111%</w:t>
            </w:r>
          </w:p>
        </w:tc>
        <w:tc>
          <w:tcPr>
            <w:tcW w:w="3686" w:type="dxa"/>
          </w:tcPr>
          <w:p w14:paraId="7A9B3928" w14:textId="45D4B440" w:rsidR="00D21761" w:rsidRPr="00BD41C6" w:rsidRDefault="00D21761" w:rsidP="00D21761">
            <w:pPr>
              <w:spacing w:after="120" w:line="240" w:lineRule="auto"/>
              <w:rPr>
                <w:rFonts w:ascii="Arial Narrow" w:eastAsia="Times New Roman" w:hAnsi="Arial Narrow"/>
                <w:sz w:val="20"/>
                <w:szCs w:val="20"/>
                <w:shd w:val="clear" w:color="auto" w:fill="CCCCCC"/>
                <w:lang w:eastAsia="en-AU"/>
              </w:rPr>
            </w:pPr>
            <w:r w:rsidRPr="00BD41C6">
              <w:rPr>
                <w:rFonts w:ascii="Arial Narrow" w:eastAsia="Times New Roman" w:hAnsi="Arial Narrow"/>
                <w:sz w:val="20"/>
                <w:szCs w:val="20"/>
                <w:lang w:eastAsia="en-AU"/>
              </w:rPr>
              <w:t xml:space="preserve">Co-administration of </w:t>
            </w:r>
            <w:r>
              <w:rPr>
                <w:rFonts w:ascii="Arial Narrow" w:eastAsia="Times New Roman" w:hAnsi="Arial Narrow"/>
                <w:sz w:val="20"/>
                <w:szCs w:val="20"/>
                <w:lang w:eastAsia="en-AU"/>
              </w:rPr>
              <w:t>DOVATO</w:t>
            </w:r>
            <w:r w:rsidRPr="00BD41C6">
              <w:rPr>
                <w:rFonts w:ascii="Arial Narrow" w:eastAsia="Times New Roman" w:hAnsi="Arial Narrow"/>
                <w:sz w:val="20"/>
                <w:szCs w:val="20"/>
                <w:lang w:eastAsia="en-AU"/>
              </w:rPr>
              <w:t xml:space="preserve"> may increase metformin plasma concentrations. </w:t>
            </w:r>
            <w:r w:rsidRPr="00BD41C6">
              <w:rPr>
                <w:rFonts w:ascii="Arial Narrow" w:eastAsia="Times New Roman" w:hAnsi="Arial Narrow"/>
                <w:sz w:val="20"/>
                <w:szCs w:val="20"/>
              </w:rPr>
              <w:t xml:space="preserve">A dose adjustment of metformin should be </w:t>
            </w:r>
            <w:r w:rsidRPr="00BD41C6">
              <w:rPr>
                <w:rFonts w:ascii="Arial Narrow" w:eastAsia="Times New Roman" w:hAnsi="Arial Narrow"/>
                <w:sz w:val="20"/>
                <w:szCs w:val="20"/>
                <w:lang w:val="en-US" w:eastAsia="en-AU"/>
              </w:rPr>
              <w:t xml:space="preserve">considered </w:t>
            </w:r>
            <w:r w:rsidRPr="00BD41C6">
              <w:rPr>
                <w:rFonts w:ascii="Arial Narrow" w:eastAsia="Times New Roman" w:hAnsi="Arial Narrow"/>
                <w:sz w:val="20"/>
                <w:szCs w:val="20"/>
                <w:lang w:eastAsia="en-AU"/>
              </w:rPr>
              <w:t>when starting and stopping co</w:t>
            </w:r>
            <w:r>
              <w:rPr>
                <w:rFonts w:ascii="Arial Narrow" w:eastAsia="Times New Roman" w:hAnsi="Arial Narrow"/>
                <w:sz w:val="20"/>
                <w:szCs w:val="20"/>
                <w:lang w:eastAsia="en-AU"/>
              </w:rPr>
              <w:t>-</w:t>
            </w:r>
            <w:r w:rsidRPr="00BD41C6">
              <w:rPr>
                <w:rFonts w:ascii="Arial Narrow" w:eastAsia="Times New Roman" w:hAnsi="Arial Narrow"/>
                <w:sz w:val="20"/>
                <w:szCs w:val="20"/>
                <w:lang w:eastAsia="en-AU"/>
              </w:rPr>
              <w:t xml:space="preserve">administration of </w:t>
            </w:r>
            <w:r>
              <w:rPr>
                <w:rFonts w:ascii="Arial Narrow" w:eastAsia="Times New Roman" w:hAnsi="Arial Narrow"/>
                <w:sz w:val="20"/>
                <w:szCs w:val="20"/>
                <w:lang w:eastAsia="en-AU"/>
              </w:rPr>
              <w:t>DOVATO</w:t>
            </w:r>
            <w:r w:rsidRPr="00BD41C6">
              <w:rPr>
                <w:rFonts w:ascii="Arial Narrow" w:eastAsia="Times New Roman" w:hAnsi="Arial Narrow"/>
                <w:sz w:val="20"/>
                <w:szCs w:val="20"/>
                <w:lang w:eastAsia="en-AU"/>
              </w:rPr>
              <w:t xml:space="preserve"> with metformin, </w:t>
            </w:r>
            <w:r w:rsidRPr="00BD41C6">
              <w:rPr>
                <w:rFonts w:ascii="Arial Narrow" w:eastAsia="Times New Roman" w:hAnsi="Arial Narrow"/>
                <w:sz w:val="20"/>
                <w:szCs w:val="20"/>
                <w:lang w:val="en-US" w:eastAsia="en-AU"/>
              </w:rPr>
              <w:t xml:space="preserve">to maintain </w:t>
            </w:r>
            <w:r w:rsidRPr="00934495">
              <w:rPr>
                <w:rFonts w:ascii="Arial Narrow" w:eastAsia="Times New Roman" w:hAnsi="Arial Narrow"/>
                <w:sz w:val="20"/>
                <w:szCs w:val="20"/>
                <w:lang w:eastAsia="en-AU"/>
              </w:rPr>
              <w:t>glycaemic</w:t>
            </w:r>
            <w:r w:rsidRPr="00BD41C6">
              <w:rPr>
                <w:rFonts w:ascii="Arial Narrow" w:eastAsia="Times New Roman" w:hAnsi="Arial Narrow"/>
                <w:sz w:val="20"/>
                <w:szCs w:val="20"/>
                <w:lang w:val="en-US" w:eastAsia="en-AU"/>
              </w:rPr>
              <w:t xml:space="preserve"> control.</w:t>
            </w:r>
            <w:r w:rsidRPr="00BD41C6">
              <w:rPr>
                <w:rFonts w:ascii="Arial Narrow" w:eastAsia="Times New Roman" w:hAnsi="Arial Narrow"/>
                <w:sz w:val="20"/>
                <w:szCs w:val="20"/>
              </w:rPr>
              <w:t xml:space="preserve"> </w:t>
            </w:r>
          </w:p>
        </w:tc>
      </w:tr>
      <w:tr w:rsidR="00D21761" w:rsidRPr="00BD41C6" w14:paraId="0F059733" w14:textId="77777777" w:rsidTr="00BD41C6">
        <w:tc>
          <w:tcPr>
            <w:tcW w:w="2235" w:type="dxa"/>
          </w:tcPr>
          <w:p w14:paraId="25F1AE0B" w14:textId="77777777" w:rsidR="00D21761" w:rsidRPr="00BD41C6" w:rsidRDefault="00D21761" w:rsidP="00D21761">
            <w:pPr>
              <w:spacing w:after="0" w:line="240" w:lineRule="auto"/>
              <w:rPr>
                <w:rFonts w:ascii="Arial Narrow" w:eastAsia="Times New Roman" w:hAnsi="Arial Narrow"/>
                <w:sz w:val="20"/>
                <w:szCs w:val="20"/>
                <w:lang w:eastAsia="en-AU"/>
              </w:rPr>
            </w:pPr>
            <w:r w:rsidRPr="00BD41C6">
              <w:rPr>
                <w:rFonts w:ascii="Arial Narrow" w:eastAsia="Times New Roman" w:hAnsi="Arial Narrow"/>
                <w:sz w:val="20"/>
                <w:szCs w:val="20"/>
                <w:lang w:eastAsia="en-AU"/>
              </w:rPr>
              <w:t>Rifampicin</w:t>
            </w:r>
            <w:r w:rsidRPr="00BD41C6">
              <w:rPr>
                <w:rFonts w:ascii="Arial Narrow" w:eastAsia="Times New Roman" w:hAnsi="Arial Narrow"/>
                <w:sz w:val="20"/>
                <w:szCs w:val="20"/>
                <w:vertAlign w:val="superscript"/>
                <w:lang w:eastAsia="en-AU"/>
              </w:rPr>
              <w:t>†</w:t>
            </w:r>
          </w:p>
          <w:p w14:paraId="43AEACC5" w14:textId="77DCB7BE" w:rsidR="00D21761" w:rsidRPr="00BD41C6" w:rsidRDefault="00D21761" w:rsidP="00D21761">
            <w:pPr>
              <w:spacing w:after="0" w:line="240" w:lineRule="auto"/>
              <w:rPr>
                <w:rFonts w:ascii="Arial Narrow" w:eastAsia="Times New Roman" w:hAnsi="Arial Narrow"/>
                <w:sz w:val="20"/>
                <w:szCs w:val="20"/>
                <w:lang w:eastAsia="en-AU"/>
              </w:rPr>
            </w:pPr>
          </w:p>
        </w:tc>
        <w:tc>
          <w:tcPr>
            <w:tcW w:w="3005" w:type="dxa"/>
          </w:tcPr>
          <w:p w14:paraId="1F26D411" w14:textId="77777777" w:rsidR="00D21761" w:rsidRPr="00BD41C6" w:rsidRDefault="00D21761" w:rsidP="00D21761">
            <w:pPr>
              <w:spacing w:after="0" w:line="240" w:lineRule="auto"/>
              <w:rPr>
                <w:rFonts w:ascii="Arial Narrow" w:eastAsia="Times New Roman" w:hAnsi="Arial Narrow"/>
                <w:sz w:val="20"/>
                <w:szCs w:val="20"/>
              </w:rPr>
            </w:pPr>
            <w:proofErr w:type="spellStart"/>
            <w:r w:rsidRPr="00BD41C6">
              <w:rPr>
                <w:rFonts w:ascii="Arial Narrow" w:eastAsia="Times New Roman" w:hAnsi="Arial Narrow"/>
                <w:sz w:val="20"/>
                <w:szCs w:val="20"/>
              </w:rPr>
              <w:t>Dolutegravir</w:t>
            </w:r>
            <w:proofErr w:type="spellEnd"/>
            <w:r w:rsidRPr="00BD41C6">
              <w:rPr>
                <w:rFonts w:ascii="Arial Narrow" w:eastAsia="Times New Roman" w:hAnsi="Arial Narrow"/>
                <w:sz w:val="20"/>
                <w:szCs w:val="20"/>
              </w:rPr>
              <w:t xml:space="preserve"> </w:t>
            </w:r>
            <w:r w:rsidRPr="00BD41C6">
              <w:rPr>
                <w:rFonts w:ascii="Arial Narrow" w:eastAsia="Times New Roman" w:hAnsi="Arial Narrow"/>
                <w:sz w:val="20"/>
                <w:szCs w:val="20"/>
              </w:rPr>
              <w:sym w:font="Symbol" w:char="F0AF"/>
            </w:r>
            <w:r w:rsidRPr="00BD41C6">
              <w:rPr>
                <w:rFonts w:ascii="Arial Narrow" w:eastAsia="Times New Roman" w:hAnsi="Arial Narrow"/>
                <w:sz w:val="20"/>
                <w:szCs w:val="20"/>
              </w:rPr>
              <w:t xml:space="preserve"> (by rifampicin)</w:t>
            </w:r>
            <w:r w:rsidRPr="00BD41C6">
              <w:rPr>
                <w:rFonts w:ascii="Arial Narrow" w:eastAsia="Times New Roman" w:hAnsi="Arial Narrow"/>
                <w:sz w:val="20"/>
                <w:szCs w:val="20"/>
              </w:rPr>
              <w:br/>
              <w:t xml:space="preserve">AUC </w:t>
            </w:r>
            <w:r w:rsidRPr="00BD41C6">
              <w:rPr>
                <w:rFonts w:ascii="Arial Narrow" w:eastAsia="Times New Roman" w:hAnsi="Arial Narrow"/>
                <w:sz w:val="20"/>
                <w:szCs w:val="20"/>
              </w:rPr>
              <w:sym w:font="Symbol" w:char="F0AF"/>
            </w:r>
            <w:r w:rsidRPr="00BD41C6">
              <w:rPr>
                <w:rFonts w:ascii="Arial Narrow" w:eastAsia="Times New Roman" w:hAnsi="Arial Narrow"/>
                <w:sz w:val="20"/>
                <w:szCs w:val="20"/>
              </w:rPr>
              <w:t xml:space="preserve"> 54%</w:t>
            </w:r>
            <w:r w:rsidRPr="00BD41C6">
              <w:rPr>
                <w:rFonts w:ascii="Arial Narrow" w:eastAsia="Times New Roman" w:hAnsi="Arial Narrow"/>
                <w:sz w:val="20"/>
                <w:szCs w:val="20"/>
              </w:rPr>
              <w:br/>
            </w:r>
            <w:proofErr w:type="spellStart"/>
            <w:r w:rsidRPr="00BD41C6">
              <w:rPr>
                <w:rFonts w:ascii="Arial Narrow" w:eastAsia="Times New Roman" w:hAnsi="Arial Narrow"/>
                <w:sz w:val="20"/>
                <w:szCs w:val="20"/>
              </w:rPr>
              <w:t>C</w:t>
            </w:r>
            <w:r w:rsidRPr="00BD41C6">
              <w:rPr>
                <w:rFonts w:ascii="Arial Narrow" w:eastAsia="Times New Roman" w:hAnsi="Arial Narrow"/>
                <w:sz w:val="20"/>
                <w:szCs w:val="20"/>
                <w:vertAlign w:val="subscript"/>
              </w:rPr>
              <w:t>max</w:t>
            </w:r>
            <w:proofErr w:type="spellEnd"/>
            <w:r w:rsidRPr="00BD41C6">
              <w:rPr>
                <w:rFonts w:ascii="Arial Narrow" w:eastAsia="Times New Roman" w:hAnsi="Arial Narrow"/>
                <w:sz w:val="20"/>
                <w:szCs w:val="20"/>
              </w:rPr>
              <w:t xml:space="preserve"> </w:t>
            </w:r>
            <w:r w:rsidRPr="00BD41C6">
              <w:rPr>
                <w:rFonts w:ascii="Arial Narrow" w:eastAsia="Times New Roman" w:hAnsi="Arial Narrow"/>
                <w:sz w:val="20"/>
                <w:szCs w:val="20"/>
              </w:rPr>
              <w:sym w:font="Symbol" w:char="F0AF"/>
            </w:r>
            <w:r w:rsidRPr="00BD41C6">
              <w:rPr>
                <w:rFonts w:ascii="Arial Narrow" w:eastAsia="Times New Roman" w:hAnsi="Arial Narrow"/>
                <w:sz w:val="20"/>
                <w:szCs w:val="20"/>
              </w:rPr>
              <w:t xml:space="preserve"> 43%</w:t>
            </w:r>
            <w:r w:rsidRPr="00BD41C6">
              <w:rPr>
                <w:rFonts w:ascii="Arial Narrow" w:eastAsia="Times New Roman" w:hAnsi="Arial Narrow"/>
                <w:sz w:val="20"/>
                <w:szCs w:val="20"/>
              </w:rPr>
              <w:br/>
              <w:t>C</w:t>
            </w:r>
            <w:r w:rsidRPr="00BD41C6">
              <w:rPr>
                <w:rFonts w:ascii="Arial Narrow" w:eastAsia="Times New Roman" w:hAnsi="Arial Narrow"/>
                <w:sz w:val="20"/>
                <w:szCs w:val="20"/>
              </w:rPr>
              <w:sym w:font="Symbol" w:char="F074"/>
            </w:r>
            <w:r w:rsidRPr="00BD41C6">
              <w:rPr>
                <w:rFonts w:ascii="Arial Narrow" w:eastAsia="Times New Roman" w:hAnsi="Arial Narrow"/>
                <w:sz w:val="20"/>
                <w:szCs w:val="20"/>
              </w:rPr>
              <w:t xml:space="preserve"> </w:t>
            </w:r>
            <w:r w:rsidRPr="00BD41C6">
              <w:rPr>
                <w:rFonts w:ascii="Arial Narrow" w:eastAsia="Times New Roman" w:hAnsi="Arial Narrow"/>
                <w:sz w:val="20"/>
                <w:szCs w:val="20"/>
              </w:rPr>
              <w:sym w:font="Symbol" w:char="F0AF"/>
            </w:r>
            <w:r w:rsidRPr="00BD41C6">
              <w:rPr>
                <w:rFonts w:ascii="Arial Narrow" w:eastAsia="Times New Roman" w:hAnsi="Arial Narrow"/>
                <w:sz w:val="20"/>
                <w:szCs w:val="20"/>
              </w:rPr>
              <w:t xml:space="preserve"> 72%</w:t>
            </w:r>
          </w:p>
          <w:p w14:paraId="40DA10C3" w14:textId="79D82F13" w:rsidR="00D21761" w:rsidRPr="00BD41C6" w:rsidRDefault="00D21761" w:rsidP="00D21761">
            <w:pPr>
              <w:spacing w:after="0" w:line="240" w:lineRule="auto"/>
              <w:rPr>
                <w:rFonts w:ascii="Arial Narrow" w:eastAsia="MS Mincho" w:hAnsi="Arial Narrow"/>
                <w:sz w:val="20"/>
                <w:szCs w:val="20"/>
                <w:lang w:eastAsia="ja-JP"/>
              </w:rPr>
            </w:pPr>
          </w:p>
        </w:tc>
        <w:tc>
          <w:tcPr>
            <w:tcW w:w="3686" w:type="dxa"/>
          </w:tcPr>
          <w:p w14:paraId="08C1D499" w14:textId="7D760DB2" w:rsidR="00D21761" w:rsidRPr="00BD41C6" w:rsidRDefault="00D21761" w:rsidP="00D21761">
            <w:pPr>
              <w:spacing w:after="120" w:line="240" w:lineRule="auto"/>
              <w:rPr>
                <w:rFonts w:ascii="Arial Narrow" w:eastAsia="Times New Roman" w:hAnsi="Arial Narrow"/>
                <w:sz w:val="20"/>
                <w:szCs w:val="20"/>
                <w:lang w:eastAsia="en-AU"/>
              </w:rPr>
            </w:pPr>
            <w:r w:rsidRPr="00CB0908">
              <w:rPr>
                <w:rFonts w:ascii="Arial Narrow" w:eastAsia="Times New Roman" w:hAnsi="Arial Narrow"/>
                <w:sz w:val="20"/>
                <w:szCs w:val="20"/>
                <w:lang w:eastAsia="en-AU"/>
              </w:rPr>
              <w:t>Rifampicin decreased dolutegravir plasma concentration.</w:t>
            </w:r>
            <w:r>
              <w:rPr>
                <w:rFonts w:ascii="Arial Narrow" w:eastAsia="Times New Roman" w:hAnsi="Arial Narrow"/>
                <w:sz w:val="20"/>
                <w:szCs w:val="20"/>
                <w:lang w:eastAsia="en-AU"/>
              </w:rPr>
              <w:t xml:space="preserve"> Since</w:t>
            </w:r>
            <w:r w:rsidRPr="00CB0908">
              <w:rPr>
                <w:rFonts w:ascii="Arial Narrow" w:eastAsia="Times New Roman" w:hAnsi="Arial Narrow"/>
                <w:sz w:val="20"/>
                <w:szCs w:val="20"/>
                <w:lang w:eastAsia="en-AU"/>
              </w:rPr>
              <w:t xml:space="preserve"> </w:t>
            </w:r>
            <w:r>
              <w:rPr>
                <w:rFonts w:ascii="Arial Narrow" w:eastAsia="Times New Roman" w:hAnsi="Arial Narrow"/>
                <w:sz w:val="20"/>
                <w:szCs w:val="20"/>
                <w:lang w:eastAsia="en-AU"/>
              </w:rPr>
              <w:t>t</w:t>
            </w:r>
            <w:r w:rsidRPr="00CB0908">
              <w:rPr>
                <w:rFonts w:ascii="Arial Narrow" w:eastAsia="Times New Roman" w:hAnsi="Arial Narrow"/>
                <w:sz w:val="20"/>
                <w:szCs w:val="20"/>
                <w:lang w:eastAsia="en-AU"/>
              </w:rPr>
              <w:t xml:space="preserve">he recommended dose of dolutegravir is 50 mg twice daily </w:t>
            </w:r>
            <w:r>
              <w:rPr>
                <w:rFonts w:ascii="Arial Narrow" w:eastAsia="Times New Roman" w:hAnsi="Arial Narrow"/>
                <w:sz w:val="20"/>
                <w:szCs w:val="20"/>
                <w:lang w:eastAsia="en-AU"/>
              </w:rPr>
              <w:t>when co-administered with</w:t>
            </w:r>
            <w:r w:rsidRPr="00CB0908">
              <w:rPr>
                <w:rFonts w:ascii="Arial Narrow" w:eastAsia="Times New Roman" w:hAnsi="Arial Narrow"/>
                <w:sz w:val="20"/>
                <w:szCs w:val="20"/>
                <w:lang w:eastAsia="en-AU"/>
              </w:rPr>
              <w:t xml:space="preserve"> rifampicin</w:t>
            </w:r>
            <w:r w:rsidR="00C85609">
              <w:rPr>
                <w:rFonts w:ascii="Arial Narrow" w:eastAsia="Times New Roman" w:hAnsi="Arial Narrow"/>
                <w:sz w:val="20"/>
                <w:szCs w:val="20"/>
                <w:lang w:eastAsia="en-AU"/>
              </w:rPr>
              <w:t xml:space="preserve"> </w:t>
            </w:r>
            <w:r>
              <w:rPr>
                <w:rFonts w:ascii="Arial Narrow" w:eastAsia="Times New Roman" w:hAnsi="Arial Narrow"/>
                <w:sz w:val="20"/>
                <w:szCs w:val="20"/>
                <w:lang w:eastAsia="en-AU"/>
              </w:rPr>
              <w:t>the co-administration of DOVATO with rifampicin is not recommended</w:t>
            </w:r>
            <w:r w:rsidRPr="00BD41C6">
              <w:rPr>
                <w:rFonts w:ascii="Arial Narrow" w:eastAsia="Times New Roman" w:hAnsi="Arial Narrow"/>
                <w:sz w:val="20"/>
                <w:szCs w:val="20"/>
                <w:lang w:eastAsia="en-AU"/>
              </w:rPr>
              <w:t xml:space="preserve"> </w:t>
            </w:r>
          </w:p>
        </w:tc>
      </w:tr>
      <w:tr w:rsidR="00D21761" w:rsidRPr="00BD41C6" w14:paraId="7278C6F0" w14:textId="77777777" w:rsidTr="00BD41C6">
        <w:tc>
          <w:tcPr>
            <w:tcW w:w="2235" w:type="dxa"/>
          </w:tcPr>
          <w:p w14:paraId="3F808E57" w14:textId="17525A06" w:rsidR="00D21761" w:rsidRPr="00BD41C6" w:rsidRDefault="00D21761" w:rsidP="00D21761">
            <w:pPr>
              <w:spacing w:after="0" w:line="240" w:lineRule="auto"/>
              <w:rPr>
                <w:rFonts w:ascii="Arial Narrow" w:eastAsia="Times New Roman" w:hAnsi="Arial Narrow"/>
                <w:sz w:val="20"/>
                <w:szCs w:val="20"/>
                <w:lang w:eastAsia="en-AU"/>
              </w:rPr>
            </w:pPr>
            <w:r>
              <w:rPr>
                <w:rFonts w:ascii="Arial Narrow" w:eastAsia="Times New Roman" w:hAnsi="Arial Narrow"/>
                <w:sz w:val="20"/>
                <w:szCs w:val="20"/>
                <w:lang w:eastAsia="en-AU"/>
              </w:rPr>
              <w:t>Rifabutin</w:t>
            </w:r>
          </w:p>
        </w:tc>
        <w:tc>
          <w:tcPr>
            <w:tcW w:w="3005" w:type="dxa"/>
          </w:tcPr>
          <w:p w14:paraId="6BCCE376" w14:textId="77777777" w:rsidR="00F172D1" w:rsidRPr="00BD41C6" w:rsidRDefault="00F172D1" w:rsidP="00F172D1">
            <w:pPr>
              <w:spacing w:after="0" w:line="240" w:lineRule="auto"/>
              <w:rPr>
                <w:rFonts w:ascii="Arial Narrow" w:eastAsia="Times New Roman" w:hAnsi="Arial Narrow"/>
                <w:sz w:val="20"/>
                <w:szCs w:val="20"/>
                <w:lang w:eastAsia="en-AU"/>
              </w:rPr>
            </w:pPr>
            <w:r w:rsidRPr="00BD41C6">
              <w:rPr>
                <w:rFonts w:ascii="Arial Narrow" w:eastAsia="Times New Roman" w:hAnsi="Arial Narrow"/>
                <w:sz w:val="20"/>
                <w:szCs w:val="20"/>
              </w:rPr>
              <w:t xml:space="preserve">Dolutegravir </w:t>
            </w:r>
            <w:r w:rsidRPr="00BD41C6">
              <w:rPr>
                <w:rFonts w:ascii="Arial Narrow" w:eastAsia="Times New Roman" w:hAnsi="Arial Narrow"/>
                <w:sz w:val="20"/>
                <w:szCs w:val="20"/>
                <w:lang w:eastAsia="en-AU"/>
              </w:rPr>
              <w:sym w:font="Symbol" w:char="F0AB"/>
            </w:r>
          </w:p>
          <w:p w14:paraId="45850ACE" w14:textId="451C7C33" w:rsidR="00F172D1" w:rsidRPr="00BD41C6" w:rsidRDefault="00F172D1" w:rsidP="00F172D1">
            <w:pPr>
              <w:spacing w:after="0" w:line="240" w:lineRule="auto"/>
              <w:rPr>
                <w:rFonts w:ascii="Arial Narrow" w:eastAsia="Times New Roman" w:hAnsi="Arial Narrow"/>
                <w:sz w:val="20"/>
                <w:szCs w:val="20"/>
              </w:rPr>
            </w:pPr>
            <w:r w:rsidRPr="00BD41C6">
              <w:rPr>
                <w:rFonts w:ascii="Arial Narrow" w:eastAsia="Times New Roman" w:hAnsi="Arial Narrow"/>
                <w:sz w:val="20"/>
                <w:szCs w:val="20"/>
              </w:rPr>
              <w:t xml:space="preserve">AUC </w:t>
            </w:r>
            <w:r w:rsidRPr="00BD41C6">
              <w:rPr>
                <w:rFonts w:ascii="Arial Narrow" w:eastAsia="Times New Roman" w:hAnsi="Arial Narrow"/>
                <w:sz w:val="20"/>
                <w:szCs w:val="20"/>
              </w:rPr>
              <w:sym w:font="Symbol" w:char="F0AF"/>
            </w:r>
            <w:r w:rsidRPr="00BD41C6">
              <w:rPr>
                <w:rFonts w:ascii="Arial Narrow" w:eastAsia="Times New Roman" w:hAnsi="Arial Narrow"/>
                <w:sz w:val="20"/>
                <w:szCs w:val="20"/>
              </w:rPr>
              <w:t xml:space="preserve"> 5%</w:t>
            </w:r>
            <w:r w:rsidRPr="00BD41C6">
              <w:rPr>
                <w:rFonts w:ascii="Arial Narrow" w:eastAsia="Times New Roman" w:hAnsi="Arial Narrow"/>
                <w:sz w:val="20"/>
                <w:szCs w:val="20"/>
              </w:rPr>
              <w:br/>
            </w:r>
            <w:proofErr w:type="spellStart"/>
            <w:r w:rsidRPr="00BD41C6">
              <w:rPr>
                <w:rFonts w:ascii="Arial Narrow" w:eastAsia="Times New Roman" w:hAnsi="Arial Narrow"/>
                <w:sz w:val="20"/>
                <w:szCs w:val="20"/>
              </w:rPr>
              <w:t>C</w:t>
            </w:r>
            <w:r w:rsidRPr="00BD41C6">
              <w:rPr>
                <w:rFonts w:ascii="Arial Narrow" w:eastAsia="Times New Roman" w:hAnsi="Arial Narrow"/>
                <w:sz w:val="20"/>
                <w:szCs w:val="20"/>
                <w:vertAlign w:val="subscript"/>
              </w:rPr>
              <w:t>max</w:t>
            </w:r>
            <w:proofErr w:type="spellEnd"/>
            <w:r w:rsidRPr="00BD41C6">
              <w:rPr>
                <w:rFonts w:ascii="Arial Narrow" w:eastAsia="Times New Roman" w:hAnsi="Arial Narrow"/>
                <w:sz w:val="20"/>
                <w:szCs w:val="20"/>
              </w:rPr>
              <w:t xml:space="preserve"> </w:t>
            </w:r>
            <w:r w:rsidRPr="00CB0908">
              <w:rPr>
                <w:rFonts w:ascii="Arial Narrow" w:hAnsi="Arial Narrow"/>
                <w:sz w:val="20"/>
                <w:szCs w:val="20"/>
              </w:rPr>
              <w:sym w:font="Symbol" w:char="F0AD"/>
            </w:r>
            <w:r w:rsidRPr="00CB0908">
              <w:rPr>
                <w:rFonts w:ascii="Arial Narrow" w:hAnsi="Arial Narrow"/>
                <w:sz w:val="20"/>
                <w:szCs w:val="20"/>
              </w:rPr>
              <w:t xml:space="preserve"> </w:t>
            </w:r>
            <w:r w:rsidRPr="00BD41C6">
              <w:rPr>
                <w:rFonts w:ascii="Arial Narrow" w:eastAsia="Times New Roman" w:hAnsi="Arial Narrow"/>
                <w:sz w:val="20"/>
                <w:szCs w:val="20"/>
              </w:rPr>
              <w:t xml:space="preserve"> </w:t>
            </w:r>
            <w:r>
              <w:rPr>
                <w:rFonts w:ascii="Arial Narrow" w:eastAsia="Times New Roman" w:hAnsi="Arial Narrow"/>
                <w:sz w:val="20"/>
                <w:szCs w:val="20"/>
              </w:rPr>
              <w:t>16</w:t>
            </w:r>
            <w:r w:rsidRPr="00BD41C6">
              <w:rPr>
                <w:rFonts w:ascii="Arial Narrow" w:eastAsia="Times New Roman" w:hAnsi="Arial Narrow"/>
                <w:sz w:val="20"/>
                <w:szCs w:val="20"/>
              </w:rPr>
              <w:t>%</w:t>
            </w:r>
            <w:r w:rsidRPr="00BD41C6">
              <w:rPr>
                <w:rFonts w:ascii="Arial Narrow" w:eastAsia="Times New Roman" w:hAnsi="Arial Narrow"/>
                <w:sz w:val="20"/>
                <w:szCs w:val="20"/>
              </w:rPr>
              <w:br/>
              <w:t>C</w:t>
            </w:r>
            <w:r w:rsidRPr="00BD41C6">
              <w:rPr>
                <w:rFonts w:ascii="Arial Narrow" w:eastAsia="Times New Roman" w:hAnsi="Arial Narrow"/>
                <w:sz w:val="20"/>
                <w:szCs w:val="20"/>
              </w:rPr>
              <w:sym w:font="Symbol" w:char="F074"/>
            </w:r>
            <w:r w:rsidRPr="00BD41C6">
              <w:rPr>
                <w:rFonts w:ascii="Arial Narrow" w:eastAsia="Times New Roman" w:hAnsi="Arial Narrow"/>
                <w:sz w:val="20"/>
                <w:szCs w:val="20"/>
              </w:rPr>
              <w:t xml:space="preserve"> </w:t>
            </w:r>
            <w:r w:rsidRPr="00BD41C6">
              <w:rPr>
                <w:rFonts w:ascii="Arial Narrow" w:eastAsia="Times New Roman" w:hAnsi="Arial Narrow"/>
                <w:sz w:val="20"/>
                <w:szCs w:val="20"/>
              </w:rPr>
              <w:sym w:font="Symbol" w:char="F0AF"/>
            </w:r>
            <w:r w:rsidRPr="00BD41C6">
              <w:rPr>
                <w:rFonts w:ascii="Arial Narrow" w:eastAsia="Times New Roman" w:hAnsi="Arial Narrow"/>
                <w:sz w:val="20"/>
                <w:szCs w:val="20"/>
              </w:rPr>
              <w:t xml:space="preserve"> </w:t>
            </w:r>
            <w:r>
              <w:rPr>
                <w:rFonts w:ascii="Arial Narrow" w:eastAsia="Times New Roman" w:hAnsi="Arial Narrow"/>
                <w:sz w:val="20"/>
                <w:szCs w:val="20"/>
              </w:rPr>
              <w:t>30</w:t>
            </w:r>
            <w:r w:rsidRPr="00BD41C6">
              <w:rPr>
                <w:rFonts w:ascii="Arial Narrow" w:eastAsia="Times New Roman" w:hAnsi="Arial Narrow"/>
                <w:sz w:val="20"/>
                <w:szCs w:val="20"/>
              </w:rPr>
              <w:t>%</w:t>
            </w:r>
          </w:p>
          <w:p w14:paraId="41E17027" w14:textId="77777777" w:rsidR="00D21761" w:rsidRPr="00BD41C6" w:rsidRDefault="00D21761" w:rsidP="00D21761">
            <w:pPr>
              <w:spacing w:after="0" w:line="240" w:lineRule="auto"/>
              <w:rPr>
                <w:rFonts w:ascii="Arial Narrow" w:eastAsia="Times New Roman" w:hAnsi="Arial Narrow"/>
                <w:sz w:val="20"/>
                <w:szCs w:val="20"/>
              </w:rPr>
            </w:pPr>
          </w:p>
        </w:tc>
        <w:tc>
          <w:tcPr>
            <w:tcW w:w="3686" w:type="dxa"/>
          </w:tcPr>
          <w:p w14:paraId="00986C20" w14:textId="3ADCBD5A" w:rsidR="00D21761" w:rsidRPr="00CB0908" w:rsidRDefault="00F172D1" w:rsidP="00D21761">
            <w:pPr>
              <w:spacing w:after="120" w:line="240" w:lineRule="auto"/>
              <w:rPr>
                <w:rFonts w:ascii="Arial Narrow" w:eastAsia="Times New Roman" w:hAnsi="Arial Narrow"/>
                <w:sz w:val="20"/>
                <w:szCs w:val="20"/>
                <w:lang w:eastAsia="en-AU"/>
              </w:rPr>
            </w:pPr>
            <w:r>
              <w:rPr>
                <w:rFonts w:ascii="Arial Narrow" w:eastAsia="Times New Roman" w:hAnsi="Arial Narrow"/>
                <w:sz w:val="20"/>
                <w:szCs w:val="20"/>
                <w:lang w:eastAsia="en-AU"/>
              </w:rPr>
              <w:t>No dose adjustment is necessary</w:t>
            </w:r>
            <w:r w:rsidR="00481A7C">
              <w:rPr>
                <w:rFonts w:ascii="Arial Narrow" w:eastAsia="Times New Roman" w:hAnsi="Arial Narrow"/>
                <w:sz w:val="20"/>
                <w:szCs w:val="20"/>
                <w:lang w:eastAsia="en-AU"/>
              </w:rPr>
              <w:t>.</w:t>
            </w:r>
          </w:p>
        </w:tc>
      </w:tr>
      <w:tr w:rsidR="00D21761" w:rsidRPr="00BD41C6" w14:paraId="385E441D" w14:textId="77777777" w:rsidTr="00BD41C6">
        <w:tc>
          <w:tcPr>
            <w:tcW w:w="2235" w:type="dxa"/>
          </w:tcPr>
          <w:p w14:paraId="2D1D8AA1" w14:textId="77777777" w:rsidR="00D21761" w:rsidRPr="00BD41C6" w:rsidRDefault="00D21761" w:rsidP="00D21761">
            <w:pPr>
              <w:spacing w:after="0" w:line="240" w:lineRule="auto"/>
              <w:rPr>
                <w:rFonts w:ascii="Arial Narrow" w:eastAsia="Times New Roman" w:hAnsi="Arial Narrow"/>
                <w:sz w:val="20"/>
                <w:szCs w:val="20"/>
              </w:rPr>
            </w:pPr>
            <w:r w:rsidRPr="00BD41C6">
              <w:rPr>
                <w:rFonts w:ascii="Arial Narrow" w:eastAsia="Times New Roman" w:hAnsi="Arial Narrow"/>
                <w:sz w:val="20"/>
                <w:szCs w:val="20"/>
              </w:rPr>
              <w:t>Oral contraceptives</w:t>
            </w:r>
          </w:p>
          <w:p w14:paraId="615C0A58" w14:textId="34F8705B" w:rsidR="00D21761" w:rsidRPr="00BD41C6" w:rsidRDefault="00D21761" w:rsidP="00D21761">
            <w:pPr>
              <w:spacing w:after="0" w:line="240" w:lineRule="auto"/>
              <w:rPr>
                <w:rFonts w:ascii="Arial Narrow" w:eastAsia="Times New Roman" w:hAnsi="Arial Narrow"/>
                <w:sz w:val="20"/>
                <w:szCs w:val="20"/>
              </w:rPr>
            </w:pPr>
            <w:r w:rsidRPr="00BD41C6">
              <w:rPr>
                <w:rFonts w:ascii="Arial Narrow" w:eastAsia="Times New Roman" w:hAnsi="Arial Narrow"/>
                <w:sz w:val="20"/>
                <w:szCs w:val="20"/>
              </w:rPr>
              <w:t xml:space="preserve">(Ethinyl oestradiol (EE) and </w:t>
            </w:r>
            <w:proofErr w:type="spellStart"/>
            <w:r w:rsidRPr="00BD41C6">
              <w:rPr>
                <w:rFonts w:ascii="Arial Narrow" w:eastAsia="Times New Roman" w:hAnsi="Arial Narrow"/>
                <w:sz w:val="20"/>
                <w:szCs w:val="20"/>
              </w:rPr>
              <w:t>Norelgestromin</w:t>
            </w:r>
            <w:proofErr w:type="spellEnd"/>
            <w:r w:rsidRPr="00BD41C6">
              <w:rPr>
                <w:rFonts w:ascii="Arial Narrow" w:eastAsia="Times New Roman" w:hAnsi="Arial Narrow"/>
                <w:sz w:val="20"/>
                <w:szCs w:val="20"/>
              </w:rPr>
              <w:t xml:space="preserve"> (NGMN))</w:t>
            </w:r>
          </w:p>
          <w:p w14:paraId="2305B33A" w14:textId="08719367" w:rsidR="00D21761" w:rsidRPr="00BD41C6" w:rsidRDefault="00D21761" w:rsidP="00D21761">
            <w:pPr>
              <w:spacing w:after="0" w:line="240" w:lineRule="auto"/>
              <w:rPr>
                <w:rFonts w:ascii="Arial Narrow" w:eastAsia="Times New Roman" w:hAnsi="Arial Narrow"/>
                <w:sz w:val="20"/>
                <w:szCs w:val="20"/>
              </w:rPr>
            </w:pPr>
          </w:p>
        </w:tc>
        <w:tc>
          <w:tcPr>
            <w:tcW w:w="3005" w:type="dxa"/>
          </w:tcPr>
          <w:p w14:paraId="2CB98912" w14:textId="77777777" w:rsidR="00D21761" w:rsidRPr="00BD41C6" w:rsidRDefault="00D21761" w:rsidP="00D21761">
            <w:pPr>
              <w:spacing w:after="0" w:line="240" w:lineRule="auto"/>
              <w:rPr>
                <w:rFonts w:ascii="Arial Narrow" w:eastAsia="Times New Roman" w:hAnsi="Arial Narrow"/>
                <w:sz w:val="20"/>
                <w:szCs w:val="20"/>
              </w:rPr>
            </w:pPr>
            <w:r w:rsidRPr="00BD41C6">
              <w:rPr>
                <w:rFonts w:ascii="Arial Narrow" w:eastAsia="Times New Roman" w:hAnsi="Arial Narrow"/>
                <w:sz w:val="20"/>
                <w:szCs w:val="20"/>
              </w:rPr>
              <w:t>Effect of dolutegravir:</w:t>
            </w:r>
          </w:p>
          <w:p w14:paraId="64CC3893" w14:textId="77777777" w:rsidR="00D21761" w:rsidRPr="00BD41C6" w:rsidRDefault="00D21761" w:rsidP="00D21761">
            <w:pPr>
              <w:spacing w:after="0" w:line="240" w:lineRule="auto"/>
              <w:rPr>
                <w:rFonts w:ascii="Arial Narrow" w:eastAsia="Times New Roman" w:hAnsi="Arial Narrow"/>
                <w:sz w:val="20"/>
                <w:szCs w:val="20"/>
              </w:rPr>
            </w:pPr>
            <w:r w:rsidRPr="00BD41C6">
              <w:rPr>
                <w:rFonts w:ascii="Arial Narrow" w:eastAsia="Times New Roman" w:hAnsi="Arial Narrow"/>
                <w:sz w:val="20"/>
                <w:szCs w:val="20"/>
              </w:rPr>
              <w:t xml:space="preserve">EE </w:t>
            </w:r>
            <w:r w:rsidRPr="00BD41C6">
              <w:rPr>
                <w:rFonts w:ascii="Arial Narrow" w:eastAsia="Times New Roman" w:hAnsi="Arial Narrow"/>
                <w:sz w:val="20"/>
                <w:szCs w:val="20"/>
              </w:rPr>
              <w:sym w:font="Symbol" w:char="F0AB"/>
            </w:r>
            <w:r w:rsidRPr="00BD41C6">
              <w:rPr>
                <w:rFonts w:ascii="Arial Narrow" w:eastAsia="Times New Roman" w:hAnsi="Arial Narrow"/>
                <w:sz w:val="20"/>
                <w:szCs w:val="20"/>
              </w:rPr>
              <w:br/>
              <w:t xml:space="preserve">AUC </w:t>
            </w:r>
            <w:r w:rsidRPr="00BD41C6">
              <w:rPr>
                <w:rFonts w:ascii="Arial Narrow" w:eastAsia="Times New Roman" w:hAnsi="Arial Narrow"/>
                <w:sz w:val="20"/>
                <w:szCs w:val="20"/>
              </w:rPr>
              <w:sym w:font="Symbol" w:char="F0AD"/>
            </w:r>
            <w:r w:rsidRPr="00BD41C6">
              <w:rPr>
                <w:rFonts w:ascii="Arial Narrow" w:eastAsia="Times New Roman" w:hAnsi="Arial Narrow"/>
                <w:sz w:val="20"/>
                <w:szCs w:val="20"/>
              </w:rPr>
              <w:t xml:space="preserve"> 3% </w:t>
            </w:r>
            <w:r w:rsidRPr="00BD41C6">
              <w:rPr>
                <w:rFonts w:ascii="Arial Narrow" w:eastAsia="Times New Roman" w:hAnsi="Arial Narrow"/>
                <w:sz w:val="20"/>
                <w:szCs w:val="20"/>
              </w:rPr>
              <w:br/>
            </w:r>
            <w:proofErr w:type="spellStart"/>
            <w:r w:rsidRPr="00BD41C6">
              <w:rPr>
                <w:rFonts w:ascii="Arial Narrow" w:eastAsia="Times New Roman" w:hAnsi="Arial Narrow"/>
                <w:sz w:val="20"/>
                <w:szCs w:val="20"/>
              </w:rPr>
              <w:t>C</w:t>
            </w:r>
            <w:r w:rsidRPr="00BD41C6">
              <w:rPr>
                <w:rFonts w:ascii="Arial Narrow" w:eastAsia="Times New Roman" w:hAnsi="Arial Narrow"/>
                <w:sz w:val="20"/>
                <w:szCs w:val="20"/>
                <w:vertAlign w:val="subscript"/>
              </w:rPr>
              <w:t>max</w:t>
            </w:r>
            <w:proofErr w:type="spellEnd"/>
            <w:r w:rsidRPr="00BD41C6">
              <w:rPr>
                <w:rFonts w:ascii="Arial Narrow" w:eastAsia="Times New Roman" w:hAnsi="Arial Narrow"/>
                <w:sz w:val="20"/>
                <w:szCs w:val="20"/>
              </w:rPr>
              <w:t xml:space="preserve"> </w:t>
            </w:r>
            <w:r w:rsidRPr="00BD41C6">
              <w:rPr>
                <w:rFonts w:ascii="Arial Narrow" w:eastAsia="Times New Roman" w:hAnsi="Arial Narrow"/>
                <w:sz w:val="20"/>
                <w:szCs w:val="20"/>
              </w:rPr>
              <w:sym w:font="Symbol" w:char="F0AF"/>
            </w:r>
            <w:r w:rsidRPr="00BD41C6">
              <w:rPr>
                <w:rFonts w:ascii="Arial Narrow" w:eastAsia="Times New Roman" w:hAnsi="Arial Narrow"/>
                <w:sz w:val="20"/>
                <w:szCs w:val="20"/>
              </w:rPr>
              <w:t xml:space="preserve"> 1%</w:t>
            </w:r>
            <w:r w:rsidRPr="00BD41C6">
              <w:rPr>
                <w:rFonts w:ascii="Arial Narrow" w:eastAsia="Times New Roman" w:hAnsi="Arial Narrow"/>
                <w:sz w:val="20"/>
                <w:szCs w:val="20"/>
              </w:rPr>
              <w:br/>
              <w:t>C</w:t>
            </w:r>
            <w:r w:rsidRPr="00BD41C6">
              <w:rPr>
                <w:rFonts w:ascii="Arial Narrow" w:eastAsia="Times New Roman" w:hAnsi="Arial Narrow"/>
                <w:sz w:val="20"/>
                <w:szCs w:val="20"/>
              </w:rPr>
              <w:sym w:font="Symbol" w:char="F074"/>
            </w:r>
            <w:r w:rsidRPr="00BD41C6">
              <w:rPr>
                <w:rFonts w:ascii="Arial Narrow" w:eastAsia="Times New Roman" w:hAnsi="Arial Narrow"/>
                <w:sz w:val="20"/>
                <w:szCs w:val="20"/>
              </w:rPr>
              <w:t xml:space="preserve"> </w:t>
            </w:r>
            <w:r w:rsidRPr="00BD41C6">
              <w:rPr>
                <w:rFonts w:ascii="Arial Narrow" w:eastAsia="Times New Roman" w:hAnsi="Arial Narrow"/>
                <w:sz w:val="20"/>
                <w:szCs w:val="20"/>
              </w:rPr>
              <w:sym w:font="Symbol" w:char="F0AD"/>
            </w:r>
            <w:r w:rsidRPr="00BD41C6">
              <w:rPr>
                <w:rFonts w:ascii="Arial Narrow" w:eastAsia="Times New Roman" w:hAnsi="Arial Narrow"/>
                <w:sz w:val="20"/>
                <w:szCs w:val="20"/>
              </w:rPr>
              <w:t xml:space="preserve"> 2%</w:t>
            </w:r>
          </w:p>
          <w:p w14:paraId="62009C04" w14:textId="77777777" w:rsidR="00D21761" w:rsidRDefault="00D21761" w:rsidP="00D21761">
            <w:pPr>
              <w:spacing w:after="0" w:line="240" w:lineRule="auto"/>
              <w:rPr>
                <w:rFonts w:ascii="Arial Narrow" w:eastAsia="Times New Roman" w:hAnsi="Arial Narrow"/>
                <w:sz w:val="20"/>
                <w:szCs w:val="20"/>
              </w:rPr>
            </w:pPr>
          </w:p>
          <w:p w14:paraId="09A352B8" w14:textId="5109048E" w:rsidR="00D21761" w:rsidRPr="00BD41C6" w:rsidRDefault="00D21761" w:rsidP="00D21761">
            <w:pPr>
              <w:spacing w:after="0" w:line="240" w:lineRule="auto"/>
              <w:rPr>
                <w:rFonts w:ascii="Arial Narrow" w:eastAsia="Times New Roman" w:hAnsi="Arial Narrow"/>
                <w:sz w:val="20"/>
                <w:szCs w:val="20"/>
              </w:rPr>
            </w:pPr>
            <w:r w:rsidRPr="00BD41C6">
              <w:rPr>
                <w:rFonts w:ascii="Arial Narrow" w:eastAsia="Times New Roman" w:hAnsi="Arial Narrow"/>
                <w:sz w:val="20"/>
                <w:szCs w:val="20"/>
              </w:rPr>
              <w:t>Effect of dolutegravir:</w:t>
            </w:r>
          </w:p>
          <w:p w14:paraId="59A92539" w14:textId="77777777" w:rsidR="00D21761" w:rsidRPr="00BD41C6" w:rsidRDefault="00D21761" w:rsidP="00D21761">
            <w:pPr>
              <w:spacing w:after="0" w:line="240" w:lineRule="auto"/>
              <w:rPr>
                <w:rFonts w:ascii="Arial Narrow" w:eastAsia="Times New Roman" w:hAnsi="Arial Narrow"/>
                <w:sz w:val="20"/>
                <w:szCs w:val="20"/>
              </w:rPr>
            </w:pPr>
            <w:r w:rsidRPr="00BD41C6">
              <w:rPr>
                <w:rFonts w:ascii="Arial Narrow" w:eastAsia="Times New Roman" w:hAnsi="Arial Narrow"/>
                <w:sz w:val="20"/>
                <w:szCs w:val="20"/>
              </w:rPr>
              <w:t xml:space="preserve">NGMN </w:t>
            </w:r>
            <w:r w:rsidRPr="00BD41C6">
              <w:rPr>
                <w:rFonts w:ascii="Arial Narrow" w:eastAsia="Times New Roman" w:hAnsi="Arial Narrow"/>
                <w:sz w:val="20"/>
                <w:szCs w:val="20"/>
              </w:rPr>
              <w:sym w:font="Symbol" w:char="F0AB"/>
            </w:r>
            <w:r w:rsidRPr="00BD41C6">
              <w:rPr>
                <w:rFonts w:ascii="Arial Narrow" w:eastAsia="Times New Roman" w:hAnsi="Arial Narrow"/>
                <w:sz w:val="20"/>
                <w:szCs w:val="20"/>
              </w:rPr>
              <w:br/>
              <w:t xml:space="preserve">AUC </w:t>
            </w:r>
            <w:r w:rsidRPr="00BD41C6">
              <w:rPr>
                <w:rFonts w:ascii="Arial Narrow" w:eastAsia="Times New Roman" w:hAnsi="Arial Narrow"/>
                <w:sz w:val="20"/>
                <w:szCs w:val="20"/>
              </w:rPr>
              <w:sym w:font="Symbol" w:char="F0AF"/>
            </w:r>
            <w:r w:rsidRPr="00BD41C6">
              <w:rPr>
                <w:rFonts w:ascii="Arial Narrow" w:eastAsia="Times New Roman" w:hAnsi="Arial Narrow"/>
                <w:sz w:val="20"/>
                <w:szCs w:val="20"/>
              </w:rPr>
              <w:t xml:space="preserve"> 2% </w:t>
            </w:r>
            <w:r w:rsidRPr="00BD41C6">
              <w:rPr>
                <w:rFonts w:ascii="Arial Narrow" w:eastAsia="Times New Roman" w:hAnsi="Arial Narrow"/>
                <w:sz w:val="20"/>
                <w:szCs w:val="20"/>
              </w:rPr>
              <w:br/>
            </w:r>
            <w:proofErr w:type="spellStart"/>
            <w:r w:rsidRPr="00BD41C6">
              <w:rPr>
                <w:rFonts w:ascii="Arial Narrow" w:eastAsia="Times New Roman" w:hAnsi="Arial Narrow"/>
                <w:sz w:val="20"/>
                <w:szCs w:val="20"/>
              </w:rPr>
              <w:t>C</w:t>
            </w:r>
            <w:r w:rsidRPr="00BD41C6">
              <w:rPr>
                <w:rFonts w:ascii="Arial Narrow" w:eastAsia="Times New Roman" w:hAnsi="Arial Narrow"/>
                <w:sz w:val="20"/>
                <w:szCs w:val="20"/>
                <w:vertAlign w:val="subscript"/>
              </w:rPr>
              <w:t>max</w:t>
            </w:r>
            <w:proofErr w:type="spellEnd"/>
            <w:r w:rsidRPr="00BD41C6">
              <w:rPr>
                <w:rFonts w:ascii="Arial Narrow" w:eastAsia="Times New Roman" w:hAnsi="Arial Narrow"/>
                <w:sz w:val="20"/>
                <w:szCs w:val="20"/>
              </w:rPr>
              <w:t xml:space="preserve"> </w:t>
            </w:r>
            <w:r w:rsidRPr="00BD41C6">
              <w:rPr>
                <w:rFonts w:ascii="Arial Narrow" w:eastAsia="Times New Roman" w:hAnsi="Arial Narrow"/>
                <w:sz w:val="20"/>
                <w:szCs w:val="20"/>
              </w:rPr>
              <w:sym w:font="Symbol" w:char="F0AF"/>
            </w:r>
            <w:r w:rsidRPr="00BD41C6">
              <w:rPr>
                <w:rFonts w:ascii="Arial Narrow" w:eastAsia="Times New Roman" w:hAnsi="Arial Narrow"/>
                <w:sz w:val="20"/>
                <w:szCs w:val="20"/>
              </w:rPr>
              <w:t xml:space="preserve"> 11%</w:t>
            </w:r>
            <w:r w:rsidRPr="00BD41C6">
              <w:rPr>
                <w:rFonts w:ascii="Arial Narrow" w:eastAsia="Times New Roman" w:hAnsi="Arial Narrow"/>
                <w:sz w:val="20"/>
                <w:szCs w:val="20"/>
              </w:rPr>
              <w:br/>
              <w:t>C</w:t>
            </w:r>
            <w:r w:rsidRPr="00BD41C6">
              <w:rPr>
                <w:rFonts w:ascii="Arial Narrow" w:eastAsia="Times New Roman" w:hAnsi="Arial Narrow"/>
                <w:sz w:val="20"/>
                <w:szCs w:val="20"/>
              </w:rPr>
              <w:sym w:font="Symbol" w:char="F074"/>
            </w:r>
            <w:r w:rsidRPr="00BD41C6">
              <w:rPr>
                <w:rFonts w:ascii="Arial Narrow" w:eastAsia="Times New Roman" w:hAnsi="Arial Narrow"/>
                <w:sz w:val="20"/>
                <w:szCs w:val="20"/>
              </w:rPr>
              <w:t xml:space="preserve"> </w:t>
            </w:r>
            <w:r w:rsidRPr="00BD41C6">
              <w:rPr>
                <w:rFonts w:ascii="Arial Narrow" w:eastAsia="Times New Roman" w:hAnsi="Arial Narrow"/>
                <w:sz w:val="20"/>
                <w:szCs w:val="20"/>
              </w:rPr>
              <w:sym w:font="Symbol" w:char="F0AF"/>
            </w:r>
            <w:r w:rsidRPr="00BD41C6">
              <w:rPr>
                <w:rFonts w:ascii="Arial Narrow" w:eastAsia="Times New Roman" w:hAnsi="Arial Narrow"/>
                <w:sz w:val="20"/>
                <w:szCs w:val="20"/>
              </w:rPr>
              <w:t xml:space="preserve"> 7%</w:t>
            </w:r>
          </w:p>
          <w:p w14:paraId="580B4AD1" w14:textId="7796B36B" w:rsidR="00D21761" w:rsidRPr="00BD41C6" w:rsidRDefault="00D21761" w:rsidP="00D21761">
            <w:pPr>
              <w:spacing w:after="0" w:line="240" w:lineRule="auto"/>
              <w:rPr>
                <w:rFonts w:ascii="Arial Narrow" w:eastAsia="Times New Roman" w:hAnsi="Arial Narrow"/>
                <w:sz w:val="20"/>
                <w:szCs w:val="20"/>
              </w:rPr>
            </w:pPr>
          </w:p>
        </w:tc>
        <w:tc>
          <w:tcPr>
            <w:tcW w:w="3686" w:type="dxa"/>
          </w:tcPr>
          <w:p w14:paraId="444223A5" w14:textId="3A2EE0FA" w:rsidR="00D21761" w:rsidRPr="00BD41C6" w:rsidRDefault="00D21761" w:rsidP="00D21761">
            <w:pPr>
              <w:spacing w:after="120" w:line="240" w:lineRule="auto"/>
              <w:rPr>
                <w:rFonts w:ascii="Arial Narrow" w:eastAsia="Times New Roman" w:hAnsi="Arial Narrow"/>
                <w:sz w:val="20"/>
                <w:szCs w:val="20"/>
                <w:lang w:eastAsia="en-AU"/>
              </w:rPr>
            </w:pPr>
            <w:r>
              <w:rPr>
                <w:rFonts w:ascii="Arial Narrow" w:eastAsia="Times New Roman" w:hAnsi="Arial Narrow"/>
                <w:sz w:val="20"/>
                <w:szCs w:val="20"/>
                <w:lang w:eastAsia="en-AU"/>
              </w:rPr>
              <w:t>Dolutegravir</w:t>
            </w:r>
            <w:r w:rsidRPr="00BD41C6">
              <w:rPr>
                <w:rFonts w:ascii="Arial Narrow" w:eastAsia="Times New Roman" w:hAnsi="Arial Narrow"/>
                <w:sz w:val="20"/>
                <w:szCs w:val="20"/>
                <w:lang w:eastAsia="en-AU"/>
              </w:rPr>
              <w:t xml:space="preserve"> did not change </w:t>
            </w:r>
            <w:proofErr w:type="spellStart"/>
            <w:r w:rsidRPr="00BD41C6">
              <w:rPr>
                <w:rFonts w:ascii="Arial Narrow" w:eastAsia="Times New Roman" w:hAnsi="Arial Narrow"/>
                <w:sz w:val="20"/>
                <w:szCs w:val="20"/>
                <w:lang w:eastAsia="en-AU"/>
              </w:rPr>
              <w:t>ethinyl</w:t>
            </w:r>
            <w:proofErr w:type="spellEnd"/>
            <w:r w:rsidRPr="00BD41C6">
              <w:rPr>
                <w:rFonts w:ascii="Arial Narrow" w:eastAsia="Times New Roman" w:hAnsi="Arial Narrow"/>
                <w:sz w:val="20"/>
                <w:szCs w:val="20"/>
                <w:lang w:eastAsia="en-AU"/>
              </w:rPr>
              <w:t xml:space="preserve"> </w:t>
            </w:r>
            <w:proofErr w:type="spellStart"/>
            <w:r w:rsidRPr="00BD41C6">
              <w:rPr>
                <w:rFonts w:ascii="Arial Narrow" w:eastAsia="Times New Roman" w:hAnsi="Arial Narrow"/>
                <w:sz w:val="20"/>
                <w:szCs w:val="20"/>
                <w:lang w:eastAsia="en-AU"/>
              </w:rPr>
              <w:t>estradiol</w:t>
            </w:r>
            <w:proofErr w:type="spellEnd"/>
            <w:r w:rsidRPr="00BD41C6">
              <w:rPr>
                <w:rFonts w:ascii="Arial Narrow" w:eastAsia="Times New Roman" w:hAnsi="Arial Narrow"/>
                <w:sz w:val="20"/>
                <w:szCs w:val="20"/>
                <w:lang w:eastAsia="en-AU"/>
              </w:rPr>
              <w:t xml:space="preserve"> </w:t>
            </w:r>
            <w:r>
              <w:rPr>
                <w:rFonts w:ascii="Arial Narrow" w:eastAsia="Times New Roman" w:hAnsi="Arial Narrow"/>
                <w:sz w:val="20"/>
                <w:szCs w:val="20"/>
                <w:lang w:eastAsia="en-AU"/>
              </w:rPr>
              <w:t xml:space="preserve">and </w:t>
            </w:r>
            <w:proofErr w:type="spellStart"/>
            <w:r>
              <w:rPr>
                <w:rFonts w:ascii="Arial Narrow" w:eastAsia="Times New Roman" w:hAnsi="Arial Narrow"/>
                <w:sz w:val="20"/>
                <w:szCs w:val="20"/>
                <w:lang w:eastAsia="en-AU"/>
              </w:rPr>
              <w:t>norelgestromin</w:t>
            </w:r>
            <w:proofErr w:type="spellEnd"/>
            <w:r w:rsidRPr="00BD41C6">
              <w:rPr>
                <w:rFonts w:ascii="Arial Narrow" w:eastAsia="Times New Roman" w:hAnsi="Arial Narrow"/>
                <w:sz w:val="20"/>
                <w:szCs w:val="20"/>
                <w:lang w:eastAsia="en-AU"/>
              </w:rPr>
              <w:t xml:space="preserve"> plasma concentrations to a clinically relevant extent. No dose adjustment of oral contraceptives is necessary when co-administered with </w:t>
            </w:r>
            <w:r>
              <w:rPr>
                <w:rFonts w:ascii="Arial Narrow" w:eastAsia="Times New Roman" w:hAnsi="Arial Narrow"/>
                <w:sz w:val="20"/>
                <w:szCs w:val="20"/>
                <w:lang w:eastAsia="en-AU"/>
              </w:rPr>
              <w:t>DOVATO</w:t>
            </w:r>
            <w:r w:rsidRPr="00BD41C6">
              <w:rPr>
                <w:rFonts w:ascii="Arial Narrow" w:eastAsia="Times New Roman" w:hAnsi="Arial Narrow"/>
                <w:sz w:val="20"/>
                <w:szCs w:val="20"/>
                <w:lang w:eastAsia="en-AU"/>
              </w:rPr>
              <w:t xml:space="preserve">. </w:t>
            </w:r>
          </w:p>
        </w:tc>
      </w:tr>
      <w:tr w:rsidR="00D21761" w:rsidRPr="00BD41C6" w14:paraId="42D9BD70" w14:textId="77777777" w:rsidTr="00BD41C6">
        <w:tc>
          <w:tcPr>
            <w:tcW w:w="2235" w:type="dxa"/>
          </w:tcPr>
          <w:p w14:paraId="1367D7D7" w14:textId="77777777" w:rsidR="00D21761" w:rsidRPr="00BD41C6" w:rsidRDefault="00D21761" w:rsidP="00D21761">
            <w:pPr>
              <w:spacing w:after="0" w:line="240" w:lineRule="auto"/>
              <w:rPr>
                <w:rFonts w:ascii="Arial Narrow" w:eastAsia="Times New Roman" w:hAnsi="Arial Narrow"/>
                <w:sz w:val="20"/>
                <w:szCs w:val="20"/>
              </w:rPr>
            </w:pPr>
            <w:r w:rsidRPr="00BD41C6">
              <w:rPr>
                <w:rFonts w:ascii="Arial Narrow" w:eastAsia="Times New Roman" w:hAnsi="Arial Narrow"/>
                <w:sz w:val="20"/>
                <w:szCs w:val="20"/>
                <w:lang w:eastAsia="en-AU"/>
              </w:rPr>
              <w:t xml:space="preserve">Methadone </w:t>
            </w:r>
          </w:p>
        </w:tc>
        <w:tc>
          <w:tcPr>
            <w:tcW w:w="3005" w:type="dxa"/>
          </w:tcPr>
          <w:p w14:paraId="11D01BA4" w14:textId="77777777" w:rsidR="00D21761" w:rsidRPr="00BD41C6" w:rsidRDefault="00D21761" w:rsidP="00D21761">
            <w:pPr>
              <w:spacing w:after="0" w:line="240" w:lineRule="auto"/>
              <w:rPr>
                <w:rFonts w:ascii="Arial Narrow" w:eastAsia="Times New Roman" w:hAnsi="Arial Narrow"/>
                <w:sz w:val="20"/>
                <w:szCs w:val="20"/>
              </w:rPr>
            </w:pPr>
            <w:r w:rsidRPr="00BD41C6">
              <w:rPr>
                <w:rFonts w:ascii="Arial Narrow" w:eastAsia="Times New Roman" w:hAnsi="Arial Narrow"/>
                <w:sz w:val="20"/>
                <w:szCs w:val="20"/>
              </w:rPr>
              <w:t>Effect of dolutegravir:</w:t>
            </w:r>
          </w:p>
          <w:p w14:paraId="77C10F75" w14:textId="77777777" w:rsidR="00D21761" w:rsidRPr="00BD41C6" w:rsidRDefault="00D21761" w:rsidP="00D21761">
            <w:pPr>
              <w:spacing w:after="0" w:line="240" w:lineRule="auto"/>
              <w:rPr>
                <w:rFonts w:ascii="Arial Narrow" w:eastAsia="Times New Roman" w:hAnsi="Arial Narrow"/>
                <w:sz w:val="20"/>
                <w:szCs w:val="20"/>
              </w:rPr>
            </w:pPr>
            <w:r w:rsidRPr="00BD41C6">
              <w:rPr>
                <w:rFonts w:ascii="Arial Narrow" w:eastAsia="Times New Roman" w:hAnsi="Arial Narrow"/>
                <w:sz w:val="20"/>
                <w:szCs w:val="20"/>
              </w:rPr>
              <w:t xml:space="preserve">Methadone </w:t>
            </w:r>
            <w:r w:rsidRPr="00BD41C6">
              <w:rPr>
                <w:rFonts w:ascii="Arial Narrow" w:eastAsia="Times New Roman" w:hAnsi="Arial Narrow"/>
                <w:sz w:val="20"/>
                <w:szCs w:val="20"/>
              </w:rPr>
              <w:sym w:font="Symbol" w:char="F0AB"/>
            </w:r>
            <w:r w:rsidRPr="00BD41C6">
              <w:rPr>
                <w:rFonts w:ascii="Arial Narrow" w:eastAsia="Times New Roman" w:hAnsi="Arial Narrow"/>
                <w:sz w:val="20"/>
                <w:szCs w:val="20"/>
              </w:rPr>
              <w:br/>
              <w:t xml:space="preserve">AUC </w:t>
            </w:r>
            <w:r w:rsidRPr="00BD41C6">
              <w:rPr>
                <w:rFonts w:ascii="Arial Narrow" w:eastAsia="Times New Roman" w:hAnsi="Arial Narrow"/>
                <w:sz w:val="20"/>
                <w:szCs w:val="20"/>
              </w:rPr>
              <w:sym w:font="Symbol" w:char="F0AF"/>
            </w:r>
            <w:r w:rsidRPr="00BD41C6">
              <w:rPr>
                <w:rFonts w:ascii="Arial Narrow" w:eastAsia="Times New Roman" w:hAnsi="Arial Narrow"/>
                <w:sz w:val="20"/>
                <w:szCs w:val="20"/>
              </w:rPr>
              <w:t xml:space="preserve"> 2% </w:t>
            </w:r>
            <w:r w:rsidRPr="00BD41C6">
              <w:rPr>
                <w:rFonts w:ascii="Arial Narrow" w:eastAsia="Times New Roman" w:hAnsi="Arial Narrow"/>
                <w:sz w:val="20"/>
                <w:szCs w:val="20"/>
              </w:rPr>
              <w:br/>
            </w:r>
            <w:proofErr w:type="spellStart"/>
            <w:r w:rsidRPr="00BD41C6">
              <w:rPr>
                <w:rFonts w:ascii="Arial Narrow" w:eastAsia="Times New Roman" w:hAnsi="Arial Narrow"/>
                <w:sz w:val="20"/>
                <w:szCs w:val="20"/>
              </w:rPr>
              <w:t>C</w:t>
            </w:r>
            <w:r w:rsidRPr="00BD41C6">
              <w:rPr>
                <w:rFonts w:ascii="Arial Narrow" w:eastAsia="Times New Roman" w:hAnsi="Arial Narrow"/>
                <w:sz w:val="20"/>
                <w:szCs w:val="20"/>
                <w:vertAlign w:val="subscript"/>
              </w:rPr>
              <w:t>max</w:t>
            </w:r>
            <w:proofErr w:type="spellEnd"/>
            <w:r w:rsidRPr="00BD41C6">
              <w:rPr>
                <w:rFonts w:ascii="Arial Narrow" w:eastAsia="Times New Roman" w:hAnsi="Arial Narrow"/>
                <w:sz w:val="20"/>
                <w:szCs w:val="20"/>
              </w:rPr>
              <w:t xml:space="preserve"> </w:t>
            </w:r>
            <w:r w:rsidRPr="00BD41C6">
              <w:rPr>
                <w:rFonts w:ascii="Arial Narrow" w:eastAsia="Times New Roman" w:hAnsi="Arial Narrow"/>
                <w:sz w:val="20"/>
                <w:szCs w:val="20"/>
              </w:rPr>
              <w:sym w:font="Symbol" w:char="F0AB"/>
            </w:r>
            <w:r w:rsidRPr="00BD41C6">
              <w:rPr>
                <w:rFonts w:ascii="Arial Narrow" w:eastAsia="Times New Roman" w:hAnsi="Arial Narrow"/>
                <w:sz w:val="20"/>
                <w:szCs w:val="20"/>
              </w:rPr>
              <w:t xml:space="preserve"> 0%</w:t>
            </w:r>
            <w:r w:rsidRPr="00BD41C6">
              <w:rPr>
                <w:rFonts w:ascii="Arial Narrow" w:eastAsia="Times New Roman" w:hAnsi="Arial Narrow"/>
                <w:sz w:val="20"/>
                <w:szCs w:val="20"/>
              </w:rPr>
              <w:br/>
              <w:t>C</w:t>
            </w:r>
            <w:r w:rsidRPr="00BD41C6">
              <w:rPr>
                <w:rFonts w:ascii="Arial Narrow" w:eastAsia="Times New Roman" w:hAnsi="Arial Narrow"/>
                <w:sz w:val="20"/>
                <w:szCs w:val="20"/>
              </w:rPr>
              <w:sym w:font="Symbol" w:char="F074"/>
            </w:r>
            <w:r w:rsidRPr="00BD41C6">
              <w:rPr>
                <w:rFonts w:ascii="Arial Narrow" w:eastAsia="Times New Roman" w:hAnsi="Arial Narrow"/>
                <w:sz w:val="20"/>
                <w:szCs w:val="20"/>
              </w:rPr>
              <w:t xml:space="preserve"> </w:t>
            </w:r>
            <w:r w:rsidRPr="00BD41C6">
              <w:rPr>
                <w:rFonts w:ascii="Arial Narrow" w:eastAsia="Times New Roman" w:hAnsi="Arial Narrow"/>
                <w:sz w:val="20"/>
                <w:szCs w:val="20"/>
              </w:rPr>
              <w:sym w:font="Symbol" w:char="F0AF"/>
            </w:r>
            <w:r w:rsidRPr="00BD41C6">
              <w:rPr>
                <w:rFonts w:ascii="Arial Narrow" w:eastAsia="Times New Roman" w:hAnsi="Arial Narrow"/>
                <w:sz w:val="20"/>
                <w:szCs w:val="20"/>
              </w:rPr>
              <w:t xml:space="preserve"> 1%</w:t>
            </w:r>
          </w:p>
          <w:p w14:paraId="3BF4CDA3" w14:textId="3CEC577F" w:rsidR="00D21761" w:rsidRPr="00BD41C6" w:rsidRDefault="00D21761" w:rsidP="00D21761">
            <w:pPr>
              <w:spacing w:after="0" w:line="240" w:lineRule="auto"/>
              <w:rPr>
                <w:rFonts w:ascii="Arial Narrow" w:eastAsia="Times New Roman" w:hAnsi="Arial Narrow"/>
                <w:sz w:val="20"/>
                <w:szCs w:val="20"/>
              </w:rPr>
            </w:pPr>
          </w:p>
        </w:tc>
        <w:tc>
          <w:tcPr>
            <w:tcW w:w="3686" w:type="dxa"/>
          </w:tcPr>
          <w:p w14:paraId="3981C7C6" w14:textId="457305E9" w:rsidR="00D21761" w:rsidRPr="00BD41C6" w:rsidRDefault="00D21761" w:rsidP="00D21761">
            <w:pPr>
              <w:spacing w:after="120" w:line="240" w:lineRule="auto"/>
              <w:rPr>
                <w:rFonts w:ascii="Arial Narrow" w:eastAsia="Times New Roman" w:hAnsi="Arial Narrow"/>
                <w:sz w:val="20"/>
                <w:szCs w:val="20"/>
                <w:lang w:eastAsia="en-AU"/>
              </w:rPr>
            </w:pPr>
            <w:r>
              <w:rPr>
                <w:rFonts w:ascii="Arial Narrow" w:eastAsia="Times New Roman" w:hAnsi="Arial Narrow"/>
                <w:sz w:val="20"/>
                <w:szCs w:val="20"/>
                <w:lang w:eastAsia="en-AU"/>
              </w:rPr>
              <w:t>Dolutegravir</w:t>
            </w:r>
            <w:r w:rsidRPr="00BD41C6">
              <w:rPr>
                <w:rFonts w:ascii="Arial Narrow" w:eastAsia="Times New Roman" w:hAnsi="Arial Narrow"/>
                <w:sz w:val="20"/>
                <w:szCs w:val="20"/>
                <w:lang w:eastAsia="en-AU"/>
              </w:rPr>
              <w:t xml:space="preserve"> did not change methadone plasma concentrations to a clinically relevant extent. No dose adjustment of methadone is necessary when </w:t>
            </w:r>
            <w:r>
              <w:rPr>
                <w:rFonts w:ascii="Arial Narrow" w:eastAsia="Times New Roman" w:hAnsi="Arial Narrow"/>
                <w:sz w:val="20"/>
                <w:szCs w:val="20"/>
                <w:lang w:eastAsia="en-AU"/>
              </w:rPr>
              <w:t>Co-administered</w:t>
            </w:r>
            <w:r w:rsidRPr="00BD41C6">
              <w:rPr>
                <w:rFonts w:ascii="Arial Narrow" w:eastAsia="Times New Roman" w:hAnsi="Arial Narrow"/>
                <w:sz w:val="20"/>
                <w:szCs w:val="20"/>
                <w:lang w:eastAsia="en-AU"/>
              </w:rPr>
              <w:t xml:space="preserve"> with </w:t>
            </w:r>
            <w:r>
              <w:rPr>
                <w:rFonts w:ascii="Arial Narrow" w:eastAsia="Times New Roman" w:hAnsi="Arial Narrow"/>
                <w:sz w:val="20"/>
                <w:szCs w:val="20"/>
                <w:lang w:eastAsia="en-AU"/>
              </w:rPr>
              <w:t>DOVATO</w:t>
            </w:r>
            <w:r w:rsidRPr="00BD41C6">
              <w:rPr>
                <w:rFonts w:ascii="Arial Narrow" w:eastAsia="Times New Roman" w:hAnsi="Arial Narrow"/>
                <w:sz w:val="20"/>
                <w:szCs w:val="20"/>
                <w:lang w:eastAsia="en-AU"/>
              </w:rPr>
              <w:t>.</w:t>
            </w:r>
          </w:p>
        </w:tc>
      </w:tr>
      <w:tr w:rsidR="00D21761" w:rsidRPr="00BD41C6" w14:paraId="718B094A" w14:textId="77777777" w:rsidTr="00BD41C6">
        <w:tc>
          <w:tcPr>
            <w:tcW w:w="2235" w:type="dxa"/>
          </w:tcPr>
          <w:p w14:paraId="1427D3A3" w14:textId="0F29C715" w:rsidR="00D21761" w:rsidRPr="00CB0908" w:rsidRDefault="00D21761" w:rsidP="00D21761">
            <w:pPr>
              <w:spacing w:line="240" w:lineRule="auto"/>
              <w:rPr>
                <w:rFonts w:ascii="Arial Narrow" w:hAnsi="Arial Narrow"/>
                <w:sz w:val="20"/>
                <w:szCs w:val="20"/>
              </w:rPr>
            </w:pPr>
            <w:r w:rsidRPr="00CB0908">
              <w:rPr>
                <w:rFonts w:ascii="Arial Narrow" w:hAnsi="Arial Narrow"/>
                <w:sz w:val="20"/>
                <w:szCs w:val="20"/>
              </w:rPr>
              <w:t>Daclatasvir</w:t>
            </w:r>
          </w:p>
        </w:tc>
        <w:tc>
          <w:tcPr>
            <w:tcW w:w="3005" w:type="dxa"/>
          </w:tcPr>
          <w:p w14:paraId="50C73AF5" w14:textId="77777777" w:rsidR="00D21761" w:rsidRPr="00CB0908" w:rsidRDefault="00D21761" w:rsidP="00D21761">
            <w:pPr>
              <w:spacing w:line="240" w:lineRule="auto"/>
              <w:rPr>
                <w:rFonts w:ascii="Arial Narrow" w:hAnsi="Arial Narrow"/>
                <w:sz w:val="20"/>
                <w:szCs w:val="20"/>
              </w:rPr>
            </w:pPr>
            <w:proofErr w:type="spellStart"/>
            <w:r w:rsidRPr="00CB0908">
              <w:rPr>
                <w:rFonts w:ascii="Arial Narrow" w:hAnsi="Arial Narrow"/>
                <w:sz w:val="20"/>
                <w:szCs w:val="20"/>
              </w:rPr>
              <w:t>Dolutegravir</w:t>
            </w:r>
            <w:proofErr w:type="spellEnd"/>
            <w:r w:rsidRPr="00CB0908">
              <w:rPr>
                <w:rFonts w:ascii="Arial Narrow" w:hAnsi="Arial Narrow"/>
                <w:sz w:val="20"/>
                <w:szCs w:val="20"/>
              </w:rPr>
              <w:t xml:space="preserve"> </w:t>
            </w:r>
            <w:r w:rsidRPr="00CB0908">
              <w:rPr>
                <w:rFonts w:ascii="Arial Narrow" w:hAnsi="Arial Narrow"/>
                <w:sz w:val="20"/>
                <w:szCs w:val="20"/>
              </w:rPr>
              <w:sym w:font="Symbol" w:char="F0AB"/>
            </w:r>
            <w:r w:rsidRPr="00CB0908">
              <w:rPr>
                <w:rFonts w:ascii="Arial Narrow" w:hAnsi="Arial Narrow"/>
                <w:sz w:val="20"/>
                <w:szCs w:val="20"/>
              </w:rPr>
              <w:br/>
              <w:t xml:space="preserve">AUC </w:t>
            </w:r>
            <w:r w:rsidRPr="00CB0908">
              <w:rPr>
                <w:rFonts w:ascii="Arial Narrow" w:hAnsi="Arial Narrow"/>
                <w:sz w:val="20"/>
                <w:szCs w:val="20"/>
              </w:rPr>
              <w:sym w:font="Symbol" w:char="F0AD"/>
            </w:r>
            <w:r w:rsidRPr="00CB0908">
              <w:rPr>
                <w:rFonts w:ascii="Arial Narrow" w:hAnsi="Arial Narrow"/>
                <w:sz w:val="20"/>
                <w:szCs w:val="20"/>
              </w:rPr>
              <w:t xml:space="preserve"> 33% </w:t>
            </w:r>
            <w:r w:rsidRPr="00CB0908">
              <w:rPr>
                <w:rFonts w:ascii="Arial Narrow" w:hAnsi="Arial Narrow"/>
                <w:sz w:val="20"/>
                <w:szCs w:val="20"/>
              </w:rPr>
              <w:br/>
            </w:r>
            <w:proofErr w:type="spellStart"/>
            <w:r w:rsidRPr="00CB0908">
              <w:rPr>
                <w:rFonts w:ascii="Arial Narrow" w:hAnsi="Arial Narrow"/>
                <w:sz w:val="20"/>
                <w:szCs w:val="20"/>
              </w:rPr>
              <w:t>C</w:t>
            </w:r>
            <w:r w:rsidRPr="00D86E6F">
              <w:rPr>
                <w:rFonts w:ascii="Arial Narrow" w:hAnsi="Arial Narrow"/>
                <w:sz w:val="20"/>
                <w:szCs w:val="20"/>
                <w:vertAlign w:val="subscript"/>
              </w:rPr>
              <w:t>max</w:t>
            </w:r>
            <w:proofErr w:type="spellEnd"/>
            <w:r w:rsidRPr="00D86E6F">
              <w:rPr>
                <w:rFonts w:ascii="Arial Narrow" w:hAnsi="Arial Narrow"/>
                <w:sz w:val="20"/>
                <w:szCs w:val="20"/>
                <w:vertAlign w:val="subscript"/>
              </w:rPr>
              <w:t xml:space="preserve"> </w:t>
            </w:r>
            <w:r w:rsidRPr="00CB0908">
              <w:rPr>
                <w:rFonts w:ascii="Arial Narrow" w:hAnsi="Arial Narrow"/>
                <w:sz w:val="20"/>
                <w:szCs w:val="20"/>
              </w:rPr>
              <w:sym w:font="Symbol" w:char="F0AD"/>
            </w:r>
            <w:r w:rsidRPr="00CB0908">
              <w:rPr>
                <w:rFonts w:ascii="Arial Narrow" w:hAnsi="Arial Narrow"/>
                <w:sz w:val="20"/>
                <w:szCs w:val="20"/>
              </w:rPr>
              <w:t xml:space="preserve"> 29%</w:t>
            </w:r>
            <w:r w:rsidRPr="00CB0908">
              <w:rPr>
                <w:rFonts w:ascii="Arial Narrow" w:hAnsi="Arial Narrow"/>
                <w:sz w:val="20"/>
                <w:szCs w:val="20"/>
              </w:rPr>
              <w:br/>
              <w:t>C</w:t>
            </w:r>
            <w:r w:rsidRPr="00CB0908">
              <w:rPr>
                <w:rFonts w:ascii="Arial Narrow" w:hAnsi="Arial Narrow"/>
                <w:sz w:val="20"/>
                <w:szCs w:val="20"/>
              </w:rPr>
              <w:sym w:font="Symbol" w:char="F074"/>
            </w:r>
            <w:r w:rsidRPr="00CB0908">
              <w:rPr>
                <w:rFonts w:ascii="Arial Narrow" w:hAnsi="Arial Narrow"/>
                <w:sz w:val="20"/>
                <w:szCs w:val="20"/>
              </w:rPr>
              <w:t xml:space="preserve"> </w:t>
            </w:r>
            <w:r w:rsidRPr="00CB0908">
              <w:rPr>
                <w:rFonts w:ascii="Arial Narrow" w:hAnsi="Arial Narrow"/>
                <w:sz w:val="20"/>
                <w:szCs w:val="20"/>
              </w:rPr>
              <w:sym w:font="Symbol" w:char="F0AD"/>
            </w:r>
            <w:r w:rsidRPr="00CB0908">
              <w:rPr>
                <w:rFonts w:ascii="Arial Narrow" w:hAnsi="Arial Narrow"/>
                <w:sz w:val="20"/>
                <w:szCs w:val="20"/>
              </w:rPr>
              <w:t xml:space="preserve"> 45%</w:t>
            </w:r>
          </w:p>
          <w:p w14:paraId="24FBAD78" w14:textId="062DAA0A" w:rsidR="00D21761" w:rsidRPr="00CB0908" w:rsidRDefault="00D21761" w:rsidP="00D21761">
            <w:pPr>
              <w:spacing w:line="240" w:lineRule="auto"/>
              <w:rPr>
                <w:rFonts w:ascii="Arial Narrow" w:hAnsi="Arial Narrow"/>
                <w:sz w:val="20"/>
                <w:szCs w:val="20"/>
              </w:rPr>
            </w:pPr>
            <w:r w:rsidRPr="00CB0908">
              <w:rPr>
                <w:rFonts w:ascii="Arial Narrow" w:hAnsi="Arial Narrow"/>
                <w:sz w:val="20"/>
                <w:szCs w:val="20"/>
              </w:rPr>
              <w:t xml:space="preserve">Daclatasvir </w:t>
            </w:r>
            <w:r w:rsidRPr="00CB0908">
              <w:rPr>
                <w:rFonts w:ascii="Arial Narrow" w:hAnsi="Arial Narrow"/>
                <w:sz w:val="20"/>
                <w:szCs w:val="20"/>
              </w:rPr>
              <w:sym w:font="Symbol" w:char="F0AB"/>
            </w:r>
          </w:p>
        </w:tc>
        <w:tc>
          <w:tcPr>
            <w:tcW w:w="3686" w:type="dxa"/>
          </w:tcPr>
          <w:p w14:paraId="663A9C4C" w14:textId="20E0FDBA" w:rsidR="00D21761" w:rsidRPr="00CB0908" w:rsidRDefault="00D21761" w:rsidP="00D21761">
            <w:pPr>
              <w:spacing w:line="240" w:lineRule="auto"/>
              <w:rPr>
                <w:rFonts w:ascii="Arial Narrow" w:hAnsi="Arial Narrow"/>
                <w:sz w:val="20"/>
                <w:szCs w:val="20"/>
              </w:rPr>
            </w:pPr>
            <w:r w:rsidRPr="00CB0908">
              <w:rPr>
                <w:rFonts w:ascii="Arial Narrow" w:hAnsi="Arial Narrow"/>
                <w:sz w:val="20"/>
                <w:szCs w:val="20"/>
              </w:rPr>
              <w:t>Daclatasvir did not change dolutegravir plasma concentration to a clinically relevant extent.  Dolutegravir did not change daclatasvir plasma concentration. No dose adjustment is necessary.</w:t>
            </w:r>
          </w:p>
        </w:tc>
      </w:tr>
    </w:tbl>
    <w:p w14:paraId="2EE8968B" w14:textId="0C250B31" w:rsidR="00E06717" w:rsidRDefault="00E06717" w:rsidP="00D47784">
      <w:pPr>
        <w:spacing w:line="240" w:lineRule="auto"/>
        <w:rPr>
          <w:rFonts w:ascii="Arial Narrow" w:eastAsia="Times New Roman" w:hAnsi="Arial Narrow"/>
          <w:sz w:val="20"/>
          <w:szCs w:val="20"/>
        </w:rPr>
      </w:pPr>
      <w:r w:rsidRPr="00BD41C6">
        <w:rPr>
          <w:rFonts w:ascii="Arial Narrow" w:eastAsia="Times New Roman" w:hAnsi="Arial Narrow"/>
          <w:sz w:val="20"/>
          <w:szCs w:val="20"/>
          <w:lang w:eastAsia="zh-CN"/>
        </w:rPr>
        <w:t xml:space="preserve">Abbreviations: </w:t>
      </w:r>
      <w:r w:rsidRPr="00BD41C6">
        <w:rPr>
          <w:rFonts w:ascii="Arial Narrow" w:eastAsia="Times New Roman" w:hAnsi="Arial Narrow"/>
          <w:sz w:val="20"/>
          <w:szCs w:val="20"/>
        </w:rPr>
        <w:sym w:font="Symbol" w:char="F0AD"/>
      </w:r>
      <w:r w:rsidRPr="00BD41C6">
        <w:rPr>
          <w:rFonts w:ascii="Arial Narrow" w:eastAsia="Times New Roman" w:hAnsi="Arial Narrow"/>
          <w:sz w:val="20"/>
          <w:szCs w:val="20"/>
          <w:lang w:eastAsia="zh-CN"/>
        </w:rPr>
        <w:t xml:space="preserve"> = Increase; </w:t>
      </w:r>
      <w:r w:rsidRPr="00BD41C6">
        <w:rPr>
          <w:rFonts w:ascii="Arial Narrow" w:eastAsia="Times New Roman" w:hAnsi="Arial Narrow"/>
          <w:sz w:val="20"/>
          <w:szCs w:val="20"/>
        </w:rPr>
        <w:sym w:font="Symbol" w:char="F0AF"/>
      </w:r>
      <w:r w:rsidRPr="00BD41C6">
        <w:rPr>
          <w:rFonts w:ascii="Arial Narrow" w:eastAsia="Times New Roman" w:hAnsi="Arial Narrow"/>
          <w:sz w:val="20"/>
          <w:szCs w:val="20"/>
          <w:lang w:eastAsia="zh-CN"/>
        </w:rPr>
        <w:t xml:space="preserve"> = decrease; </w:t>
      </w:r>
      <w:r w:rsidRPr="00BD41C6">
        <w:rPr>
          <w:rFonts w:ascii="Arial Narrow" w:eastAsia="Times New Roman" w:hAnsi="Arial Narrow"/>
          <w:sz w:val="20"/>
          <w:szCs w:val="20"/>
        </w:rPr>
        <w:sym w:font="Symbol" w:char="F0AB"/>
      </w:r>
      <w:r w:rsidRPr="00BD41C6">
        <w:rPr>
          <w:rFonts w:ascii="Arial Narrow" w:eastAsia="Times New Roman" w:hAnsi="Arial Narrow"/>
          <w:sz w:val="20"/>
          <w:szCs w:val="20"/>
          <w:lang w:eastAsia="zh-CN"/>
        </w:rPr>
        <w:t xml:space="preserve"> = no significant change; AUC = area under the concentration versus time curve; </w:t>
      </w:r>
      <w:proofErr w:type="spellStart"/>
      <w:r w:rsidRPr="00BD41C6">
        <w:rPr>
          <w:rFonts w:ascii="Arial Narrow" w:eastAsia="Times New Roman" w:hAnsi="Arial Narrow"/>
          <w:sz w:val="20"/>
          <w:szCs w:val="20"/>
          <w:lang w:eastAsia="zh-CN"/>
        </w:rPr>
        <w:t>C</w:t>
      </w:r>
      <w:r w:rsidRPr="00BD41C6">
        <w:rPr>
          <w:rFonts w:ascii="Arial Narrow" w:eastAsia="Times New Roman" w:hAnsi="Arial Narrow"/>
          <w:sz w:val="20"/>
          <w:szCs w:val="20"/>
          <w:vertAlign w:val="subscript"/>
          <w:lang w:eastAsia="zh-CN"/>
        </w:rPr>
        <w:t>max</w:t>
      </w:r>
      <w:proofErr w:type="spellEnd"/>
      <w:r w:rsidRPr="00BD41C6">
        <w:rPr>
          <w:rFonts w:ascii="Arial Narrow" w:eastAsia="Times New Roman" w:hAnsi="Arial Narrow"/>
          <w:sz w:val="20"/>
          <w:szCs w:val="20"/>
          <w:vertAlign w:val="subscript"/>
          <w:lang w:eastAsia="zh-CN"/>
        </w:rPr>
        <w:t xml:space="preserve"> </w:t>
      </w:r>
      <w:r w:rsidRPr="00BD41C6">
        <w:rPr>
          <w:rFonts w:ascii="Arial Narrow" w:eastAsia="Times New Roman" w:hAnsi="Arial Narrow"/>
          <w:sz w:val="20"/>
          <w:szCs w:val="20"/>
          <w:lang w:eastAsia="zh-CN"/>
        </w:rPr>
        <w:t xml:space="preserve">= maximum observed concentration, </w:t>
      </w:r>
      <w:r w:rsidRPr="00BD41C6">
        <w:rPr>
          <w:rFonts w:ascii="Arial Narrow" w:eastAsia="Times New Roman" w:hAnsi="Arial Narrow"/>
          <w:sz w:val="20"/>
          <w:szCs w:val="20"/>
        </w:rPr>
        <w:t>C</w:t>
      </w:r>
      <w:r w:rsidRPr="00BD41C6">
        <w:rPr>
          <w:rFonts w:ascii="Arial Narrow" w:eastAsia="Times New Roman" w:hAnsi="Arial Narrow"/>
          <w:sz w:val="20"/>
          <w:szCs w:val="20"/>
        </w:rPr>
        <w:sym w:font="Symbol" w:char="F074"/>
      </w:r>
      <w:r w:rsidRPr="00BD41C6">
        <w:rPr>
          <w:rFonts w:ascii="Arial Narrow" w:eastAsia="Times New Roman" w:hAnsi="Arial Narrow"/>
          <w:sz w:val="20"/>
          <w:szCs w:val="20"/>
        </w:rPr>
        <w:t xml:space="preserve"> = concentration at the end of dosing interv</w:t>
      </w:r>
      <w:r w:rsidR="00CB0908">
        <w:rPr>
          <w:rFonts w:ascii="Arial Narrow" w:eastAsia="Times New Roman" w:hAnsi="Arial Narrow"/>
          <w:sz w:val="20"/>
          <w:szCs w:val="20"/>
        </w:rPr>
        <w:t>al</w:t>
      </w:r>
      <w:r w:rsidRPr="00BD41C6">
        <w:rPr>
          <w:rFonts w:ascii="Arial Narrow" w:eastAsia="Times New Roman" w:hAnsi="Arial Narrow"/>
          <w:sz w:val="20"/>
          <w:szCs w:val="20"/>
        </w:rPr>
        <w:t>.</w:t>
      </w:r>
    </w:p>
    <w:p w14:paraId="048755F1" w14:textId="39FB354A" w:rsidR="00E52B68" w:rsidRPr="009F60FD" w:rsidRDefault="00E52B68" w:rsidP="00FB7D66">
      <w:pPr>
        <w:pStyle w:val="captiontable"/>
        <w:ind w:left="1134" w:hanging="1134"/>
        <w:rPr>
          <w:rFonts w:cs="Arial"/>
          <w:bCs w:val="0"/>
        </w:rPr>
      </w:pPr>
      <w:r w:rsidRPr="009F60FD">
        <w:lastRenderedPageBreak/>
        <w:t xml:space="preserve">Table </w:t>
      </w:r>
      <w:r w:rsidR="00DC74E3">
        <w:t>2:</w:t>
      </w:r>
      <w:r w:rsidRPr="009F60FD">
        <w:tab/>
        <w:t>Drug Interactions studied with lamivudine</w:t>
      </w:r>
    </w:p>
    <w:tbl>
      <w:tblPr>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764"/>
        <w:gridCol w:w="3863"/>
      </w:tblGrid>
      <w:tr w:rsidR="00E52B68" w:rsidRPr="00E52B68" w14:paraId="5726EC2B" w14:textId="77777777" w:rsidTr="002F512E">
        <w:trPr>
          <w:tblHeader/>
        </w:trPr>
        <w:tc>
          <w:tcPr>
            <w:tcW w:w="2235" w:type="dxa"/>
          </w:tcPr>
          <w:p w14:paraId="56F8C32F" w14:textId="77777777" w:rsidR="00E52B68" w:rsidRPr="00E52B68" w:rsidRDefault="00E52B68" w:rsidP="00E52B68">
            <w:pPr>
              <w:spacing w:line="240" w:lineRule="auto"/>
              <w:rPr>
                <w:rFonts w:ascii="Arial Narrow" w:hAnsi="Arial Narrow"/>
                <w:sz w:val="20"/>
                <w:szCs w:val="20"/>
              </w:rPr>
            </w:pPr>
            <w:r w:rsidRPr="00E52B68">
              <w:rPr>
                <w:rFonts w:ascii="Arial Narrow" w:hAnsi="Arial Narrow"/>
                <w:sz w:val="20"/>
                <w:szCs w:val="20"/>
              </w:rPr>
              <w:t>Concomitant Drug Class:</w:t>
            </w:r>
            <w:r w:rsidRPr="00E52B68">
              <w:rPr>
                <w:rFonts w:ascii="Arial Narrow" w:hAnsi="Arial Narrow"/>
                <w:sz w:val="20"/>
                <w:szCs w:val="20"/>
              </w:rPr>
              <w:br/>
              <w:t>Drug Name</w:t>
            </w:r>
          </w:p>
        </w:tc>
        <w:tc>
          <w:tcPr>
            <w:tcW w:w="2764" w:type="dxa"/>
          </w:tcPr>
          <w:p w14:paraId="2064CA9A" w14:textId="77777777" w:rsidR="00E52B68" w:rsidRPr="00E52B68" w:rsidRDefault="00E52B68" w:rsidP="00E52B68">
            <w:pPr>
              <w:spacing w:line="240" w:lineRule="auto"/>
              <w:rPr>
                <w:rFonts w:ascii="Arial Narrow" w:hAnsi="Arial Narrow"/>
                <w:sz w:val="20"/>
                <w:szCs w:val="20"/>
              </w:rPr>
            </w:pPr>
            <w:r w:rsidRPr="00E52B68">
              <w:rPr>
                <w:rFonts w:ascii="Arial Narrow" w:hAnsi="Arial Narrow"/>
                <w:sz w:val="20"/>
                <w:szCs w:val="20"/>
              </w:rPr>
              <w:t>Effect on Concentration of lamivudine or Concomitant Drug</w:t>
            </w:r>
          </w:p>
        </w:tc>
        <w:tc>
          <w:tcPr>
            <w:tcW w:w="3863" w:type="dxa"/>
          </w:tcPr>
          <w:p w14:paraId="55BD3855" w14:textId="77777777" w:rsidR="00E52B68" w:rsidRPr="00E52B68" w:rsidRDefault="00E52B68" w:rsidP="00E52B68">
            <w:pPr>
              <w:spacing w:line="240" w:lineRule="auto"/>
              <w:rPr>
                <w:rFonts w:ascii="Arial Narrow" w:hAnsi="Arial Narrow"/>
                <w:sz w:val="20"/>
                <w:szCs w:val="20"/>
              </w:rPr>
            </w:pPr>
            <w:r w:rsidRPr="00E52B68">
              <w:rPr>
                <w:rFonts w:ascii="Arial Narrow" w:hAnsi="Arial Narrow"/>
                <w:sz w:val="20"/>
                <w:szCs w:val="20"/>
              </w:rPr>
              <w:t>Clinical Comment</w:t>
            </w:r>
          </w:p>
        </w:tc>
      </w:tr>
      <w:tr w:rsidR="00E52B68" w:rsidRPr="00E52B68" w14:paraId="1D6C52F8" w14:textId="77777777" w:rsidTr="00C43669">
        <w:tc>
          <w:tcPr>
            <w:tcW w:w="2235" w:type="dxa"/>
          </w:tcPr>
          <w:p w14:paraId="0B3F1EEB" w14:textId="77777777" w:rsidR="00E52B68" w:rsidRPr="00E52B68" w:rsidRDefault="00E52B68" w:rsidP="00E52B68">
            <w:pPr>
              <w:spacing w:line="240" w:lineRule="auto"/>
              <w:rPr>
                <w:rFonts w:ascii="Arial Narrow" w:hAnsi="Arial Narrow"/>
                <w:sz w:val="20"/>
                <w:szCs w:val="20"/>
              </w:rPr>
            </w:pPr>
            <w:r w:rsidRPr="00E52B68">
              <w:rPr>
                <w:rFonts w:ascii="Arial Narrow" w:hAnsi="Arial Narrow"/>
                <w:sz w:val="20"/>
                <w:szCs w:val="20"/>
              </w:rPr>
              <w:t>Trimethoprim/sulfamethoxazole (Co-trimoxazole) (160 mg/800 mg once daily for 5 days/300 mg single dose)</w:t>
            </w:r>
          </w:p>
        </w:tc>
        <w:tc>
          <w:tcPr>
            <w:tcW w:w="2764" w:type="dxa"/>
          </w:tcPr>
          <w:p w14:paraId="0F91C310" w14:textId="77777777" w:rsidR="00E52B68" w:rsidRPr="00E52B68" w:rsidRDefault="00E52B68" w:rsidP="00E52B68">
            <w:pPr>
              <w:spacing w:line="240" w:lineRule="auto"/>
              <w:rPr>
                <w:rFonts w:ascii="Arial Narrow" w:hAnsi="Arial Narrow"/>
                <w:sz w:val="20"/>
                <w:szCs w:val="20"/>
              </w:rPr>
            </w:pPr>
            <w:r w:rsidRPr="00E52B68">
              <w:rPr>
                <w:rFonts w:ascii="Arial Narrow" w:hAnsi="Arial Narrow"/>
                <w:sz w:val="20"/>
                <w:szCs w:val="20"/>
              </w:rPr>
              <w:t xml:space="preserve">Lamivudine: AUC </w:t>
            </w:r>
            <w:r w:rsidRPr="00E52B68">
              <w:rPr>
                <w:rFonts w:ascii="Arial Narrow" w:hAnsi="Arial Narrow"/>
                <w:sz w:val="20"/>
                <w:szCs w:val="20"/>
              </w:rPr>
              <w:sym w:font="Symbol" w:char="F0AD"/>
            </w:r>
            <w:r w:rsidRPr="00E52B68">
              <w:rPr>
                <w:rFonts w:ascii="Arial Narrow" w:hAnsi="Arial Narrow"/>
                <w:sz w:val="20"/>
                <w:szCs w:val="20"/>
              </w:rPr>
              <w:t>40%</w:t>
            </w:r>
          </w:p>
          <w:p w14:paraId="65F4FE4C" w14:textId="77777777" w:rsidR="00E52B68" w:rsidRPr="00E52B68" w:rsidRDefault="00E52B68" w:rsidP="00E52B68">
            <w:pPr>
              <w:spacing w:line="240" w:lineRule="auto"/>
              <w:rPr>
                <w:rFonts w:ascii="Arial Narrow" w:hAnsi="Arial Narrow"/>
                <w:sz w:val="20"/>
                <w:szCs w:val="20"/>
              </w:rPr>
            </w:pPr>
            <w:r w:rsidRPr="00E52B68">
              <w:rPr>
                <w:rFonts w:ascii="Arial Narrow" w:hAnsi="Arial Narrow"/>
                <w:sz w:val="20"/>
                <w:szCs w:val="20"/>
              </w:rPr>
              <w:t xml:space="preserve">Trimethoprim: AUC </w:t>
            </w:r>
            <w:r w:rsidRPr="00E52B68">
              <w:rPr>
                <w:rFonts w:ascii="Arial Narrow" w:hAnsi="Arial Narrow"/>
                <w:sz w:val="20"/>
                <w:szCs w:val="20"/>
              </w:rPr>
              <w:sym w:font="Symbol" w:char="F0AB"/>
            </w:r>
          </w:p>
          <w:p w14:paraId="02CCA060" w14:textId="77777777" w:rsidR="00E52B68" w:rsidRPr="00E52B68" w:rsidRDefault="00E52B68" w:rsidP="00E52B68">
            <w:pPr>
              <w:spacing w:line="240" w:lineRule="auto"/>
              <w:rPr>
                <w:rFonts w:ascii="Arial Narrow" w:hAnsi="Arial Narrow"/>
                <w:sz w:val="20"/>
                <w:szCs w:val="20"/>
              </w:rPr>
            </w:pPr>
            <w:r w:rsidRPr="00E52B68">
              <w:rPr>
                <w:rFonts w:ascii="Arial Narrow" w:hAnsi="Arial Narrow"/>
                <w:sz w:val="20"/>
                <w:szCs w:val="20"/>
              </w:rPr>
              <w:t xml:space="preserve">Sulfamethoxazole: AUC </w:t>
            </w:r>
            <w:r w:rsidRPr="00E52B68">
              <w:rPr>
                <w:rFonts w:ascii="Arial Narrow" w:hAnsi="Arial Narrow"/>
                <w:sz w:val="20"/>
                <w:szCs w:val="20"/>
              </w:rPr>
              <w:sym w:font="Symbol" w:char="F0AB"/>
            </w:r>
          </w:p>
        </w:tc>
        <w:tc>
          <w:tcPr>
            <w:tcW w:w="3863" w:type="dxa"/>
          </w:tcPr>
          <w:p w14:paraId="7F313287" w14:textId="22CB4CA0" w:rsidR="00E52B68" w:rsidRPr="00E52B68" w:rsidRDefault="00E52B68" w:rsidP="00E52B68">
            <w:pPr>
              <w:spacing w:line="240" w:lineRule="auto"/>
              <w:rPr>
                <w:rFonts w:ascii="Arial Narrow" w:hAnsi="Arial Narrow"/>
                <w:sz w:val="20"/>
                <w:szCs w:val="20"/>
              </w:rPr>
            </w:pPr>
            <w:r w:rsidRPr="00E52B68">
              <w:rPr>
                <w:rFonts w:ascii="Arial Narrow" w:hAnsi="Arial Narrow"/>
                <w:sz w:val="20"/>
                <w:szCs w:val="20"/>
              </w:rPr>
              <w:t xml:space="preserve">Unless the patient has renal impairment, no dosage adjustment of lamivudine is necessary (see </w:t>
            </w:r>
            <w:r>
              <w:rPr>
                <w:rFonts w:ascii="Arial Narrow" w:hAnsi="Arial Narrow"/>
                <w:sz w:val="20"/>
                <w:szCs w:val="20"/>
              </w:rPr>
              <w:t xml:space="preserve">Section 4.2 </w:t>
            </w:r>
            <w:r w:rsidRPr="00E52B68">
              <w:rPr>
                <w:rFonts w:ascii="Arial Narrow" w:hAnsi="Arial Narrow"/>
                <w:sz w:val="20"/>
                <w:szCs w:val="20"/>
              </w:rPr>
              <w:t xml:space="preserve">DOSAGE AND </w:t>
            </w:r>
            <w:r>
              <w:rPr>
                <w:rFonts w:ascii="Arial Narrow" w:hAnsi="Arial Narrow"/>
                <w:sz w:val="20"/>
                <w:szCs w:val="20"/>
              </w:rPr>
              <w:t xml:space="preserve">METHOD OF </w:t>
            </w:r>
            <w:r w:rsidRPr="00E52B68">
              <w:rPr>
                <w:rFonts w:ascii="Arial Narrow" w:hAnsi="Arial Narrow"/>
                <w:sz w:val="20"/>
                <w:szCs w:val="20"/>
              </w:rPr>
              <w:t xml:space="preserve">ADMINISTRATION). Lamivudine has no effect on the pharmacokinetics of trimethoprim or sulfamethoxazole. The effect of co-administration of lamivudine with higher doses of co-trimoxazole used for the treatment of </w:t>
            </w:r>
            <w:r w:rsidRPr="00C8308C">
              <w:rPr>
                <w:rFonts w:ascii="Arial Narrow" w:hAnsi="Arial Narrow"/>
                <w:i/>
                <w:sz w:val="20"/>
                <w:szCs w:val="20"/>
              </w:rPr>
              <w:t xml:space="preserve">Pneumocystis </w:t>
            </w:r>
            <w:proofErr w:type="spellStart"/>
            <w:r w:rsidRPr="00C8308C">
              <w:rPr>
                <w:rFonts w:ascii="Arial Narrow" w:hAnsi="Arial Narrow"/>
                <w:i/>
                <w:sz w:val="20"/>
                <w:szCs w:val="20"/>
              </w:rPr>
              <w:t>jiroveci</w:t>
            </w:r>
            <w:proofErr w:type="spellEnd"/>
            <w:r w:rsidRPr="00E52B68">
              <w:rPr>
                <w:rFonts w:ascii="Arial Narrow" w:hAnsi="Arial Narrow"/>
                <w:sz w:val="20"/>
                <w:szCs w:val="20"/>
              </w:rPr>
              <w:t xml:space="preserve"> pneumonia and toxoplasmosis has not been studied. </w:t>
            </w:r>
            <w:r>
              <w:rPr>
                <w:rFonts w:ascii="Arial Narrow" w:hAnsi="Arial Narrow"/>
                <w:sz w:val="20"/>
                <w:szCs w:val="20"/>
              </w:rPr>
              <w:t>DOVATO</w:t>
            </w:r>
            <w:r w:rsidRPr="00E52B68">
              <w:rPr>
                <w:rFonts w:ascii="Arial Narrow" w:hAnsi="Arial Narrow"/>
                <w:sz w:val="20"/>
                <w:szCs w:val="20"/>
              </w:rPr>
              <w:t xml:space="preserve"> is not recommended for subjects with </w:t>
            </w:r>
            <w:proofErr w:type="spellStart"/>
            <w:r w:rsidRPr="00E52B68">
              <w:rPr>
                <w:rFonts w:ascii="Arial Narrow" w:hAnsi="Arial Narrow"/>
                <w:sz w:val="20"/>
                <w:szCs w:val="20"/>
              </w:rPr>
              <w:t>CrCl</w:t>
            </w:r>
            <w:proofErr w:type="spellEnd"/>
            <w:r w:rsidRPr="00E52B68">
              <w:rPr>
                <w:rFonts w:ascii="Arial Narrow" w:hAnsi="Arial Narrow"/>
                <w:sz w:val="20"/>
                <w:szCs w:val="20"/>
              </w:rPr>
              <w:t xml:space="preserve"> of &lt;50 mL/min.</w:t>
            </w:r>
          </w:p>
        </w:tc>
      </w:tr>
      <w:tr w:rsidR="00E52B68" w:rsidRPr="00E52B68" w14:paraId="15263859" w14:textId="77777777" w:rsidTr="00C43669">
        <w:tc>
          <w:tcPr>
            <w:tcW w:w="2235" w:type="dxa"/>
          </w:tcPr>
          <w:p w14:paraId="5FB7AA1E" w14:textId="3366FEAD" w:rsidR="00E52B68" w:rsidRPr="00E52B68" w:rsidRDefault="00E52B68" w:rsidP="00E52B68">
            <w:pPr>
              <w:spacing w:line="240" w:lineRule="auto"/>
              <w:rPr>
                <w:rFonts w:ascii="Arial Narrow" w:hAnsi="Arial Narrow"/>
                <w:sz w:val="20"/>
                <w:szCs w:val="20"/>
              </w:rPr>
            </w:pPr>
            <w:r w:rsidRPr="00E52B68">
              <w:rPr>
                <w:rFonts w:ascii="Arial Narrow" w:hAnsi="Arial Narrow"/>
                <w:sz w:val="20"/>
                <w:szCs w:val="20"/>
              </w:rPr>
              <w:t>Emtricitabine</w:t>
            </w:r>
          </w:p>
        </w:tc>
        <w:tc>
          <w:tcPr>
            <w:tcW w:w="2764" w:type="dxa"/>
          </w:tcPr>
          <w:p w14:paraId="24061951" w14:textId="77777777" w:rsidR="00E52B68" w:rsidRPr="00E52B68" w:rsidRDefault="00E52B68" w:rsidP="00E52B68">
            <w:pPr>
              <w:spacing w:line="240" w:lineRule="auto"/>
              <w:rPr>
                <w:rFonts w:ascii="Arial Narrow" w:hAnsi="Arial Narrow"/>
                <w:sz w:val="20"/>
                <w:szCs w:val="20"/>
              </w:rPr>
            </w:pPr>
          </w:p>
        </w:tc>
        <w:tc>
          <w:tcPr>
            <w:tcW w:w="3863" w:type="dxa"/>
            <w:shd w:val="clear" w:color="auto" w:fill="auto"/>
          </w:tcPr>
          <w:p w14:paraId="69C4C9CD" w14:textId="77777777" w:rsidR="00223876" w:rsidRDefault="00AD7AB5" w:rsidP="00223876">
            <w:pPr>
              <w:spacing w:after="0" w:line="240" w:lineRule="auto"/>
              <w:rPr>
                <w:rFonts w:ascii="Arial Narrow" w:hAnsi="Arial Narrow"/>
                <w:sz w:val="20"/>
                <w:szCs w:val="20"/>
              </w:rPr>
            </w:pPr>
            <w:r>
              <w:rPr>
                <w:rFonts w:ascii="Arial Narrow" w:hAnsi="Arial Narrow"/>
                <w:sz w:val="20"/>
                <w:szCs w:val="20"/>
              </w:rPr>
              <w:t>This i</w:t>
            </w:r>
            <w:r w:rsidR="00386F41">
              <w:rPr>
                <w:rFonts w:ascii="Arial Narrow" w:hAnsi="Arial Narrow"/>
                <w:sz w:val="20"/>
                <w:szCs w:val="20"/>
              </w:rPr>
              <w:t>nteraction has not been studie</w:t>
            </w:r>
            <w:r>
              <w:rPr>
                <w:rFonts w:ascii="Arial Narrow" w:hAnsi="Arial Narrow"/>
                <w:sz w:val="20"/>
                <w:szCs w:val="20"/>
              </w:rPr>
              <w:t>d</w:t>
            </w:r>
            <w:r w:rsidR="00386F41">
              <w:rPr>
                <w:rFonts w:ascii="Arial Narrow" w:hAnsi="Arial Narrow"/>
                <w:sz w:val="20"/>
                <w:szCs w:val="20"/>
              </w:rPr>
              <w:t xml:space="preserve">. </w:t>
            </w:r>
          </w:p>
          <w:p w14:paraId="1905F8CB" w14:textId="59C15AC9" w:rsidR="00E52B68" w:rsidRPr="00E52B68" w:rsidRDefault="00E52B68" w:rsidP="00E52B68">
            <w:pPr>
              <w:spacing w:line="240" w:lineRule="auto"/>
              <w:rPr>
                <w:rFonts w:ascii="Arial Narrow" w:hAnsi="Arial Narrow"/>
                <w:sz w:val="20"/>
                <w:szCs w:val="20"/>
              </w:rPr>
            </w:pPr>
            <w:r w:rsidRPr="00E52B68">
              <w:rPr>
                <w:rFonts w:ascii="Arial Narrow" w:hAnsi="Arial Narrow"/>
                <w:sz w:val="20"/>
                <w:szCs w:val="20"/>
              </w:rPr>
              <w:t>Lamivudine may inhibit the intracellular phosphorylation of emtricitabine when the two medicinal products are used concurrently. Additionally, the mechanism of viral resistance for both lamivudine and emtricitabine is mediated via mutation of the same viral reverse transcriptase gene (M184V) and therefore the therapeutic efficacy of these drugs in combination therapy may be limited. Lamivudine is not recommended for use in combination with emtricitabine or emtricitabine-containing fixed-dose combinations.</w:t>
            </w:r>
          </w:p>
        </w:tc>
      </w:tr>
      <w:tr w:rsidR="00E52B68" w:rsidRPr="00E52B68" w14:paraId="03CBF1D9" w14:textId="77777777" w:rsidTr="00C43669">
        <w:tc>
          <w:tcPr>
            <w:tcW w:w="8862" w:type="dxa"/>
            <w:gridSpan w:val="3"/>
          </w:tcPr>
          <w:p w14:paraId="7C848AC0" w14:textId="05700A38" w:rsidR="00E52B68" w:rsidRPr="00E52B68" w:rsidRDefault="00E52B68" w:rsidP="00E52B68">
            <w:pPr>
              <w:spacing w:line="240" w:lineRule="auto"/>
              <w:rPr>
                <w:rFonts w:ascii="Arial Narrow" w:hAnsi="Arial Narrow"/>
                <w:sz w:val="20"/>
                <w:szCs w:val="20"/>
              </w:rPr>
            </w:pPr>
            <w:r w:rsidRPr="00BD41C6">
              <w:rPr>
                <w:rFonts w:ascii="Arial Narrow" w:eastAsia="Times New Roman" w:hAnsi="Arial Narrow"/>
                <w:b/>
                <w:sz w:val="20"/>
                <w:szCs w:val="20"/>
              </w:rPr>
              <w:t>Other Agents</w:t>
            </w:r>
          </w:p>
        </w:tc>
      </w:tr>
      <w:tr w:rsidR="00E52B68" w:rsidRPr="00E52B68" w14:paraId="53686A6D" w14:textId="77777777" w:rsidTr="00C43669">
        <w:tc>
          <w:tcPr>
            <w:tcW w:w="2235" w:type="dxa"/>
          </w:tcPr>
          <w:p w14:paraId="4209BC51" w14:textId="77777777" w:rsidR="00E52B68" w:rsidRPr="00E52B68" w:rsidRDefault="00E52B68" w:rsidP="00E52B68">
            <w:pPr>
              <w:spacing w:line="240" w:lineRule="auto"/>
              <w:rPr>
                <w:rFonts w:ascii="Arial Narrow" w:hAnsi="Arial Narrow"/>
                <w:sz w:val="20"/>
                <w:szCs w:val="20"/>
              </w:rPr>
            </w:pPr>
            <w:r w:rsidRPr="00E52B68">
              <w:rPr>
                <w:rFonts w:ascii="Arial Narrow" w:hAnsi="Arial Narrow"/>
                <w:sz w:val="20"/>
                <w:szCs w:val="20"/>
              </w:rPr>
              <w:t>Sorbitol solution (3.2 g, 10.2 g, 13.4 g)</w:t>
            </w:r>
          </w:p>
        </w:tc>
        <w:tc>
          <w:tcPr>
            <w:tcW w:w="2764" w:type="dxa"/>
          </w:tcPr>
          <w:p w14:paraId="0A8A48E5" w14:textId="77777777" w:rsidR="00E52B68" w:rsidRPr="00E52B68" w:rsidRDefault="00E52B68" w:rsidP="00E52B68">
            <w:pPr>
              <w:spacing w:line="240" w:lineRule="auto"/>
              <w:rPr>
                <w:rFonts w:ascii="Arial Narrow" w:hAnsi="Arial Narrow"/>
                <w:sz w:val="20"/>
                <w:szCs w:val="20"/>
              </w:rPr>
            </w:pPr>
            <w:r w:rsidRPr="00E52B68">
              <w:rPr>
                <w:rFonts w:ascii="Arial Narrow" w:hAnsi="Arial Narrow"/>
                <w:sz w:val="20"/>
                <w:szCs w:val="20"/>
              </w:rPr>
              <w:t xml:space="preserve">Single dose lamivudine oral solution 300 mg </w:t>
            </w:r>
          </w:p>
          <w:p w14:paraId="761B2805" w14:textId="77777777" w:rsidR="00E52B68" w:rsidRPr="00E52B68" w:rsidRDefault="00E52B68" w:rsidP="00D86E6F">
            <w:pPr>
              <w:spacing w:after="0" w:line="240" w:lineRule="auto"/>
              <w:rPr>
                <w:rFonts w:ascii="Arial Narrow" w:hAnsi="Arial Narrow"/>
                <w:sz w:val="20"/>
                <w:szCs w:val="20"/>
              </w:rPr>
            </w:pPr>
            <w:r w:rsidRPr="00E52B68">
              <w:rPr>
                <w:rFonts w:ascii="Arial Narrow" w:hAnsi="Arial Narrow"/>
                <w:sz w:val="20"/>
                <w:szCs w:val="20"/>
              </w:rPr>
              <w:t>Lamivudine:</w:t>
            </w:r>
          </w:p>
          <w:p w14:paraId="0ADB35D1" w14:textId="77777777" w:rsidR="00E52B68" w:rsidRPr="00E52B68" w:rsidRDefault="00E52B68" w:rsidP="00E52B68">
            <w:pPr>
              <w:spacing w:line="240" w:lineRule="auto"/>
              <w:rPr>
                <w:rFonts w:ascii="Arial Narrow" w:hAnsi="Arial Narrow"/>
                <w:sz w:val="20"/>
                <w:szCs w:val="20"/>
              </w:rPr>
            </w:pPr>
            <w:r w:rsidRPr="00E52B68">
              <w:rPr>
                <w:rFonts w:ascii="Arial Narrow" w:hAnsi="Arial Narrow"/>
                <w:sz w:val="20"/>
                <w:szCs w:val="20"/>
              </w:rPr>
              <w:t xml:space="preserve">AUC </w:t>
            </w:r>
            <w:r w:rsidRPr="00E52B68">
              <w:rPr>
                <w:rFonts w:ascii="Arial Narrow" w:hAnsi="Arial Narrow"/>
                <w:sz w:val="20"/>
                <w:szCs w:val="20"/>
              </w:rPr>
              <w:sym w:font="Symbol" w:char="F0AF"/>
            </w:r>
            <w:r w:rsidRPr="00E52B68">
              <w:rPr>
                <w:rFonts w:ascii="Arial Narrow" w:hAnsi="Arial Narrow"/>
                <w:sz w:val="20"/>
                <w:szCs w:val="20"/>
              </w:rPr>
              <w:t xml:space="preserve"> 14%; 32%; 36% </w:t>
            </w:r>
          </w:p>
          <w:p w14:paraId="16AC38EB" w14:textId="77777777" w:rsidR="00E52B68" w:rsidRPr="00E52B68" w:rsidRDefault="00E52B68" w:rsidP="00E52B68">
            <w:pPr>
              <w:spacing w:line="240" w:lineRule="auto"/>
              <w:rPr>
                <w:rFonts w:ascii="Arial Narrow" w:hAnsi="Arial Narrow"/>
                <w:sz w:val="20"/>
                <w:szCs w:val="20"/>
              </w:rPr>
            </w:pPr>
            <w:proofErr w:type="spellStart"/>
            <w:r w:rsidRPr="00E52B68">
              <w:rPr>
                <w:rFonts w:ascii="Arial Narrow" w:hAnsi="Arial Narrow"/>
                <w:sz w:val="20"/>
                <w:szCs w:val="20"/>
              </w:rPr>
              <w:t>C</w:t>
            </w:r>
            <w:r w:rsidRPr="00D86E6F">
              <w:rPr>
                <w:rFonts w:ascii="Arial Narrow" w:hAnsi="Arial Narrow"/>
                <w:sz w:val="20"/>
                <w:szCs w:val="20"/>
                <w:vertAlign w:val="subscript"/>
              </w:rPr>
              <w:t>max</w:t>
            </w:r>
            <w:proofErr w:type="spellEnd"/>
            <w:r w:rsidRPr="00E52B68">
              <w:rPr>
                <w:rFonts w:ascii="Arial Narrow" w:hAnsi="Arial Narrow"/>
                <w:sz w:val="20"/>
                <w:szCs w:val="20"/>
              </w:rPr>
              <w:t xml:space="preserve"> </w:t>
            </w:r>
            <w:r w:rsidRPr="00E52B68">
              <w:rPr>
                <w:rFonts w:ascii="Arial Narrow" w:hAnsi="Arial Narrow"/>
                <w:sz w:val="20"/>
                <w:szCs w:val="20"/>
              </w:rPr>
              <w:sym w:font="Symbol" w:char="F0AF"/>
            </w:r>
            <w:r w:rsidRPr="00E52B68">
              <w:rPr>
                <w:rFonts w:ascii="Arial Narrow" w:hAnsi="Arial Narrow"/>
                <w:sz w:val="20"/>
                <w:szCs w:val="20"/>
              </w:rPr>
              <w:t xml:space="preserve"> 28%; 52%, 55%.</w:t>
            </w:r>
          </w:p>
        </w:tc>
        <w:tc>
          <w:tcPr>
            <w:tcW w:w="3863" w:type="dxa"/>
          </w:tcPr>
          <w:p w14:paraId="6810465E" w14:textId="77777777" w:rsidR="00E52B68" w:rsidRPr="00E52B68" w:rsidRDefault="00E52B68" w:rsidP="00E52B68">
            <w:pPr>
              <w:spacing w:line="240" w:lineRule="auto"/>
              <w:rPr>
                <w:rFonts w:ascii="Arial Narrow" w:hAnsi="Arial Narrow"/>
                <w:sz w:val="20"/>
                <w:szCs w:val="20"/>
              </w:rPr>
            </w:pPr>
            <w:r w:rsidRPr="00E52B68">
              <w:rPr>
                <w:rFonts w:ascii="Arial Narrow" w:hAnsi="Arial Narrow"/>
                <w:sz w:val="20"/>
                <w:szCs w:val="20"/>
              </w:rPr>
              <w:t>When possible, avoid chronic coadministration of sorbitol-containing medicines with lamivudine. Consider more frequent monitoring of HIV-1 viral load when chronic coadministration cannot be avoided.</w:t>
            </w:r>
          </w:p>
        </w:tc>
      </w:tr>
    </w:tbl>
    <w:p w14:paraId="042B197E" w14:textId="5ACAC4D5" w:rsidR="00E52B68" w:rsidRPr="00BD41C6" w:rsidRDefault="00D86E6F" w:rsidP="00FB7D66">
      <w:pPr>
        <w:spacing w:line="240" w:lineRule="auto"/>
        <w:rPr>
          <w:lang w:eastAsia="zh-CN"/>
        </w:rPr>
      </w:pPr>
      <w:r w:rsidRPr="00BD41C6">
        <w:rPr>
          <w:rFonts w:ascii="Arial Narrow" w:eastAsia="Times New Roman" w:hAnsi="Arial Narrow"/>
          <w:sz w:val="20"/>
          <w:szCs w:val="20"/>
          <w:lang w:eastAsia="zh-CN"/>
        </w:rPr>
        <w:t xml:space="preserve">Abbreviations: </w:t>
      </w:r>
      <w:r w:rsidRPr="00BD41C6">
        <w:rPr>
          <w:rFonts w:ascii="Arial Narrow" w:eastAsia="Times New Roman" w:hAnsi="Arial Narrow"/>
          <w:sz w:val="20"/>
          <w:szCs w:val="20"/>
        </w:rPr>
        <w:sym w:font="Symbol" w:char="F0AD"/>
      </w:r>
      <w:r w:rsidRPr="00BD41C6">
        <w:rPr>
          <w:rFonts w:ascii="Arial Narrow" w:eastAsia="Times New Roman" w:hAnsi="Arial Narrow"/>
          <w:sz w:val="20"/>
          <w:szCs w:val="20"/>
          <w:lang w:eastAsia="zh-CN"/>
        </w:rPr>
        <w:t xml:space="preserve"> = Increase; </w:t>
      </w:r>
      <w:r w:rsidRPr="00BD41C6">
        <w:rPr>
          <w:rFonts w:ascii="Arial Narrow" w:eastAsia="Times New Roman" w:hAnsi="Arial Narrow"/>
          <w:sz w:val="20"/>
          <w:szCs w:val="20"/>
        </w:rPr>
        <w:sym w:font="Symbol" w:char="F0AF"/>
      </w:r>
      <w:r w:rsidRPr="00BD41C6">
        <w:rPr>
          <w:rFonts w:ascii="Arial Narrow" w:eastAsia="Times New Roman" w:hAnsi="Arial Narrow"/>
          <w:sz w:val="20"/>
          <w:szCs w:val="20"/>
          <w:lang w:eastAsia="zh-CN"/>
        </w:rPr>
        <w:t xml:space="preserve"> = decrease; </w:t>
      </w:r>
      <w:r w:rsidRPr="00BD41C6">
        <w:rPr>
          <w:rFonts w:ascii="Arial Narrow" w:eastAsia="Times New Roman" w:hAnsi="Arial Narrow"/>
          <w:sz w:val="20"/>
          <w:szCs w:val="20"/>
        </w:rPr>
        <w:sym w:font="Symbol" w:char="F0AB"/>
      </w:r>
      <w:r w:rsidRPr="00BD41C6">
        <w:rPr>
          <w:rFonts w:ascii="Arial Narrow" w:eastAsia="Times New Roman" w:hAnsi="Arial Narrow"/>
          <w:sz w:val="20"/>
          <w:szCs w:val="20"/>
          <w:lang w:eastAsia="zh-CN"/>
        </w:rPr>
        <w:t xml:space="preserve"> = no significant change; AUC = area under the concentration versus time curve; </w:t>
      </w:r>
      <w:proofErr w:type="spellStart"/>
      <w:r w:rsidRPr="00BD41C6">
        <w:rPr>
          <w:rFonts w:ascii="Arial Narrow" w:eastAsia="Times New Roman" w:hAnsi="Arial Narrow"/>
          <w:sz w:val="20"/>
          <w:szCs w:val="20"/>
          <w:lang w:eastAsia="zh-CN"/>
        </w:rPr>
        <w:t>C</w:t>
      </w:r>
      <w:r w:rsidRPr="00BD41C6">
        <w:rPr>
          <w:rFonts w:ascii="Arial Narrow" w:eastAsia="Times New Roman" w:hAnsi="Arial Narrow"/>
          <w:sz w:val="20"/>
          <w:szCs w:val="20"/>
          <w:vertAlign w:val="subscript"/>
          <w:lang w:eastAsia="zh-CN"/>
        </w:rPr>
        <w:t>max</w:t>
      </w:r>
      <w:proofErr w:type="spellEnd"/>
      <w:r w:rsidRPr="00BD41C6">
        <w:rPr>
          <w:rFonts w:ascii="Arial Narrow" w:eastAsia="Times New Roman" w:hAnsi="Arial Narrow"/>
          <w:sz w:val="20"/>
          <w:szCs w:val="20"/>
          <w:vertAlign w:val="subscript"/>
          <w:lang w:eastAsia="zh-CN"/>
        </w:rPr>
        <w:t xml:space="preserve"> </w:t>
      </w:r>
      <w:r w:rsidRPr="00BD41C6">
        <w:rPr>
          <w:rFonts w:ascii="Arial Narrow" w:eastAsia="Times New Roman" w:hAnsi="Arial Narrow"/>
          <w:sz w:val="20"/>
          <w:szCs w:val="20"/>
          <w:lang w:eastAsia="zh-CN"/>
        </w:rPr>
        <w:t xml:space="preserve">= </w:t>
      </w:r>
      <w:r>
        <w:rPr>
          <w:rFonts w:ascii="Arial Narrow" w:eastAsia="Times New Roman" w:hAnsi="Arial Narrow"/>
          <w:sz w:val="20"/>
          <w:szCs w:val="20"/>
          <w:lang w:eastAsia="zh-CN"/>
        </w:rPr>
        <w:t>maximum observed concentration</w:t>
      </w:r>
      <w:r w:rsidRPr="00BD41C6">
        <w:rPr>
          <w:rFonts w:ascii="Arial Narrow" w:eastAsia="Times New Roman" w:hAnsi="Arial Narrow"/>
          <w:sz w:val="20"/>
          <w:szCs w:val="20"/>
        </w:rPr>
        <w:t>.</w:t>
      </w:r>
    </w:p>
    <w:p w14:paraId="2BE413FC" w14:textId="0666D38B" w:rsidR="003D316B" w:rsidRPr="00AF2C08" w:rsidRDefault="004A09A2" w:rsidP="00D47784">
      <w:pPr>
        <w:pStyle w:val="Heading2"/>
      </w:pPr>
      <w:r w:rsidRPr="00AF2C08">
        <w:t xml:space="preserve">Fertility, pregnancy and lactation </w:t>
      </w:r>
    </w:p>
    <w:p w14:paraId="67DF7AF1" w14:textId="77777777" w:rsidR="003D316B" w:rsidRPr="00AF2C08" w:rsidRDefault="004A09A2" w:rsidP="00192B58">
      <w:pPr>
        <w:pStyle w:val="Heading3"/>
      </w:pPr>
      <w:r w:rsidRPr="00AF2C08">
        <w:t xml:space="preserve">Effects on </w:t>
      </w:r>
      <w:r w:rsidR="0004222B">
        <w:t>f</w:t>
      </w:r>
      <w:r w:rsidRPr="00AF2C08">
        <w:t>ertility</w:t>
      </w:r>
    </w:p>
    <w:p w14:paraId="037C6BF0" w14:textId="753836BD" w:rsidR="00410EF5" w:rsidRPr="00AF2C08" w:rsidRDefault="004A09A2" w:rsidP="00192B58">
      <w:r w:rsidRPr="00AF2C08">
        <w:t xml:space="preserve">There are no data on the effects of dolutegravir or </w:t>
      </w:r>
      <w:r w:rsidR="00DF28F7">
        <w:t>lamivudine</w:t>
      </w:r>
      <w:r w:rsidRPr="00AF2C08">
        <w:t xml:space="preserve"> on human male or female fertility</w:t>
      </w:r>
      <w:r w:rsidRPr="00D86E6F">
        <w:t xml:space="preserve">. </w:t>
      </w:r>
      <w:r w:rsidR="00C861A4">
        <w:t>No studies on the effect o</w:t>
      </w:r>
      <w:r w:rsidR="004A0ABA">
        <w:t>n</w:t>
      </w:r>
      <w:r w:rsidR="00C861A4">
        <w:t xml:space="preserve"> fertility have been conducted with DOVATO</w:t>
      </w:r>
      <w:r w:rsidR="004A0ABA">
        <w:t>. Individually, a</w:t>
      </w:r>
      <w:r w:rsidR="00D86E6F" w:rsidRPr="00D86E6F">
        <w:t>nimal studies indicate no effects of dolutegravir or lamivudine on male or female fertility</w:t>
      </w:r>
      <w:r w:rsidR="00D86E6F">
        <w:t>.</w:t>
      </w:r>
      <w:r w:rsidR="00D86E6F" w:rsidRPr="00D86E6F">
        <w:t xml:space="preserve"> </w:t>
      </w:r>
      <w:r w:rsidRPr="00D86E6F">
        <w:t xml:space="preserve">Dolutegravir did not affect male or female fertility in rats at doses up to 1,000 mg/kg/day, associated with an exposure level </w:t>
      </w:r>
      <w:r w:rsidR="00467C54" w:rsidRPr="00D86E6F">
        <w:t xml:space="preserve">33 </w:t>
      </w:r>
      <w:r w:rsidRPr="00D86E6F">
        <w:t xml:space="preserve">times the clinical exposure based on AUC at the maximum recommended dose </w:t>
      </w:r>
      <w:r w:rsidR="00410EF5" w:rsidRPr="00D86E6F">
        <w:t xml:space="preserve">of 50 mg </w:t>
      </w:r>
      <w:r w:rsidR="00467C54" w:rsidRPr="00D86E6F">
        <w:t>once daily (QD)</w:t>
      </w:r>
      <w:r w:rsidR="00410EF5" w:rsidRPr="00D86E6F">
        <w:t>.</w:t>
      </w:r>
      <w:r w:rsidR="004A0ABA">
        <w:t xml:space="preserve"> Similarly, lamivudine did not affect male or female fertility in rats at doses up to 2,000 mg/kg twice daily, associated with exposure levels of up to 94 times based on AUC and up to 41 times based on </w:t>
      </w:r>
      <w:proofErr w:type="spellStart"/>
      <w:r w:rsidR="004A0ABA">
        <w:t>C</w:t>
      </w:r>
      <w:r w:rsidR="004A0ABA" w:rsidRPr="004A0ABA">
        <w:rPr>
          <w:vertAlign w:val="subscript"/>
        </w:rPr>
        <w:t>max</w:t>
      </w:r>
      <w:proofErr w:type="spellEnd"/>
      <w:r w:rsidR="004A0ABA">
        <w:t>, the clinical exposure at 300 mg QD.</w:t>
      </w:r>
    </w:p>
    <w:p w14:paraId="1F01AFFD" w14:textId="6B4EAE0D" w:rsidR="00B501EF" w:rsidRPr="00AF2C08" w:rsidRDefault="004A09A2" w:rsidP="00410EF5">
      <w:pPr>
        <w:pStyle w:val="Heading3"/>
      </w:pPr>
      <w:r w:rsidRPr="00AF2C08">
        <w:lastRenderedPageBreak/>
        <w:t xml:space="preserve">Use in </w:t>
      </w:r>
      <w:r w:rsidR="00B54634" w:rsidRPr="00AF2C08">
        <w:t>pregnancy</w:t>
      </w:r>
    </w:p>
    <w:p w14:paraId="1EC93808" w14:textId="0898EF38" w:rsidR="00410EF5" w:rsidRPr="00AF2C08" w:rsidRDefault="004A09A2" w:rsidP="00537D02">
      <w:pPr>
        <w:spacing w:after="0"/>
        <w:rPr>
          <w:b/>
        </w:rPr>
      </w:pPr>
      <w:r w:rsidRPr="00AF2C08">
        <w:rPr>
          <w:b/>
        </w:rPr>
        <w:t xml:space="preserve">(Category </w:t>
      </w:r>
      <w:r w:rsidR="00104FCC" w:rsidRPr="00AF2C08">
        <w:rPr>
          <w:b/>
        </w:rPr>
        <w:t>B</w:t>
      </w:r>
      <w:r w:rsidR="00104FCC">
        <w:rPr>
          <w:b/>
        </w:rPr>
        <w:t>3</w:t>
      </w:r>
      <w:r w:rsidRPr="00AF2C08">
        <w:rPr>
          <w:b/>
        </w:rPr>
        <w:t>)</w:t>
      </w:r>
    </w:p>
    <w:p w14:paraId="74BE6B17" w14:textId="6E1DE2E0" w:rsidR="00DF28F7" w:rsidRDefault="00DF28F7" w:rsidP="00B07FBC">
      <w:r>
        <w:t>DOVATO</w:t>
      </w:r>
      <w:r w:rsidRPr="00DF28F7">
        <w:t xml:space="preserve"> should be used during pregnancy only if the benefit to the mother outweighs the possible risk to the </w:t>
      </w:r>
      <w:r w:rsidR="00B861BE" w:rsidRPr="00DF28F7">
        <w:t>foetus</w:t>
      </w:r>
      <w:r w:rsidRPr="00DF28F7">
        <w:t xml:space="preserve">.  Women of childbearing potential (WOCBP) should undergo pregnancy testing before initiation of </w:t>
      </w:r>
      <w:r>
        <w:t>DOVATO</w:t>
      </w:r>
      <w:r w:rsidRPr="00DF28F7">
        <w:t xml:space="preserve"> and </w:t>
      </w:r>
      <w:r>
        <w:t>DOVATO</w:t>
      </w:r>
      <w:r w:rsidRPr="00DF28F7">
        <w:t xml:space="preserve"> should be avoided in t</w:t>
      </w:r>
      <w:r>
        <w:t xml:space="preserve">he first trimester. </w:t>
      </w:r>
      <w:r w:rsidRPr="00DF28F7">
        <w:t xml:space="preserve">WOCBP who are taking </w:t>
      </w:r>
      <w:r>
        <w:t>DOVATO</w:t>
      </w:r>
      <w:r w:rsidRPr="00DF28F7">
        <w:t xml:space="preserve"> should use effective contraception throughout treatment.</w:t>
      </w:r>
    </w:p>
    <w:p w14:paraId="7B99B348" w14:textId="1C590CA7" w:rsidR="004A0ABA" w:rsidRDefault="004A0ABA" w:rsidP="00B07FBC">
      <w:r>
        <w:t>No studies on the effect on embryofetal development have been conducted with DOVATO</w:t>
      </w:r>
      <w:r w:rsidR="00A77D98">
        <w:t>.</w:t>
      </w:r>
      <w:r w:rsidR="005B607C">
        <w:t xml:space="preserve"> </w:t>
      </w:r>
    </w:p>
    <w:p w14:paraId="4EDD9213" w14:textId="1F473398" w:rsidR="00DF28F7" w:rsidRDefault="00DF28F7" w:rsidP="00DF28F7">
      <w:r>
        <w:t xml:space="preserve">There are </w:t>
      </w:r>
      <w:r w:rsidR="004A0ABA">
        <w:t xml:space="preserve">also </w:t>
      </w:r>
      <w:r>
        <w:t xml:space="preserve">no adequate and well-controlled studies of DOVATO in pregnant women. The effect of </w:t>
      </w:r>
      <w:r w:rsidR="008774FC">
        <w:t xml:space="preserve">DOVATO </w:t>
      </w:r>
      <w:r>
        <w:t>on human pregnancy is unknown.</w:t>
      </w:r>
      <w:r w:rsidR="005B607C">
        <w:t xml:space="preserve"> </w:t>
      </w:r>
    </w:p>
    <w:p w14:paraId="2539D35F" w14:textId="0B9599AC" w:rsidR="00DF28F7" w:rsidRDefault="00DF28F7" w:rsidP="00DF28F7">
      <w:r>
        <w:t xml:space="preserve">In a preliminary analysis of an ongoing birth outcome surveillance study in Botswana there have been 4 cases (as of May 2018) of neural tube defects reported in 426 infants born to mothers who were exposed to dolutegravir-containing regimens from the time of conception.  In the same study, no infant born to a woman who started dolutegravir during pregnancy had a neural tube defect, out of 2,812 women.  A causal relationship of these events to the use of dolutegravir has not been established.  The incidence of neural tube defects in the general population ranges from 0.5-1 case per 1,000 live births.  As neural tube defects occur within the first 4 weeks of </w:t>
      </w:r>
      <w:r w:rsidR="00B861BE">
        <w:t>foetal</w:t>
      </w:r>
      <w:r>
        <w:t xml:space="preserve"> development (at which time the neural tubes are sealed) this potential risk would concern women exposed to dolutegravir at the time of conception and in early pregnancy.</w:t>
      </w:r>
    </w:p>
    <w:p w14:paraId="4CB85567" w14:textId="6BD63E8F" w:rsidR="00DF28F7" w:rsidRDefault="00DF28F7" w:rsidP="00DF28F7">
      <w:r>
        <w:t>Although there is limited experience with the use of dolutegravir in pregnancy, the available data from other sources including the Antiretroviral Pregnancy Registry (including over 120 completed pregnancies as of May 2018 in mothers exposed to dolutegravir at the time of conception), clinical trials and post-marketing use has not indicated a similar potential safety issue.</w:t>
      </w:r>
      <w:r w:rsidR="005B607C">
        <w:t xml:space="preserve"> </w:t>
      </w:r>
    </w:p>
    <w:p w14:paraId="28774A72" w14:textId="65BE79D9" w:rsidR="00410EF5" w:rsidRPr="00AF2C08" w:rsidRDefault="004A09A2" w:rsidP="00192B58">
      <w:r w:rsidRPr="00AF2C08">
        <w:t xml:space="preserve">In </w:t>
      </w:r>
      <w:r w:rsidR="00B07FBC">
        <w:t xml:space="preserve">animal </w:t>
      </w:r>
      <w:r w:rsidRPr="00AF2C08">
        <w:t xml:space="preserve">reproductive toxicity studies </w:t>
      </w:r>
      <w:r w:rsidR="00B07FBC">
        <w:t>with</w:t>
      </w:r>
      <w:r w:rsidRPr="00AF2C08">
        <w:t xml:space="preserve"> dolutegravir</w:t>
      </w:r>
      <w:r w:rsidR="00B07FBC">
        <w:t>, no adverse development outcomes, including neural tube defects, were identified. Dolutegravir</w:t>
      </w:r>
      <w:r w:rsidRPr="00AF2C08">
        <w:t xml:space="preserve"> wa</w:t>
      </w:r>
      <w:r w:rsidR="00410EF5" w:rsidRPr="00AF2C08">
        <w:t>s shown to cross the placenta</w:t>
      </w:r>
      <w:r w:rsidR="00B07FBC">
        <w:t xml:space="preserve"> in animals</w:t>
      </w:r>
      <w:r w:rsidR="00410EF5" w:rsidRPr="00AF2C08">
        <w:t>.</w:t>
      </w:r>
    </w:p>
    <w:p w14:paraId="036FD275" w14:textId="06E43072" w:rsidR="00410EF5" w:rsidRPr="00AF2C08" w:rsidRDefault="004A09A2" w:rsidP="00192B58">
      <w:r w:rsidRPr="00AF2C08">
        <w:t>Oral administration of dolutegravir to pregnant rats at doses up to 1,000 mg/kg daily from days 6 to 17 of gestation did not elicit maternal toxicity, developmental toxicity or teratogenicity (</w:t>
      </w:r>
      <w:r w:rsidR="008774FC">
        <w:t>38</w:t>
      </w:r>
      <w:r w:rsidR="004143A7" w:rsidRPr="00AF2C08">
        <w:t xml:space="preserve"> </w:t>
      </w:r>
      <w:r w:rsidRPr="00AF2C08">
        <w:t xml:space="preserve">times the human clinical exposure based on AUC at the maximum recommended dose of 50 mg </w:t>
      </w:r>
      <w:r w:rsidR="004143A7">
        <w:t>QD</w:t>
      </w:r>
      <w:r w:rsidR="00410EF5" w:rsidRPr="00AF2C08">
        <w:t>).</w:t>
      </w:r>
    </w:p>
    <w:p w14:paraId="73E97A37" w14:textId="05351D5A" w:rsidR="00410EF5" w:rsidRPr="00AF2C08" w:rsidRDefault="004A09A2" w:rsidP="00192B58">
      <w:r w:rsidRPr="00AF2C08">
        <w:t>Oral administration of dolutegravir to pregnant rabbits at doses up to 1000 mg/kg daily from days 6 to 18 of gestation was associated with marked maternal toxicity but did not elicit developmental toxicity or teratogenicity in the offspring (0.</w:t>
      </w:r>
      <w:r w:rsidR="004143A7">
        <w:t>56</w:t>
      </w:r>
      <w:r w:rsidR="004143A7" w:rsidRPr="00AF2C08">
        <w:t xml:space="preserve"> </w:t>
      </w:r>
      <w:r w:rsidRPr="00AF2C08">
        <w:t>times the cl</w:t>
      </w:r>
      <w:r w:rsidR="00410EF5" w:rsidRPr="00AF2C08">
        <w:t>inical exposure based on AUC).</w:t>
      </w:r>
      <w:r w:rsidR="004B7E54">
        <w:t xml:space="preserve"> </w:t>
      </w:r>
    </w:p>
    <w:p w14:paraId="390CFEC7" w14:textId="67877BEC" w:rsidR="00104FCC" w:rsidRDefault="004B7E54" w:rsidP="004B7E54">
      <w:r>
        <w:t>Lamivudine was associated with findings in animal reproductive toxicity studies</w:t>
      </w:r>
      <w:r w:rsidR="00C91780">
        <w:t xml:space="preserve">. </w:t>
      </w:r>
      <w:r w:rsidR="00C91780" w:rsidRPr="00C91780">
        <w:t>Lamivudine was not teratogenic in animal studies, but there were indications of an increase in early embryonic deaths in rabbits at exposure levels comparable to those achieved in man</w:t>
      </w:r>
      <w:r w:rsidR="00455A4B">
        <w:t xml:space="preserve"> (based on </w:t>
      </w:r>
      <w:proofErr w:type="spellStart"/>
      <w:r w:rsidR="00455A4B">
        <w:t>C</w:t>
      </w:r>
      <w:r w:rsidR="00455A4B" w:rsidRPr="00455A4B">
        <w:rPr>
          <w:vertAlign w:val="subscript"/>
        </w:rPr>
        <w:t>max</w:t>
      </w:r>
      <w:proofErr w:type="spellEnd"/>
      <w:r w:rsidR="00455A4B">
        <w:t xml:space="preserve"> and AUC)</w:t>
      </w:r>
      <w:r w:rsidR="00C91780" w:rsidRPr="00C91780">
        <w:t xml:space="preserve">. However, there was no evidence of embryonic loss in rats at exposure levels of approximately </w:t>
      </w:r>
      <w:r w:rsidR="00455A4B">
        <w:t>21</w:t>
      </w:r>
      <w:r w:rsidR="00455A4B" w:rsidRPr="00C91780">
        <w:t xml:space="preserve"> </w:t>
      </w:r>
      <w:r w:rsidR="00C91780" w:rsidRPr="00C91780">
        <w:t xml:space="preserve">times the clinical exposure (based on </w:t>
      </w:r>
      <w:proofErr w:type="spellStart"/>
      <w:r w:rsidR="00C91780" w:rsidRPr="00C91780">
        <w:t>C</w:t>
      </w:r>
      <w:r w:rsidR="00C91780" w:rsidRPr="00C91780">
        <w:rPr>
          <w:vertAlign w:val="subscript"/>
        </w:rPr>
        <w:t>max</w:t>
      </w:r>
      <w:proofErr w:type="spellEnd"/>
      <w:r w:rsidR="00C91780" w:rsidRPr="00C91780">
        <w:t>).</w:t>
      </w:r>
    </w:p>
    <w:p w14:paraId="7C2F1D2F" w14:textId="17B9AFEE" w:rsidR="00410EF5" w:rsidRPr="00AF2C08" w:rsidRDefault="00104FCC" w:rsidP="004B7E54">
      <w:r>
        <w:lastRenderedPageBreak/>
        <w:t xml:space="preserve">Mitochondrial dysfunction: nucleoside and nucleotide analogues have been demonstrated </w:t>
      </w:r>
      <w:r>
        <w:rPr>
          <w:i/>
          <w:iCs/>
        </w:rPr>
        <w:t xml:space="preserve">in vitro </w:t>
      </w:r>
      <w:r>
        <w:t xml:space="preserve">and </w:t>
      </w:r>
      <w:r>
        <w:rPr>
          <w:i/>
          <w:iCs/>
        </w:rPr>
        <w:t xml:space="preserve">in vivo </w:t>
      </w:r>
      <w:r>
        <w:t xml:space="preserve">to cause a variable degree of mitochondrial damage. There have been reports of mitochondrial dysfunction in HIV-negative infants exposed </w:t>
      </w:r>
      <w:r>
        <w:rPr>
          <w:i/>
          <w:iCs/>
        </w:rPr>
        <w:t xml:space="preserve">in utero </w:t>
      </w:r>
      <w:r>
        <w:t>and/or post-</w:t>
      </w:r>
      <w:proofErr w:type="spellStart"/>
      <w:r>
        <w:t>natally</w:t>
      </w:r>
      <w:proofErr w:type="spellEnd"/>
      <w:r>
        <w:t xml:space="preserve"> to nucleoside analogues. The main adverse reactions reported are haematological disorders (anaemia, </w:t>
      </w:r>
      <w:r w:rsidR="000C00F4">
        <w:t>neutropoenia</w:t>
      </w:r>
      <w:r>
        <w:t xml:space="preserve">), metabolic disorders (hyperlactatemia, </w:t>
      </w:r>
      <w:proofErr w:type="spellStart"/>
      <w:r>
        <w:t>hyperlipas</w:t>
      </w:r>
      <w:r w:rsidR="000C00F4">
        <w:t>a</w:t>
      </w:r>
      <w:r>
        <w:t>emia</w:t>
      </w:r>
      <w:proofErr w:type="spellEnd"/>
      <w:r>
        <w:t xml:space="preserve">). These reactions are often transitory. Some late-onset neurological disorders have been reported (hypertonia, convulsion, abnormal behaviour). Whether the neurological disorders are transient or permanent is currently unknown. Any child exposed </w:t>
      </w:r>
      <w:r>
        <w:rPr>
          <w:i/>
          <w:iCs/>
        </w:rPr>
        <w:t xml:space="preserve">in utero </w:t>
      </w:r>
      <w:r>
        <w:t>to nucleoside and nucleotide analogues, even HIV negative children, should have clinical and laboratory follow-up and should be fully investigated for possible mitochondrial dysfunction in case of relevant signs or symptoms. These findings do not affect current national recommendations to use antiretroviral therapy in pregnant women to prevent vertical transmission of HIV.</w:t>
      </w:r>
    </w:p>
    <w:p w14:paraId="64CB0CE0" w14:textId="77777777" w:rsidR="003D316B" w:rsidRPr="00AF2C08" w:rsidRDefault="004A09A2" w:rsidP="00192B58">
      <w:pPr>
        <w:pStyle w:val="Heading3"/>
      </w:pPr>
      <w:r w:rsidRPr="00AF2C08">
        <w:t xml:space="preserve">Use in </w:t>
      </w:r>
      <w:r w:rsidR="00B54634" w:rsidRPr="00AF2C08">
        <w:t>lactation</w:t>
      </w:r>
    </w:p>
    <w:p w14:paraId="5CB9D5F9" w14:textId="77777777" w:rsidR="00410EF5" w:rsidRPr="00AF2C08" w:rsidRDefault="004A09A2" w:rsidP="00192B58">
      <w:r w:rsidRPr="00AF2C08">
        <w:t xml:space="preserve">Health experts recommend that where possible HIV infected women do not breast feed their infants in order to avoid transmission of HIV. In settings where formula feeding is not feasible, local official lactation and treatment guidelines should be followed when considering breast feeding </w:t>
      </w:r>
      <w:r w:rsidR="00410EF5" w:rsidRPr="00AF2C08">
        <w:t>during antiretroviral therapy.</w:t>
      </w:r>
    </w:p>
    <w:p w14:paraId="0F859215" w14:textId="4912E285" w:rsidR="007678F9" w:rsidRDefault="004A09A2" w:rsidP="00192B58">
      <w:r w:rsidRPr="00AF2C08">
        <w:t>It is expected that dolutegravir will be secreted into human milk based on animal data, although this has not been confirmed in humans.</w:t>
      </w:r>
    </w:p>
    <w:p w14:paraId="7488EEAA" w14:textId="276EA374" w:rsidR="00455A4B" w:rsidRDefault="00455A4B" w:rsidP="00192B58">
      <w:r>
        <w:t>A study in lactating rats showed that the concentration of lamivudine in milk, was more than four times higher than that in maternal plasma.</w:t>
      </w:r>
    </w:p>
    <w:p w14:paraId="6052A12C" w14:textId="153041C2" w:rsidR="003D316B" w:rsidRPr="00AF2C08" w:rsidRDefault="007678F9" w:rsidP="00192B58">
      <w:r w:rsidRPr="007678F9">
        <w:t>In a study following repeat oral dose of either 150 mg lamivudine twice daily (given in combination with 300 mg zidovudine twice daily) or 300 mg lamivudine twice daily, lamivudine was excreted in human breast milk (0.5 to 8.2 micrograms/mL) at similar concentrations to those found in serum. In other studies</w:t>
      </w:r>
      <w:r w:rsidR="001F1F06">
        <w:t>,</w:t>
      </w:r>
      <w:r w:rsidRPr="007678F9">
        <w:t xml:space="preserve"> following repeat oral dose of 150 mg lamivudine twice daily (given either in combination with 300 mg zidovudine or as </w:t>
      </w:r>
      <w:proofErr w:type="spellStart"/>
      <w:r w:rsidRPr="007678F9">
        <w:t>Combivir</w:t>
      </w:r>
      <w:proofErr w:type="spellEnd"/>
      <w:r w:rsidRPr="007678F9">
        <w:t xml:space="preserve"> or </w:t>
      </w:r>
      <w:proofErr w:type="spellStart"/>
      <w:r w:rsidRPr="007678F9">
        <w:t>Trizivir</w:t>
      </w:r>
      <w:proofErr w:type="spellEnd"/>
      <w:r w:rsidRPr="007678F9">
        <w:t>) the breast milk:</w:t>
      </w:r>
      <w:r>
        <w:t xml:space="preserve"> </w:t>
      </w:r>
      <w:r w:rsidRPr="007678F9">
        <w:t>maternal plasma ratio ranged between 0.6 and 3.3. Lamivudine median infant serum concentrations ranged between 18 and 28 ng/mL and were not detectable in one of the studies (assay sensitivity 7 ng/mL). Intracellular lamivudine triphosphate (active metabolite of lamivudine) levels in breastfed infants were not measured therefore the clinical relevance of the serum concentrations of the parent compound measured is unknown.</w:t>
      </w:r>
    </w:p>
    <w:p w14:paraId="5CFE0E84" w14:textId="77777777" w:rsidR="003D316B" w:rsidRPr="00AF2C08" w:rsidRDefault="004A09A2" w:rsidP="00192B58">
      <w:pPr>
        <w:pStyle w:val="Heading2"/>
      </w:pPr>
      <w:r w:rsidRPr="00AF2C08">
        <w:t xml:space="preserve">Effects on ability to drive and use machines </w:t>
      </w:r>
    </w:p>
    <w:p w14:paraId="302C4947" w14:textId="4646F4A5" w:rsidR="00F80A39" w:rsidRDefault="004A09A2">
      <w:pPr>
        <w:rPr>
          <w:b/>
          <w:caps/>
          <w:sz w:val="24"/>
        </w:rPr>
      </w:pPr>
      <w:r w:rsidRPr="00AF2C08">
        <w:t xml:space="preserve">There have been no studies to investigate the effect of </w:t>
      </w:r>
      <w:r w:rsidR="004223CA">
        <w:t>DOVATO</w:t>
      </w:r>
      <w:r w:rsidRPr="00AF2C08">
        <w:t xml:space="preserve"> on driving performance or the ability to operate machinery.</w:t>
      </w:r>
      <w:r w:rsidR="003C14B0" w:rsidRPr="003C14B0">
        <w:t xml:space="preserve"> A detrimental effect on such activities would not be anticipated given the pharmacology of these medicinal products. </w:t>
      </w:r>
      <w:r w:rsidRPr="00AF2C08">
        <w:t xml:space="preserve">The clinical status of the patient and the adverse event profile </w:t>
      </w:r>
      <w:r w:rsidR="003C14B0">
        <w:t xml:space="preserve">of </w:t>
      </w:r>
      <w:r w:rsidR="004223CA">
        <w:t>DOVATO</w:t>
      </w:r>
      <w:r w:rsidRPr="00AF2C08">
        <w:t xml:space="preserve"> should be borne in mind when considering the patient's ability to drive or operate machinery.</w:t>
      </w:r>
    </w:p>
    <w:p w14:paraId="574CCF4B" w14:textId="0287C097" w:rsidR="001463B9" w:rsidRDefault="004A09A2" w:rsidP="00A93C3A">
      <w:pPr>
        <w:pStyle w:val="Heading2"/>
        <w:keepNext/>
        <w:keepLines/>
      </w:pPr>
      <w:r w:rsidRPr="00AF2C08">
        <w:lastRenderedPageBreak/>
        <w:t>Adverse effects (Undesirable effects)</w:t>
      </w:r>
    </w:p>
    <w:p w14:paraId="50CEB6CD" w14:textId="3D05A6BE" w:rsidR="00C019BD" w:rsidRDefault="00C019BD">
      <w:pPr>
        <w:pStyle w:val="Heading3"/>
      </w:pPr>
      <w:r w:rsidRPr="00AF2C08">
        <w:t>Clinical trial data</w:t>
      </w:r>
    </w:p>
    <w:p w14:paraId="78ADBEE3" w14:textId="0C2CE2DB" w:rsidR="001824CE" w:rsidRDefault="001824CE" w:rsidP="00A93C3A">
      <w:pPr>
        <w:keepNext/>
        <w:keepLines/>
      </w:pPr>
      <w:r>
        <w:t>DOVATO</w:t>
      </w:r>
      <w:r w:rsidRPr="00AF2C08">
        <w:t xml:space="preserve"> contains dolutegravir plus </w:t>
      </w:r>
      <w:r w:rsidR="00AF3C64">
        <w:t>lamivudine</w:t>
      </w:r>
      <w:r w:rsidRPr="00AF2C08">
        <w:t>, therefore the adverse drug reactions (ADRs) associated with these individual co</w:t>
      </w:r>
      <w:r>
        <w:t xml:space="preserve">mponents may be expected. </w:t>
      </w:r>
    </w:p>
    <w:p w14:paraId="0DE5A9F4" w14:textId="15424D44" w:rsidR="00C767F7" w:rsidRDefault="001B2848" w:rsidP="002D37B9">
      <w:r w:rsidRPr="001B2848">
        <w:t xml:space="preserve">Clinical safety data with </w:t>
      </w:r>
      <w:r>
        <w:t>DOVATO</w:t>
      </w:r>
      <w:r w:rsidRPr="001B2848">
        <w:t xml:space="preserve"> are limited</w:t>
      </w:r>
      <w:r w:rsidR="00553EAB">
        <w:t>.</w:t>
      </w:r>
      <w:r w:rsidRPr="001B2848">
        <w:t xml:space="preserve"> </w:t>
      </w:r>
      <w:r w:rsidR="00C019BD" w:rsidRPr="00C019BD">
        <w:t xml:space="preserve">The safety assessment of DOVATO in HIV–1-infected treatment-naive adult subjects with viral load ≤500,000 HIV-1 RNA copies/mL, is based on the pooled primary Week 48 analyses of data from 2 identical, </w:t>
      </w:r>
      <w:r w:rsidR="00596EF9" w:rsidRPr="00C019BD">
        <w:t>multicentre</w:t>
      </w:r>
      <w:r w:rsidR="00C019BD" w:rsidRPr="00C019BD">
        <w:t>, double-blind, controlled trials, GEMINI-1 and GEMINI-2</w:t>
      </w:r>
      <w:r w:rsidR="00FF6359">
        <w:t xml:space="preserve">. A total of </w:t>
      </w:r>
      <w:r w:rsidR="00FB27A9">
        <w:t>716</w:t>
      </w:r>
      <w:r w:rsidR="00FF6359">
        <w:t xml:space="preserve"> HIV-1 infected </w:t>
      </w:r>
      <w:r w:rsidR="00FB27A9">
        <w:t xml:space="preserve">adults with no </w:t>
      </w:r>
      <w:r w:rsidR="00FF6359">
        <w:t>antiretroviral treatment</w:t>
      </w:r>
      <w:r w:rsidR="00FB27A9">
        <w:t xml:space="preserve"> history </w:t>
      </w:r>
      <w:r w:rsidR="007B63F7">
        <w:t>received at least one dose of</w:t>
      </w:r>
      <w:r w:rsidR="00FB27A9">
        <w:t xml:space="preserve"> dolutegravir 50 mg plus lamivudine 300 mg</w:t>
      </w:r>
      <w:r w:rsidR="003E0439">
        <w:t xml:space="preserve"> with a mean duration of exposure of </w:t>
      </w:r>
      <w:r w:rsidR="007B63F7">
        <w:t>59 weeks</w:t>
      </w:r>
      <w:r w:rsidR="00C019BD">
        <w:t xml:space="preserve"> </w:t>
      </w:r>
      <w:r w:rsidR="00C019BD" w:rsidRPr="00AF2C08">
        <w:t>(see Section 5.1 PHARMACODYNAMIC PROPERTIES, Clinical trials)</w:t>
      </w:r>
      <w:r w:rsidR="00C019BD">
        <w:t>.</w:t>
      </w:r>
    </w:p>
    <w:p w14:paraId="37E8C2CE" w14:textId="77777777" w:rsidR="00EB6CF3" w:rsidRPr="00EB6CF3" w:rsidRDefault="00EB6CF3" w:rsidP="00EB6CF3">
      <w:r w:rsidRPr="00EB6CF3">
        <w:t>An adverse event (AE) is any untoward medical occurrence in a patient or clinical trial subject administered a medicinal product. A causal relationship does not necessarily exist between an AE and the medicinal product, but is at least suspected. An adverse drug reaction (ADR) is a response to a medicinal product which is noxious and unintended and for which a causal relationship is at least a reasonable possibility and cannot be ruled out.</w:t>
      </w:r>
    </w:p>
    <w:p w14:paraId="30CD3BBA" w14:textId="08E9384C" w:rsidR="00126668" w:rsidRPr="00C241C1" w:rsidRDefault="00126668" w:rsidP="007271A4">
      <w:pPr>
        <w:rPr>
          <w:b/>
        </w:rPr>
      </w:pPr>
      <w:r w:rsidRPr="00C241C1">
        <w:rPr>
          <w:b/>
        </w:rPr>
        <w:t>Adverse events</w:t>
      </w:r>
    </w:p>
    <w:p w14:paraId="4B2C25D6" w14:textId="4C88A1E3" w:rsidR="007B63F7" w:rsidRDefault="007B63F7" w:rsidP="007271A4">
      <w:r w:rsidRPr="007B63F7">
        <w:t>The most common adverse events reported in ≥5% of subjects in the group that received DOVATO in the GEMINI studies were: headache, diarrhoea, nasopharyngitis, upper respiratory tract infection, pharyngitis, and back pai</w:t>
      </w:r>
      <w:r>
        <w:t>n</w:t>
      </w:r>
      <w:r w:rsidR="00AC67C6">
        <w:t>.</w:t>
      </w:r>
      <w:r w:rsidR="00EB6CF3">
        <w:t xml:space="preserve"> A summary of adverse events greater than or equal to 3% is provided in Table 3.</w:t>
      </w:r>
    </w:p>
    <w:p w14:paraId="1968FE21" w14:textId="30B750D1" w:rsidR="00C019BD" w:rsidRDefault="007271A4" w:rsidP="00FB7D66">
      <w:pPr>
        <w:ind w:left="1134" w:hanging="1134"/>
      </w:pPr>
      <w:bookmarkStart w:id="4" w:name="_Hlk17655594"/>
      <w:r w:rsidRPr="007271A4">
        <w:rPr>
          <w:b/>
        </w:rPr>
        <w:t xml:space="preserve">Table 3: </w:t>
      </w:r>
      <w:r w:rsidR="00FB7D66">
        <w:rPr>
          <w:b/>
        </w:rPr>
        <w:tab/>
      </w:r>
      <w:r w:rsidRPr="007271A4">
        <w:rPr>
          <w:b/>
        </w:rPr>
        <w:t xml:space="preserve">Summary of adverse events reported in ≥3% of subjects in any treatment group by overall frequency </w:t>
      </w:r>
      <w:r w:rsidR="00F34FB4" w:rsidRPr="00F34FB4">
        <w:rPr>
          <w:b/>
        </w:rPr>
        <w:t>in GEMINI-1 and GEMINI-2</w:t>
      </w:r>
      <w:r w:rsidR="00F34FB4" w:rsidRPr="007271A4">
        <w:rPr>
          <w:b/>
        </w:rPr>
        <w:t xml:space="preserve"> </w:t>
      </w:r>
      <w:r w:rsidRPr="007271A4">
        <w:rPr>
          <w:b/>
        </w:rPr>
        <w:t>(</w:t>
      </w:r>
      <w:r w:rsidR="009C2695">
        <w:rPr>
          <w:b/>
        </w:rPr>
        <w:t>W</w:t>
      </w:r>
      <w:r w:rsidRPr="007271A4">
        <w:rPr>
          <w:b/>
        </w:rPr>
        <w:t>eek 48 pooled analysis</w:t>
      </w:r>
      <w:r w:rsidRPr="007271A4">
        <w:t>)</w:t>
      </w:r>
    </w:p>
    <w:tbl>
      <w:tblPr>
        <w:tblW w:w="8789" w:type="dxa"/>
        <w:jc w:val="center"/>
        <w:shd w:val="clear" w:color="auto" w:fill="FFFFFF" w:themeFill="background1"/>
        <w:tblCellMar>
          <w:left w:w="0" w:type="dxa"/>
          <w:right w:w="0" w:type="dxa"/>
        </w:tblCellMar>
        <w:tblLook w:val="04A0" w:firstRow="1" w:lastRow="0" w:firstColumn="1" w:lastColumn="0" w:noHBand="0" w:noVBand="1"/>
      </w:tblPr>
      <w:tblGrid>
        <w:gridCol w:w="3260"/>
        <w:gridCol w:w="2835"/>
        <w:gridCol w:w="2694"/>
      </w:tblGrid>
      <w:tr w:rsidR="00652869" w:rsidRPr="00652869" w14:paraId="34F8073C" w14:textId="77777777" w:rsidTr="00792499">
        <w:trPr>
          <w:trHeight w:val="1210"/>
          <w:tblHeader/>
          <w:jc w:val="center"/>
        </w:trPr>
        <w:tc>
          <w:tcPr>
            <w:tcW w:w="32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bookmarkEnd w:id="4"/>
          <w:p w14:paraId="20CB2F55" w14:textId="77777777" w:rsidR="00652869" w:rsidRPr="00652869" w:rsidRDefault="00652869" w:rsidP="00553EAB">
            <w:pPr>
              <w:rPr>
                <w:rFonts w:ascii="Arial Narrow" w:hAnsi="Arial Narrow"/>
                <w:b/>
              </w:rPr>
            </w:pPr>
            <w:r w:rsidRPr="00652869">
              <w:rPr>
                <w:rFonts w:ascii="Arial Narrow" w:hAnsi="Arial Narrow"/>
                <w:b/>
              </w:rPr>
              <w:t>Preferred Term</w:t>
            </w:r>
          </w:p>
        </w:tc>
        <w:tc>
          <w:tcPr>
            <w:tcW w:w="2835"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DE38A53" w14:textId="010752DC" w:rsidR="00652869" w:rsidRPr="00652869" w:rsidRDefault="00652869" w:rsidP="00652869">
            <w:pPr>
              <w:jc w:val="center"/>
              <w:rPr>
                <w:rFonts w:ascii="Arial Narrow" w:hAnsi="Arial Narrow"/>
                <w:b/>
              </w:rPr>
            </w:pPr>
            <w:r w:rsidRPr="00652869">
              <w:rPr>
                <w:rFonts w:ascii="Arial Narrow" w:hAnsi="Arial Narrow"/>
                <w:b/>
              </w:rPr>
              <w:t>Dolutegravir plus lamivudine</w:t>
            </w:r>
          </w:p>
          <w:p w14:paraId="0D3E5FB5" w14:textId="2C7A77C4" w:rsidR="00652869" w:rsidRPr="00652869" w:rsidRDefault="00652869" w:rsidP="00652869">
            <w:pPr>
              <w:jc w:val="center"/>
              <w:rPr>
                <w:rFonts w:ascii="Arial Narrow" w:hAnsi="Arial Narrow"/>
                <w:b/>
              </w:rPr>
            </w:pPr>
            <w:r w:rsidRPr="00652869">
              <w:rPr>
                <w:rFonts w:ascii="Arial Narrow" w:hAnsi="Arial Narrow"/>
                <w:b/>
              </w:rPr>
              <w:t>N=</w:t>
            </w:r>
            <w:r w:rsidR="00596EF9">
              <w:rPr>
                <w:rFonts w:ascii="Arial Narrow" w:hAnsi="Arial Narrow"/>
                <w:b/>
              </w:rPr>
              <w:t>716</w:t>
            </w:r>
            <w:r w:rsidRPr="00652869">
              <w:rPr>
                <w:rFonts w:ascii="Arial Narrow" w:hAnsi="Arial Narrow"/>
                <w:b/>
              </w:rPr>
              <w:br/>
              <w:t>n(%)</w:t>
            </w:r>
          </w:p>
        </w:tc>
        <w:tc>
          <w:tcPr>
            <w:tcW w:w="269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CEA5628" w14:textId="5949D49E" w:rsidR="00652869" w:rsidRPr="00652869" w:rsidRDefault="00652869" w:rsidP="00553EAB">
            <w:pPr>
              <w:jc w:val="center"/>
              <w:rPr>
                <w:rFonts w:ascii="Arial Narrow" w:hAnsi="Arial Narrow"/>
                <w:b/>
              </w:rPr>
            </w:pPr>
            <w:r w:rsidRPr="00652869">
              <w:rPr>
                <w:rFonts w:ascii="Arial Narrow" w:hAnsi="Arial Narrow"/>
                <w:b/>
              </w:rPr>
              <w:t>Dolutegravir plus TDF*/emtricitabine</w:t>
            </w:r>
            <w:r w:rsidRPr="00652869">
              <w:rPr>
                <w:rFonts w:ascii="Arial Narrow" w:hAnsi="Arial Narrow"/>
                <w:b/>
              </w:rPr>
              <w:br/>
              <w:t>N=</w:t>
            </w:r>
            <w:r w:rsidR="00596EF9">
              <w:rPr>
                <w:rFonts w:ascii="Arial Narrow" w:hAnsi="Arial Narrow"/>
                <w:b/>
              </w:rPr>
              <w:t>717</w:t>
            </w:r>
            <w:r w:rsidRPr="00652869">
              <w:rPr>
                <w:rFonts w:ascii="Arial Narrow" w:hAnsi="Arial Narrow"/>
                <w:b/>
              </w:rPr>
              <w:br/>
              <w:t>n(%)</w:t>
            </w:r>
          </w:p>
        </w:tc>
      </w:tr>
      <w:tr w:rsidR="001B679F" w:rsidRPr="00652869" w14:paraId="0DCDAD44" w14:textId="77777777" w:rsidTr="00652869">
        <w:trPr>
          <w:trHeight w:hRule="exact" w:val="284"/>
          <w:jc w:val="center"/>
        </w:trPr>
        <w:tc>
          <w:tcPr>
            <w:tcW w:w="326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E7CCA15" w14:textId="51D58553" w:rsidR="001B679F" w:rsidRPr="00652869" w:rsidRDefault="001B679F" w:rsidP="00553EAB">
            <w:pPr>
              <w:rPr>
                <w:rFonts w:ascii="Arial Narrow" w:hAnsi="Arial Narrow"/>
                <w:b/>
              </w:rPr>
            </w:pPr>
            <w:r>
              <w:rPr>
                <w:rFonts w:ascii="Arial Narrow" w:hAnsi="Arial Narrow"/>
                <w:b/>
              </w:rPr>
              <w:t>Infections and Infestations</w:t>
            </w: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615F4B" w14:textId="77777777" w:rsidR="001B679F" w:rsidRPr="00652869" w:rsidRDefault="001B679F" w:rsidP="00652869">
            <w:pPr>
              <w:jc w:val="center"/>
              <w:rPr>
                <w:rFonts w:ascii="Arial Narrow" w:hAnsi="Arial Narrow"/>
                <w:b/>
              </w:rPr>
            </w:pPr>
          </w:p>
        </w:tc>
        <w:tc>
          <w:tcPr>
            <w:tcW w:w="26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691AE04" w14:textId="77777777" w:rsidR="001B679F" w:rsidRPr="00652869" w:rsidRDefault="001B679F" w:rsidP="00553EAB">
            <w:pPr>
              <w:jc w:val="center"/>
              <w:rPr>
                <w:rFonts w:ascii="Arial Narrow" w:hAnsi="Arial Narrow"/>
                <w:b/>
              </w:rPr>
            </w:pPr>
          </w:p>
        </w:tc>
      </w:tr>
      <w:tr w:rsidR="001B679F" w:rsidRPr="00652869" w14:paraId="3B862C87" w14:textId="77777777" w:rsidTr="00261E73">
        <w:trPr>
          <w:trHeight w:hRule="exact" w:val="283"/>
          <w:jc w:val="center"/>
        </w:trPr>
        <w:tc>
          <w:tcPr>
            <w:tcW w:w="326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EDECC4F" w14:textId="77777777" w:rsidR="001B679F" w:rsidRPr="00652869" w:rsidRDefault="001B679F" w:rsidP="001B679F">
            <w:pPr>
              <w:pStyle w:val="TableParagraph"/>
              <w:spacing w:line="276" w:lineRule="auto"/>
              <w:ind w:left="161" w:right="0"/>
              <w:jc w:val="left"/>
              <w:rPr>
                <w:rFonts w:ascii="Arial Narrow" w:hAnsi="Arial Narrow"/>
              </w:rPr>
            </w:pPr>
            <w:r w:rsidRPr="00652869">
              <w:rPr>
                <w:rFonts w:ascii="Arial Narrow" w:hAnsi="Arial Narrow"/>
              </w:rPr>
              <w:t>Nasopharyngitis</w:t>
            </w: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450B876" w14:textId="79C85BFD" w:rsidR="001B679F" w:rsidRPr="00652869" w:rsidRDefault="001B679F" w:rsidP="00261E73">
            <w:pPr>
              <w:pStyle w:val="TableParagraph"/>
              <w:spacing w:line="276" w:lineRule="auto"/>
              <w:ind w:right="0"/>
              <w:jc w:val="center"/>
              <w:rPr>
                <w:rFonts w:ascii="Arial Narrow" w:hAnsi="Arial Narrow"/>
              </w:rPr>
            </w:pPr>
            <w:r w:rsidRPr="00652869">
              <w:rPr>
                <w:rFonts w:ascii="Arial Narrow" w:hAnsi="Arial Narrow"/>
              </w:rPr>
              <w:t>55 (8%)</w:t>
            </w:r>
          </w:p>
        </w:tc>
        <w:tc>
          <w:tcPr>
            <w:tcW w:w="26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7C13E77" w14:textId="77777777" w:rsidR="001B679F" w:rsidRPr="00652869" w:rsidRDefault="001B679F" w:rsidP="00261E73">
            <w:pPr>
              <w:pStyle w:val="TableParagraph"/>
              <w:spacing w:line="276" w:lineRule="auto"/>
              <w:ind w:right="0"/>
              <w:jc w:val="center"/>
              <w:rPr>
                <w:rFonts w:ascii="Arial Narrow" w:hAnsi="Arial Narrow"/>
              </w:rPr>
            </w:pPr>
            <w:r w:rsidRPr="00652869">
              <w:rPr>
                <w:rFonts w:ascii="Arial Narrow" w:hAnsi="Arial Narrow"/>
              </w:rPr>
              <w:t>78 (11%)</w:t>
            </w:r>
          </w:p>
        </w:tc>
      </w:tr>
      <w:tr w:rsidR="001B679F" w:rsidRPr="00652869" w14:paraId="34F6E4F8" w14:textId="77777777" w:rsidTr="00261E73">
        <w:trPr>
          <w:trHeight w:hRule="exact" w:val="283"/>
          <w:jc w:val="center"/>
        </w:trPr>
        <w:tc>
          <w:tcPr>
            <w:tcW w:w="326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8AF11B" w14:textId="77777777" w:rsidR="001B679F" w:rsidRPr="00652869" w:rsidRDefault="001B679F" w:rsidP="001B679F">
            <w:pPr>
              <w:ind w:left="161"/>
              <w:rPr>
                <w:rFonts w:ascii="Arial Narrow" w:hAnsi="Arial Narrow"/>
              </w:rPr>
            </w:pPr>
            <w:r w:rsidRPr="00652869">
              <w:rPr>
                <w:rFonts w:ascii="Arial Narrow" w:hAnsi="Arial Narrow"/>
              </w:rPr>
              <w:t>Upper respiratory tract infection</w:t>
            </w: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A50502E" w14:textId="77777777" w:rsidR="001B679F" w:rsidRPr="00652869" w:rsidRDefault="001B679F" w:rsidP="00261E73">
            <w:pPr>
              <w:jc w:val="center"/>
              <w:rPr>
                <w:rFonts w:ascii="Arial Narrow" w:hAnsi="Arial Narrow"/>
              </w:rPr>
            </w:pPr>
            <w:r w:rsidRPr="00652869">
              <w:rPr>
                <w:rFonts w:ascii="Arial Narrow" w:hAnsi="Arial Narrow"/>
              </w:rPr>
              <w:t>56 (8%)</w:t>
            </w:r>
          </w:p>
        </w:tc>
        <w:tc>
          <w:tcPr>
            <w:tcW w:w="26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620D779" w14:textId="77777777" w:rsidR="001B679F" w:rsidRPr="00652869" w:rsidRDefault="001B679F" w:rsidP="00261E73">
            <w:pPr>
              <w:jc w:val="center"/>
              <w:rPr>
                <w:rFonts w:ascii="Arial Narrow" w:hAnsi="Arial Narrow"/>
              </w:rPr>
            </w:pPr>
            <w:r w:rsidRPr="00652869">
              <w:rPr>
                <w:rFonts w:ascii="Arial Narrow" w:hAnsi="Arial Narrow"/>
              </w:rPr>
              <w:t>44 (6%)</w:t>
            </w:r>
          </w:p>
        </w:tc>
      </w:tr>
      <w:tr w:rsidR="001B679F" w:rsidRPr="00652869" w14:paraId="27701EE2" w14:textId="77777777" w:rsidTr="00261E73">
        <w:trPr>
          <w:trHeight w:hRule="exact" w:val="284"/>
          <w:jc w:val="center"/>
        </w:trPr>
        <w:tc>
          <w:tcPr>
            <w:tcW w:w="326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FFDEAF2" w14:textId="77777777" w:rsidR="001B679F" w:rsidRPr="00652869" w:rsidRDefault="001B679F" w:rsidP="001B679F">
            <w:pPr>
              <w:ind w:left="161"/>
              <w:rPr>
                <w:rFonts w:ascii="Arial Narrow" w:hAnsi="Arial Narrow"/>
              </w:rPr>
            </w:pPr>
            <w:r w:rsidRPr="00652869">
              <w:rPr>
                <w:rFonts w:ascii="Arial Narrow" w:hAnsi="Arial Narrow"/>
              </w:rPr>
              <w:t>Pharyngitis</w:t>
            </w: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B2B0980" w14:textId="77777777" w:rsidR="001B679F" w:rsidRPr="00652869" w:rsidRDefault="001B679F" w:rsidP="00261E73">
            <w:pPr>
              <w:jc w:val="center"/>
              <w:rPr>
                <w:rFonts w:ascii="Arial Narrow" w:hAnsi="Arial Narrow"/>
              </w:rPr>
            </w:pPr>
            <w:r w:rsidRPr="00652869">
              <w:rPr>
                <w:rFonts w:ascii="Arial Narrow" w:hAnsi="Arial Narrow"/>
              </w:rPr>
              <w:t>36 (5%)</w:t>
            </w:r>
          </w:p>
        </w:tc>
        <w:tc>
          <w:tcPr>
            <w:tcW w:w="26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D184731" w14:textId="77777777" w:rsidR="001B679F" w:rsidRPr="00652869" w:rsidRDefault="001B679F" w:rsidP="00261E73">
            <w:pPr>
              <w:jc w:val="center"/>
              <w:rPr>
                <w:rFonts w:ascii="Arial Narrow" w:hAnsi="Arial Narrow"/>
              </w:rPr>
            </w:pPr>
            <w:r w:rsidRPr="00652869">
              <w:rPr>
                <w:rFonts w:ascii="Arial Narrow" w:hAnsi="Arial Narrow"/>
              </w:rPr>
              <w:t>32 (4%)</w:t>
            </w:r>
          </w:p>
        </w:tc>
      </w:tr>
      <w:tr w:rsidR="001B679F" w:rsidRPr="00652869" w14:paraId="7D803156" w14:textId="77777777" w:rsidTr="00261E73">
        <w:trPr>
          <w:trHeight w:hRule="exact" w:val="284"/>
          <w:jc w:val="center"/>
        </w:trPr>
        <w:tc>
          <w:tcPr>
            <w:tcW w:w="326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E866638" w14:textId="77777777" w:rsidR="001B679F" w:rsidRPr="00652869" w:rsidRDefault="001B679F" w:rsidP="001B679F">
            <w:pPr>
              <w:ind w:left="161"/>
              <w:rPr>
                <w:rFonts w:ascii="Arial Narrow" w:hAnsi="Arial Narrow"/>
              </w:rPr>
            </w:pPr>
            <w:r w:rsidRPr="00652869">
              <w:rPr>
                <w:rFonts w:ascii="Arial Narrow" w:hAnsi="Arial Narrow"/>
              </w:rPr>
              <w:t>Syphilis</w:t>
            </w: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50C5148" w14:textId="77777777" w:rsidR="001B679F" w:rsidRPr="00652869" w:rsidRDefault="001B679F" w:rsidP="00261E73">
            <w:pPr>
              <w:jc w:val="center"/>
              <w:rPr>
                <w:rFonts w:ascii="Arial Narrow" w:hAnsi="Arial Narrow"/>
              </w:rPr>
            </w:pPr>
            <w:r w:rsidRPr="00652869">
              <w:rPr>
                <w:rFonts w:ascii="Arial Narrow" w:hAnsi="Arial Narrow"/>
              </w:rPr>
              <w:t>27 (4%)</w:t>
            </w:r>
          </w:p>
        </w:tc>
        <w:tc>
          <w:tcPr>
            <w:tcW w:w="26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496EFF4" w14:textId="77777777" w:rsidR="001B679F" w:rsidRPr="00652869" w:rsidRDefault="001B679F" w:rsidP="00261E73">
            <w:pPr>
              <w:jc w:val="center"/>
              <w:rPr>
                <w:rFonts w:ascii="Arial Narrow" w:hAnsi="Arial Narrow"/>
              </w:rPr>
            </w:pPr>
            <w:r w:rsidRPr="00652869">
              <w:rPr>
                <w:rFonts w:ascii="Arial Narrow" w:hAnsi="Arial Narrow"/>
              </w:rPr>
              <w:t>27 (4%)</w:t>
            </w:r>
          </w:p>
        </w:tc>
      </w:tr>
      <w:tr w:rsidR="001B679F" w:rsidRPr="00652869" w14:paraId="3442F06E" w14:textId="77777777" w:rsidTr="00261E73">
        <w:trPr>
          <w:trHeight w:hRule="exact" w:val="284"/>
          <w:jc w:val="center"/>
        </w:trPr>
        <w:tc>
          <w:tcPr>
            <w:tcW w:w="326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AF5669B" w14:textId="77777777" w:rsidR="001B679F" w:rsidRPr="00652869" w:rsidRDefault="001B679F" w:rsidP="001B679F">
            <w:pPr>
              <w:ind w:left="161"/>
              <w:rPr>
                <w:rFonts w:ascii="Arial Narrow" w:hAnsi="Arial Narrow"/>
              </w:rPr>
            </w:pPr>
            <w:r w:rsidRPr="00652869">
              <w:rPr>
                <w:rFonts w:ascii="Arial Narrow" w:hAnsi="Arial Narrow"/>
              </w:rPr>
              <w:t>Influenza</w:t>
            </w: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36E407F" w14:textId="77777777" w:rsidR="001B679F" w:rsidRPr="00652869" w:rsidRDefault="001B679F" w:rsidP="00261E73">
            <w:pPr>
              <w:jc w:val="center"/>
              <w:rPr>
                <w:rFonts w:ascii="Arial Narrow" w:hAnsi="Arial Narrow"/>
              </w:rPr>
            </w:pPr>
            <w:r w:rsidRPr="00652869">
              <w:rPr>
                <w:rFonts w:ascii="Arial Narrow" w:hAnsi="Arial Narrow"/>
              </w:rPr>
              <w:t>22 (3%)</w:t>
            </w:r>
          </w:p>
        </w:tc>
        <w:tc>
          <w:tcPr>
            <w:tcW w:w="26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7AD091A" w14:textId="77777777" w:rsidR="001B679F" w:rsidRPr="00652869" w:rsidRDefault="001B679F" w:rsidP="00261E73">
            <w:pPr>
              <w:jc w:val="center"/>
              <w:rPr>
                <w:rFonts w:ascii="Arial Narrow" w:hAnsi="Arial Narrow"/>
              </w:rPr>
            </w:pPr>
            <w:r w:rsidRPr="00652869">
              <w:rPr>
                <w:rFonts w:ascii="Arial Narrow" w:hAnsi="Arial Narrow"/>
              </w:rPr>
              <w:t>28 (4%)</w:t>
            </w:r>
          </w:p>
        </w:tc>
      </w:tr>
      <w:tr w:rsidR="001B679F" w:rsidRPr="00652869" w14:paraId="18214950" w14:textId="77777777" w:rsidTr="00261E73">
        <w:trPr>
          <w:trHeight w:hRule="exact" w:val="284"/>
          <w:jc w:val="center"/>
        </w:trPr>
        <w:tc>
          <w:tcPr>
            <w:tcW w:w="326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751D46D" w14:textId="77777777" w:rsidR="001B679F" w:rsidRPr="00652869" w:rsidRDefault="001B679F" w:rsidP="001B679F">
            <w:pPr>
              <w:ind w:left="161"/>
              <w:rPr>
                <w:rFonts w:ascii="Arial Narrow" w:hAnsi="Arial Narrow"/>
              </w:rPr>
            </w:pPr>
            <w:r w:rsidRPr="00652869">
              <w:rPr>
                <w:rFonts w:ascii="Arial Narrow" w:hAnsi="Arial Narrow"/>
              </w:rPr>
              <w:t>Bronchitis</w:t>
            </w: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94F5CBA" w14:textId="77777777" w:rsidR="001B679F" w:rsidRPr="00652869" w:rsidRDefault="001B679F" w:rsidP="00261E73">
            <w:pPr>
              <w:jc w:val="center"/>
              <w:rPr>
                <w:rFonts w:ascii="Arial Narrow" w:hAnsi="Arial Narrow"/>
              </w:rPr>
            </w:pPr>
            <w:r w:rsidRPr="00652869">
              <w:rPr>
                <w:rFonts w:ascii="Arial Narrow" w:hAnsi="Arial Narrow"/>
              </w:rPr>
              <w:t>28 (4%)</w:t>
            </w:r>
          </w:p>
        </w:tc>
        <w:tc>
          <w:tcPr>
            <w:tcW w:w="26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4A4FA41" w14:textId="77777777" w:rsidR="001B679F" w:rsidRPr="00652869" w:rsidRDefault="001B679F" w:rsidP="00261E73">
            <w:pPr>
              <w:jc w:val="center"/>
              <w:rPr>
                <w:rFonts w:ascii="Arial Narrow" w:hAnsi="Arial Narrow"/>
              </w:rPr>
            </w:pPr>
            <w:r w:rsidRPr="00652869">
              <w:rPr>
                <w:rFonts w:ascii="Arial Narrow" w:hAnsi="Arial Narrow"/>
              </w:rPr>
              <w:t>21 (3%)</w:t>
            </w:r>
          </w:p>
        </w:tc>
      </w:tr>
      <w:tr w:rsidR="001B679F" w:rsidRPr="00652869" w14:paraId="6F74323D" w14:textId="77777777" w:rsidTr="00261E73">
        <w:trPr>
          <w:trHeight w:hRule="exact" w:val="284"/>
          <w:jc w:val="center"/>
        </w:trPr>
        <w:tc>
          <w:tcPr>
            <w:tcW w:w="326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BFE5A92" w14:textId="77777777" w:rsidR="001B679F" w:rsidRPr="00652869" w:rsidRDefault="001B679F" w:rsidP="001B679F">
            <w:pPr>
              <w:ind w:left="161"/>
              <w:rPr>
                <w:rFonts w:ascii="Arial Narrow" w:hAnsi="Arial Narrow"/>
              </w:rPr>
            </w:pPr>
            <w:r w:rsidRPr="00652869">
              <w:rPr>
                <w:rFonts w:ascii="Arial Narrow" w:hAnsi="Arial Narrow"/>
              </w:rPr>
              <w:t>Gastroenteritis</w:t>
            </w: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E55726" w14:textId="77777777" w:rsidR="001B679F" w:rsidRPr="00652869" w:rsidRDefault="001B679F" w:rsidP="00261E73">
            <w:pPr>
              <w:jc w:val="center"/>
              <w:rPr>
                <w:rFonts w:ascii="Arial Narrow" w:hAnsi="Arial Narrow"/>
              </w:rPr>
            </w:pPr>
            <w:r w:rsidRPr="00652869">
              <w:rPr>
                <w:rFonts w:ascii="Arial Narrow" w:hAnsi="Arial Narrow"/>
              </w:rPr>
              <w:t>17 (2%)</w:t>
            </w:r>
          </w:p>
        </w:tc>
        <w:tc>
          <w:tcPr>
            <w:tcW w:w="26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44D2AEB" w14:textId="77777777" w:rsidR="001B679F" w:rsidRPr="00652869" w:rsidRDefault="001B679F" w:rsidP="00261E73">
            <w:pPr>
              <w:jc w:val="center"/>
              <w:rPr>
                <w:rFonts w:ascii="Arial Narrow" w:hAnsi="Arial Narrow"/>
              </w:rPr>
            </w:pPr>
            <w:r w:rsidRPr="00652869">
              <w:rPr>
                <w:rFonts w:ascii="Arial Narrow" w:hAnsi="Arial Narrow"/>
              </w:rPr>
              <w:t>22 (3%)</w:t>
            </w:r>
          </w:p>
        </w:tc>
      </w:tr>
      <w:tr w:rsidR="001B679F" w:rsidRPr="00652869" w14:paraId="0447120A" w14:textId="77777777" w:rsidTr="00261E73">
        <w:trPr>
          <w:trHeight w:hRule="exact" w:val="284"/>
          <w:jc w:val="center"/>
        </w:trPr>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30EB16" w14:textId="77777777" w:rsidR="001B679F" w:rsidRPr="00652869" w:rsidRDefault="001B679F" w:rsidP="001B679F">
            <w:pPr>
              <w:ind w:left="161"/>
              <w:rPr>
                <w:rFonts w:ascii="Arial Narrow" w:hAnsi="Arial Narrow"/>
              </w:rPr>
            </w:pPr>
            <w:r w:rsidRPr="00652869">
              <w:rPr>
                <w:rFonts w:ascii="Arial Narrow" w:hAnsi="Arial Narrow"/>
              </w:rPr>
              <w:t>Tonsillitis</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B7A259" w14:textId="77777777" w:rsidR="001B679F" w:rsidRPr="00652869" w:rsidRDefault="001B679F" w:rsidP="00261E73">
            <w:pPr>
              <w:jc w:val="center"/>
              <w:rPr>
                <w:rFonts w:ascii="Arial Narrow" w:hAnsi="Arial Narrow"/>
              </w:rPr>
            </w:pPr>
            <w:r w:rsidRPr="00652869">
              <w:rPr>
                <w:rFonts w:ascii="Arial Narrow" w:hAnsi="Arial Narrow"/>
              </w:rPr>
              <w:t>20 (3%)</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8DC3E1A" w14:textId="77777777" w:rsidR="001B679F" w:rsidRPr="00652869" w:rsidRDefault="001B679F" w:rsidP="00261E73">
            <w:pPr>
              <w:jc w:val="center"/>
              <w:rPr>
                <w:rFonts w:ascii="Arial Narrow" w:hAnsi="Arial Narrow"/>
              </w:rPr>
            </w:pPr>
            <w:r w:rsidRPr="00652869">
              <w:rPr>
                <w:rFonts w:ascii="Arial Narrow" w:hAnsi="Arial Narrow"/>
              </w:rPr>
              <w:t>16 (2%)</w:t>
            </w:r>
          </w:p>
        </w:tc>
      </w:tr>
      <w:tr w:rsidR="001B679F" w:rsidRPr="00652869" w14:paraId="3B44CDE7" w14:textId="77777777" w:rsidTr="00261E73">
        <w:trPr>
          <w:trHeight w:hRule="exact" w:val="284"/>
          <w:jc w:val="center"/>
        </w:trPr>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8BABA7" w14:textId="77777777" w:rsidR="001B679F" w:rsidRPr="00652869" w:rsidRDefault="001B679F" w:rsidP="001B679F">
            <w:pPr>
              <w:ind w:left="161"/>
              <w:rPr>
                <w:rFonts w:ascii="Arial Narrow" w:hAnsi="Arial Narrow"/>
              </w:rPr>
            </w:pPr>
            <w:r w:rsidRPr="00652869">
              <w:rPr>
                <w:rFonts w:ascii="Arial Narrow" w:hAnsi="Arial Narrow"/>
              </w:rPr>
              <w:t>Gonorrhoea</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A44EAFA" w14:textId="77777777" w:rsidR="001B679F" w:rsidRPr="00652869" w:rsidRDefault="001B679F" w:rsidP="00261E73">
            <w:pPr>
              <w:jc w:val="center"/>
              <w:rPr>
                <w:rFonts w:ascii="Arial Narrow" w:hAnsi="Arial Narrow"/>
              </w:rPr>
            </w:pPr>
            <w:r w:rsidRPr="00652869">
              <w:rPr>
                <w:rFonts w:ascii="Arial Narrow" w:hAnsi="Arial Narrow"/>
              </w:rPr>
              <w:t>18 (3%)</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0F75355" w14:textId="77777777" w:rsidR="001B679F" w:rsidRPr="00652869" w:rsidRDefault="001B679F" w:rsidP="00261E73">
            <w:pPr>
              <w:jc w:val="center"/>
              <w:rPr>
                <w:rFonts w:ascii="Arial Narrow" w:hAnsi="Arial Narrow"/>
              </w:rPr>
            </w:pPr>
            <w:r w:rsidRPr="00652869">
              <w:rPr>
                <w:rFonts w:ascii="Arial Narrow" w:hAnsi="Arial Narrow"/>
              </w:rPr>
              <w:t>17 (2%)</w:t>
            </w:r>
          </w:p>
        </w:tc>
      </w:tr>
      <w:tr w:rsidR="00A871CB" w:rsidRPr="00652869" w14:paraId="7AF6FA83" w14:textId="77777777" w:rsidTr="00261E73">
        <w:trPr>
          <w:trHeight w:hRule="exact" w:val="284"/>
          <w:jc w:val="center"/>
        </w:trPr>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02B5AD" w14:textId="77777777" w:rsidR="00A871CB" w:rsidRPr="00652869" w:rsidRDefault="00A871CB" w:rsidP="00A871CB">
            <w:pPr>
              <w:ind w:left="161"/>
              <w:rPr>
                <w:rFonts w:ascii="Arial Narrow" w:hAnsi="Arial Narrow"/>
              </w:rPr>
            </w:pPr>
            <w:r w:rsidRPr="00652869">
              <w:rPr>
                <w:rFonts w:ascii="Arial Narrow" w:hAnsi="Arial Narrow"/>
              </w:rPr>
              <w:t>Sinusitis</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6006BF7" w14:textId="77777777" w:rsidR="00A871CB" w:rsidRPr="00652869" w:rsidRDefault="00A871CB" w:rsidP="00261E73">
            <w:pPr>
              <w:jc w:val="center"/>
              <w:rPr>
                <w:rFonts w:ascii="Arial Narrow" w:hAnsi="Arial Narrow"/>
              </w:rPr>
            </w:pPr>
            <w:r w:rsidRPr="00652869">
              <w:rPr>
                <w:rFonts w:ascii="Arial Narrow" w:hAnsi="Arial Narrow"/>
              </w:rPr>
              <w:t>18 (3%)</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93AAC76" w14:textId="77777777" w:rsidR="00A871CB" w:rsidRPr="00652869" w:rsidRDefault="00A871CB" w:rsidP="00261E73">
            <w:pPr>
              <w:jc w:val="center"/>
              <w:rPr>
                <w:rFonts w:ascii="Arial Narrow" w:hAnsi="Arial Narrow"/>
              </w:rPr>
            </w:pPr>
            <w:r w:rsidRPr="00652869">
              <w:rPr>
                <w:rFonts w:ascii="Arial Narrow" w:hAnsi="Arial Narrow"/>
              </w:rPr>
              <w:t>15 (2%)</w:t>
            </w:r>
          </w:p>
        </w:tc>
      </w:tr>
      <w:tr w:rsidR="00A871CB" w:rsidRPr="00652869" w14:paraId="4F8031F6" w14:textId="77777777" w:rsidTr="00261E73">
        <w:trPr>
          <w:trHeight w:hRule="exact" w:val="284"/>
          <w:jc w:val="center"/>
        </w:trPr>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C508D2" w14:textId="77777777" w:rsidR="00A871CB" w:rsidRPr="00652869" w:rsidRDefault="00A871CB" w:rsidP="00A871CB">
            <w:pPr>
              <w:ind w:left="161"/>
              <w:rPr>
                <w:rFonts w:ascii="Arial Narrow" w:hAnsi="Arial Narrow"/>
              </w:rPr>
            </w:pPr>
            <w:r w:rsidRPr="00652869">
              <w:rPr>
                <w:rFonts w:ascii="Arial Narrow" w:hAnsi="Arial Narrow"/>
              </w:rPr>
              <w:t>Herpes zoster</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F03076" w14:textId="77777777" w:rsidR="00A871CB" w:rsidRPr="00652869" w:rsidRDefault="00A871CB" w:rsidP="00261E73">
            <w:pPr>
              <w:jc w:val="center"/>
              <w:rPr>
                <w:rFonts w:ascii="Arial Narrow" w:hAnsi="Arial Narrow"/>
              </w:rPr>
            </w:pPr>
            <w:r w:rsidRPr="00652869">
              <w:rPr>
                <w:rFonts w:ascii="Arial Narrow" w:hAnsi="Arial Narrow"/>
              </w:rPr>
              <w:t>9 (1%)</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800658" w14:textId="77777777" w:rsidR="00A871CB" w:rsidRPr="00652869" w:rsidRDefault="00A871CB" w:rsidP="00261E73">
            <w:pPr>
              <w:jc w:val="center"/>
              <w:rPr>
                <w:rFonts w:ascii="Arial Narrow" w:hAnsi="Arial Narrow"/>
              </w:rPr>
            </w:pPr>
            <w:r w:rsidRPr="00652869">
              <w:rPr>
                <w:rFonts w:ascii="Arial Narrow" w:hAnsi="Arial Narrow"/>
              </w:rPr>
              <w:t>18 (3%)</w:t>
            </w:r>
          </w:p>
        </w:tc>
      </w:tr>
      <w:tr w:rsidR="001B679F" w:rsidRPr="00652869" w14:paraId="5A85487C" w14:textId="77777777" w:rsidTr="00652869">
        <w:trPr>
          <w:trHeight w:hRule="exact" w:val="284"/>
          <w:jc w:val="center"/>
        </w:trPr>
        <w:tc>
          <w:tcPr>
            <w:tcW w:w="326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67CCD11" w14:textId="42EDDF92" w:rsidR="001B679F" w:rsidRPr="00652869" w:rsidRDefault="001B679F" w:rsidP="00553EAB">
            <w:pPr>
              <w:rPr>
                <w:rFonts w:ascii="Arial Narrow" w:hAnsi="Arial Narrow"/>
                <w:b/>
              </w:rPr>
            </w:pPr>
            <w:r>
              <w:rPr>
                <w:rFonts w:ascii="Arial Narrow" w:hAnsi="Arial Narrow"/>
                <w:b/>
              </w:rPr>
              <w:t>Gastrointestinal disorders</w:t>
            </w: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CD3C3F8" w14:textId="77777777" w:rsidR="001B679F" w:rsidRPr="00652869" w:rsidRDefault="001B679F" w:rsidP="00652869">
            <w:pPr>
              <w:jc w:val="center"/>
              <w:rPr>
                <w:rFonts w:ascii="Arial Narrow" w:hAnsi="Arial Narrow"/>
                <w:b/>
              </w:rPr>
            </w:pPr>
          </w:p>
        </w:tc>
        <w:tc>
          <w:tcPr>
            <w:tcW w:w="26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311BCD1" w14:textId="77777777" w:rsidR="001B679F" w:rsidRPr="00652869" w:rsidRDefault="001B679F" w:rsidP="00553EAB">
            <w:pPr>
              <w:jc w:val="center"/>
              <w:rPr>
                <w:rFonts w:ascii="Arial Narrow" w:hAnsi="Arial Narrow"/>
                <w:b/>
              </w:rPr>
            </w:pPr>
          </w:p>
        </w:tc>
      </w:tr>
      <w:tr w:rsidR="001B679F" w:rsidRPr="00652869" w14:paraId="10DED560" w14:textId="77777777" w:rsidTr="00261E73">
        <w:trPr>
          <w:trHeight w:hRule="exact" w:val="284"/>
          <w:jc w:val="center"/>
        </w:trPr>
        <w:tc>
          <w:tcPr>
            <w:tcW w:w="326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5B65348" w14:textId="77777777" w:rsidR="001B679F" w:rsidRPr="00652869" w:rsidRDefault="001B679F" w:rsidP="001B679F">
            <w:pPr>
              <w:ind w:left="161"/>
              <w:rPr>
                <w:rFonts w:ascii="Arial Narrow" w:hAnsi="Arial Narrow"/>
              </w:rPr>
            </w:pPr>
            <w:r w:rsidRPr="00652869">
              <w:rPr>
                <w:rFonts w:ascii="Arial Narrow" w:hAnsi="Arial Narrow"/>
              </w:rPr>
              <w:t>Diarrhoea</w:t>
            </w: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EA5FA0C" w14:textId="505D3068" w:rsidR="001B679F" w:rsidRPr="00652869" w:rsidRDefault="001B679F" w:rsidP="00261E73">
            <w:pPr>
              <w:jc w:val="center"/>
              <w:rPr>
                <w:rFonts w:ascii="Arial Narrow" w:hAnsi="Arial Narrow"/>
              </w:rPr>
            </w:pPr>
            <w:r w:rsidRPr="00652869">
              <w:rPr>
                <w:rFonts w:ascii="Arial Narrow" w:hAnsi="Arial Narrow"/>
              </w:rPr>
              <w:t>68 (9%)</w:t>
            </w:r>
          </w:p>
        </w:tc>
        <w:tc>
          <w:tcPr>
            <w:tcW w:w="26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076992A" w14:textId="77777777" w:rsidR="001B679F" w:rsidRPr="00652869" w:rsidRDefault="001B679F" w:rsidP="00261E73">
            <w:pPr>
              <w:jc w:val="center"/>
              <w:rPr>
                <w:rFonts w:ascii="Arial Narrow" w:hAnsi="Arial Narrow"/>
              </w:rPr>
            </w:pPr>
            <w:r w:rsidRPr="00652869">
              <w:rPr>
                <w:rFonts w:ascii="Arial Narrow" w:hAnsi="Arial Narrow"/>
              </w:rPr>
              <w:t>77 (11%)</w:t>
            </w:r>
          </w:p>
        </w:tc>
      </w:tr>
      <w:tr w:rsidR="001B679F" w:rsidRPr="00652869" w14:paraId="5EA5A5AE" w14:textId="77777777" w:rsidTr="00261E73">
        <w:trPr>
          <w:trHeight w:hRule="exact" w:val="284"/>
          <w:jc w:val="center"/>
        </w:trPr>
        <w:tc>
          <w:tcPr>
            <w:tcW w:w="326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79FC75" w14:textId="77777777" w:rsidR="001B679F" w:rsidRPr="00652869" w:rsidRDefault="001B679F" w:rsidP="001B679F">
            <w:pPr>
              <w:ind w:left="161"/>
              <w:rPr>
                <w:rFonts w:ascii="Arial Narrow" w:hAnsi="Arial Narrow"/>
              </w:rPr>
            </w:pPr>
            <w:r w:rsidRPr="00652869">
              <w:rPr>
                <w:rFonts w:ascii="Arial Narrow" w:hAnsi="Arial Narrow"/>
              </w:rPr>
              <w:lastRenderedPageBreak/>
              <w:t>Nausea</w:t>
            </w: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7D6E234" w14:textId="77777777" w:rsidR="001B679F" w:rsidRPr="00652869" w:rsidRDefault="001B679F" w:rsidP="00261E73">
            <w:pPr>
              <w:jc w:val="center"/>
              <w:rPr>
                <w:rFonts w:ascii="Arial Narrow" w:hAnsi="Arial Narrow"/>
              </w:rPr>
            </w:pPr>
            <w:r w:rsidRPr="00652869">
              <w:rPr>
                <w:rFonts w:ascii="Arial Narrow" w:hAnsi="Arial Narrow"/>
              </w:rPr>
              <w:t>27 (4%)</w:t>
            </w:r>
          </w:p>
        </w:tc>
        <w:tc>
          <w:tcPr>
            <w:tcW w:w="26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9B0CC98" w14:textId="77777777" w:rsidR="001B679F" w:rsidRPr="00652869" w:rsidRDefault="001B679F" w:rsidP="00261E73">
            <w:pPr>
              <w:jc w:val="center"/>
              <w:rPr>
                <w:rFonts w:ascii="Arial Narrow" w:hAnsi="Arial Narrow"/>
              </w:rPr>
            </w:pPr>
            <w:r w:rsidRPr="00652869">
              <w:rPr>
                <w:rFonts w:ascii="Arial Narrow" w:hAnsi="Arial Narrow"/>
              </w:rPr>
              <w:t>53 (7%)</w:t>
            </w:r>
          </w:p>
        </w:tc>
      </w:tr>
      <w:tr w:rsidR="001B679F" w:rsidRPr="00652869" w14:paraId="4C848FF3" w14:textId="77777777" w:rsidTr="00261E73">
        <w:trPr>
          <w:trHeight w:hRule="exact" w:val="284"/>
          <w:jc w:val="center"/>
        </w:trPr>
        <w:tc>
          <w:tcPr>
            <w:tcW w:w="326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B5058AC" w14:textId="77777777" w:rsidR="001B679F" w:rsidRPr="00652869" w:rsidRDefault="001B679F" w:rsidP="001B679F">
            <w:pPr>
              <w:ind w:left="161"/>
              <w:rPr>
                <w:rFonts w:ascii="Arial Narrow" w:hAnsi="Arial Narrow"/>
              </w:rPr>
            </w:pPr>
            <w:r w:rsidRPr="00652869">
              <w:rPr>
                <w:rFonts w:ascii="Arial Narrow" w:hAnsi="Arial Narrow"/>
              </w:rPr>
              <w:t>Abdominal pain</w:t>
            </w: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669913" w14:textId="77777777" w:rsidR="001B679F" w:rsidRPr="00652869" w:rsidRDefault="001B679F" w:rsidP="00261E73">
            <w:pPr>
              <w:jc w:val="center"/>
              <w:rPr>
                <w:rFonts w:ascii="Arial Narrow" w:hAnsi="Arial Narrow"/>
              </w:rPr>
            </w:pPr>
            <w:r w:rsidRPr="00652869">
              <w:rPr>
                <w:rFonts w:ascii="Arial Narrow" w:hAnsi="Arial Narrow"/>
              </w:rPr>
              <w:t>18 (3%)</w:t>
            </w:r>
          </w:p>
        </w:tc>
        <w:tc>
          <w:tcPr>
            <w:tcW w:w="26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F0B3888" w14:textId="77777777" w:rsidR="001B679F" w:rsidRPr="00652869" w:rsidRDefault="001B679F" w:rsidP="00261E73">
            <w:pPr>
              <w:jc w:val="center"/>
              <w:rPr>
                <w:rFonts w:ascii="Arial Narrow" w:hAnsi="Arial Narrow"/>
              </w:rPr>
            </w:pPr>
            <w:r w:rsidRPr="00652869">
              <w:rPr>
                <w:rFonts w:ascii="Arial Narrow" w:hAnsi="Arial Narrow"/>
              </w:rPr>
              <w:t>22 (3%)</w:t>
            </w:r>
          </w:p>
        </w:tc>
      </w:tr>
      <w:tr w:rsidR="001B679F" w:rsidRPr="00652869" w14:paraId="5CF9144F" w14:textId="77777777" w:rsidTr="00652869">
        <w:trPr>
          <w:trHeight w:hRule="exact" w:val="284"/>
          <w:jc w:val="center"/>
        </w:trPr>
        <w:tc>
          <w:tcPr>
            <w:tcW w:w="326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63A9D7B" w14:textId="723B6A28" w:rsidR="001B679F" w:rsidRPr="00652869" w:rsidRDefault="001B679F" w:rsidP="00553EAB">
            <w:pPr>
              <w:rPr>
                <w:rFonts w:ascii="Arial Narrow" w:hAnsi="Arial Narrow"/>
                <w:b/>
              </w:rPr>
            </w:pPr>
            <w:r>
              <w:rPr>
                <w:rFonts w:ascii="Arial Narrow" w:hAnsi="Arial Narrow"/>
                <w:b/>
              </w:rPr>
              <w:t>Nervous system disorders</w:t>
            </w: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B85FC2" w14:textId="77777777" w:rsidR="001B679F" w:rsidRPr="00652869" w:rsidRDefault="001B679F" w:rsidP="00652869">
            <w:pPr>
              <w:jc w:val="center"/>
              <w:rPr>
                <w:rFonts w:ascii="Arial Narrow" w:hAnsi="Arial Narrow"/>
                <w:b/>
              </w:rPr>
            </w:pPr>
          </w:p>
        </w:tc>
        <w:tc>
          <w:tcPr>
            <w:tcW w:w="26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93E7AC8" w14:textId="77777777" w:rsidR="001B679F" w:rsidRPr="00652869" w:rsidRDefault="001B679F" w:rsidP="00553EAB">
            <w:pPr>
              <w:jc w:val="center"/>
              <w:rPr>
                <w:rFonts w:ascii="Arial Narrow" w:hAnsi="Arial Narrow"/>
                <w:b/>
              </w:rPr>
            </w:pPr>
          </w:p>
        </w:tc>
      </w:tr>
      <w:tr w:rsidR="001B679F" w:rsidRPr="00652869" w14:paraId="7309106A" w14:textId="77777777" w:rsidTr="00261E73">
        <w:trPr>
          <w:trHeight w:hRule="exact" w:val="284"/>
          <w:jc w:val="center"/>
        </w:trPr>
        <w:tc>
          <w:tcPr>
            <w:tcW w:w="326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01B5A88" w14:textId="77777777" w:rsidR="001B679F" w:rsidRPr="00652869" w:rsidRDefault="001B679F" w:rsidP="00F41336">
            <w:pPr>
              <w:ind w:left="161"/>
              <w:rPr>
                <w:rFonts w:ascii="Arial Narrow" w:hAnsi="Arial Narrow"/>
              </w:rPr>
            </w:pPr>
            <w:r w:rsidRPr="00652869">
              <w:rPr>
                <w:rFonts w:ascii="Arial Narrow" w:hAnsi="Arial Narrow"/>
              </w:rPr>
              <w:t>Headache</w:t>
            </w: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46D0CB8" w14:textId="4BC6502E" w:rsidR="001B679F" w:rsidRPr="00652869" w:rsidRDefault="001B679F" w:rsidP="00261E73">
            <w:pPr>
              <w:jc w:val="center"/>
              <w:rPr>
                <w:rFonts w:ascii="Arial Narrow" w:hAnsi="Arial Narrow"/>
              </w:rPr>
            </w:pPr>
            <w:r w:rsidRPr="00652869">
              <w:rPr>
                <w:rFonts w:ascii="Arial Narrow" w:hAnsi="Arial Narrow"/>
              </w:rPr>
              <w:t>71 (10%)</w:t>
            </w:r>
          </w:p>
        </w:tc>
        <w:tc>
          <w:tcPr>
            <w:tcW w:w="26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68DA53E" w14:textId="77777777" w:rsidR="001B679F" w:rsidRPr="00652869" w:rsidRDefault="001B679F" w:rsidP="00261E73">
            <w:pPr>
              <w:jc w:val="center"/>
              <w:rPr>
                <w:rFonts w:ascii="Arial Narrow" w:hAnsi="Arial Narrow"/>
              </w:rPr>
            </w:pPr>
            <w:r w:rsidRPr="00652869">
              <w:rPr>
                <w:rFonts w:ascii="Arial Narrow" w:hAnsi="Arial Narrow"/>
              </w:rPr>
              <w:t>75 (10%)</w:t>
            </w:r>
          </w:p>
        </w:tc>
      </w:tr>
      <w:tr w:rsidR="00F41336" w:rsidRPr="00652869" w14:paraId="276BC3D1" w14:textId="77777777" w:rsidTr="00261E73">
        <w:trPr>
          <w:trHeight w:hRule="exact" w:val="284"/>
          <w:jc w:val="center"/>
        </w:trPr>
        <w:tc>
          <w:tcPr>
            <w:tcW w:w="326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36D70C1" w14:textId="77777777" w:rsidR="00F41336" w:rsidRPr="00652869" w:rsidRDefault="00F41336" w:rsidP="00F41336">
            <w:pPr>
              <w:ind w:left="161"/>
              <w:rPr>
                <w:rFonts w:ascii="Arial Narrow" w:hAnsi="Arial Narrow"/>
              </w:rPr>
            </w:pPr>
            <w:r w:rsidRPr="00652869">
              <w:rPr>
                <w:rFonts w:ascii="Arial Narrow" w:hAnsi="Arial Narrow"/>
              </w:rPr>
              <w:t>Dizziness</w:t>
            </w: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8B8B75" w14:textId="77777777" w:rsidR="00F41336" w:rsidRPr="00652869" w:rsidRDefault="00F41336" w:rsidP="00261E73">
            <w:pPr>
              <w:jc w:val="center"/>
              <w:rPr>
                <w:rFonts w:ascii="Arial Narrow" w:hAnsi="Arial Narrow"/>
              </w:rPr>
            </w:pPr>
            <w:r w:rsidRPr="00652869">
              <w:rPr>
                <w:rFonts w:ascii="Arial Narrow" w:hAnsi="Arial Narrow"/>
              </w:rPr>
              <w:t>15 (2%)</w:t>
            </w:r>
          </w:p>
        </w:tc>
        <w:tc>
          <w:tcPr>
            <w:tcW w:w="26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C71DE59" w14:textId="77777777" w:rsidR="00F41336" w:rsidRPr="00652869" w:rsidRDefault="00F41336" w:rsidP="00261E73">
            <w:pPr>
              <w:jc w:val="center"/>
              <w:rPr>
                <w:rFonts w:ascii="Arial Narrow" w:hAnsi="Arial Narrow"/>
              </w:rPr>
            </w:pPr>
            <w:r w:rsidRPr="00652869">
              <w:rPr>
                <w:rFonts w:ascii="Arial Narrow" w:hAnsi="Arial Narrow"/>
              </w:rPr>
              <w:t>22 (3%)</w:t>
            </w:r>
          </w:p>
        </w:tc>
      </w:tr>
      <w:tr w:rsidR="001B679F" w:rsidRPr="00652869" w14:paraId="65147BAD" w14:textId="77777777" w:rsidTr="00652869">
        <w:trPr>
          <w:trHeight w:hRule="exact" w:val="284"/>
          <w:jc w:val="center"/>
        </w:trPr>
        <w:tc>
          <w:tcPr>
            <w:tcW w:w="326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A8D09BE" w14:textId="1E2FE7E9" w:rsidR="001B679F" w:rsidRPr="00652869" w:rsidRDefault="00F41336" w:rsidP="00553EAB">
            <w:pPr>
              <w:rPr>
                <w:rFonts w:ascii="Arial Narrow" w:hAnsi="Arial Narrow"/>
                <w:b/>
              </w:rPr>
            </w:pPr>
            <w:r>
              <w:rPr>
                <w:rFonts w:ascii="Arial Narrow" w:hAnsi="Arial Narrow"/>
                <w:b/>
              </w:rPr>
              <w:t>Psychiatric disorders</w:t>
            </w: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FBB9F34" w14:textId="77777777" w:rsidR="001B679F" w:rsidRPr="00652869" w:rsidRDefault="001B679F" w:rsidP="00652869">
            <w:pPr>
              <w:jc w:val="center"/>
              <w:rPr>
                <w:rFonts w:ascii="Arial Narrow" w:hAnsi="Arial Narrow"/>
                <w:b/>
              </w:rPr>
            </w:pPr>
          </w:p>
        </w:tc>
        <w:tc>
          <w:tcPr>
            <w:tcW w:w="26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D77E49" w14:textId="77777777" w:rsidR="001B679F" w:rsidRPr="00652869" w:rsidRDefault="001B679F" w:rsidP="00553EAB">
            <w:pPr>
              <w:jc w:val="center"/>
              <w:rPr>
                <w:rFonts w:ascii="Arial Narrow" w:hAnsi="Arial Narrow"/>
                <w:b/>
              </w:rPr>
            </w:pPr>
          </w:p>
        </w:tc>
      </w:tr>
      <w:tr w:rsidR="00F41336" w:rsidRPr="00652869" w14:paraId="0A138598" w14:textId="77777777" w:rsidTr="00261E73">
        <w:trPr>
          <w:trHeight w:hRule="exact" w:val="284"/>
          <w:jc w:val="center"/>
        </w:trPr>
        <w:tc>
          <w:tcPr>
            <w:tcW w:w="326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72B9FE4" w14:textId="77777777" w:rsidR="00F41336" w:rsidRPr="00652869" w:rsidRDefault="00F41336" w:rsidP="00F41336">
            <w:pPr>
              <w:ind w:left="161"/>
              <w:rPr>
                <w:rFonts w:ascii="Arial Narrow" w:hAnsi="Arial Narrow"/>
              </w:rPr>
            </w:pPr>
            <w:r w:rsidRPr="00652869">
              <w:rPr>
                <w:rFonts w:ascii="Arial Narrow" w:hAnsi="Arial Narrow"/>
              </w:rPr>
              <w:t>Insomnia</w:t>
            </w: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FA1ABF2" w14:textId="004F3A86" w:rsidR="00F41336" w:rsidRPr="00652869" w:rsidRDefault="00F41336" w:rsidP="00261E73">
            <w:pPr>
              <w:jc w:val="center"/>
              <w:rPr>
                <w:rFonts w:ascii="Arial Narrow" w:hAnsi="Arial Narrow"/>
              </w:rPr>
            </w:pPr>
            <w:r w:rsidRPr="00652869">
              <w:rPr>
                <w:rFonts w:ascii="Arial Narrow" w:hAnsi="Arial Narrow"/>
              </w:rPr>
              <w:t>27 (4%)</w:t>
            </w:r>
          </w:p>
        </w:tc>
        <w:tc>
          <w:tcPr>
            <w:tcW w:w="26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84E2CA5" w14:textId="77777777" w:rsidR="00F41336" w:rsidRPr="00652869" w:rsidRDefault="00F41336" w:rsidP="00261E73">
            <w:pPr>
              <w:jc w:val="center"/>
              <w:rPr>
                <w:rFonts w:ascii="Arial Narrow" w:hAnsi="Arial Narrow"/>
              </w:rPr>
            </w:pPr>
            <w:r w:rsidRPr="00652869">
              <w:rPr>
                <w:rFonts w:ascii="Arial Narrow" w:hAnsi="Arial Narrow"/>
              </w:rPr>
              <w:t>45 (6%)</w:t>
            </w:r>
          </w:p>
        </w:tc>
      </w:tr>
      <w:tr w:rsidR="00F41336" w:rsidRPr="00652869" w14:paraId="0CCE7457" w14:textId="77777777" w:rsidTr="00261E73">
        <w:trPr>
          <w:trHeight w:hRule="exact" w:val="284"/>
          <w:jc w:val="center"/>
        </w:trPr>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6D8042" w14:textId="77777777" w:rsidR="00F41336" w:rsidRPr="00652869" w:rsidRDefault="00F41336" w:rsidP="00F41336">
            <w:pPr>
              <w:ind w:left="161"/>
              <w:rPr>
                <w:rFonts w:ascii="Arial Narrow" w:hAnsi="Arial Narrow"/>
              </w:rPr>
            </w:pPr>
            <w:r w:rsidRPr="00652869">
              <w:rPr>
                <w:rFonts w:ascii="Arial Narrow" w:hAnsi="Arial Narrow"/>
              </w:rPr>
              <w:t>Depression</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CDE6FA4" w14:textId="77777777" w:rsidR="00F41336" w:rsidRPr="00652869" w:rsidRDefault="00F41336" w:rsidP="00261E73">
            <w:pPr>
              <w:jc w:val="center"/>
              <w:rPr>
                <w:rFonts w:ascii="Arial Narrow" w:hAnsi="Arial Narrow"/>
              </w:rPr>
            </w:pPr>
            <w:r w:rsidRPr="00652869">
              <w:rPr>
                <w:rFonts w:ascii="Arial Narrow" w:hAnsi="Arial Narrow"/>
              </w:rPr>
              <w:t>15 (2%)</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6DD699" w14:textId="77777777" w:rsidR="00F41336" w:rsidRPr="00652869" w:rsidRDefault="00F41336" w:rsidP="00261E73">
            <w:pPr>
              <w:jc w:val="center"/>
              <w:rPr>
                <w:rFonts w:ascii="Arial Narrow" w:hAnsi="Arial Narrow"/>
              </w:rPr>
            </w:pPr>
            <w:r w:rsidRPr="00652869">
              <w:rPr>
                <w:rFonts w:ascii="Arial Narrow" w:hAnsi="Arial Narrow"/>
              </w:rPr>
              <w:t>18 (3%)</w:t>
            </w:r>
          </w:p>
        </w:tc>
      </w:tr>
      <w:tr w:rsidR="001B679F" w:rsidRPr="00652869" w14:paraId="204AFBF7" w14:textId="77777777" w:rsidTr="00652869">
        <w:trPr>
          <w:trHeight w:hRule="exact" w:val="284"/>
          <w:jc w:val="center"/>
        </w:trPr>
        <w:tc>
          <w:tcPr>
            <w:tcW w:w="326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DD98EC9" w14:textId="2FB0DB31" w:rsidR="001B679F" w:rsidRPr="00652869" w:rsidRDefault="00F41336" w:rsidP="00553EAB">
            <w:pPr>
              <w:rPr>
                <w:rFonts w:ascii="Arial Narrow" w:hAnsi="Arial Narrow"/>
                <w:b/>
              </w:rPr>
            </w:pPr>
            <w:r>
              <w:rPr>
                <w:rFonts w:ascii="Arial Narrow" w:hAnsi="Arial Narrow"/>
                <w:b/>
              </w:rPr>
              <w:t>Musculoskeletal and connective tissue disorders</w:t>
            </w: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E47A748" w14:textId="77777777" w:rsidR="001B679F" w:rsidRPr="00652869" w:rsidRDefault="001B679F" w:rsidP="00652869">
            <w:pPr>
              <w:jc w:val="center"/>
              <w:rPr>
                <w:rFonts w:ascii="Arial Narrow" w:hAnsi="Arial Narrow"/>
                <w:b/>
              </w:rPr>
            </w:pPr>
          </w:p>
        </w:tc>
        <w:tc>
          <w:tcPr>
            <w:tcW w:w="26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E97570" w14:textId="77777777" w:rsidR="001B679F" w:rsidRPr="00652869" w:rsidRDefault="001B679F" w:rsidP="00553EAB">
            <w:pPr>
              <w:jc w:val="center"/>
              <w:rPr>
                <w:rFonts w:ascii="Arial Narrow" w:hAnsi="Arial Narrow"/>
                <w:b/>
              </w:rPr>
            </w:pPr>
          </w:p>
        </w:tc>
      </w:tr>
      <w:tr w:rsidR="00F41336" w:rsidRPr="00652869" w14:paraId="57DC4913" w14:textId="77777777" w:rsidTr="00261E73">
        <w:trPr>
          <w:trHeight w:hRule="exact" w:val="284"/>
          <w:jc w:val="center"/>
        </w:trPr>
        <w:tc>
          <w:tcPr>
            <w:tcW w:w="326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48816F" w14:textId="77777777" w:rsidR="00F41336" w:rsidRPr="00652869" w:rsidRDefault="00F41336" w:rsidP="00F41336">
            <w:pPr>
              <w:ind w:left="161"/>
              <w:rPr>
                <w:rFonts w:ascii="Arial Narrow" w:hAnsi="Arial Narrow"/>
              </w:rPr>
            </w:pPr>
            <w:r w:rsidRPr="00652869">
              <w:rPr>
                <w:rFonts w:ascii="Arial Narrow" w:hAnsi="Arial Narrow"/>
              </w:rPr>
              <w:t>Back pain</w:t>
            </w: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9A7197" w14:textId="23BE45E8" w:rsidR="00F41336" w:rsidRPr="00652869" w:rsidRDefault="00F41336" w:rsidP="00261E73">
            <w:pPr>
              <w:jc w:val="center"/>
              <w:rPr>
                <w:rFonts w:ascii="Arial Narrow" w:hAnsi="Arial Narrow"/>
              </w:rPr>
            </w:pPr>
            <w:r w:rsidRPr="00652869">
              <w:rPr>
                <w:rFonts w:ascii="Arial Narrow" w:hAnsi="Arial Narrow"/>
              </w:rPr>
              <w:t>35 (5%)</w:t>
            </w:r>
          </w:p>
        </w:tc>
        <w:tc>
          <w:tcPr>
            <w:tcW w:w="26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B0487D8" w14:textId="77777777" w:rsidR="00F41336" w:rsidRPr="00652869" w:rsidRDefault="00F41336" w:rsidP="00261E73">
            <w:pPr>
              <w:jc w:val="center"/>
              <w:rPr>
                <w:rFonts w:ascii="Arial Narrow" w:hAnsi="Arial Narrow"/>
              </w:rPr>
            </w:pPr>
            <w:r w:rsidRPr="00652869">
              <w:rPr>
                <w:rFonts w:ascii="Arial Narrow" w:hAnsi="Arial Narrow"/>
              </w:rPr>
              <w:t>31 (4%)</w:t>
            </w:r>
          </w:p>
        </w:tc>
      </w:tr>
      <w:tr w:rsidR="00F41336" w:rsidRPr="00652869" w14:paraId="7ADCC77C" w14:textId="77777777" w:rsidTr="00261E73">
        <w:trPr>
          <w:trHeight w:hRule="exact" w:val="284"/>
          <w:jc w:val="center"/>
        </w:trPr>
        <w:tc>
          <w:tcPr>
            <w:tcW w:w="326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513731B" w14:textId="77777777" w:rsidR="00F41336" w:rsidRPr="00652869" w:rsidRDefault="00F41336" w:rsidP="00F41336">
            <w:pPr>
              <w:ind w:left="161"/>
              <w:rPr>
                <w:rFonts w:ascii="Arial Narrow" w:hAnsi="Arial Narrow"/>
              </w:rPr>
            </w:pPr>
            <w:r w:rsidRPr="00652869">
              <w:rPr>
                <w:rFonts w:ascii="Arial Narrow" w:hAnsi="Arial Narrow"/>
              </w:rPr>
              <w:t>Arthralgia</w:t>
            </w: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633A59B" w14:textId="77777777" w:rsidR="00F41336" w:rsidRPr="00652869" w:rsidRDefault="00F41336" w:rsidP="00261E73">
            <w:pPr>
              <w:jc w:val="center"/>
              <w:rPr>
                <w:rFonts w:ascii="Arial Narrow" w:hAnsi="Arial Narrow"/>
              </w:rPr>
            </w:pPr>
            <w:r w:rsidRPr="00652869">
              <w:rPr>
                <w:rFonts w:ascii="Arial Narrow" w:hAnsi="Arial Narrow"/>
              </w:rPr>
              <w:t>15 (2%)</w:t>
            </w:r>
          </w:p>
        </w:tc>
        <w:tc>
          <w:tcPr>
            <w:tcW w:w="26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664FA22" w14:textId="77777777" w:rsidR="00F41336" w:rsidRPr="00652869" w:rsidRDefault="00F41336" w:rsidP="00261E73">
            <w:pPr>
              <w:jc w:val="center"/>
              <w:rPr>
                <w:rFonts w:ascii="Arial Narrow" w:hAnsi="Arial Narrow"/>
              </w:rPr>
            </w:pPr>
            <w:r w:rsidRPr="00652869">
              <w:rPr>
                <w:rFonts w:ascii="Arial Narrow" w:hAnsi="Arial Narrow"/>
              </w:rPr>
              <w:t>26 (4%)</w:t>
            </w:r>
          </w:p>
        </w:tc>
      </w:tr>
      <w:tr w:rsidR="001B679F" w:rsidRPr="00652869" w14:paraId="699E4DF4" w14:textId="77777777" w:rsidTr="00F41336">
        <w:trPr>
          <w:trHeight w:hRule="exact" w:val="620"/>
          <w:jc w:val="center"/>
        </w:trPr>
        <w:tc>
          <w:tcPr>
            <w:tcW w:w="326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7B107FF" w14:textId="354A69C0" w:rsidR="001B679F" w:rsidRPr="00652869" w:rsidRDefault="00F41336" w:rsidP="00553EAB">
            <w:pPr>
              <w:rPr>
                <w:rFonts w:ascii="Arial Narrow" w:hAnsi="Arial Narrow"/>
                <w:b/>
              </w:rPr>
            </w:pPr>
            <w:r>
              <w:rPr>
                <w:rFonts w:ascii="Arial Narrow" w:hAnsi="Arial Narrow"/>
                <w:b/>
              </w:rPr>
              <w:t>General disorders and administration site conditions</w:t>
            </w: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D8CB699" w14:textId="77777777" w:rsidR="001B679F" w:rsidRPr="00652869" w:rsidRDefault="001B679F" w:rsidP="00652869">
            <w:pPr>
              <w:jc w:val="center"/>
              <w:rPr>
                <w:rFonts w:ascii="Arial Narrow" w:hAnsi="Arial Narrow"/>
                <w:b/>
              </w:rPr>
            </w:pPr>
          </w:p>
        </w:tc>
        <w:tc>
          <w:tcPr>
            <w:tcW w:w="26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A45FA3F" w14:textId="77777777" w:rsidR="001B679F" w:rsidRPr="00652869" w:rsidRDefault="001B679F" w:rsidP="00553EAB">
            <w:pPr>
              <w:jc w:val="center"/>
              <w:rPr>
                <w:rFonts w:ascii="Arial Narrow" w:hAnsi="Arial Narrow"/>
                <w:b/>
              </w:rPr>
            </w:pPr>
          </w:p>
        </w:tc>
      </w:tr>
      <w:tr w:rsidR="00F41336" w:rsidRPr="00652869" w14:paraId="45A540EB" w14:textId="77777777" w:rsidTr="00261E73">
        <w:trPr>
          <w:trHeight w:hRule="exact" w:val="284"/>
          <w:jc w:val="center"/>
        </w:trPr>
        <w:tc>
          <w:tcPr>
            <w:tcW w:w="326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021D858" w14:textId="77777777" w:rsidR="00F41336" w:rsidRPr="00652869" w:rsidRDefault="00F41336" w:rsidP="00F41336">
            <w:pPr>
              <w:ind w:left="161"/>
              <w:rPr>
                <w:rFonts w:ascii="Arial Narrow" w:hAnsi="Arial Narrow"/>
              </w:rPr>
            </w:pPr>
            <w:r w:rsidRPr="00652869">
              <w:rPr>
                <w:rFonts w:ascii="Arial Narrow" w:hAnsi="Arial Narrow"/>
              </w:rPr>
              <w:t>Fatigue</w:t>
            </w: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7584E2" w14:textId="56D13A43" w:rsidR="00F41336" w:rsidRPr="00652869" w:rsidRDefault="00F41336" w:rsidP="00261E73">
            <w:pPr>
              <w:jc w:val="center"/>
              <w:rPr>
                <w:rFonts w:ascii="Arial Narrow" w:hAnsi="Arial Narrow"/>
              </w:rPr>
            </w:pPr>
            <w:r w:rsidRPr="00652869">
              <w:rPr>
                <w:rFonts w:ascii="Arial Narrow" w:hAnsi="Arial Narrow"/>
              </w:rPr>
              <w:t>23 (3%)</w:t>
            </w:r>
          </w:p>
        </w:tc>
        <w:tc>
          <w:tcPr>
            <w:tcW w:w="26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0778E92" w14:textId="77777777" w:rsidR="00F41336" w:rsidRPr="00652869" w:rsidRDefault="00F41336" w:rsidP="00261E73">
            <w:pPr>
              <w:jc w:val="center"/>
              <w:rPr>
                <w:rFonts w:ascii="Arial Narrow" w:hAnsi="Arial Narrow"/>
              </w:rPr>
            </w:pPr>
            <w:r w:rsidRPr="00652869">
              <w:rPr>
                <w:rFonts w:ascii="Arial Narrow" w:hAnsi="Arial Narrow"/>
              </w:rPr>
              <w:t>18 (3%)</w:t>
            </w:r>
          </w:p>
        </w:tc>
      </w:tr>
      <w:tr w:rsidR="00F41336" w:rsidRPr="00652869" w14:paraId="0370745F" w14:textId="77777777" w:rsidTr="00261E73">
        <w:trPr>
          <w:trHeight w:hRule="exact" w:val="284"/>
          <w:jc w:val="center"/>
        </w:trPr>
        <w:tc>
          <w:tcPr>
            <w:tcW w:w="326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CE49404" w14:textId="77777777" w:rsidR="00F41336" w:rsidRPr="00652869" w:rsidRDefault="00F41336" w:rsidP="00F41336">
            <w:pPr>
              <w:ind w:left="161"/>
              <w:rPr>
                <w:rFonts w:ascii="Arial Narrow" w:hAnsi="Arial Narrow"/>
              </w:rPr>
            </w:pPr>
            <w:r w:rsidRPr="00652869">
              <w:rPr>
                <w:rFonts w:ascii="Arial Narrow" w:hAnsi="Arial Narrow"/>
              </w:rPr>
              <w:t>Influenza like illness</w:t>
            </w: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80F5651" w14:textId="77777777" w:rsidR="00F41336" w:rsidRPr="00652869" w:rsidRDefault="00F41336" w:rsidP="00261E73">
            <w:pPr>
              <w:jc w:val="center"/>
              <w:rPr>
                <w:rFonts w:ascii="Arial Narrow" w:hAnsi="Arial Narrow"/>
              </w:rPr>
            </w:pPr>
            <w:r w:rsidRPr="00652869">
              <w:rPr>
                <w:rFonts w:ascii="Arial Narrow" w:hAnsi="Arial Narrow"/>
              </w:rPr>
              <w:t>21 (3%)</w:t>
            </w:r>
          </w:p>
        </w:tc>
        <w:tc>
          <w:tcPr>
            <w:tcW w:w="26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F6F1474" w14:textId="77777777" w:rsidR="00F41336" w:rsidRPr="00652869" w:rsidRDefault="00F41336" w:rsidP="00261E73">
            <w:pPr>
              <w:jc w:val="center"/>
              <w:rPr>
                <w:rFonts w:ascii="Arial Narrow" w:hAnsi="Arial Narrow"/>
              </w:rPr>
            </w:pPr>
            <w:r w:rsidRPr="00652869">
              <w:rPr>
                <w:rFonts w:ascii="Arial Narrow" w:hAnsi="Arial Narrow"/>
              </w:rPr>
              <w:t>18 (3%)</w:t>
            </w:r>
          </w:p>
        </w:tc>
      </w:tr>
      <w:tr w:rsidR="00F41336" w:rsidRPr="00652869" w14:paraId="4A6DF645" w14:textId="77777777" w:rsidTr="00261E73">
        <w:trPr>
          <w:trHeight w:hRule="exact" w:val="284"/>
          <w:jc w:val="center"/>
        </w:trPr>
        <w:tc>
          <w:tcPr>
            <w:tcW w:w="326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0FE0C8C" w14:textId="77777777" w:rsidR="00F41336" w:rsidRPr="00652869" w:rsidRDefault="00F41336" w:rsidP="00F41336">
            <w:pPr>
              <w:ind w:left="161"/>
              <w:rPr>
                <w:rFonts w:ascii="Arial Narrow" w:hAnsi="Arial Narrow"/>
              </w:rPr>
            </w:pPr>
            <w:r w:rsidRPr="00652869">
              <w:rPr>
                <w:rFonts w:ascii="Arial Narrow" w:hAnsi="Arial Narrow"/>
              </w:rPr>
              <w:t>Pyrexia</w:t>
            </w: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D3425D6" w14:textId="77777777" w:rsidR="00F41336" w:rsidRPr="00652869" w:rsidRDefault="00F41336" w:rsidP="00261E73">
            <w:pPr>
              <w:jc w:val="center"/>
              <w:rPr>
                <w:rFonts w:ascii="Arial Narrow" w:hAnsi="Arial Narrow"/>
              </w:rPr>
            </w:pPr>
            <w:r w:rsidRPr="00652869">
              <w:rPr>
                <w:rFonts w:ascii="Arial Narrow" w:hAnsi="Arial Narrow"/>
              </w:rPr>
              <w:t>23 (3%)</w:t>
            </w:r>
          </w:p>
        </w:tc>
        <w:tc>
          <w:tcPr>
            <w:tcW w:w="26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49C4774" w14:textId="77777777" w:rsidR="00F41336" w:rsidRPr="00652869" w:rsidRDefault="00F41336" w:rsidP="00261E73">
            <w:pPr>
              <w:jc w:val="center"/>
              <w:rPr>
                <w:rFonts w:ascii="Arial Narrow" w:hAnsi="Arial Narrow"/>
              </w:rPr>
            </w:pPr>
            <w:r w:rsidRPr="00652869">
              <w:rPr>
                <w:rFonts w:ascii="Arial Narrow" w:hAnsi="Arial Narrow"/>
              </w:rPr>
              <w:t>16 (2%)</w:t>
            </w:r>
          </w:p>
        </w:tc>
      </w:tr>
      <w:tr w:rsidR="001B679F" w:rsidRPr="00652869" w14:paraId="5F0711B8" w14:textId="77777777" w:rsidTr="00F41336">
        <w:trPr>
          <w:trHeight w:hRule="exact" w:val="699"/>
          <w:jc w:val="center"/>
        </w:trPr>
        <w:tc>
          <w:tcPr>
            <w:tcW w:w="326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216846" w14:textId="5CDEECC1" w:rsidR="001B679F" w:rsidRPr="00652869" w:rsidRDefault="00F41336" w:rsidP="00553EAB">
            <w:pPr>
              <w:rPr>
                <w:rFonts w:ascii="Arial Narrow" w:hAnsi="Arial Narrow"/>
                <w:b/>
              </w:rPr>
            </w:pPr>
            <w:r>
              <w:rPr>
                <w:rFonts w:ascii="Arial Narrow" w:hAnsi="Arial Narrow"/>
                <w:b/>
              </w:rPr>
              <w:t>Respiratory, thoracic and mediastinal disorders</w:t>
            </w: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1AA2F15" w14:textId="77777777" w:rsidR="001B679F" w:rsidRPr="00652869" w:rsidRDefault="001B679F" w:rsidP="00652869">
            <w:pPr>
              <w:jc w:val="center"/>
              <w:rPr>
                <w:rFonts w:ascii="Arial Narrow" w:hAnsi="Arial Narrow"/>
                <w:b/>
              </w:rPr>
            </w:pPr>
          </w:p>
        </w:tc>
        <w:tc>
          <w:tcPr>
            <w:tcW w:w="26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CF09A" w14:textId="77777777" w:rsidR="001B679F" w:rsidRPr="00652869" w:rsidRDefault="001B679F" w:rsidP="00553EAB">
            <w:pPr>
              <w:jc w:val="center"/>
              <w:rPr>
                <w:rFonts w:ascii="Arial Narrow" w:hAnsi="Arial Narrow"/>
                <w:b/>
              </w:rPr>
            </w:pPr>
          </w:p>
        </w:tc>
      </w:tr>
      <w:tr w:rsidR="00F41336" w:rsidRPr="00652869" w14:paraId="7D97B533" w14:textId="77777777" w:rsidTr="00261E73">
        <w:trPr>
          <w:trHeight w:hRule="exact" w:val="284"/>
          <w:jc w:val="center"/>
        </w:trPr>
        <w:tc>
          <w:tcPr>
            <w:tcW w:w="326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4B9EC59" w14:textId="77777777" w:rsidR="00F41336" w:rsidRPr="00652869" w:rsidRDefault="00F41336" w:rsidP="00F41336">
            <w:pPr>
              <w:ind w:left="161"/>
              <w:rPr>
                <w:rFonts w:ascii="Arial Narrow" w:hAnsi="Arial Narrow"/>
              </w:rPr>
            </w:pPr>
            <w:r w:rsidRPr="00652869">
              <w:rPr>
                <w:rFonts w:ascii="Arial Narrow" w:hAnsi="Arial Narrow"/>
              </w:rPr>
              <w:t>Oropharyngeal pain</w:t>
            </w: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ACCB6E" w14:textId="36FB4568" w:rsidR="00F41336" w:rsidRPr="00652869" w:rsidRDefault="00F41336" w:rsidP="00261E73">
            <w:pPr>
              <w:jc w:val="center"/>
              <w:rPr>
                <w:rFonts w:ascii="Arial Narrow" w:hAnsi="Arial Narrow"/>
              </w:rPr>
            </w:pPr>
            <w:r w:rsidRPr="00652869">
              <w:rPr>
                <w:rFonts w:ascii="Arial Narrow" w:hAnsi="Arial Narrow"/>
              </w:rPr>
              <w:t>18 (3%)</w:t>
            </w:r>
          </w:p>
        </w:tc>
        <w:tc>
          <w:tcPr>
            <w:tcW w:w="26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04FE2B" w14:textId="77777777" w:rsidR="00F41336" w:rsidRPr="00652869" w:rsidRDefault="00F41336" w:rsidP="00261E73">
            <w:pPr>
              <w:jc w:val="center"/>
              <w:rPr>
                <w:rFonts w:ascii="Arial Narrow" w:hAnsi="Arial Narrow"/>
              </w:rPr>
            </w:pPr>
            <w:r w:rsidRPr="00652869">
              <w:rPr>
                <w:rFonts w:ascii="Arial Narrow" w:hAnsi="Arial Narrow"/>
              </w:rPr>
              <w:t>21 (3%)</w:t>
            </w:r>
          </w:p>
        </w:tc>
      </w:tr>
      <w:tr w:rsidR="00F41336" w:rsidRPr="00652869" w14:paraId="0E65F08E" w14:textId="77777777" w:rsidTr="00261E73">
        <w:trPr>
          <w:trHeight w:hRule="exact" w:val="284"/>
          <w:jc w:val="center"/>
        </w:trPr>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D6CC38" w14:textId="77777777" w:rsidR="00F41336" w:rsidRPr="00652869" w:rsidRDefault="00F41336" w:rsidP="00F41336">
            <w:pPr>
              <w:ind w:left="161"/>
              <w:rPr>
                <w:rFonts w:ascii="Arial Narrow" w:hAnsi="Arial Narrow"/>
              </w:rPr>
            </w:pPr>
            <w:r w:rsidRPr="00652869">
              <w:rPr>
                <w:rFonts w:ascii="Arial Narrow" w:hAnsi="Arial Narrow"/>
              </w:rPr>
              <w:t>Cough</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6550BD" w14:textId="77777777" w:rsidR="00F41336" w:rsidRPr="00652869" w:rsidRDefault="00F41336" w:rsidP="00261E73">
            <w:pPr>
              <w:jc w:val="center"/>
              <w:rPr>
                <w:rFonts w:ascii="Arial Narrow" w:hAnsi="Arial Narrow"/>
              </w:rPr>
            </w:pPr>
            <w:r w:rsidRPr="00652869">
              <w:rPr>
                <w:rFonts w:ascii="Arial Narrow" w:hAnsi="Arial Narrow"/>
              </w:rPr>
              <w:t>14 (2%)</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D75F0B" w14:textId="77777777" w:rsidR="00F41336" w:rsidRPr="00652869" w:rsidRDefault="00F41336" w:rsidP="00261E73">
            <w:pPr>
              <w:jc w:val="center"/>
              <w:rPr>
                <w:rFonts w:ascii="Arial Narrow" w:hAnsi="Arial Narrow"/>
              </w:rPr>
            </w:pPr>
            <w:r w:rsidRPr="00652869">
              <w:rPr>
                <w:rFonts w:ascii="Arial Narrow" w:hAnsi="Arial Narrow"/>
              </w:rPr>
              <w:t>22 (3%)</w:t>
            </w:r>
          </w:p>
        </w:tc>
      </w:tr>
      <w:tr w:rsidR="001B679F" w:rsidRPr="00652869" w14:paraId="5C980C76" w14:textId="77777777" w:rsidTr="00F41336">
        <w:trPr>
          <w:trHeight w:hRule="exact" w:val="565"/>
          <w:jc w:val="center"/>
        </w:trPr>
        <w:tc>
          <w:tcPr>
            <w:tcW w:w="326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D3FAE84" w14:textId="0ECED0D0" w:rsidR="001B679F" w:rsidRPr="00652869" w:rsidRDefault="00F41336" w:rsidP="00553EAB">
            <w:pPr>
              <w:rPr>
                <w:rFonts w:ascii="Arial Narrow" w:hAnsi="Arial Narrow"/>
                <w:b/>
              </w:rPr>
            </w:pPr>
            <w:r>
              <w:rPr>
                <w:rFonts w:ascii="Arial Narrow" w:hAnsi="Arial Narrow"/>
                <w:b/>
              </w:rPr>
              <w:t>Neoplasms - benign, malignant and unspecified</w:t>
            </w: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16BC4A" w14:textId="77777777" w:rsidR="001B679F" w:rsidRPr="00652869" w:rsidRDefault="001B679F" w:rsidP="00652869">
            <w:pPr>
              <w:jc w:val="center"/>
              <w:rPr>
                <w:rFonts w:ascii="Arial Narrow" w:hAnsi="Arial Narrow"/>
                <w:b/>
              </w:rPr>
            </w:pPr>
          </w:p>
        </w:tc>
        <w:tc>
          <w:tcPr>
            <w:tcW w:w="269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64267E2" w14:textId="77777777" w:rsidR="001B679F" w:rsidRPr="00652869" w:rsidRDefault="001B679F" w:rsidP="00553EAB">
            <w:pPr>
              <w:jc w:val="center"/>
              <w:rPr>
                <w:rFonts w:ascii="Arial Narrow" w:hAnsi="Arial Narrow"/>
                <w:b/>
              </w:rPr>
            </w:pPr>
          </w:p>
        </w:tc>
      </w:tr>
      <w:tr w:rsidR="00F41336" w:rsidRPr="00652869" w14:paraId="3983BDB3" w14:textId="77777777" w:rsidTr="00261E73">
        <w:trPr>
          <w:trHeight w:hRule="exact" w:val="284"/>
          <w:jc w:val="center"/>
        </w:trPr>
        <w:tc>
          <w:tcPr>
            <w:tcW w:w="3260" w:type="dxa"/>
            <w:tcBorders>
              <w:top w:val="nil"/>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020B799" w14:textId="77777777" w:rsidR="00F41336" w:rsidRPr="00652869" w:rsidRDefault="00F41336" w:rsidP="00F41336">
            <w:pPr>
              <w:ind w:left="161"/>
              <w:rPr>
                <w:rFonts w:ascii="Arial Narrow" w:hAnsi="Arial Narrow"/>
              </w:rPr>
            </w:pPr>
            <w:r w:rsidRPr="00652869">
              <w:rPr>
                <w:rFonts w:ascii="Arial Narrow" w:hAnsi="Arial Narrow"/>
              </w:rPr>
              <w:t>Anogenital warts</w:t>
            </w:r>
          </w:p>
        </w:tc>
        <w:tc>
          <w:tcPr>
            <w:tcW w:w="2835"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72304531" w14:textId="77777777" w:rsidR="00F41336" w:rsidRPr="00652869" w:rsidRDefault="00F41336" w:rsidP="00261E73">
            <w:pPr>
              <w:jc w:val="center"/>
              <w:rPr>
                <w:rFonts w:ascii="Arial Narrow" w:hAnsi="Arial Narrow"/>
              </w:rPr>
            </w:pPr>
            <w:r w:rsidRPr="00652869">
              <w:rPr>
                <w:rFonts w:ascii="Arial Narrow" w:hAnsi="Arial Narrow"/>
              </w:rPr>
              <w:t>16 (2%)</w:t>
            </w:r>
          </w:p>
        </w:tc>
        <w:tc>
          <w:tcPr>
            <w:tcW w:w="2694"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0DB561F" w14:textId="77777777" w:rsidR="00F41336" w:rsidRPr="00652869" w:rsidRDefault="00F41336" w:rsidP="00261E73">
            <w:pPr>
              <w:jc w:val="center"/>
              <w:rPr>
                <w:rFonts w:ascii="Arial Narrow" w:hAnsi="Arial Narrow"/>
              </w:rPr>
            </w:pPr>
            <w:r w:rsidRPr="00652869">
              <w:rPr>
                <w:rFonts w:ascii="Arial Narrow" w:hAnsi="Arial Narrow"/>
              </w:rPr>
              <w:t>20 (3%)</w:t>
            </w:r>
          </w:p>
        </w:tc>
      </w:tr>
    </w:tbl>
    <w:p w14:paraId="537ADE4C" w14:textId="6EDE87B2" w:rsidR="007271A4" w:rsidRDefault="007271A4" w:rsidP="002D37B9">
      <w:r>
        <w:t xml:space="preserve">* </w:t>
      </w:r>
      <w:r w:rsidRPr="007271A4">
        <w:rPr>
          <w:sz w:val="18"/>
          <w:szCs w:val="18"/>
        </w:rPr>
        <w:t>tenofovir disoproxil fumarate</w:t>
      </w:r>
    </w:p>
    <w:p w14:paraId="4253471D" w14:textId="0D363CEA" w:rsidR="002C6616" w:rsidRDefault="002C6616" w:rsidP="00C767F7">
      <w:r w:rsidRPr="002C6616">
        <w:t>The rates of adverse events leading to discontinuation in the pooled analysis were 2% of subjects in both treatment arms. The most common adverse events leading to discontinuation were psychiatric disorders: &lt;1% of subjects in both treatment arms</w:t>
      </w:r>
      <w:r>
        <w:t>.</w:t>
      </w:r>
      <w:r w:rsidRPr="002C6616">
        <w:t xml:space="preserve"> T</w:t>
      </w:r>
      <w:r w:rsidR="00553EAB">
        <w:t>he incidence of serious adverse e</w:t>
      </w:r>
      <w:r w:rsidRPr="002C6616">
        <w:t xml:space="preserve">vents was 7% in subjects receiving </w:t>
      </w:r>
      <w:r>
        <w:t>DOVATO</w:t>
      </w:r>
      <w:r w:rsidRPr="002C6616">
        <w:t xml:space="preserve"> and 8% for </w:t>
      </w:r>
      <w:proofErr w:type="spellStart"/>
      <w:r w:rsidR="00F34FB4">
        <w:t>dolutegravir</w:t>
      </w:r>
      <w:r w:rsidRPr="002C6616">
        <w:t>+</w:t>
      </w:r>
      <w:r w:rsidR="00F34FB4">
        <w:t>tenofovir</w:t>
      </w:r>
      <w:proofErr w:type="spellEnd"/>
      <w:r w:rsidR="00F34FB4">
        <w:t>/emtricitabine fixed dose tablet arm.</w:t>
      </w:r>
    </w:p>
    <w:p w14:paraId="1B13BE04" w14:textId="588B5DED" w:rsidR="00126668" w:rsidRPr="003E241C" w:rsidRDefault="00126668" w:rsidP="00C767F7">
      <w:pPr>
        <w:rPr>
          <w:b/>
        </w:rPr>
      </w:pPr>
      <w:r w:rsidRPr="003E241C">
        <w:rPr>
          <w:b/>
        </w:rPr>
        <w:t xml:space="preserve">Adverse </w:t>
      </w:r>
      <w:r>
        <w:rPr>
          <w:b/>
        </w:rPr>
        <w:t>d</w:t>
      </w:r>
      <w:r w:rsidRPr="003E241C">
        <w:rPr>
          <w:b/>
        </w:rPr>
        <w:t xml:space="preserve">rug </w:t>
      </w:r>
      <w:r>
        <w:rPr>
          <w:b/>
        </w:rPr>
        <w:t>r</w:t>
      </w:r>
      <w:r w:rsidRPr="003E241C">
        <w:rPr>
          <w:b/>
        </w:rPr>
        <w:t>eactions</w:t>
      </w:r>
    </w:p>
    <w:p w14:paraId="37881D6A" w14:textId="5D4E2CA6" w:rsidR="00F34FB4" w:rsidRDefault="00F34FB4" w:rsidP="00C767F7">
      <w:r w:rsidRPr="00F34FB4">
        <w:t xml:space="preserve">The ADRs observed for the combination of dolutegravir and lamivudine in an analysis of pooled data from Phase 3 clinical trials (GEMINI-1 and GEMINI-2) were generally consistent with the ADR profiles and severities for the individual components when administered with other antiretroviral agents. </w:t>
      </w:r>
    </w:p>
    <w:p w14:paraId="30964F09" w14:textId="59DDBFE6" w:rsidR="00553EAB" w:rsidRDefault="00DC07C2" w:rsidP="00C767F7">
      <w:r>
        <w:t xml:space="preserve">Treatment emergent </w:t>
      </w:r>
      <w:r w:rsidR="00553EAB" w:rsidRPr="00553EAB">
        <w:t>ADRs (all grades) observed in at least 2% of subjects in either treatment arm of the Week 48 pooled analysis from GEMINI-1 and GEMINI-2 trials are provided in Table 4.</w:t>
      </w:r>
    </w:p>
    <w:p w14:paraId="5F6FBF9D" w14:textId="07EA0B65" w:rsidR="00F34FB4" w:rsidRPr="00F34FB4" w:rsidRDefault="00F34FB4" w:rsidP="00537D02">
      <w:pPr>
        <w:keepNext/>
        <w:ind w:left="1134" w:hanging="1134"/>
      </w:pPr>
      <w:r w:rsidRPr="00F34FB4">
        <w:rPr>
          <w:b/>
        </w:rPr>
        <w:lastRenderedPageBreak/>
        <w:t>Table 4</w:t>
      </w:r>
      <w:r w:rsidR="009A7CC5">
        <w:rPr>
          <w:b/>
        </w:rPr>
        <w:t>:</w:t>
      </w:r>
      <w:r w:rsidRPr="00F34FB4">
        <w:rPr>
          <w:b/>
        </w:rPr>
        <w:t xml:space="preserve"> </w:t>
      </w:r>
      <w:r w:rsidR="00FB7D66">
        <w:rPr>
          <w:b/>
        </w:rPr>
        <w:tab/>
      </w:r>
      <w:r w:rsidRPr="00F34FB4">
        <w:rPr>
          <w:b/>
        </w:rPr>
        <w:t>Adverse Reactions (All Grades) ≥</w:t>
      </w:r>
      <w:r w:rsidR="00F26159">
        <w:rPr>
          <w:b/>
        </w:rPr>
        <w:t>1</w:t>
      </w:r>
      <w:r w:rsidRPr="00F34FB4">
        <w:rPr>
          <w:b/>
        </w:rPr>
        <w:t>% Frequency in either Treatment Arm in Treatment-Naïve Subjects in GEMINI-1 and GEMINI-2 (Week 48 Pooled Analysis)</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3"/>
        <w:gridCol w:w="2970"/>
        <w:gridCol w:w="2790"/>
      </w:tblGrid>
      <w:tr w:rsidR="001B2848" w:rsidRPr="001B2848" w14:paraId="03ADE877" w14:textId="77777777" w:rsidTr="00537D02">
        <w:trPr>
          <w:tblHeader/>
        </w:trPr>
        <w:tc>
          <w:tcPr>
            <w:tcW w:w="3713" w:type="dxa"/>
            <w:tcBorders>
              <w:bottom w:val="single" w:sz="4" w:space="0" w:color="auto"/>
              <w:right w:val="single" w:sz="4" w:space="0" w:color="auto"/>
            </w:tcBorders>
            <w:vAlign w:val="bottom"/>
          </w:tcPr>
          <w:p w14:paraId="7CF231C9" w14:textId="77777777" w:rsidR="001B2848" w:rsidRPr="001B2848" w:rsidRDefault="001B2848" w:rsidP="00537D02">
            <w:pPr>
              <w:pStyle w:val="tabletextNS"/>
              <w:keepNext/>
              <w:spacing w:after="200"/>
              <w:jc w:val="center"/>
              <w:rPr>
                <w:b/>
                <w:bCs/>
                <w:sz w:val="22"/>
                <w:szCs w:val="22"/>
              </w:rPr>
            </w:pPr>
            <w:r w:rsidRPr="001B2848">
              <w:rPr>
                <w:b/>
                <w:bCs/>
                <w:sz w:val="22"/>
                <w:szCs w:val="22"/>
              </w:rPr>
              <w:t>Adverse Reaction</w:t>
            </w:r>
          </w:p>
        </w:tc>
        <w:tc>
          <w:tcPr>
            <w:tcW w:w="2970" w:type="dxa"/>
            <w:tcBorders>
              <w:bottom w:val="single" w:sz="4" w:space="0" w:color="auto"/>
            </w:tcBorders>
            <w:vAlign w:val="bottom"/>
          </w:tcPr>
          <w:p w14:paraId="726CD5AA" w14:textId="3C293932" w:rsidR="001B2848" w:rsidRPr="001B2848" w:rsidRDefault="001B2848" w:rsidP="00537D02">
            <w:pPr>
              <w:keepNext/>
              <w:spacing w:line="240" w:lineRule="auto"/>
              <w:jc w:val="center"/>
              <w:rPr>
                <w:rFonts w:ascii="Arial Narrow" w:hAnsi="Arial Narrow"/>
                <w:b/>
              </w:rPr>
            </w:pPr>
            <w:r>
              <w:rPr>
                <w:rFonts w:ascii="Arial Narrow" w:hAnsi="Arial Narrow"/>
                <w:b/>
              </w:rPr>
              <w:t>Dolutegravir</w:t>
            </w:r>
            <w:r w:rsidRPr="001B2848">
              <w:rPr>
                <w:rFonts w:ascii="Arial Narrow" w:hAnsi="Arial Narrow"/>
                <w:b/>
              </w:rPr>
              <w:t xml:space="preserve"> plus </w:t>
            </w:r>
            <w:r>
              <w:rPr>
                <w:rFonts w:ascii="Arial Narrow" w:hAnsi="Arial Narrow"/>
                <w:b/>
              </w:rPr>
              <w:t>Lamivudine</w:t>
            </w:r>
          </w:p>
          <w:p w14:paraId="01195626" w14:textId="77777777" w:rsidR="001B2848" w:rsidRDefault="001B2848" w:rsidP="00537D02">
            <w:pPr>
              <w:keepNext/>
              <w:spacing w:line="240" w:lineRule="auto"/>
              <w:jc w:val="center"/>
              <w:rPr>
                <w:rFonts w:ascii="Arial Narrow" w:hAnsi="Arial Narrow"/>
                <w:b/>
              </w:rPr>
            </w:pPr>
            <w:r w:rsidRPr="001B2848">
              <w:rPr>
                <w:rFonts w:ascii="Arial Narrow" w:hAnsi="Arial Narrow"/>
                <w:b/>
              </w:rPr>
              <w:t>(N = 716)</w:t>
            </w:r>
          </w:p>
          <w:p w14:paraId="544DDF74" w14:textId="21825396" w:rsidR="00F26159" w:rsidRPr="001B2848" w:rsidRDefault="00F26159" w:rsidP="00537D02">
            <w:pPr>
              <w:keepNext/>
              <w:spacing w:line="240" w:lineRule="auto"/>
              <w:jc w:val="center"/>
              <w:rPr>
                <w:rFonts w:ascii="Arial Narrow" w:hAnsi="Arial Narrow"/>
                <w:b/>
              </w:rPr>
            </w:pPr>
            <w:r>
              <w:rPr>
                <w:rFonts w:ascii="Arial Narrow" w:hAnsi="Arial Narrow"/>
                <w:b/>
              </w:rPr>
              <w:t>N (%)</w:t>
            </w:r>
          </w:p>
        </w:tc>
        <w:tc>
          <w:tcPr>
            <w:tcW w:w="2790" w:type="dxa"/>
            <w:tcBorders>
              <w:bottom w:val="single" w:sz="4" w:space="0" w:color="auto"/>
            </w:tcBorders>
            <w:vAlign w:val="bottom"/>
          </w:tcPr>
          <w:p w14:paraId="3E1CBE17" w14:textId="77777777" w:rsidR="001B2848" w:rsidRDefault="001B2848" w:rsidP="00537D02">
            <w:pPr>
              <w:keepNext/>
              <w:spacing w:after="0" w:line="240" w:lineRule="auto"/>
              <w:jc w:val="center"/>
              <w:rPr>
                <w:rFonts w:ascii="Arial Narrow" w:hAnsi="Arial Narrow"/>
                <w:b/>
              </w:rPr>
            </w:pPr>
            <w:r>
              <w:rPr>
                <w:rFonts w:ascii="Arial Narrow" w:hAnsi="Arial Narrow"/>
                <w:b/>
              </w:rPr>
              <w:t>Dolutegravir plus TDF*/emtricitabine</w:t>
            </w:r>
            <w:r w:rsidRPr="001B2848">
              <w:rPr>
                <w:rFonts w:ascii="Arial Narrow" w:hAnsi="Arial Narrow"/>
                <w:b/>
              </w:rPr>
              <w:t xml:space="preserve"> </w:t>
            </w:r>
          </w:p>
          <w:p w14:paraId="5995E2F6" w14:textId="77777777" w:rsidR="001B2848" w:rsidRDefault="001B2848" w:rsidP="00537D02">
            <w:pPr>
              <w:keepNext/>
              <w:spacing w:line="240" w:lineRule="auto"/>
              <w:jc w:val="center"/>
              <w:rPr>
                <w:rFonts w:ascii="Arial Narrow" w:hAnsi="Arial Narrow"/>
                <w:b/>
              </w:rPr>
            </w:pPr>
            <w:r w:rsidRPr="001B2848">
              <w:rPr>
                <w:rFonts w:ascii="Arial Narrow" w:hAnsi="Arial Narrow"/>
                <w:b/>
              </w:rPr>
              <w:t>(N = 717)</w:t>
            </w:r>
          </w:p>
          <w:p w14:paraId="05AAC756" w14:textId="18B5C43D" w:rsidR="00F26159" w:rsidRPr="001B2848" w:rsidRDefault="00F26159" w:rsidP="00537D02">
            <w:pPr>
              <w:keepNext/>
              <w:spacing w:line="240" w:lineRule="auto"/>
              <w:jc w:val="center"/>
              <w:rPr>
                <w:rFonts w:ascii="Arial Narrow" w:hAnsi="Arial Narrow"/>
                <w:b/>
              </w:rPr>
            </w:pPr>
            <w:r>
              <w:rPr>
                <w:rFonts w:ascii="Arial Narrow" w:hAnsi="Arial Narrow"/>
                <w:b/>
              </w:rPr>
              <w:t>N (%)</w:t>
            </w:r>
          </w:p>
        </w:tc>
      </w:tr>
      <w:tr w:rsidR="001B2848" w:rsidRPr="001B2848" w14:paraId="3EA65520" w14:textId="77777777" w:rsidTr="00553EAB">
        <w:tc>
          <w:tcPr>
            <w:tcW w:w="3713" w:type="dxa"/>
            <w:tcBorders>
              <w:bottom w:val="nil"/>
              <w:right w:val="single" w:sz="4" w:space="0" w:color="auto"/>
            </w:tcBorders>
          </w:tcPr>
          <w:p w14:paraId="41BBD5E0" w14:textId="77777777" w:rsidR="001B2848" w:rsidRPr="001B2848" w:rsidRDefault="001B2848" w:rsidP="00553EAB">
            <w:pPr>
              <w:pStyle w:val="tabletextNS"/>
              <w:keepNext/>
              <w:keepLines/>
              <w:spacing w:line="320" w:lineRule="atLeast"/>
              <w:rPr>
                <w:b/>
                <w:bCs/>
                <w:sz w:val="22"/>
                <w:szCs w:val="22"/>
              </w:rPr>
            </w:pPr>
            <w:bookmarkStart w:id="5" w:name="_Hlk520820265"/>
            <w:r w:rsidRPr="001B2848">
              <w:rPr>
                <w:b/>
                <w:bCs/>
                <w:sz w:val="22"/>
                <w:szCs w:val="22"/>
              </w:rPr>
              <w:t>Nervous System</w:t>
            </w:r>
          </w:p>
        </w:tc>
        <w:tc>
          <w:tcPr>
            <w:tcW w:w="2970" w:type="dxa"/>
            <w:tcBorders>
              <w:bottom w:val="nil"/>
            </w:tcBorders>
          </w:tcPr>
          <w:p w14:paraId="5E08D880" w14:textId="77777777" w:rsidR="001B2848" w:rsidRPr="001B2848" w:rsidRDefault="001B2848" w:rsidP="00553EAB">
            <w:pPr>
              <w:pStyle w:val="tabletextNS"/>
              <w:keepNext/>
              <w:keepLines/>
              <w:spacing w:line="320" w:lineRule="atLeast"/>
              <w:jc w:val="center"/>
              <w:rPr>
                <w:sz w:val="22"/>
                <w:szCs w:val="22"/>
              </w:rPr>
            </w:pPr>
          </w:p>
        </w:tc>
        <w:tc>
          <w:tcPr>
            <w:tcW w:w="2790" w:type="dxa"/>
            <w:tcBorders>
              <w:bottom w:val="nil"/>
            </w:tcBorders>
          </w:tcPr>
          <w:p w14:paraId="14669672" w14:textId="77777777" w:rsidR="001B2848" w:rsidRPr="001B2848" w:rsidRDefault="001B2848" w:rsidP="00553EAB">
            <w:pPr>
              <w:pStyle w:val="tabletextNS"/>
              <w:keepNext/>
              <w:keepLines/>
              <w:spacing w:line="320" w:lineRule="atLeast"/>
              <w:jc w:val="center"/>
              <w:rPr>
                <w:sz w:val="22"/>
                <w:szCs w:val="22"/>
              </w:rPr>
            </w:pPr>
          </w:p>
        </w:tc>
      </w:tr>
      <w:tr w:rsidR="001B2848" w:rsidRPr="001B2848" w14:paraId="7FAF51E7" w14:textId="77777777" w:rsidTr="00553EAB">
        <w:tc>
          <w:tcPr>
            <w:tcW w:w="3713" w:type="dxa"/>
            <w:tcBorders>
              <w:top w:val="nil"/>
              <w:bottom w:val="single" w:sz="4" w:space="0" w:color="auto"/>
              <w:right w:val="single" w:sz="4" w:space="0" w:color="auto"/>
            </w:tcBorders>
          </w:tcPr>
          <w:p w14:paraId="0E1C91EE" w14:textId="77777777" w:rsidR="001B2848" w:rsidRPr="001B2848" w:rsidRDefault="001B2848" w:rsidP="00553EAB">
            <w:pPr>
              <w:pStyle w:val="tabletextNS"/>
              <w:spacing w:line="320" w:lineRule="atLeast"/>
              <w:ind w:left="144"/>
              <w:rPr>
                <w:bCs/>
                <w:sz w:val="22"/>
                <w:szCs w:val="22"/>
              </w:rPr>
            </w:pPr>
            <w:proofErr w:type="spellStart"/>
            <w:r w:rsidRPr="001B2848">
              <w:rPr>
                <w:bCs/>
                <w:sz w:val="22"/>
                <w:szCs w:val="22"/>
              </w:rPr>
              <w:t>Headache</w:t>
            </w:r>
            <w:r w:rsidRPr="001B2848">
              <w:rPr>
                <w:sz w:val="22"/>
                <w:szCs w:val="22"/>
                <w:vertAlign w:val="superscript"/>
              </w:rPr>
              <w:t>a</w:t>
            </w:r>
            <w:proofErr w:type="spellEnd"/>
          </w:p>
          <w:p w14:paraId="0866D0DC" w14:textId="77777777" w:rsidR="001B2848" w:rsidRDefault="001B2848" w:rsidP="00553EAB">
            <w:pPr>
              <w:pStyle w:val="tabletextNS"/>
              <w:spacing w:line="320" w:lineRule="atLeast"/>
              <w:ind w:left="144"/>
              <w:rPr>
                <w:bCs/>
                <w:sz w:val="22"/>
                <w:szCs w:val="22"/>
              </w:rPr>
            </w:pPr>
            <w:r w:rsidRPr="001B2848">
              <w:rPr>
                <w:bCs/>
                <w:sz w:val="22"/>
                <w:szCs w:val="22"/>
              </w:rPr>
              <w:t>Dizziness</w:t>
            </w:r>
          </w:p>
          <w:p w14:paraId="7917211D" w14:textId="6B672BE3" w:rsidR="00F26159" w:rsidRPr="001B2848" w:rsidRDefault="00F26159" w:rsidP="00553EAB">
            <w:pPr>
              <w:pStyle w:val="tabletextNS"/>
              <w:spacing w:line="320" w:lineRule="atLeast"/>
              <w:ind w:left="144"/>
              <w:rPr>
                <w:bCs/>
                <w:sz w:val="22"/>
                <w:szCs w:val="22"/>
              </w:rPr>
            </w:pPr>
            <w:r>
              <w:rPr>
                <w:sz w:val="22"/>
                <w:szCs w:val="22"/>
              </w:rPr>
              <w:t>Somnolence</w:t>
            </w:r>
          </w:p>
        </w:tc>
        <w:tc>
          <w:tcPr>
            <w:tcW w:w="2970" w:type="dxa"/>
            <w:tcBorders>
              <w:top w:val="nil"/>
              <w:bottom w:val="single" w:sz="4" w:space="0" w:color="auto"/>
            </w:tcBorders>
          </w:tcPr>
          <w:p w14:paraId="075E4495" w14:textId="2B16CDF8" w:rsidR="001B2848" w:rsidRPr="001B2848" w:rsidRDefault="00F26159" w:rsidP="00553EAB">
            <w:pPr>
              <w:pStyle w:val="tabletextNS"/>
              <w:spacing w:line="320" w:lineRule="atLeast"/>
              <w:jc w:val="center"/>
              <w:rPr>
                <w:snapToGrid w:val="0"/>
                <w:sz w:val="22"/>
                <w:szCs w:val="22"/>
              </w:rPr>
            </w:pPr>
            <w:r>
              <w:rPr>
                <w:snapToGrid w:val="0"/>
                <w:sz w:val="22"/>
                <w:szCs w:val="22"/>
              </w:rPr>
              <w:t>21 (</w:t>
            </w:r>
            <w:r w:rsidR="001B2848" w:rsidRPr="001B2848">
              <w:rPr>
                <w:snapToGrid w:val="0"/>
                <w:sz w:val="22"/>
                <w:szCs w:val="22"/>
              </w:rPr>
              <w:t>3%</w:t>
            </w:r>
            <w:r>
              <w:rPr>
                <w:snapToGrid w:val="0"/>
                <w:sz w:val="22"/>
                <w:szCs w:val="22"/>
              </w:rPr>
              <w:t>)</w:t>
            </w:r>
          </w:p>
          <w:p w14:paraId="1DC73FA0" w14:textId="77777777" w:rsidR="001B2848" w:rsidRDefault="00F26159" w:rsidP="00553EAB">
            <w:pPr>
              <w:pStyle w:val="tabletextNS"/>
              <w:spacing w:line="320" w:lineRule="atLeast"/>
              <w:jc w:val="center"/>
              <w:rPr>
                <w:snapToGrid w:val="0"/>
                <w:sz w:val="22"/>
                <w:szCs w:val="22"/>
              </w:rPr>
            </w:pPr>
            <w:r>
              <w:rPr>
                <w:snapToGrid w:val="0"/>
                <w:sz w:val="22"/>
                <w:szCs w:val="22"/>
              </w:rPr>
              <w:t>8 (</w:t>
            </w:r>
            <w:r w:rsidR="001B2848" w:rsidRPr="001B2848">
              <w:rPr>
                <w:snapToGrid w:val="0"/>
                <w:sz w:val="22"/>
                <w:szCs w:val="22"/>
              </w:rPr>
              <w:t>1%</w:t>
            </w:r>
            <w:r>
              <w:rPr>
                <w:snapToGrid w:val="0"/>
                <w:sz w:val="22"/>
                <w:szCs w:val="22"/>
              </w:rPr>
              <w:t>)</w:t>
            </w:r>
          </w:p>
          <w:p w14:paraId="4679C319" w14:textId="1E7249BA" w:rsidR="00CC007F" w:rsidRPr="001B2848" w:rsidRDefault="00CC007F" w:rsidP="00553EAB">
            <w:pPr>
              <w:pStyle w:val="tabletextNS"/>
              <w:spacing w:line="320" w:lineRule="atLeast"/>
              <w:jc w:val="center"/>
              <w:rPr>
                <w:snapToGrid w:val="0"/>
                <w:sz w:val="22"/>
                <w:szCs w:val="22"/>
              </w:rPr>
            </w:pPr>
            <w:r>
              <w:rPr>
                <w:snapToGrid w:val="0"/>
                <w:sz w:val="22"/>
                <w:szCs w:val="22"/>
              </w:rPr>
              <w:t>8 (1%)</w:t>
            </w:r>
          </w:p>
        </w:tc>
        <w:tc>
          <w:tcPr>
            <w:tcW w:w="2790" w:type="dxa"/>
            <w:tcBorders>
              <w:top w:val="nil"/>
              <w:bottom w:val="single" w:sz="4" w:space="0" w:color="auto"/>
            </w:tcBorders>
          </w:tcPr>
          <w:p w14:paraId="483E6E0C" w14:textId="25FD9491" w:rsidR="001B2848" w:rsidRPr="001B2848" w:rsidRDefault="00F26159" w:rsidP="00553EAB">
            <w:pPr>
              <w:pStyle w:val="tabletextNS"/>
              <w:spacing w:line="320" w:lineRule="atLeast"/>
              <w:jc w:val="center"/>
              <w:rPr>
                <w:snapToGrid w:val="0"/>
                <w:sz w:val="22"/>
                <w:szCs w:val="22"/>
              </w:rPr>
            </w:pPr>
            <w:r>
              <w:rPr>
                <w:snapToGrid w:val="0"/>
                <w:sz w:val="22"/>
                <w:szCs w:val="22"/>
              </w:rPr>
              <w:t>30 (</w:t>
            </w:r>
            <w:r w:rsidR="001B2848" w:rsidRPr="001B2848">
              <w:rPr>
                <w:snapToGrid w:val="0"/>
                <w:sz w:val="22"/>
                <w:szCs w:val="22"/>
              </w:rPr>
              <w:t>4%</w:t>
            </w:r>
            <w:r>
              <w:rPr>
                <w:snapToGrid w:val="0"/>
                <w:sz w:val="22"/>
                <w:szCs w:val="22"/>
              </w:rPr>
              <w:t>)</w:t>
            </w:r>
          </w:p>
          <w:p w14:paraId="4040B35F" w14:textId="77777777" w:rsidR="001B2848" w:rsidRDefault="00F26159" w:rsidP="00553EAB">
            <w:pPr>
              <w:pStyle w:val="tabletextNS"/>
              <w:spacing w:line="320" w:lineRule="atLeast"/>
              <w:jc w:val="center"/>
              <w:rPr>
                <w:snapToGrid w:val="0"/>
                <w:sz w:val="22"/>
                <w:szCs w:val="22"/>
              </w:rPr>
            </w:pPr>
            <w:r>
              <w:rPr>
                <w:snapToGrid w:val="0"/>
                <w:sz w:val="22"/>
                <w:szCs w:val="22"/>
              </w:rPr>
              <w:t>13 (</w:t>
            </w:r>
            <w:r w:rsidR="001B2848" w:rsidRPr="001B2848">
              <w:rPr>
                <w:snapToGrid w:val="0"/>
                <w:sz w:val="22"/>
                <w:szCs w:val="22"/>
              </w:rPr>
              <w:t>2%</w:t>
            </w:r>
            <w:r>
              <w:rPr>
                <w:snapToGrid w:val="0"/>
                <w:sz w:val="22"/>
                <w:szCs w:val="22"/>
              </w:rPr>
              <w:t>)</w:t>
            </w:r>
          </w:p>
          <w:p w14:paraId="1E10A5A4" w14:textId="6F3395C9" w:rsidR="00CC007F" w:rsidRPr="001B2848" w:rsidRDefault="00CC007F" w:rsidP="00553EAB">
            <w:pPr>
              <w:pStyle w:val="tabletextNS"/>
              <w:spacing w:line="320" w:lineRule="atLeast"/>
              <w:jc w:val="center"/>
              <w:rPr>
                <w:snapToGrid w:val="0"/>
                <w:sz w:val="22"/>
                <w:szCs w:val="22"/>
              </w:rPr>
            </w:pPr>
            <w:r>
              <w:rPr>
                <w:snapToGrid w:val="0"/>
                <w:sz w:val="22"/>
                <w:szCs w:val="22"/>
              </w:rPr>
              <w:t>7 (&lt;1%)</w:t>
            </w:r>
          </w:p>
        </w:tc>
      </w:tr>
      <w:bookmarkEnd w:id="5"/>
      <w:tr w:rsidR="001B2848" w:rsidRPr="001B2848" w14:paraId="13B75C53" w14:textId="77777777" w:rsidTr="00553EAB">
        <w:tc>
          <w:tcPr>
            <w:tcW w:w="3713" w:type="dxa"/>
            <w:tcBorders>
              <w:bottom w:val="nil"/>
              <w:right w:val="single" w:sz="4" w:space="0" w:color="auto"/>
            </w:tcBorders>
          </w:tcPr>
          <w:p w14:paraId="03E5F625" w14:textId="77777777" w:rsidR="001B2848" w:rsidRPr="001B2848" w:rsidRDefault="001B2848" w:rsidP="00553EAB">
            <w:pPr>
              <w:pStyle w:val="tabletextNS"/>
              <w:keepNext/>
              <w:keepLines/>
              <w:spacing w:line="320" w:lineRule="atLeast"/>
              <w:rPr>
                <w:b/>
                <w:bCs/>
                <w:sz w:val="22"/>
                <w:szCs w:val="22"/>
              </w:rPr>
            </w:pPr>
            <w:r w:rsidRPr="001B2848">
              <w:rPr>
                <w:b/>
                <w:bCs/>
                <w:sz w:val="22"/>
                <w:szCs w:val="22"/>
              </w:rPr>
              <w:t xml:space="preserve">Gastrointestinal  </w:t>
            </w:r>
          </w:p>
        </w:tc>
        <w:tc>
          <w:tcPr>
            <w:tcW w:w="2970" w:type="dxa"/>
            <w:tcBorders>
              <w:bottom w:val="nil"/>
            </w:tcBorders>
          </w:tcPr>
          <w:p w14:paraId="28209A39" w14:textId="77777777" w:rsidR="001B2848" w:rsidRPr="001B2848" w:rsidRDefault="001B2848" w:rsidP="00553EAB">
            <w:pPr>
              <w:pStyle w:val="tabletextNS"/>
              <w:keepNext/>
              <w:keepLines/>
              <w:spacing w:line="320" w:lineRule="atLeast"/>
              <w:jc w:val="center"/>
              <w:rPr>
                <w:sz w:val="22"/>
                <w:szCs w:val="22"/>
              </w:rPr>
            </w:pPr>
          </w:p>
        </w:tc>
        <w:tc>
          <w:tcPr>
            <w:tcW w:w="2790" w:type="dxa"/>
            <w:tcBorders>
              <w:bottom w:val="nil"/>
            </w:tcBorders>
          </w:tcPr>
          <w:p w14:paraId="05C939B4" w14:textId="77777777" w:rsidR="001B2848" w:rsidRPr="001B2848" w:rsidRDefault="001B2848" w:rsidP="00553EAB">
            <w:pPr>
              <w:pStyle w:val="tabletextNS"/>
              <w:keepNext/>
              <w:keepLines/>
              <w:spacing w:line="320" w:lineRule="atLeast"/>
              <w:jc w:val="center"/>
              <w:rPr>
                <w:sz w:val="22"/>
                <w:szCs w:val="22"/>
              </w:rPr>
            </w:pPr>
          </w:p>
        </w:tc>
      </w:tr>
      <w:tr w:rsidR="001B2848" w:rsidRPr="001B2848" w14:paraId="604791AD" w14:textId="77777777" w:rsidTr="00F26159">
        <w:tc>
          <w:tcPr>
            <w:tcW w:w="3713" w:type="dxa"/>
            <w:tcBorders>
              <w:top w:val="nil"/>
              <w:bottom w:val="single" w:sz="4" w:space="0" w:color="auto"/>
              <w:right w:val="single" w:sz="4" w:space="0" w:color="auto"/>
            </w:tcBorders>
          </w:tcPr>
          <w:p w14:paraId="7C5D9CE3" w14:textId="38C3DEE9" w:rsidR="001B2848" w:rsidRPr="001B2848" w:rsidRDefault="00B861BE" w:rsidP="00553EAB">
            <w:pPr>
              <w:pStyle w:val="tabletextNS"/>
              <w:spacing w:line="320" w:lineRule="atLeast"/>
              <w:ind w:left="144"/>
              <w:rPr>
                <w:bCs/>
                <w:sz w:val="22"/>
                <w:szCs w:val="22"/>
              </w:rPr>
            </w:pPr>
            <w:r w:rsidRPr="001B2848">
              <w:rPr>
                <w:bCs/>
                <w:sz w:val="22"/>
                <w:szCs w:val="22"/>
              </w:rPr>
              <w:t>Diarrhoea</w:t>
            </w:r>
          </w:p>
          <w:p w14:paraId="2E58AE45" w14:textId="4D4B537B" w:rsidR="009B6508" w:rsidRPr="001B2848" w:rsidRDefault="001B2848" w:rsidP="00A871CB">
            <w:pPr>
              <w:pStyle w:val="tabletextNS"/>
              <w:spacing w:line="320" w:lineRule="atLeast"/>
              <w:ind w:left="144"/>
              <w:rPr>
                <w:bCs/>
                <w:sz w:val="22"/>
                <w:szCs w:val="22"/>
              </w:rPr>
            </w:pPr>
            <w:r w:rsidRPr="001B2848">
              <w:rPr>
                <w:bCs/>
                <w:sz w:val="22"/>
                <w:szCs w:val="22"/>
              </w:rPr>
              <w:t>Nausea</w:t>
            </w:r>
          </w:p>
        </w:tc>
        <w:tc>
          <w:tcPr>
            <w:tcW w:w="2970" w:type="dxa"/>
            <w:tcBorders>
              <w:top w:val="nil"/>
              <w:bottom w:val="single" w:sz="4" w:space="0" w:color="auto"/>
            </w:tcBorders>
          </w:tcPr>
          <w:p w14:paraId="1B226602" w14:textId="317D0796" w:rsidR="001B2848" w:rsidRPr="001B2848" w:rsidRDefault="00CC007F" w:rsidP="00553EAB">
            <w:pPr>
              <w:pStyle w:val="tabletextNS"/>
              <w:spacing w:line="320" w:lineRule="atLeast"/>
              <w:jc w:val="center"/>
              <w:rPr>
                <w:snapToGrid w:val="0"/>
                <w:sz w:val="22"/>
                <w:szCs w:val="22"/>
              </w:rPr>
            </w:pPr>
            <w:r>
              <w:rPr>
                <w:snapToGrid w:val="0"/>
                <w:sz w:val="22"/>
                <w:szCs w:val="22"/>
              </w:rPr>
              <w:t>14 (</w:t>
            </w:r>
            <w:r w:rsidR="001B2848" w:rsidRPr="001B2848">
              <w:rPr>
                <w:snapToGrid w:val="0"/>
                <w:sz w:val="22"/>
                <w:szCs w:val="22"/>
              </w:rPr>
              <w:t>2%</w:t>
            </w:r>
            <w:r>
              <w:rPr>
                <w:snapToGrid w:val="0"/>
                <w:sz w:val="22"/>
                <w:szCs w:val="22"/>
              </w:rPr>
              <w:t>)</w:t>
            </w:r>
          </w:p>
          <w:p w14:paraId="11B02582" w14:textId="06678924" w:rsidR="001B2848" w:rsidRPr="001B2848" w:rsidRDefault="00CC007F" w:rsidP="00553EAB">
            <w:pPr>
              <w:pStyle w:val="tabletextNS"/>
              <w:spacing w:line="320" w:lineRule="atLeast"/>
              <w:jc w:val="center"/>
              <w:rPr>
                <w:snapToGrid w:val="0"/>
                <w:sz w:val="22"/>
                <w:szCs w:val="22"/>
              </w:rPr>
            </w:pPr>
            <w:r>
              <w:rPr>
                <w:snapToGrid w:val="0"/>
                <w:sz w:val="22"/>
                <w:szCs w:val="22"/>
              </w:rPr>
              <w:t>14 (</w:t>
            </w:r>
            <w:r w:rsidR="001B2848" w:rsidRPr="001B2848">
              <w:rPr>
                <w:snapToGrid w:val="0"/>
                <w:sz w:val="22"/>
                <w:szCs w:val="22"/>
              </w:rPr>
              <w:t>2%</w:t>
            </w:r>
            <w:r>
              <w:rPr>
                <w:snapToGrid w:val="0"/>
                <w:sz w:val="22"/>
                <w:szCs w:val="22"/>
              </w:rPr>
              <w:t>)</w:t>
            </w:r>
          </w:p>
        </w:tc>
        <w:tc>
          <w:tcPr>
            <w:tcW w:w="2790" w:type="dxa"/>
            <w:tcBorders>
              <w:top w:val="nil"/>
              <w:bottom w:val="single" w:sz="4" w:space="0" w:color="auto"/>
            </w:tcBorders>
          </w:tcPr>
          <w:p w14:paraId="2D9BAA58" w14:textId="6A233358" w:rsidR="001B2848" w:rsidRPr="001B2848" w:rsidRDefault="00CC007F" w:rsidP="00553EAB">
            <w:pPr>
              <w:pStyle w:val="tabletextNS"/>
              <w:spacing w:line="320" w:lineRule="atLeast"/>
              <w:jc w:val="center"/>
              <w:rPr>
                <w:snapToGrid w:val="0"/>
                <w:sz w:val="22"/>
                <w:szCs w:val="22"/>
              </w:rPr>
            </w:pPr>
            <w:r>
              <w:rPr>
                <w:snapToGrid w:val="0"/>
                <w:sz w:val="22"/>
                <w:szCs w:val="22"/>
              </w:rPr>
              <w:t>19 (</w:t>
            </w:r>
            <w:r w:rsidR="001B2848" w:rsidRPr="001B2848">
              <w:rPr>
                <w:snapToGrid w:val="0"/>
                <w:sz w:val="22"/>
                <w:szCs w:val="22"/>
              </w:rPr>
              <w:t>3%</w:t>
            </w:r>
            <w:r>
              <w:rPr>
                <w:snapToGrid w:val="0"/>
                <w:sz w:val="22"/>
                <w:szCs w:val="22"/>
              </w:rPr>
              <w:t>)</w:t>
            </w:r>
          </w:p>
          <w:p w14:paraId="47E2BBB3" w14:textId="32606E4B" w:rsidR="001B2848" w:rsidRPr="001B2848" w:rsidRDefault="00CC007F" w:rsidP="00553EAB">
            <w:pPr>
              <w:pStyle w:val="tabletextNS"/>
              <w:spacing w:line="320" w:lineRule="atLeast"/>
              <w:jc w:val="center"/>
              <w:rPr>
                <w:snapToGrid w:val="0"/>
                <w:sz w:val="22"/>
                <w:szCs w:val="22"/>
              </w:rPr>
            </w:pPr>
            <w:r>
              <w:rPr>
                <w:snapToGrid w:val="0"/>
                <w:sz w:val="22"/>
                <w:szCs w:val="22"/>
              </w:rPr>
              <w:t>39 (</w:t>
            </w:r>
            <w:r w:rsidR="001B2848" w:rsidRPr="001B2848">
              <w:rPr>
                <w:snapToGrid w:val="0"/>
                <w:sz w:val="22"/>
                <w:szCs w:val="22"/>
              </w:rPr>
              <w:t>5%</w:t>
            </w:r>
            <w:r>
              <w:rPr>
                <w:snapToGrid w:val="0"/>
                <w:sz w:val="22"/>
                <w:szCs w:val="22"/>
              </w:rPr>
              <w:t>)</w:t>
            </w:r>
          </w:p>
        </w:tc>
      </w:tr>
      <w:tr w:rsidR="001B2848" w:rsidRPr="001B2848" w14:paraId="75959B26" w14:textId="77777777" w:rsidTr="009B6508">
        <w:tc>
          <w:tcPr>
            <w:tcW w:w="3713" w:type="dxa"/>
            <w:tcBorders>
              <w:top w:val="single" w:sz="4" w:space="0" w:color="auto"/>
              <w:bottom w:val="nil"/>
              <w:right w:val="single" w:sz="4" w:space="0" w:color="auto"/>
            </w:tcBorders>
          </w:tcPr>
          <w:p w14:paraId="34AC76E9" w14:textId="03EE2C2F" w:rsidR="001B2848" w:rsidRPr="001B2848" w:rsidRDefault="00A871CB" w:rsidP="00A871CB">
            <w:pPr>
              <w:pStyle w:val="tabletextNS"/>
              <w:spacing w:line="320" w:lineRule="atLeast"/>
              <w:ind w:left="-109"/>
              <w:rPr>
                <w:b/>
                <w:bCs/>
                <w:sz w:val="22"/>
                <w:szCs w:val="22"/>
              </w:rPr>
            </w:pPr>
            <w:bookmarkStart w:id="6" w:name="_Hlk521607789"/>
            <w:r>
              <w:rPr>
                <w:b/>
                <w:bCs/>
                <w:sz w:val="22"/>
                <w:szCs w:val="22"/>
              </w:rPr>
              <w:t xml:space="preserve">  </w:t>
            </w:r>
            <w:r w:rsidR="001B2848" w:rsidRPr="001B2848">
              <w:rPr>
                <w:b/>
                <w:bCs/>
                <w:sz w:val="22"/>
                <w:szCs w:val="22"/>
              </w:rPr>
              <w:t>Psychiatric Disorders</w:t>
            </w:r>
          </w:p>
          <w:p w14:paraId="575A930C" w14:textId="77777777" w:rsidR="001B2848" w:rsidRPr="001B2848" w:rsidRDefault="001B2848" w:rsidP="00553EAB">
            <w:pPr>
              <w:pStyle w:val="tabletextNS"/>
              <w:keepNext/>
              <w:keepLines/>
              <w:spacing w:line="320" w:lineRule="atLeast"/>
              <w:ind w:left="144"/>
              <w:rPr>
                <w:bCs/>
                <w:sz w:val="22"/>
                <w:szCs w:val="22"/>
              </w:rPr>
            </w:pPr>
            <w:r w:rsidRPr="001B2848">
              <w:rPr>
                <w:bCs/>
                <w:sz w:val="22"/>
                <w:szCs w:val="22"/>
              </w:rPr>
              <w:t>Insomnia</w:t>
            </w:r>
          </w:p>
        </w:tc>
        <w:tc>
          <w:tcPr>
            <w:tcW w:w="2970" w:type="dxa"/>
            <w:tcBorders>
              <w:top w:val="single" w:sz="4" w:space="0" w:color="auto"/>
              <w:bottom w:val="nil"/>
            </w:tcBorders>
          </w:tcPr>
          <w:p w14:paraId="3FCE76C2" w14:textId="6A710A76" w:rsidR="001B2848" w:rsidRPr="001B2848" w:rsidRDefault="00CC007F" w:rsidP="00553EAB">
            <w:pPr>
              <w:pStyle w:val="tabletextNS"/>
              <w:keepNext/>
              <w:keepLines/>
              <w:spacing w:line="320" w:lineRule="atLeast"/>
              <w:jc w:val="center"/>
              <w:rPr>
                <w:sz w:val="22"/>
                <w:szCs w:val="22"/>
              </w:rPr>
            </w:pPr>
            <w:r>
              <w:rPr>
                <w:snapToGrid w:val="0"/>
                <w:sz w:val="22"/>
                <w:szCs w:val="22"/>
              </w:rPr>
              <w:t>13 (</w:t>
            </w:r>
            <w:r w:rsidR="001B2848" w:rsidRPr="001B2848">
              <w:rPr>
                <w:snapToGrid w:val="0"/>
                <w:sz w:val="22"/>
                <w:szCs w:val="22"/>
              </w:rPr>
              <w:t>2%</w:t>
            </w:r>
            <w:r>
              <w:rPr>
                <w:snapToGrid w:val="0"/>
                <w:sz w:val="22"/>
                <w:szCs w:val="22"/>
              </w:rPr>
              <w:t>)</w:t>
            </w:r>
          </w:p>
        </w:tc>
        <w:tc>
          <w:tcPr>
            <w:tcW w:w="2790" w:type="dxa"/>
            <w:tcBorders>
              <w:top w:val="single" w:sz="4" w:space="0" w:color="auto"/>
              <w:bottom w:val="nil"/>
            </w:tcBorders>
          </w:tcPr>
          <w:p w14:paraId="40C58BEB" w14:textId="37207B3B" w:rsidR="001B2848" w:rsidRPr="001B2848" w:rsidRDefault="00CC007F" w:rsidP="00553EAB">
            <w:pPr>
              <w:pStyle w:val="tabletextNS"/>
              <w:keepNext/>
              <w:keepLines/>
              <w:spacing w:line="320" w:lineRule="atLeast"/>
              <w:jc w:val="center"/>
              <w:rPr>
                <w:sz w:val="22"/>
                <w:szCs w:val="22"/>
              </w:rPr>
            </w:pPr>
            <w:r>
              <w:rPr>
                <w:snapToGrid w:val="0"/>
                <w:sz w:val="22"/>
                <w:szCs w:val="22"/>
              </w:rPr>
              <w:t>18 (</w:t>
            </w:r>
            <w:r w:rsidR="001B2848" w:rsidRPr="001B2848">
              <w:rPr>
                <w:snapToGrid w:val="0"/>
                <w:sz w:val="22"/>
                <w:szCs w:val="22"/>
              </w:rPr>
              <w:t>3%</w:t>
            </w:r>
            <w:r>
              <w:rPr>
                <w:snapToGrid w:val="0"/>
                <w:sz w:val="22"/>
                <w:szCs w:val="22"/>
              </w:rPr>
              <w:t>)</w:t>
            </w:r>
          </w:p>
        </w:tc>
      </w:tr>
      <w:tr w:rsidR="00293B6A" w:rsidRPr="001B2848" w14:paraId="32BCC339" w14:textId="77777777" w:rsidTr="00F26159">
        <w:tc>
          <w:tcPr>
            <w:tcW w:w="3713" w:type="dxa"/>
            <w:tcBorders>
              <w:top w:val="nil"/>
              <w:bottom w:val="single" w:sz="4" w:space="0" w:color="auto"/>
              <w:right w:val="single" w:sz="4" w:space="0" w:color="auto"/>
            </w:tcBorders>
          </w:tcPr>
          <w:p w14:paraId="52EC571E" w14:textId="6321A678" w:rsidR="00293B6A" w:rsidRPr="00F26159" w:rsidRDefault="00293B6A" w:rsidP="00553EAB">
            <w:pPr>
              <w:pStyle w:val="tabletextNS"/>
              <w:spacing w:line="320" w:lineRule="atLeast"/>
              <w:rPr>
                <w:bCs/>
                <w:sz w:val="22"/>
                <w:szCs w:val="22"/>
              </w:rPr>
            </w:pPr>
            <w:r>
              <w:rPr>
                <w:b/>
                <w:bCs/>
                <w:sz w:val="22"/>
                <w:szCs w:val="22"/>
              </w:rPr>
              <w:t xml:space="preserve">  </w:t>
            </w:r>
            <w:r w:rsidR="00A871CB">
              <w:rPr>
                <w:b/>
                <w:bCs/>
                <w:sz w:val="22"/>
                <w:szCs w:val="22"/>
              </w:rPr>
              <w:t xml:space="preserve"> </w:t>
            </w:r>
            <w:r w:rsidRPr="00F26159">
              <w:rPr>
                <w:bCs/>
                <w:sz w:val="22"/>
                <w:szCs w:val="22"/>
              </w:rPr>
              <w:t>Anxiety</w:t>
            </w:r>
          </w:p>
        </w:tc>
        <w:tc>
          <w:tcPr>
            <w:tcW w:w="2970" w:type="dxa"/>
            <w:tcBorders>
              <w:top w:val="nil"/>
              <w:bottom w:val="single" w:sz="4" w:space="0" w:color="auto"/>
            </w:tcBorders>
          </w:tcPr>
          <w:p w14:paraId="4FD6F682" w14:textId="55E91E37" w:rsidR="00293B6A" w:rsidRPr="001B2848" w:rsidRDefault="00CC007F" w:rsidP="00553EAB">
            <w:pPr>
              <w:pStyle w:val="tabletextNS"/>
              <w:spacing w:line="320" w:lineRule="atLeast"/>
              <w:jc w:val="center"/>
              <w:rPr>
                <w:snapToGrid w:val="0"/>
                <w:sz w:val="22"/>
                <w:szCs w:val="22"/>
              </w:rPr>
            </w:pPr>
            <w:r>
              <w:rPr>
                <w:snapToGrid w:val="0"/>
                <w:sz w:val="22"/>
                <w:szCs w:val="22"/>
              </w:rPr>
              <w:t>8 (1%)</w:t>
            </w:r>
          </w:p>
        </w:tc>
        <w:tc>
          <w:tcPr>
            <w:tcW w:w="2790" w:type="dxa"/>
            <w:tcBorders>
              <w:top w:val="nil"/>
              <w:bottom w:val="single" w:sz="4" w:space="0" w:color="auto"/>
            </w:tcBorders>
          </w:tcPr>
          <w:p w14:paraId="04BBC68D" w14:textId="35FA2BF5" w:rsidR="00293B6A" w:rsidRPr="001B2848" w:rsidRDefault="00CC007F" w:rsidP="00553EAB">
            <w:pPr>
              <w:pStyle w:val="tabletextNS"/>
              <w:spacing w:line="320" w:lineRule="atLeast"/>
              <w:jc w:val="center"/>
              <w:rPr>
                <w:snapToGrid w:val="0"/>
                <w:sz w:val="22"/>
                <w:szCs w:val="22"/>
              </w:rPr>
            </w:pPr>
            <w:r>
              <w:rPr>
                <w:snapToGrid w:val="0"/>
                <w:sz w:val="22"/>
                <w:szCs w:val="22"/>
              </w:rPr>
              <w:t>5 (&lt;1%)</w:t>
            </w:r>
          </w:p>
        </w:tc>
      </w:tr>
      <w:tr w:rsidR="00293B6A" w:rsidRPr="001B2848" w14:paraId="556F1D8D" w14:textId="77777777" w:rsidTr="00F26159">
        <w:tc>
          <w:tcPr>
            <w:tcW w:w="3713" w:type="dxa"/>
            <w:tcBorders>
              <w:top w:val="single" w:sz="4" w:space="0" w:color="auto"/>
              <w:bottom w:val="single" w:sz="4" w:space="0" w:color="auto"/>
              <w:right w:val="single" w:sz="4" w:space="0" w:color="auto"/>
            </w:tcBorders>
          </w:tcPr>
          <w:p w14:paraId="5FB920B2" w14:textId="77777777" w:rsidR="00293B6A" w:rsidRDefault="00F26159" w:rsidP="00553EAB">
            <w:pPr>
              <w:pStyle w:val="tabletextNS"/>
              <w:spacing w:line="320" w:lineRule="atLeast"/>
              <w:rPr>
                <w:b/>
                <w:sz w:val="22"/>
                <w:szCs w:val="22"/>
              </w:rPr>
            </w:pPr>
            <w:r w:rsidRPr="00F26159">
              <w:rPr>
                <w:b/>
                <w:sz w:val="22"/>
                <w:szCs w:val="22"/>
              </w:rPr>
              <w:t>General disorders and administration site conditions</w:t>
            </w:r>
          </w:p>
          <w:p w14:paraId="250B2B6B" w14:textId="7B4EF174" w:rsidR="00F26159" w:rsidRPr="00F26159" w:rsidRDefault="00F26159" w:rsidP="00553EAB">
            <w:pPr>
              <w:pStyle w:val="tabletextNS"/>
              <w:spacing w:line="320" w:lineRule="atLeast"/>
              <w:rPr>
                <w:sz w:val="22"/>
                <w:szCs w:val="22"/>
              </w:rPr>
            </w:pPr>
            <w:r>
              <w:rPr>
                <w:sz w:val="22"/>
                <w:szCs w:val="22"/>
              </w:rPr>
              <w:t xml:space="preserve">   Fatigue</w:t>
            </w:r>
          </w:p>
        </w:tc>
        <w:tc>
          <w:tcPr>
            <w:tcW w:w="2970" w:type="dxa"/>
            <w:tcBorders>
              <w:top w:val="single" w:sz="4" w:space="0" w:color="auto"/>
              <w:bottom w:val="single" w:sz="4" w:space="0" w:color="auto"/>
            </w:tcBorders>
          </w:tcPr>
          <w:p w14:paraId="7D4C5F12" w14:textId="77777777" w:rsidR="00293B6A" w:rsidRDefault="00293B6A" w:rsidP="00553EAB">
            <w:pPr>
              <w:pStyle w:val="tabletextNS"/>
              <w:spacing w:line="320" w:lineRule="atLeast"/>
              <w:jc w:val="center"/>
              <w:rPr>
                <w:snapToGrid w:val="0"/>
                <w:sz w:val="22"/>
                <w:szCs w:val="22"/>
              </w:rPr>
            </w:pPr>
          </w:p>
          <w:p w14:paraId="697C3F18" w14:textId="77777777" w:rsidR="00CC007F" w:rsidRDefault="00CC007F" w:rsidP="00553EAB">
            <w:pPr>
              <w:pStyle w:val="tabletextNS"/>
              <w:spacing w:line="320" w:lineRule="atLeast"/>
              <w:jc w:val="center"/>
              <w:rPr>
                <w:snapToGrid w:val="0"/>
                <w:sz w:val="22"/>
                <w:szCs w:val="22"/>
              </w:rPr>
            </w:pPr>
          </w:p>
          <w:p w14:paraId="388D7D11" w14:textId="507B9662" w:rsidR="00CC007F" w:rsidRPr="001B2848" w:rsidRDefault="00CC007F" w:rsidP="00553EAB">
            <w:pPr>
              <w:pStyle w:val="tabletextNS"/>
              <w:spacing w:line="320" w:lineRule="atLeast"/>
              <w:jc w:val="center"/>
              <w:rPr>
                <w:snapToGrid w:val="0"/>
                <w:sz w:val="22"/>
                <w:szCs w:val="22"/>
              </w:rPr>
            </w:pPr>
            <w:r>
              <w:rPr>
                <w:snapToGrid w:val="0"/>
                <w:sz w:val="22"/>
                <w:szCs w:val="22"/>
              </w:rPr>
              <w:t>10 (1%)</w:t>
            </w:r>
          </w:p>
        </w:tc>
        <w:tc>
          <w:tcPr>
            <w:tcW w:w="2790" w:type="dxa"/>
            <w:tcBorders>
              <w:top w:val="single" w:sz="4" w:space="0" w:color="auto"/>
              <w:bottom w:val="single" w:sz="4" w:space="0" w:color="auto"/>
            </w:tcBorders>
          </w:tcPr>
          <w:p w14:paraId="64FBB78C" w14:textId="77777777" w:rsidR="00293B6A" w:rsidRDefault="00293B6A" w:rsidP="00553EAB">
            <w:pPr>
              <w:pStyle w:val="tabletextNS"/>
              <w:spacing w:line="320" w:lineRule="atLeast"/>
              <w:jc w:val="center"/>
              <w:rPr>
                <w:snapToGrid w:val="0"/>
                <w:sz w:val="22"/>
                <w:szCs w:val="22"/>
              </w:rPr>
            </w:pPr>
          </w:p>
          <w:p w14:paraId="25FA8871" w14:textId="77777777" w:rsidR="00CC007F" w:rsidRDefault="00CC007F" w:rsidP="00553EAB">
            <w:pPr>
              <w:pStyle w:val="tabletextNS"/>
              <w:spacing w:line="320" w:lineRule="atLeast"/>
              <w:jc w:val="center"/>
              <w:rPr>
                <w:snapToGrid w:val="0"/>
                <w:sz w:val="22"/>
                <w:szCs w:val="22"/>
              </w:rPr>
            </w:pPr>
          </w:p>
          <w:p w14:paraId="2703BCCF" w14:textId="4465D824" w:rsidR="00CC007F" w:rsidRPr="001B2848" w:rsidRDefault="00CC007F" w:rsidP="00553EAB">
            <w:pPr>
              <w:pStyle w:val="tabletextNS"/>
              <w:spacing w:line="320" w:lineRule="atLeast"/>
              <w:jc w:val="center"/>
              <w:rPr>
                <w:snapToGrid w:val="0"/>
                <w:sz w:val="22"/>
                <w:szCs w:val="22"/>
              </w:rPr>
            </w:pPr>
            <w:r>
              <w:rPr>
                <w:snapToGrid w:val="0"/>
                <w:sz w:val="22"/>
                <w:szCs w:val="22"/>
              </w:rPr>
              <w:t>6 (&lt;1%)</w:t>
            </w:r>
          </w:p>
        </w:tc>
      </w:tr>
    </w:tbl>
    <w:bookmarkEnd w:id="6"/>
    <w:p w14:paraId="530F70DC" w14:textId="0D522C1A" w:rsidR="002C6616" w:rsidRDefault="001B2848" w:rsidP="00C767F7">
      <w:r>
        <w:t xml:space="preserve">* </w:t>
      </w:r>
      <w:r w:rsidRPr="007271A4">
        <w:rPr>
          <w:sz w:val="18"/>
          <w:szCs w:val="18"/>
        </w:rPr>
        <w:t>tenofovir disoproxil fumarate</w:t>
      </w:r>
    </w:p>
    <w:p w14:paraId="300464BB" w14:textId="073EBEF1" w:rsidR="00553EAB" w:rsidRDefault="002048F8" w:rsidP="00C767F7">
      <w:r w:rsidRPr="002048F8">
        <w:rPr>
          <w:iCs/>
        </w:rPr>
        <w:t>The ADRs observed for the combination of dolutegravir and lamivudine in these studies were generally consistent with the ADR profiles and severities for the individual components when administered with other antiretroviral agents.</w:t>
      </w:r>
      <w:r>
        <w:rPr>
          <w:i/>
          <w:iCs/>
        </w:rPr>
        <w:t xml:space="preserve"> </w:t>
      </w:r>
      <w:r w:rsidR="00553EAB" w:rsidRPr="00553EAB">
        <w:t xml:space="preserve">A single treatment emergent </w:t>
      </w:r>
      <w:r w:rsidR="00BD04E0">
        <w:t>ADR</w:t>
      </w:r>
      <w:r w:rsidR="00553EAB" w:rsidRPr="00553EAB">
        <w:t xml:space="preserve"> [Nervous system disorders: somnolence; frequency common] was observed with the combination which was not listed in the product information for dolutegravir or lamivudine. </w:t>
      </w:r>
    </w:p>
    <w:p w14:paraId="6A21DBA9" w14:textId="2705FE6A" w:rsidR="00C767F7" w:rsidRDefault="00C767F7" w:rsidP="00C767F7">
      <w:r>
        <w:t xml:space="preserve">ADRs identified in an analysis of pooled data from Phase 2b and Phase 3 clinical trials of the individual </w:t>
      </w:r>
      <w:r w:rsidR="00553EAB">
        <w:t>components are listed in Table 5</w:t>
      </w:r>
      <w:r>
        <w:t xml:space="preserve"> below by MedDRA system organ class and by frequency. Frequencies are defined as very common (≥1/10), common (≥1/100, &lt;1/10), uncommon (≥1/1,000, &lt;1/100), rare (≥1/10,000, &lt;1/1000) and very rare (&lt;1/10,000), including isolated reports.</w:t>
      </w:r>
    </w:p>
    <w:p w14:paraId="2BFDE2E1" w14:textId="3BF034D5" w:rsidR="008A75D9" w:rsidRDefault="008A75D9" w:rsidP="00C767F7">
      <w:r w:rsidRPr="00AF2C08">
        <w:t>In addition to the adverse reactions included from clinical trial data, adverse reactions identified during post-</w:t>
      </w:r>
      <w:r w:rsidR="00692966">
        <w:t>marketing</w:t>
      </w:r>
      <w:r w:rsidRPr="00AF2C08">
        <w:t xml:space="preserve"> use of dolutegravir </w:t>
      </w:r>
      <w:r>
        <w:t xml:space="preserve">and/or lamivudine </w:t>
      </w:r>
      <w:r w:rsidRPr="00AF2C08">
        <w:t>with other antiretroviral agents</w:t>
      </w:r>
      <w:r>
        <w:t xml:space="preserve"> have also been listed in Table 5 below</w:t>
      </w:r>
      <w:r w:rsidRPr="00AF2C08">
        <w:t>. These events have been chosen for inclusion due to a potential causal connection to dolutegravir</w:t>
      </w:r>
      <w:r>
        <w:t xml:space="preserve"> and/or lamivudine</w:t>
      </w:r>
      <w:r w:rsidRPr="00AF2C08">
        <w:t>.</w:t>
      </w:r>
    </w:p>
    <w:p w14:paraId="4AB145B0" w14:textId="4E87DB93" w:rsidR="00BD1C29" w:rsidRPr="00CD5CAE" w:rsidRDefault="00F86A87" w:rsidP="00FB7D66">
      <w:pPr>
        <w:pStyle w:val="captiontable"/>
        <w:ind w:left="1134" w:hanging="1134"/>
      </w:pPr>
      <w:r w:rsidRPr="00CD5CAE">
        <w:t xml:space="preserve">Table </w:t>
      </w:r>
      <w:r w:rsidR="001B2848">
        <w:t>5</w:t>
      </w:r>
      <w:r w:rsidR="009A7CC5">
        <w:t>:</w:t>
      </w:r>
      <w:r w:rsidR="00CD5CAE">
        <w:tab/>
      </w:r>
      <w:r w:rsidR="0004112B" w:rsidRPr="00CD5CAE">
        <w:t>Adverse Reactions with the Individual Components of DOVATO</w:t>
      </w:r>
    </w:p>
    <w:tbl>
      <w:tblPr>
        <w:tblpPr w:leftFromText="180" w:rightFromText="180" w:vertAnchor="text" w:horzAnchor="margin" w:tblpY="139"/>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1431"/>
        <w:gridCol w:w="2551"/>
        <w:gridCol w:w="2318"/>
      </w:tblGrid>
      <w:tr w:rsidR="005F3307" w:rsidRPr="00AF2C08" w14:paraId="16959DC3" w14:textId="77777777" w:rsidTr="002156DB">
        <w:trPr>
          <w:cantSplit/>
          <w:trHeight w:val="80"/>
          <w:tblHeader/>
        </w:trPr>
        <w:tc>
          <w:tcPr>
            <w:tcW w:w="2250" w:type="dxa"/>
            <w:shd w:val="clear" w:color="auto" w:fill="auto"/>
            <w:vAlign w:val="center"/>
          </w:tcPr>
          <w:p w14:paraId="0DCB5ABD" w14:textId="77777777" w:rsidR="005F3307" w:rsidRPr="006D6008" w:rsidRDefault="005F3307" w:rsidP="005F3307">
            <w:pPr>
              <w:keepNext/>
              <w:spacing w:before="100" w:beforeAutospacing="1" w:after="120"/>
              <w:jc w:val="center"/>
              <w:rPr>
                <w:rFonts w:ascii="Arial Narrow" w:hAnsi="Arial Narrow"/>
                <w:b/>
                <w:sz w:val="20"/>
                <w:szCs w:val="20"/>
              </w:rPr>
            </w:pPr>
            <w:bookmarkStart w:id="7" w:name="_Hlk503537617"/>
            <w:r w:rsidRPr="006D6008">
              <w:rPr>
                <w:rFonts w:ascii="Arial Narrow" w:hAnsi="Arial Narrow"/>
                <w:b/>
                <w:sz w:val="20"/>
                <w:szCs w:val="20"/>
              </w:rPr>
              <w:t>System</w:t>
            </w:r>
          </w:p>
        </w:tc>
        <w:tc>
          <w:tcPr>
            <w:tcW w:w="1431" w:type="dxa"/>
            <w:shd w:val="clear" w:color="auto" w:fill="auto"/>
            <w:vAlign w:val="center"/>
          </w:tcPr>
          <w:p w14:paraId="4D64CA6B" w14:textId="77777777" w:rsidR="005F3307" w:rsidRPr="006D6008" w:rsidRDefault="005F3307" w:rsidP="005F3307">
            <w:pPr>
              <w:keepNext/>
              <w:spacing w:before="100" w:beforeAutospacing="1" w:after="120"/>
              <w:jc w:val="center"/>
              <w:rPr>
                <w:rFonts w:ascii="Arial Narrow" w:hAnsi="Arial Narrow"/>
                <w:b/>
                <w:sz w:val="20"/>
                <w:szCs w:val="20"/>
              </w:rPr>
            </w:pPr>
            <w:r w:rsidRPr="006D6008">
              <w:rPr>
                <w:rFonts w:ascii="Arial Narrow" w:hAnsi="Arial Narrow"/>
                <w:b/>
                <w:sz w:val="20"/>
                <w:szCs w:val="20"/>
              </w:rPr>
              <w:t>Frequency*</w:t>
            </w:r>
          </w:p>
        </w:tc>
        <w:tc>
          <w:tcPr>
            <w:tcW w:w="2551" w:type="dxa"/>
            <w:vAlign w:val="center"/>
          </w:tcPr>
          <w:p w14:paraId="2EB648D5" w14:textId="25BCEB3B" w:rsidR="005F3307" w:rsidRPr="006D6008" w:rsidRDefault="00E008DC" w:rsidP="005F3307">
            <w:pPr>
              <w:keepNext/>
              <w:spacing w:before="100" w:beforeAutospacing="1" w:after="120"/>
              <w:jc w:val="center"/>
              <w:rPr>
                <w:rFonts w:ascii="Arial Narrow" w:hAnsi="Arial Narrow"/>
                <w:b/>
                <w:sz w:val="20"/>
                <w:szCs w:val="20"/>
              </w:rPr>
            </w:pPr>
            <w:r>
              <w:rPr>
                <w:rFonts w:ascii="Arial Narrow" w:hAnsi="Arial Narrow"/>
                <w:b/>
                <w:sz w:val="20"/>
                <w:szCs w:val="20"/>
              </w:rPr>
              <w:t>Dolute</w:t>
            </w:r>
            <w:r w:rsidR="0004112B">
              <w:rPr>
                <w:rFonts w:ascii="Arial Narrow" w:hAnsi="Arial Narrow"/>
                <w:b/>
                <w:sz w:val="20"/>
                <w:szCs w:val="20"/>
              </w:rPr>
              <w:t>g</w:t>
            </w:r>
            <w:r>
              <w:rPr>
                <w:rFonts w:ascii="Arial Narrow" w:hAnsi="Arial Narrow"/>
                <w:b/>
                <w:sz w:val="20"/>
                <w:szCs w:val="20"/>
              </w:rPr>
              <w:t>r</w:t>
            </w:r>
            <w:r w:rsidR="0004112B">
              <w:rPr>
                <w:rFonts w:ascii="Arial Narrow" w:hAnsi="Arial Narrow"/>
                <w:b/>
                <w:sz w:val="20"/>
                <w:szCs w:val="20"/>
              </w:rPr>
              <w:t>avir</w:t>
            </w:r>
          </w:p>
        </w:tc>
        <w:tc>
          <w:tcPr>
            <w:tcW w:w="2318" w:type="dxa"/>
            <w:vAlign w:val="center"/>
          </w:tcPr>
          <w:p w14:paraId="2214E4AE" w14:textId="07931729" w:rsidR="005F3307" w:rsidRPr="006D6008" w:rsidRDefault="0004112B" w:rsidP="005F3307">
            <w:pPr>
              <w:keepNext/>
              <w:spacing w:before="100" w:beforeAutospacing="1" w:after="120"/>
              <w:jc w:val="center"/>
              <w:rPr>
                <w:rFonts w:ascii="Arial Narrow" w:hAnsi="Arial Narrow"/>
                <w:b/>
                <w:sz w:val="20"/>
                <w:szCs w:val="20"/>
              </w:rPr>
            </w:pPr>
            <w:r>
              <w:rPr>
                <w:rFonts w:ascii="Arial Narrow" w:hAnsi="Arial Narrow"/>
                <w:b/>
                <w:sz w:val="20"/>
                <w:szCs w:val="20"/>
              </w:rPr>
              <w:t>Lamivudine</w:t>
            </w:r>
          </w:p>
        </w:tc>
      </w:tr>
      <w:tr w:rsidR="0004112B" w:rsidRPr="0004112B" w14:paraId="32E194AE" w14:textId="77777777" w:rsidTr="003E241C">
        <w:trPr>
          <w:cantSplit/>
        </w:trPr>
        <w:tc>
          <w:tcPr>
            <w:tcW w:w="2250" w:type="dxa"/>
            <w:shd w:val="clear" w:color="auto" w:fill="auto"/>
          </w:tcPr>
          <w:p w14:paraId="7D41D7E4" w14:textId="04D9F63B" w:rsidR="0004112B" w:rsidRPr="0004112B" w:rsidRDefault="0004112B" w:rsidP="0004112B">
            <w:pPr>
              <w:keepNext/>
              <w:spacing w:before="100" w:beforeAutospacing="1" w:after="120"/>
              <w:rPr>
                <w:rFonts w:ascii="Arial Narrow" w:hAnsi="Arial Narrow"/>
                <w:b/>
                <w:sz w:val="20"/>
                <w:szCs w:val="20"/>
              </w:rPr>
            </w:pPr>
            <w:r w:rsidRPr="0004112B">
              <w:rPr>
                <w:rFonts w:ascii="Arial Narrow" w:hAnsi="Arial Narrow"/>
                <w:b/>
                <w:sz w:val="20"/>
                <w:szCs w:val="20"/>
              </w:rPr>
              <w:t>Blood and lymphatic systems disorders</w:t>
            </w:r>
          </w:p>
        </w:tc>
        <w:tc>
          <w:tcPr>
            <w:tcW w:w="1431" w:type="dxa"/>
            <w:shd w:val="clear" w:color="auto" w:fill="auto"/>
          </w:tcPr>
          <w:p w14:paraId="62044C53" w14:textId="38C7E7C9" w:rsidR="0004112B" w:rsidRPr="0004112B" w:rsidRDefault="0004112B" w:rsidP="0004112B">
            <w:pPr>
              <w:keepNext/>
              <w:spacing w:before="100" w:beforeAutospacing="1" w:after="120"/>
              <w:rPr>
                <w:rFonts w:ascii="Arial Narrow" w:hAnsi="Arial Narrow"/>
                <w:sz w:val="20"/>
                <w:szCs w:val="20"/>
              </w:rPr>
            </w:pPr>
            <w:r w:rsidRPr="0004112B">
              <w:rPr>
                <w:rFonts w:ascii="Arial Narrow" w:hAnsi="Arial Narrow"/>
                <w:sz w:val="20"/>
                <w:szCs w:val="20"/>
              </w:rPr>
              <w:t>Uncommon</w:t>
            </w:r>
          </w:p>
        </w:tc>
        <w:tc>
          <w:tcPr>
            <w:tcW w:w="2551" w:type="dxa"/>
          </w:tcPr>
          <w:p w14:paraId="59F0E7CA" w14:textId="77777777" w:rsidR="0004112B" w:rsidRPr="0004112B" w:rsidRDefault="0004112B" w:rsidP="0004112B">
            <w:pPr>
              <w:keepNext/>
              <w:spacing w:before="100" w:beforeAutospacing="1" w:after="120"/>
              <w:rPr>
                <w:rStyle w:val="CSI"/>
                <w:rFonts w:ascii="Arial Narrow" w:hAnsi="Arial Narrow"/>
                <w:sz w:val="20"/>
                <w:szCs w:val="20"/>
              </w:rPr>
            </w:pPr>
          </w:p>
        </w:tc>
        <w:tc>
          <w:tcPr>
            <w:tcW w:w="2318" w:type="dxa"/>
          </w:tcPr>
          <w:p w14:paraId="09F90FD8" w14:textId="6489198E" w:rsidR="0004112B" w:rsidRPr="0004112B" w:rsidRDefault="0004112B" w:rsidP="002156DB">
            <w:pPr>
              <w:keepNext/>
              <w:spacing w:after="120" w:line="240" w:lineRule="auto"/>
              <w:rPr>
                <w:rStyle w:val="CSI"/>
                <w:rFonts w:ascii="Arial Narrow" w:hAnsi="Arial Narrow"/>
                <w:sz w:val="20"/>
                <w:szCs w:val="20"/>
              </w:rPr>
            </w:pPr>
            <w:r>
              <w:rPr>
                <w:rStyle w:val="CSI"/>
                <w:rFonts w:ascii="Arial Narrow" w:hAnsi="Arial Narrow"/>
                <w:sz w:val="20"/>
                <w:szCs w:val="20"/>
              </w:rPr>
              <w:t>Neutropenia</w:t>
            </w:r>
            <w:r w:rsidR="000E0B16" w:rsidRPr="006D6008">
              <w:rPr>
                <w:rStyle w:val="CSI"/>
                <w:rFonts w:ascii="Arial Narrow" w:hAnsi="Arial Narrow"/>
                <w:sz w:val="20"/>
                <w:szCs w:val="20"/>
              </w:rPr>
              <w:br/>
            </w:r>
            <w:r>
              <w:rPr>
                <w:rStyle w:val="CSI"/>
                <w:rFonts w:ascii="Arial Narrow" w:hAnsi="Arial Narrow"/>
                <w:sz w:val="20"/>
                <w:szCs w:val="20"/>
              </w:rPr>
              <w:t>Anaemia</w:t>
            </w:r>
            <w:r w:rsidR="000E0B16" w:rsidRPr="006D6008">
              <w:rPr>
                <w:rStyle w:val="CSI"/>
                <w:rFonts w:ascii="Arial Narrow" w:hAnsi="Arial Narrow"/>
                <w:sz w:val="20"/>
                <w:szCs w:val="20"/>
              </w:rPr>
              <w:br/>
            </w:r>
            <w:proofErr w:type="spellStart"/>
            <w:r>
              <w:rPr>
                <w:rStyle w:val="CSI"/>
                <w:rFonts w:ascii="Arial Narrow" w:hAnsi="Arial Narrow"/>
                <w:sz w:val="20"/>
                <w:szCs w:val="20"/>
              </w:rPr>
              <w:t>Thromobocytopenia</w:t>
            </w:r>
            <w:proofErr w:type="spellEnd"/>
          </w:p>
        </w:tc>
      </w:tr>
      <w:tr w:rsidR="008A75D9" w:rsidRPr="0004112B" w14:paraId="7A915012" w14:textId="77777777" w:rsidTr="003E241C">
        <w:trPr>
          <w:cantSplit/>
        </w:trPr>
        <w:tc>
          <w:tcPr>
            <w:tcW w:w="2250" w:type="dxa"/>
            <w:shd w:val="clear" w:color="auto" w:fill="auto"/>
          </w:tcPr>
          <w:p w14:paraId="58869586" w14:textId="77777777" w:rsidR="008A75D9" w:rsidRPr="0004112B" w:rsidRDefault="008A75D9" w:rsidP="008A75D9">
            <w:pPr>
              <w:keepNext/>
              <w:spacing w:before="100" w:beforeAutospacing="1" w:after="120"/>
              <w:rPr>
                <w:rFonts w:ascii="Arial Narrow" w:hAnsi="Arial Narrow"/>
                <w:b/>
                <w:sz w:val="20"/>
                <w:szCs w:val="20"/>
              </w:rPr>
            </w:pPr>
          </w:p>
        </w:tc>
        <w:tc>
          <w:tcPr>
            <w:tcW w:w="1431" w:type="dxa"/>
            <w:shd w:val="clear" w:color="auto" w:fill="auto"/>
          </w:tcPr>
          <w:p w14:paraId="3E232CAB" w14:textId="1541CA12" w:rsidR="008A75D9" w:rsidRPr="0004112B" w:rsidRDefault="008A75D9" w:rsidP="008A75D9">
            <w:pPr>
              <w:keepNext/>
              <w:spacing w:before="100" w:beforeAutospacing="1" w:after="120"/>
              <w:rPr>
                <w:rFonts w:ascii="Arial Narrow" w:hAnsi="Arial Narrow"/>
                <w:sz w:val="20"/>
                <w:szCs w:val="20"/>
              </w:rPr>
            </w:pPr>
            <w:r>
              <w:rPr>
                <w:rFonts w:ascii="Arial Narrow" w:hAnsi="Arial Narrow"/>
                <w:sz w:val="20"/>
                <w:szCs w:val="20"/>
              </w:rPr>
              <w:t>Very rare</w:t>
            </w:r>
          </w:p>
        </w:tc>
        <w:tc>
          <w:tcPr>
            <w:tcW w:w="2551" w:type="dxa"/>
          </w:tcPr>
          <w:p w14:paraId="667560AE" w14:textId="77777777" w:rsidR="008A75D9" w:rsidRPr="0004112B" w:rsidRDefault="008A75D9" w:rsidP="008A75D9">
            <w:pPr>
              <w:keepNext/>
              <w:spacing w:before="100" w:beforeAutospacing="1" w:after="120"/>
              <w:rPr>
                <w:rStyle w:val="CSI"/>
                <w:rFonts w:ascii="Arial Narrow" w:hAnsi="Arial Narrow"/>
                <w:sz w:val="20"/>
                <w:szCs w:val="20"/>
              </w:rPr>
            </w:pPr>
          </w:p>
        </w:tc>
        <w:tc>
          <w:tcPr>
            <w:tcW w:w="2318" w:type="dxa"/>
          </w:tcPr>
          <w:p w14:paraId="400AD4C5" w14:textId="17F1DD99" w:rsidR="008A75D9" w:rsidRDefault="008A75D9" w:rsidP="008A75D9">
            <w:pPr>
              <w:keepNext/>
              <w:spacing w:after="0" w:line="240" w:lineRule="auto"/>
              <w:rPr>
                <w:rStyle w:val="CSI"/>
                <w:rFonts w:ascii="Arial Narrow" w:hAnsi="Arial Narrow"/>
                <w:sz w:val="20"/>
                <w:szCs w:val="20"/>
              </w:rPr>
            </w:pPr>
            <w:r>
              <w:rPr>
                <w:rStyle w:val="CSI"/>
                <w:rFonts w:ascii="Arial Narrow" w:hAnsi="Arial Narrow"/>
                <w:sz w:val="20"/>
                <w:szCs w:val="20"/>
              </w:rPr>
              <w:t>Pure red cell aplasia</w:t>
            </w:r>
            <w:r w:rsidR="00692966" w:rsidRPr="00692966">
              <w:rPr>
                <w:rStyle w:val="CSI"/>
                <w:rFonts w:ascii="Arial Narrow" w:hAnsi="Arial Narrow"/>
                <w:sz w:val="20"/>
                <w:szCs w:val="20"/>
                <w:vertAlign w:val="superscript"/>
              </w:rPr>
              <w:t>#</w:t>
            </w:r>
          </w:p>
        </w:tc>
      </w:tr>
      <w:tr w:rsidR="008A75D9" w:rsidRPr="00AF2C08" w14:paraId="0F76211C" w14:textId="77777777" w:rsidTr="003E241C">
        <w:trPr>
          <w:cantSplit/>
        </w:trPr>
        <w:tc>
          <w:tcPr>
            <w:tcW w:w="2250" w:type="dxa"/>
            <w:shd w:val="clear" w:color="auto" w:fill="auto"/>
          </w:tcPr>
          <w:p w14:paraId="04D1FE50" w14:textId="77777777" w:rsidR="008A75D9" w:rsidRPr="006D6008" w:rsidRDefault="008A75D9" w:rsidP="008A75D9">
            <w:pPr>
              <w:keepNext/>
              <w:spacing w:before="100" w:beforeAutospacing="1" w:after="120"/>
              <w:rPr>
                <w:rFonts w:ascii="Arial Narrow" w:hAnsi="Arial Narrow"/>
                <w:sz w:val="20"/>
                <w:szCs w:val="20"/>
              </w:rPr>
            </w:pPr>
            <w:r w:rsidRPr="006D6008">
              <w:rPr>
                <w:rFonts w:ascii="Arial Narrow" w:hAnsi="Arial Narrow"/>
                <w:b/>
                <w:sz w:val="20"/>
                <w:szCs w:val="20"/>
              </w:rPr>
              <w:t>Immune system disorders</w:t>
            </w:r>
          </w:p>
        </w:tc>
        <w:tc>
          <w:tcPr>
            <w:tcW w:w="1431" w:type="dxa"/>
            <w:shd w:val="clear" w:color="auto" w:fill="auto"/>
          </w:tcPr>
          <w:p w14:paraId="0715E695" w14:textId="77777777" w:rsidR="008A75D9" w:rsidRPr="006D6008" w:rsidRDefault="008A75D9" w:rsidP="008A75D9">
            <w:pPr>
              <w:keepNext/>
              <w:spacing w:before="100" w:beforeAutospacing="1" w:after="120"/>
              <w:rPr>
                <w:rFonts w:ascii="Arial Narrow" w:hAnsi="Arial Narrow"/>
                <w:sz w:val="20"/>
                <w:szCs w:val="20"/>
              </w:rPr>
            </w:pPr>
            <w:r w:rsidRPr="006D6008">
              <w:rPr>
                <w:rFonts w:ascii="Arial Narrow" w:hAnsi="Arial Narrow"/>
                <w:sz w:val="20"/>
                <w:szCs w:val="20"/>
              </w:rPr>
              <w:t>Uncommon</w:t>
            </w:r>
          </w:p>
        </w:tc>
        <w:tc>
          <w:tcPr>
            <w:tcW w:w="2551" w:type="dxa"/>
          </w:tcPr>
          <w:p w14:paraId="1601E14B" w14:textId="77777777" w:rsidR="008A75D9" w:rsidRDefault="008A75D9" w:rsidP="008A75D9">
            <w:pPr>
              <w:keepNext/>
              <w:spacing w:after="0" w:line="240" w:lineRule="auto"/>
              <w:rPr>
                <w:rStyle w:val="CSI"/>
                <w:rFonts w:ascii="Arial Narrow" w:hAnsi="Arial Narrow"/>
                <w:sz w:val="20"/>
                <w:szCs w:val="20"/>
              </w:rPr>
            </w:pPr>
            <w:r w:rsidRPr="006D6008">
              <w:rPr>
                <w:rStyle w:val="CSI"/>
                <w:rFonts w:ascii="Arial Narrow" w:hAnsi="Arial Narrow"/>
                <w:sz w:val="20"/>
                <w:szCs w:val="20"/>
              </w:rPr>
              <w:t>Hypersensitivity</w:t>
            </w:r>
            <w:r w:rsidRPr="006D6008">
              <w:rPr>
                <w:rFonts w:ascii="Arial Narrow" w:hAnsi="Arial Narrow"/>
                <w:sz w:val="20"/>
                <w:szCs w:val="20"/>
              </w:rPr>
              <w:t xml:space="preserve"> </w:t>
            </w:r>
            <w:r w:rsidRPr="006D6008">
              <w:rPr>
                <w:rFonts w:ascii="Arial Narrow" w:hAnsi="Arial Narrow"/>
                <w:sz w:val="20"/>
                <w:szCs w:val="20"/>
              </w:rPr>
              <w:br/>
            </w:r>
            <w:r w:rsidRPr="006D6008">
              <w:rPr>
                <w:rStyle w:val="CSI"/>
                <w:rFonts w:ascii="Arial Narrow" w:hAnsi="Arial Narrow"/>
                <w:sz w:val="20"/>
                <w:szCs w:val="20"/>
              </w:rPr>
              <w:t>Immune Reconstitution Syndrome</w:t>
            </w:r>
          </w:p>
          <w:p w14:paraId="6E3B9959" w14:textId="42BBAAA4" w:rsidR="008A75D9" w:rsidRPr="006D6008" w:rsidRDefault="008A75D9" w:rsidP="002156DB">
            <w:pPr>
              <w:keepNext/>
              <w:spacing w:after="120" w:line="240" w:lineRule="auto"/>
              <w:rPr>
                <w:rStyle w:val="CSI"/>
                <w:rFonts w:ascii="Arial Narrow" w:hAnsi="Arial Narrow"/>
                <w:sz w:val="20"/>
                <w:szCs w:val="20"/>
              </w:rPr>
            </w:pPr>
            <w:r w:rsidRPr="006D6008">
              <w:rPr>
                <w:rFonts w:ascii="Arial Narrow" w:hAnsi="Arial Narrow"/>
                <w:sz w:val="20"/>
                <w:szCs w:val="20"/>
              </w:rPr>
              <w:t>(</w:t>
            </w:r>
            <w:r w:rsidRPr="006D6008">
              <w:rPr>
                <w:rFonts w:ascii="Arial Narrow" w:hAnsi="Arial Narrow"/>
                <w:i/>
                <w:sz w:val="20"/>
                <w:szCs w:val="20"/>
              </w:rPr>
              <w:t>see Section 4.4 SPECIAL WARNINGS AND PRECAUTIONS</w:t>
            </w:r>
            <w:r>
              <w:rPr>
                <w:rFonts w:ascii="Arial Narrow" w:hAnsi="Arial Narrow"/>
                <w:i/>
                <w:sz w:val="20"/>
                <w:szCs w:val="20"/>
              </w:rPr>
              <w:t xml:space="preserve"> FOR USE</w:t>
            </w:r>
            <w:r w:rsidRPr="006D6008">
              <w:rPr>
                <w:rFonts w:ascii="Arial Narrow" w:hAnsi="Arial Narrow"/>
                <w:sz w:val="20"/>
                <w:szCs w:val="20"/>
              </w:rPr>
              <w:t>)</w:t>
            </w:r>
          </w:p>
        </w:tc>
        <w:tc>
          <w:tcPr>
            <w:tcW w:w="2318" w:type="dxa"/>
          </w:tcPr>
          <w:p w14:paraId="7F76E683" w14:textId="77777777" w:rsidR="008A75D9" w:rsidRPr="006D6008" w:rsidRDefault="008A75D9" w:rsidP="008A75D9">
            <w:pPr>
              <w:keepNext/>
              <w:spacing w:before="100" w:beforeAutospacing="1" w:after="120"/>
              <w:rPr>
                <w:rStyle w:val="CSI"/>
                <w:rFonts w:ascii="Arial Narrow" w:hAnsi="Arial Narrow"/>
                <w:sz w:val="20"/>
                <w:szCs w:val="20"/>
              </w:rPr>
            </w:pPr>
          </w:p>
        </w:tc>
      </w:tr>
      <w:tr w:rsidR="008A75D9" w:rsidRPr="00AF2C08" w14:paraId="7CA2FD85" w14:textId="77777777" w:rsidTr="003E241C">
        <w:trPr>
          <w:cantSplit/>
        </w:trPr>
        <w:tc>
          <w:tcPr>
            <w:tcW w:w="2250" w:type="dxa"/>
            <w:vMerge w:val="restart"/>
            <w:shd w:val="clear" w:color="auto" w:fill="auto"/>
          </w:tcPr>
          <w:p w14:paraId="48733198" w14:textId="77777777" w:rsidR="008A75D9" w:rsidRPr="006D6008" w:rsidRDefault="008A75D9" w:rsidP="008A75D9">
            <w:pPr>
              <w:keepNext/>
              <w:spacing w:before="100" w:beforeAutospacing="1" w:after="120"/>
              <w:rPr>
                <w:rFonts w:ascii="Arial Narrow" w:hAnsi="Arial Narrow"/>
                <w:sz w:val="20"/>
                <w:szCs w:val="20"/>
              </w:rPr>
            </w:pPr>
            <w:r w:rsidRPr="006D6008">
              <w:rPr>
                <w:rFonts w:ascii="Arial Narrow" w:hAnsi="Arial Narrow"/>
                <w:b/>
                <w:sz w:val="20"/>
                <w:szCs w:val="20"/>
              </w:rPr>
              <w:t>Psychiatric disorders</w:t>
            </w:r>
          </w:p>
        </w:tc>
        <w:tc>
          <w:tcPr>
            <w:tcW w:w="1431" w:type="dxa"/>
            <w:shd w:val="clear" w:color="auto" w:fill="auto"/>
          </w:tcPr>
          <w:p w14:paraId="0642697E" w14:textId="77777777" w:rsidR="008A75D9" w:rsidRPr="006D6008" w:rsidRDefault="008A75D9" w:rsidP="008A75D9">
            <w:pPr>
              <w:keepNext/>
              <w:spacing w:before="100" w:beforeAutospacing="1" w:after="120"/>
              <w:rPr>
                <w:rStyle w:val="CSI"/>
                <w:rFonts w:ascii="Arial Narrow" w:hAnsi="Arial Narrow"/>
                <w:sz w:val="20"/>
                <w:szCs w:val="20"/>
              </w:rPr>
            </w:pPr>
            <w:r w:rsidRPr="006D6008">
              <w:rPr>
                <w:rFonts w:ascii="Arial Narrow" w:hAnsi="Arial Narrow"/>
                <w:sz w:val="20"/>
                <w:szCs w:val="20"/>
              </w:rPr>
              <w:t>Common</w:t>
            </w:r>
          </w:p>
        </w:tc>
        <w:tc>
          <w:tcPr>
            <w:tcW w:w="2551" w:type="dxa"/>
          </w:tcPr>
          <w:p w14:paraId="3CD5AF03" w14:textId="5309472C" w:rsidR="008A75D9" w:rsidRPr="006D6008" w:rsidRDefault="008A75D9" w:rsidP="00DC74E3">
            <w:pPr>
              <w:keepNext/>
              <w:spacing w:before="100" w:beforeAutospacing="1" w:after="120"/>
              <w:rPr>
                <w:rStyle w:val="CSI"/>
                <w:rFonts w:ascii="Arial Narrow" w:hAnsi="Arial Narrow"/>
                <w:sz w:val="20"/>
                <w:szCs w:val="20"/>
              </w:rPr>
            </w:pPr>
            <w:r w:rsidRPr="006D6008">
              <w:rPr>
                <w:rStyle w:val="CSI"/>
                <w:rFonts w:ascii="Arial Narrow" w:hAnsi="Arial Narrow"/>
                <w:sz w:val="20"/>
                <w:szCs w:val="20"/>
              </w:rPr>
              <w:t>Suicidal ideation (particularly in patients with a pre-existing history of depression or psychiatric illness)</w:t>
            </w:r>
            <w:r w:rsidRPr="006D6008">
              <w:rPr>
                <w:rStyle w:val="CSI"/>
                <w:rFonts w:ascii="Arial Narrow" w:hAnsi="Arial Narrow"/>
                <w:sz w:val="20"/>
                <w:szCs w:val="20"/>
              </w:rPr>
              <w:br/>
              <w:t>Depression</w:t>
            </w:r>
            <w:r w:rsidRPr="006D6008">
              <w:rPr>
                <w:rStyle w:val="CSI"/>
                <w:rFonts w:ascii="Arial Narrow" w:hAnsi="Arial Narrow"/>
                <w:sz w:val="20"/>
                <w:szCs w:val="20"/>
              </w:rPr>
              <w:br/>
            </w:r>
            <w:r>
              <w:rPr>
                <w:rStyle w:val="CSI"/>
                <w:rFonts w:ascii="Arial Narrow" w:hAnsi="Arial Narrow"/>
                <w:sz w:val="20"/>
                <w:szCs w:val="20"/>
              </w:rPr>
              <w:t>Anxiety</w:t>
            </w:r>
            <w:r w:rsidRPr="006D6008">
              <w:rPr>
                <w:rStyle w:val="CSI"/>
                <w:rFonts w:ascii="Arial Narrow" w:hAnsi="Arial Narrow"/>
                <w:sz w:val="20"/>
                <w:szCs w:val="20"/>
              </w:rPr>
              <w:br/>
              <w:t>Insomnia</w:t>
            </w:r>
            <w:r w:rsidRPr="006D6008">
              <w:rPr>
                <w:rStyle w:val="CSI"/>
                <w:rFonts w:ascii="Arial Narrow" w:hAnsi="Arial Narrow"/>
                <w:sz w:val="20"/>
                <w:szCs w:val="20"/>
              </w:rPr>
              <w:br/>
              <w:t>Abnormal dreams</w:t>
            </w:r>
          </w:p>
        </w:tc>
        <w:tc>
          <w:tcPr>
            <w:tcW w:w="2318" w:type="dxa"/>
          </w:tcPr>
          <w:p w14:paraId="6CA7CE51" w14:textId="6A93F2EF" w:rsidR="008A75D9" w:rsidRPr="006D6008" w:rsidRDefault="008A75D9" w:rsidP="008A75D9">
            <w:pPr>
              <w:keepNext/>
              <w:spacing w:before="100" w:beforeAutospacing="1" w:after="120"/>
              <w:rPr>
                <w:rStyle w:val="CSI"/>
                <w:rFonts w:ascii="Arial Narrow" w:hAnsi="Arial Narrow"/>
                <w:sz w:val="20"/>
                <w:szCs w:val="20"/>
              </w:rPr>
            </w:pPr>
          </w:p>
        </w:tc>
      </w:tr>
      <w:tr w:rsidR="008A75D9" w:rsidRPr="00AF2C08" w14:paraId="3AB009D6" w14:textId="77777777" w:rsidTr="003E241C">
        <w:trPr>
          <w:cantSplit/>
        </w:trPr>
        <w:tc>
          <w:tcPr>
            <w:tcW w:w="2250" w:type="dxa"/>
            <w:vMerge/>
            <w:tcBorders>
              <w:bottom w:val="single" w:sz="4" w:space="0" w:color="auto"/>
            </w:tcBorders>
            <w:shd w:val="clear" w:color="auto" w:fill="auto"/>
          </w:tcPr>
          <w:p w14:paraId="13E4E083" w14:textId="77777777" w:rsidR="008A75D9" w:rsidRPr="006D6008" w:rsidRDefault="008A75D9" w:rsidP="008A75D9">
            <w:pPr>
              <w:keepNext/>
              <w:spacing w:before="100" w:beforeAutospacing="1" w:after="120"/>
              <w:rPr>
                <w:rFonts w:ascii="Arial Narrow" w:hAnsi="Arial Narrow"/>
                <w:b/>
                <w:sz w:val="20"/>
                <w:szCs w:val="20"/>
              </w:rPr>
            </w:pPr>
          </w:p>
        </w:tc>
        <w:tc>
          <w:tcPr>
            <w:tcW w:w="1431" w:type="dxa"/>
            <w:shd w:val="clear" w:color="auto" w:fill="auto"/>
          </w:tcPr>
          <w:p w14:paraId="4E85CB8B" w14:textId="77777777" w:rsidR="008A75D9" w:rsidRPr="006D6008" w:rsidRDefault="008A75D9" w:rsidP="008A75D9">
            <w:pPr>
              <w:keepNext/>
              <w:spacing w:before="100" w:beforeAutospacing="1" w:after="120"/>
              <w:rPr>
                <w:rFonts w:ascii="Arial Narrow" w:hAnsi="Arial Narrow"/>
                <w:sz w:val="20"/>
                <w:szCs w:val="20"/>
              </w:rPr>
            </w:pPr>
            <w:r w:rsidRPr="006D6008">
              <w:rPr>
                <w:rFonts w:ascii="Arial Narrow" w:hAnsi="Arial Narrow"/>
                <w:sz w:val="20"/>
                <w:szCs w:val="20"/>
              </w:rPr>
              <w:t>Uncommon</w:t>
            </w:r>
          </w:p>
        </w:tc>
        <w:tc>
          <w:tcPr>
            <w:tcW w:w="2551" w:type="dxa"/>
          </w:tcPr>
          <w:p w14:paraId="7DDE780C" w14:textId="0CAB283A" w:rsidR="008A75D9" w:rsidRPr="006D6008" w:rsidRDefault="008A75D9" w:rsidP="008A75D9">
            <w:pPr>
              <w:keepNext/>
              <w:spacing w:before="100" w:beforeAutospacing="1" w:after="120"/>
              <w:rPr>
                <w:rStyle w:val="CSI"/>
                <w:rFonts w:ascii="Arial Narrow" w:hAnsi="Arial Narrow"/>
                <w:sz w:val="20"/>
                <w:szCs w:val="20"/>
              </w:rPr>
            </w:pPr>
            <w:r w:rsidRPr="000E0B16">
              <w:rPr>
                <w:rStyle w:val="CSI"/>
                <w:rFonts w:ascii="Arial Narrow" w:hAnsi="Arial Narrow"/>
                <w:sz w:val="20"/>
                <w:szCs w:val="20"/>
              </w:rPr>
              <w:t>suicide attempt (particularly in patients with a pre-existing history of depression or psychiatric illness)</w:t>
            </w:r>
          </w:p>
        </w:tc>
        <w:tc>
          <w:tcPr>
            <w:tcW w:w="2318" w:type="dxa"/>
          </w:tcPr>
          <w:p w14:paraId="5AB05B6B" w14:textId="7113C691" w:rsidR="008A75D9" w:rsidRPr="006D6008" w:rsidRDefault="008A75D9" w:rsidP="008A75D9">
            <w:pPr>
              <w:keepNext/>
              <w:spacing w:before="100" w:beforeAutospacing="1" w:after="120"/>
              <w:rPr>
                <w:rStyle w:val="CSI"/>
                <w:rFonts w:ascii="Arial Narrow" w:hAnsi="Arial Narrow"/>
                <w:sz w:val="20"/>
                <w:szCs w:val="20"/>
              </w:rPr>
            </w:pPr>
          </w:p>
        </w:tc>
      </w:tr>
      <w:tr w:rsidR="00692966" w:rsidRPr="00AF2C08" w14:paraId="3E70068D" w14:textId="77777777" w:rsidTr="003E241C">
        <w:trPr>
          <w:cantSplit/>
          <w:trHeight w:val="450"/>
        </w:trPr>
        <w:tc>
          <w:tcPr>
            <w:tcW w:w="2250" w:type="dxa"/>
            <w:vMerge w:val="restart"/>
            <w:shd w:val="clear" w:color="auto" w:fill="auto"/>
          </w:tcPr>
          <w:p w14:paraId="790F41F1" w14:textId="6A45B033" w:rsidR="00692966" w:rsidRPr="006D6008" w:rsidRDefault="00692966" w:rsidP="00692966">
            <w:pPr>
              <w:keepNext/>
              <w:spacing w:after="0"/>
              <w:rPr>
                <w:rFonts w:ascii="Arial Narrow" w:hAnsi="Arial Narrow"/>
                <w:b/>
                <w:sz w:val="20"/>
                <w:szCs w:val="20"/>
              </w:rPr>
            </w:pPr>
            <w:r>
              <w:rPr>
                <w:rFonts w:ascii="Arial Narrow" w:hAnsi="Arial Narrow"/>
                <w:b/>
                <w:sz w:val="20"/>
                <w:szCs w:val="20"/>
              </w:rPr>
              <w:t>Metabolism and nutrition</w:t>
            </w:r>
          </w:p>
        </w:tc>
        <w:tc>
          <w:tcPr>
            <w:tcW w:w="1431" w:type="dxa"/>
            <w:shd w:val="clear" w:color="auto" w:fill="auto"/>
          </w:tcPr>
          <w:p w14:paraId="5961BF9F" w14:textId="11D1F491" w:rsidR="00692966" w:rsidRPr="006D6008" w:rsidRDefault="00692966" w:rsidP="00692966">
            <w:pPr>
              <w:keepNext/>
              <w:spacing w:after="0" w:line="240" w:lineRule="auto"/>
              <w:rPr>
                <w:rFonts w:ascii="Arial Narrow" w:hAnsi="Arial Narrow"/>
                <w:sz w:val="20"/>
                <w:szCs w:val="20"/>
              </w:rPr>
            </w:pPr>
            <w:r>
              <w:rPr>
                <w:rFonts w:ascii="Arial Narrow" w:hAnsi="Arial Narrow"/>
                <w:sz w:val="20"/>
                <w:szCs w:val="20"/>
              </w:rPr>
              <w:t>Common</w:t>
            </w:r>
          </w:p>
        </w:tc>
        <w:tc>
          <w:tcPr>
            <w:tcW w:w="2551" w:type="dxa"/>
          </w:tcPr>
          <w:p w14:paraId="16012762" w14:textId="77777777" w:rsidR="00692966" w:rsidRPr="006D6008" w:rsidRDefault="00692966" w:rsidP="00692966">
            <w:pPr>
              <w:keepNext/>
              <w:spacing w:after="0" w:line="240" w:lineRule="auto"/>
              <w:rPr>
                <w:rStyle w:val="CSI"/>
                <w:rFonts w:ascii="Arial Narrow" w:hAnsi="Arial Narrow"/>
                <w:sz w:val="20"/>
                <w:szCs w:val="20"/>
              </w:rPr>
            </w:pPr>
          </w:p>
        </w:tc>
        <w:tc>
          <w:tcPr>
            <w:tcW w:w="2318" w:type="dxa"/>
          </w:tcPr>
          <w:p w14:paraId="45508E4D" w14:textId="35F28047" w:rsidR="00692966" w:rsidRPr="006D6008" w:rsidRDefault="00692966" w:rsidP="00692966">
            <w:pPr>
              <w:keepNext/>
              <w:spacing w:after="0" w:line="240" w:lineRule="auto"/>
              <w:rPr>
                <w:rStyle w:val="CSI"/>
                <w:rFonts w:ascii="Arial Narrow" w:hAnsi="Arial Narrow"/>
                <w:sz w:val="20"/>
                <w:szCs w:val="20"/>
              </w:rPr>
            </w:pPr>
            <w:r>
              <w:rPr>
                <w:rStyle w:val="CSI"/>
                <w:rFonts w:ascii="Arial Narrow" w:hAnsi="Arial Narrow"/>
                <w:sz w:val="20"/>
                <w:szCs w:val="20"/>
              </w:rPr>
              <w:t>Hyperlactataemia</w:t>
            </w:r>
            <w:r w:rsidRPr="00692966">
              <w:rPr>
                <w:rStyle w:val="CSI"/>
                <w:rFonts w:ascii="Arial Narrow" w:hAnsi="Arial Narrow"/>
                <w:sz w:val="20"/>
                <w:szCs w:val="20"/>
                <w:vertAlign w:val="superscript"/>
              </w:rPr>
              <w:t>#</w:t>
            </w:r>
          </w:p>
        </w:tc>
      </w:tr>
      <w:tr w:rsidR="00692966" w:rsidRPr="00AF2C08" w14:paraId="15C368AA" w14:textId="77777777" w:rsidTr="003E241C">
        <w:trPr>
          <w:cantSplit/>
          <w:trHeight w:val="450"/>
        </w:trPr>
        <w:tc>
          <w:tcPr>
            <w:tcW w:w="2250" w:type="dxa"/>
            <w:vMerge/>
            <w:shd w:val="clear" w:color="auto" w:fill="auto"/>
          </w:tcPr>
          <w:p w14:paraId="6AB81C3F" w14:textId="77777777" w:rsidR="00692966" w:rsidRPr="006D6008" w:rsidRDefault="00692966" w:rsidP="00692966">
            <w:pPr>
              <w:keepNext/>
              <w:spacing w:after="0"/>
              <w:rPr>
                <w:rFonts w:ascii="Arial Narrow" w:hAnsi="Arial Narrow"/>
                <w:b/>
                <w:sz w:val="20"/>
                <w:szCs w:val="20"/>
              </w:rPr>
            </w:pPr>
          </w:p>
        </w:tc>
        <w:tc>
          <w:tcPr>
            <w:tcW w:w="1431" w:type="dxa"/>
            <w:shd w:val="clear" w:color="auto" w:fill="auto"/>
          </w:tcPr>
          <w:p w14:paraId="3420929A" w14:textId="6E39AEC4" w:rsidR="00692966" w:rsidRPr="006D6008" w:rsidRDefault="00692966" w:rsidP="00692966">
            <w:pPr>
              <w:keepNext/>
              <w:spacing w:after="0" w:line="240" w:lineRule="auto"/>
              <w:rPr>
                <w:rFonts w:ascii="Arial Narrow" w:hAnsi="Arial Narrow"/>
                <w:sz w:val="20"/>
                <w:szCs w:val="20"/>
              </w:rPr>
            </w:pPr>
            <w:r>
              <w:rPr>
                <w:rFonts w:ascii="Arial Narrow" w:hAnsi="Arial Narrow"/>
                <w:sz w:val="20"/>
                <w:szCs w:val="20"/>
              </w:rPr>
              <w:t>Rare</w:t>
            </w:r>
          </w:p>
        </w:tc>
        <w:tc>
          <w:tcPr>
            <w:tcW w:w="2551" w:type="dxa"/>
          </w:tcPr>
          <w:p w14:paraId="60A4DF22" w14:textId="77777777" w:rsidR="00692966" w:rsidRPr="006D6008" w:rsidRDefault="00692966" w:rsidP="00692966">
            <w:pPr>
              <w:keepNext/>
              <w:spacing w:after="0" w:line="240" w:lineRule="auto"/>
              <w:rPr>
                <w:rStyle w:val="CSI"/>
                <w:rFonts w:ascii="Arial Narrow" w:hAnsi="Arial Narrow"/>
                <w:sz w:val="20"/>
                <w:szCs w:val="20"/>
              </w:rPr>
            </w:pPr>
          </w:p>
        </w:tc>
        <w:tc>
          <w:tcPr>
            <w:tcW w:w="2318" w:type="dxa"/>
          </w:tcPr>
          <w:p w14:paraId="3010F63E" w14:textId="332FED00" w:rsidR="00692966" w:rsidRPr="006D6008" w:rsidRDefault="00692966" w:rsidP="00692966">
            <w:pPr>
              <w:keepNext/>
              <w:spacing w:after="0" w:line="240" w:lineRule="auto"/>
              <w:rPr>
                <w:rStyle w:val="CSI"/>
                <w:rFonts w:ascii="Arial Narrow" w:hAnsi="Arial Narrow"/>
                <w:sz w:val="20"/>
                <w:szCs w:val="20"/>
              </w:rPr>
            </w:pPr>
            <w:r>
              <w:rPr>
                <w:rStyle w:val="CSI"/>
                <w:rFonts w:ascii="Arial Narrow" w:hAnsi="Arial Narrow"/>
                <w:sz w:val="20"/>
                <w:szCs w:val="20"/>
              </w:rPr>
              <w:t>Lactic acidosis</w:t>
            </w:r>
            <w:r w:rsidRPr="00815BD2">
              <w:rPr>
                <w:rStyle w:val="CSI"/>
                <w:rFonts w:ascii="Arial Narrow" w:hAnsi="Arial Narrow"/>
                <w:sz w:val="20"/>
                <w:szCs w:val="20"/>
                <w:vertAlign w:val="superscript"/>
              </w:rPr>
              <w:t>1</w:t>
            </w:r>
            <w:r>
              <w:rPr>
                <w:rStyle w:val="CSI"/>
                <w:rFonts w:ascii="Arial Narrow" w:hAnsi="Arial Narrow"/>
                <w:sz w:val="20"/>
                <w:szCs w:val="20"/>
                <w:vertAlign w:val="superscript"/>
              </w:rPr>
              <w:t>#</w:t>
            </w:r>
          </w:p>
        </w:tc>
      </w:tr>
      <w:tr w:rsidR="00692966" w:rsidRPr="00AF2C08" w14:paraId="78148A5E" w14:textId="77777777" w:rsidTr="003E241C">
        <w:trPr>
          <w:cantSplit/>
          <w:trHeight w:val="450"/>
        </w:trPr>
        <w:tc>
          <w:tcPr>
            <w:tcW w:w="2250" w:type="dxa"/>
            <w:vMerge w:val="restart"/>
            <w:shd w:val="clear" w:color="auto" w:fill="auto"/>
          </w:tcPr>
          <w:p w14:paraId="0E763B26" w14:textId="77777777" w:rsidR="00692966" w:rsidRPr="006D6008" w:rsidRDefault="00692966" w:rsidP="00692966">
            <w:pPr>
              <w:keepNext/>
              <w:spacing w:after="0"/>
              <w:rPr>
                <w:rFonts w:ascii="Arial Narrow" w:hAnsi="Arial Narrow"/>
                <w:sz w:val="20"/>
                <w:szCs w:val="20"/>
              </w:rPr>
            </w:pPr>
            <w:r w:rsidRPr="006D6008">
              <w:rPr>
                <w:rFonts w:ascii="Arial Narrow" w:hAnsi="Arial Narrow"/>
                <w:b/>
                <w:sz w:val="20"/>
                <w:szCs w:val="20"/>
              </w:rPr>
              <w:t>Nervous system disorders</w:t>
            </w:r>
          </w:p>
        </w:tc>
        <w:tc>
          <w:tcPr>
            <w:tcW w:w="1431" w:type="dxa"/>
            <w:shd w:val="clear" w:color="auto" w:fill="auto"/>
          </w:tcPr>
          <w:p w14:paraId="68C7E390" w14:textId="77777777" w:rsidR="00692966" w:rsidRPr="006D6008" w:rsidRDefault="00692966" w:rsidP="00692966">
            <w:pPr>
              <w:keepNext/>
              <w:spacing w:after="0" w:line="240" w:lineRule="auto"/>
              <w:rPr>
                <w:rStyle w:val="CSI"/>
                <w:rFonts w:ascii="Arial Narrow" w:hAnsi="Arial Narrow"/>
                <w:sz w:val="20"/>
                <w:szCs w:val="20"/>
              </w:rPr>
            </w:pPr>
            <w:r w:rsidRPr="006D6008">
              <w:rPr>
                <w:rFonts w:ascii="Arial Narrow" w:hAnsi="Arial Narrow"/>
                <w:sz w:val="20"/>
                <w:szCs w:val="20"/>
              </w:rPr>
              <w:t>Very common</w:t>
            </w:r>
          </w:p>
        </w:tc>
        <w:tc>
          <w:tcPr>
            <w:tcW w:w="2551" w:type="dxa"/>
          </w:tcPr>
          <w:p w14:paraId="57720572" w14:textId="77777777" w:rsidR="00692966" w:rsidRPr="006D6008" w:rsidRDefault="00692966" w:rsidP="00692966">
            <w:pPr>
              <w:keepNext/>
              <w:spacing w:after="0" w:line="240" w:lineRule="auto"/>
              <w:rPr>
                <w:rStyle w:val="CSI"/>
                <w:rFonts w:ascii="Arial Narrow" w:hAnsi="Arial Narrow"/>
                <w:sz w:val="20"/>
                <w:szCs w:val="20"/>
              </w:rPr>
            </w:pPr>
            <w:r w:rsidRPr="006D6008">
              <w:rPr>
                <w:rStyle w:val="CSI"/>
                <w:rFonts w:ascii="Arial Narrow" w:hAnsi="Arial Narrow"/>
                <w:sz w:val="20"/>
                <w:szCs w:val="20"/>
              </w:rPr>
              <w:t>Headache</w:t>
            </w:r>
          </w:p>
        </w:tc>
        <w:tc>
          <w:tcPr>
            <w:tcW w:w="2318" w:type="dxa"/>
          </w:tcPr>
          <w:p w14:paraId="4C47C31A" w14:textId="77777777" w:rsidR="00692966" w:rsidRPr="006D6008" w:rsidRDefault="00692966" w:rsidP="00692966">
            <w:pPr>
              <w:keepNext/>
              <w:spacing w:after="0" w:line="240" w:lineRule="auto"/>
              <w:rPr>
                <w:rStyle w:val="CSI"/>
                <w:rFonts w:ascii="Arial Narrow" w:hAnsi="Arial Narrow"/>
                <w:sz w:val="20"/>
                <w:szCs w:val="20"/>
              </w:rPr>
            </w:pPr>
          </w:p>
        </w:tc>
      </w:tr>
      <w:tr w:rsidR="00692966" w:rsidRPr="00AF2C08" w14:paraId="60A4CEC6" w14:textId="77777777" w:rsidTr="003E241C">
        <w:trPr>
          <w:cantSplit/>
        </w:trPr>
        <w:tc>
          <w:tcPr>
            <w:tcW w:w="2250" w:type="dxa"/>
            <w:vMerge/>
            <w:tcBorders>
              <w:bottom w:val="single" w:sz="4" w:space="0" w:color="auto"/>
            </w:tcBorders>
            <w:shd w:val="clear" w:color="auto" w:fill="auto"/>
          </w:tcPr>
          <w:p w14:paraId="749B9B2D" w14:textId="77777777" w:rsidR="00692966" w:rsidRPr="006D6008" w:rsidRDefault="00692966" w:rsidP="00692966">
            <w:pPr>
              <w:keepNext/>
              <w:spacing w:before="100" w:beforeAutospacing="1" w:after="120"/>
              <w:rPr>
                <w:rFonts w:ascii="Arial Narrow" w:hAnsi="Arial Narrow"/>
                <w:sz w:val="20"/>
                <w:szCs w:val="20"/>
              </w:rPr>
            </w:pPr>
          </w:p>
        </w:tc>
        <w:tc>
          <w:tcPr>
            <w:tcW w:w="1431" w:type="dxa"/>
            <w:shd w:val="clear" w:color="auto" w:fill="auto"/>
          </w:tcPr>
          <w:p w14:paraId="109D00D1" w14:textId="5456581C" w:rsidR="00692966" w:rsidRPr="006D6008" w:rsidRDefault="00692966" w:rsidP="00692966">
            <w:pPr>
              <w:keepNext/>
              <w:spacing w:before="100" w:beforeAutospacing="1" w:after="120"/>
              <w:rPr>
                <w:rFonts w:ascii="Arial Narrow" w:hAnsi="Arial Narrow"/>
                <w:sz w:val="20"/>
                <w:szCs w:val="20"/>
              </w:rPr>
            </w:pPr>
            <w:r>
              <w:rPr>
                <w:rFonts w:ascii="Arial Narrow" w:hAnsi="Arial Narrow"/>
                <w:sz w:val="20"/>
                <w:szCs w:val="20"/>
              </w:rPr>
              <w:t>C</w:t>
            </w:r>
            <w:r w:rsidRPr="006D6008">
              <w:rPr>
                <w:rFonts w:ascii="Arial Narrow" w:hAnsi="Arial Narrow"/>
                <w:sz w:val="20"/>
                <w:szCs w:val="20"/>
              </w:rPr>
              <w:t>ommon</w:t>
            </w:r>
          </w:p>
        </w:tc>
        <w:tc>
          <w:tcPr>
            <w:tcW w:w="2551" w:type="dxa"/>
          </w:tcPr>
          <w:p w14:paraId="723501F4" w14:textId="30C53D5F" w:rsidR="00692966" w:rsidRPr="006D6008" w:rsidRDefault="00692966" w:rsidP="00692966">
            <w:pPr>
              <w:keepNext/>
              <w:spacing w:before="100" w:beforeAutospacing="1" w:after="120"/>
              <w:rPr>
                <w:rStyle w:val="CSI"/>
                <w:rFonts w:ascii="Arial Narrow" w:hAnsi="Arial Narrow"/>
                <w:sz w:val="20"/>
                <w:szCs w:val="20"/>
              </w:rPr>
            </w:pPr>
            <w:r w:rsidRPr="006D6008">
              <w:rPr>
                <w:rStyle w:val="CSI"/>
                <w:rFonts w:ascii="Arial Narrow" w:hAnsi="Arial Narrow"/>
                <w:sz w:val="20"/>
                <w:szCs w:val="20"/>
              </w:rPr>
              <w:t>Dizziness</w:t>
            </w:r>
          </w:p>
        </w:tc>
        <w:tc>
          <w:tcPr>
            <w:tcW w:w="2318" w:type="dxa"/>
          </w:tcPr>
          <w:p w14:paraId="7698D809" w14:textId="10D1E14B" w:rsidR="00692966" w:rsidRPr="006D6008" w:rsidRDefault="00692966" w:rsidP="00692966">
            <w:pPr>
              <w:keepNext/>
              <w:spacing w:before="100" w:beforeAutospacing="1" w:after="120"/>
              <w:rPr>
                <w:rStyle w:val="CSI"/>
                <w:rFonts w:ascii="Arial Narrow" w:hAnsi="Arial Narrow"/>
                <w:sz w:val="20"/>
                <w:szCs w:val="20"/>
              </w:rPr>
            </w:pPr>
            <w:r w:rsidRPr="006D6008">
              <w:rPr>
                <w:rStyle w:val="CSI"/>
                <w:rFonts w:ascii="Arial Narrow" w:hAnsi="Arial Narrow"/>
                <w:sz w:val="20"/>
                <w:szCs w:val="20"/>
              </w:rPr>
              <w:t>Headache</w:t>
            </w:r>
          </w:p>
        </w:tc>
      </w:tr>
      <w:tr w:rsidR="00692966" w:rsidRPr="00AF2C08" w14:paraId="5A01A7AF" w14:textId="77777777" w:rsidTr="003E241C">
        <w:trPr>
          <w:cantSplit/>
        </w:trPr>
        <w:tc>
          <w:tcPr>
            <w:tcW w:w="2250" w:type="dxa"/>
            <w:tcBorders>
              <w:bottom w:val="single" w:sz="4" w:space="0" w:color="auto"/>
            </w:tcBorders>
            <w:shd w:val="clear" w:color="auto" w:fill="auto"/>
          </w:tcPr>
          <w:p w14:paraId="3A9ACD9B" w14:textId="77777777" w:rsidR="00692966" w:rsidRPr="006D6008" w:rsidRDefault="00692966" w:rsidP="00692966">
            <w:pPr>
              <w:keepNext/>
              <w:spacing w:before="100" w:beforeAutospacing="1" w:after="120"/>
              <w:rPr>
                <w:rFonts w:ascii="Arial Narrow" w:hAnsi="Arial Narrow"/>
                <w:sz w:val="20"/>
                <w:szCs w:val="20"/>
              </w:rPr>
            </w:pPr>
          </w:p>
        </w:tc>
        <w:tc>
          <w:tcPr>
            <w:tcW w:w="1431" w:type="dxa"/>
            <w:shd w:val="clear" w:color="auto" w:fill="auto"/>
          </w:tcPr>
          <w:p w14:paraId="5FCE90F8" w14:textId="53F559CD" w:rsidR="00692966" w:rsidRDefault="00692966" w:rsidP="00692966">
            <w:pPr>
              <w:keepNext/>
              <w:spacing w:before="100" w:beforeAutospacing="1" w:after="120"/>
              <w:rPr>
                <w:rFonts w:ascii="Arial Narrow" w:hAnsi="Arial Narrow"/>
                <w:sz w:val="20"/>
                <w:szCs w:val="20"/>
              </w:rPr>
            </w:pPr>
            <w:r>
              <w:rPr>
                <w:rFonts w:ascii="Arial Narrow" w:hAnsi="Arial Narrow"/>
                <w:sz w:val="20"/>
                <w:szCs w:val="20"/>
              </w:rPr>
              <w:t>Very rare</w:t>
            </w:r>
          </w:p>
        </w:tc>
        <w:tc>
          <w:tcPr>
            <w:tcW w:w="2551" w:type="dxa"/>
          </w:tcPr>
          <w:p w14:paraId="129C55E2" w14:textId="77777777" w:rsidR="00692966" w:rsidRPr="006D6008" w:rsidRDefault="00692966" w:rsidP="00692966">
            <w:pPr>
              <w:keepNext/>
              <w:spacing w:before="100" w:beforeAutospacing="1" w:after="120"/>
              <w:rPr>
                <w:rStyle w:val="CSI"/>
                <w:rFonts w:ascii="Arial Narrow" w:hAnsi="Arial Narrow"/>
                <w:sz w:val="20"/>
                <w:szCs w:val="20"/>
              </w:rPr>
            </w:pPr>
          </w:p>
        </w:tc>
        <w:tc>
          <w:tcPr>
            <w:tcW w:w="2318" w:type="dxa"/>
          </w:tcPr>
          <w:p w14:paraId="12978623" w14:textId="1F519038" w:rsidR="00692966" w:rsidRPr="006D6008" w:rsidRDefault="00692966" w:rsidP="00692966">
            <w:pPr>
              <w:keepNext/>
              <w:spacing w:before="100" w:beforeAutospacing="1" w:after="120"/>
              <w:rPr>
                <w:rStyle w:val="CSI"/>
                <w:rFonts w:ascii="Arial Narrow" w:hAnsi="Arial Narrow"/>
                <w:sz w:val="20"/>
                <w:szCs w:val="20"/>
              </w:rPr>
            </w:pPr>
            <w:proofErr w:type="spellStart"/>
            <w:r>
              <w:rPr>
                <w:rStyle w:val="CSI"/>
                <w:rFonts w:ascii="Arial Narrow" w:hAnsi="Arial Narrow"/>
                <w:sz w:val="20"/>
                <w:szCs w:val="20"/>
              </w:rPr>
              <w:t>P</w:t>
            </w:r>
            <w:r w:rsidRPr="00815BD2">
              <w:rPr>
                <w:rStyle w:val="CSI"/>
                <w:rFonts w:ascii="Arial Narrow" w:hAnsi="Arial Narrow"/>
                <w:sz w:val="20"/>
                <w:szCs w:val="20"/>
              </w:rPr>
              <w:t>araesthesiae</w:t>
            </w:r>
            <w:proofErr w:type="spellEnd"/>
            <w:r w:rsidRPr="00692966">
              <w:rPr>
                <w:rStyle w:val="CSI"/>
                <w:rFonts w:ascii="Arial Narrow" w:hAnsi="Arial Narrow"/>
                <w:sz w:val="20"/>
                <w:szCs w:val="20"/>
                <w:vertAlign w:val="superscript"/>
              </w:rPr>
              <w:t>#</w:t>
            </w:r>
            <w:r w:rsidRPr="006D6008">
              <w:rPr>
                <w:rStyle w:val="CSI"/>
                <w:rFonts w:ascii="Arial Narrow" w:hAnsi="Arial Narrow"/>
                <w:sz w:val="20"/>
                <w:szCs w:val="20"/>
              </w:rPr>
              <w:br/>
            </w:r>
            <w:r>
              <w:rPr>
                <w:rStyle w:val="CSI"/>
                <w:rFonts w:ascii="Arial Narrow" w:hAnsi="Arial Narrow"/>
                <w:sz w:val="20"/>
                <w:szCs w:val="20"/>
              </w:rPr>
              <w:t>P</w:t>
            </w:r>
            <w:r w:rsidRPr="00815BD2">
              <w:rPr>
                <w:rStyle w:val="CSI"/>
                <w:rFonts w:ascii="Arial Narrow" w:hAnsi="Arial Narrow"/>
                <w:sz w:val="20"/>
                <w:szCs w:val="20"/>
              </w:rPr>
              <w:t>eripheral neuropathy has been reported although a causal relationship to treatment is uncertain</w:t>
            </w:r>
            <w:r w:rsidRPr="00692966">
              <w:rPr>
                <w:rStyle w:val="CSI"/>
                <w:rFonts w:ascii="Arial Narrow" w:hAnsi="Arial Narrow"/>
                <w:sz w:val="20"/>
                <w:szCs w:val="20"/>
                <w:vertAlign w:val="superscript"/>
              </w:rPr>
              <w:t>#</w:t>
            </w:r>
          </w:p>
        </w:tc>
      </w:tr>
      <w:tr w:rsidR="007B3FA0" w:rsidRPr="00AF2C08" w14:paraId="51442CC3" w14:textId="77777777" w:rsidTr="002156DB">
        <w:trPr>
          <w:cantSplit/>
        </w:trPr>
        <w:tc>
          <w:tcPr>
            <w:tcW w:w="2250" w:type="dxa"/>
            <w:tcBorders>
              <w:bottom w:val="single" w:sz="4" w:space="0" w:color="auto"/>
            </w:tcBorders>
            <w:shd w:val="clear" w:color="auto" w:fill="auto"/>
          </w:tcPr>
          <w:p w14:paraId="2D9D655C" w14:textId="289B035B" w:rsidR="007B3FA0" w:rsidRPr="006D6008" w:rsidRDefault="007B3FA0" w:rsidP="00692966">
            <w:pPr>
              <w:keepNext/>
              <w:spacing w:before="100" w:beforeAutospacing="1" w:after="120"/>
              <w:rPr>
                <w:rFonts w:ascii="Arial Narrow" w:hAnsi="Arial Narrow"/>
                <w:sz w:val="20"/>
                <w:szCs w:val="20"/>
              </w:rPr>
            </w:pPr>
            <w:r w:rsidRPr="006D6008">
              <w:rPr>
                <w:rFonts w:ascii="Arial Narrow" w:hAnsi="Arial Narrow"/>
                <w:b/>
                <w:sz w:val="20"/>
                <w:szCs w:val="20"/>
              </w:rPr>
              <w:t>Gastrointestinal disorders</w:t>
            </w:r>
          </w:p>
        </w:tc>
        <w:tc>
          <w:tcPr>
            <w:tcW w:w="1431" w:type="dxa"/>
            <w:shd w:val="clear" w:color="auto" w:fill="auto"/>
          </w:tcPr>
          <w:p w14:paraId="0A4655B0" w14:textId="77777777" w:rsidR="007B3FA0" w:rsidRPr="006D6008" w:rsidRDefault="007B3FA0" w:rsidP="00692966">
            <w:pPr>
              <w:keepNext/>
              <w:spacing w:before="100" w:beforeAutospacing="1" w:after="120"/>
              <w:rPr>
                <w:rStyle w:val="CSI"/>
                <w:rFonts w:ascii="Arial Narrow" w:hAnsi="Arial Narrow"/>
                <w:sz w:val="20"/>
                <w:szCs w:val="20"/>
              </w:rPr>
            </w:pPr>
            <w:r w:rsidRPr="006D6008">
              <w:rPr>
                <w:rFonts w:ascii="Arial Narrow" w:hAnsi="Arial Narrow"/>
                <w:sz w:val="20"/>
                <w:szCs w:val="20"/>
              </w:rPr>
              <w:t>Very common</w:t>
            </w:r>
          </w:p>
        </w:tc>
        <w:tc>
          <w:tcPr>
            <w:tcW w:w="2551" w:type="dxa"/>
          </w:tcPr>
          <w:p w14:paraId="4751FD8E" w14:textId="77777777" w:rsidR="007B3FA0" w:rsidRPr="006D6008" w:rsidRDefault="007B3FA0" w:rsidP="00692966">
            <w:pPr>
              <w:keepNext/>
              <w:spacing w:before="100" w:beforeAutospacing="1" w:after="120"/>
              <w:rPr>
                <w:rStyle w:val="CSI"/>
                <w:rFonts w:ascii="Arial Narrow" w:hAnsi="Arial Narrow"/>
                <w:sz w:val="20"/>
                <w:szCs w:val="20"/>
              </w:rPr>
            </w:pPr>
            <w:r w:rsidRPr="006D6008">
              <w:rPr>
                <w:rStyle w:val="CSI"/>
                <w:rFonts w:ascii="Arial Narrow" w:hAnsi="Arial Narrow"/>
                <w:sz w:val="20"/>
                <w:szCs w:val="20"/>
              </w:rPr>
              <w:t xml:space="preserve">Nausea </w:t>
            </w:r>
            <w:r w:rsidRPr="006D6008">
              <w:rPr>
                <w:rStyle w:val="CSI"/>
                <w:rFonts w:ascii="Arial Narrow" w:hAnsi="Arial Narrow"/>
                <w:sz w:val="20"/>
                <w:szCs w:val="20"/>
              </w:rPr>
              <w:br/>
              <w:t>Diarrhoea</w:t>
            </w:r>
          </w:p>
        </w:tc>
        <w:tc>
          <w:tcPr>
            <w:tcW w:w="2318" w:type="dxa"/>
          </w:tcPr>
          <w:p w14:paraId="2F790867" w14:textId="77777777" w:rsidR="007B3FA0" w:rsidRPr="006D6008" w:rsidRDefault="007B3FA0" w:rsidP="00692966">
            <w:pPr>
              <w:keepNext/>
              <w:spacing w:before="100" w:beforeAutospacing="1" w:after="120"/>
              <w:rPr>
                <w:rStyle w:val="CSI"/>
                <w:rFonts w:ascii="Arial Narrow" w:hAnsi="Arial Narrow"/>
                <w:sz w:val="20"/>
                <w:szCs w:val="20"/>
              </w:rPr>
            </w:pPr>
          </w:p>
        </w:tc>
      </w:tr>
      <w:tr w:rsidR="007B3FA0" w:rsidRPr="00AF2C08" w14:paraId="728E58B8" w14:textId="77777777" w:rsidTr="002156DB">
        <w:trPr>
          <w:cantSplit/>
        </w:trPr>
        <w:tc>
          <w:tcPr>
            <w:tcW w:w="2250" w:type="dxa"/>
            <w:tcBorders>
              <w:bottom w:val="single" w:sz="4" w:space="0" w:color="auto"/>
            </w:tcBorders>
            <w:shd w:val="clear" w:color="auto" w:fill="auto"/>
          </w:tcPr>
          <w:p w14:paraId="3F760A69" w14:textId="3A4A3E71" w:rsidR="007B3FA0" w:rsidRPr="006D6008" w:rsidRDefault="007B3FA0" w:rsidP="00692966">
            <w:pPr>
              <w:keepNext/>
              <w:spacing w:before="100" w:beforeAutospacing="1" w:after="120"/>
              <w:rPr>
                <w:rFonts w:ascii="Arial Narrow" w:hAnsi="Arial Narrow"/>
                <w:sz w:val="20"/>
                <w:szCs w:val="20"/>
              </w:rPr>
            </w:pPr>
          </w:p>
        </w:tc>
        <w:tc>
          <w:tcPr>
            <w:tcW w:w="1431" w:type="dxa"/>
            <w:shd w:val="clear" w:color="auto" w:fill="auto"/>
          </w:tcPr>
          <w:p w14:paraId="2E7A2241" w14:textId="77777777" w:rsidR="007B3FA0" w:rsidRPr="006D6008" w:rsidRDefault="007B3FA0" w:rsidP="00692966">
            <w:pPr>
              <w:keepNext/>
              <w:spacing w:before="100" w:beforeAutospacing="1" w:after="120"/>
              <w:rPr>
                <w:rStyle w:val="CSI"/>
                <w:rFonts w:ascii="Arial Narrow" w:hAnsi="Arial Narrow"/>
                <w:sz w:val="20"/>
                <w:szCs w:val="20"/>
              </w:rPr>
            </w:pPr>
            <w:r w:rsidRPr="006D6008">
              <w:rPr>
                <w:rFonts w:ascii="Arial Narrow" w:hAnsi="Arial Narrow"/>
                <w:sz w:val="20"/>
                <w:szCs w:val="20"/>
              </w:rPr>
              <w:t>Common</w:t>
            </w:r>
          </w:p>
        </w:tc>
        <w:tc>
          <w:tcPr>
            <w:tcW w:w="2551" w:type="dxa"/>
          </w:tcPr>
          <w:p w14:paraId="1E80F5BA" w14:textId="77777777" w:rsidR="007B3FA0" w:rsidRPr="006D6008" w:rsidRDefault="007B3FA0" w:rsidP="00692966">
            <w:pPr>
              <w:keepNext/>
              <w:spacing w:before="100" w:beforeAutospacing="1" w:after="120"/>
              <w:rPr>
                <w:rStyle w:val="CSI"/>
                <w:rFonts w:ascii="Arial Narrow" w:hAnsi="Arial Narrow"/>
                <w:sz w:val="20"/>
                <w:szCs w:val="20"/>
              </w:rPr>
            </w:pPr>
            <w:r w:rsidRPr="006D6008">
              <w:rPr>
                <w:rStyle w:val="CSI"/>
                <w:rFonts w:ascii="Arial Narrow" w:hAnsi="Arial Narrow"/>
                <w:sz w:val="20"/>
                <w:szCs w:val="20"/>
              </w:rPr>
              <w:t xml:space="preserve">Abdominal pain </w:t>
            </w:r>
            <w:r w:rsidRPr="006D6008">
              <w:rPr>
                <w:rStyle w:val="CSI"/>
                <w:rFonts w:ascii="Arial Narrow" w:hAnsi="Arial Narrow"/>
                <w:sz w:val="20"/>
                <w:szCs w:val="20"/>
              </w:rPr>
              <w:br/>
              <w:t xml:space="preserve">Vomiting </w:t>
            </w:r>
            <w:r w:rsidRPr="006D6008">
              <w:rPr>
                <w:rStyle w:val="CSI"/>
                <w:rFonts w:ascii="Arial Narrow" w:hAnsi="Arial Narrow"/>
                <w:sz w:val="20"/>
                <w:szCs w:val="20"/>
              </w:rPr>
              <w:br/>
              <w:t xml:space="preserve">Flatulence </w:t>
            </w:r>
            <w:r w:rsidRPr="006D6008">
              <w:rPr>
                <w:rStyle w:val="CSI"/>
                <w:rFonts w:ascii="Arial Narrow" w:hAnsi="Arial Narrow"/>
                <w:sz w:val="20"/>
                <w:szCs w:val="20"/>
              </w:rPr>
              <w:br/>
              <w:t>Upper abdominal pain Abdominal discomfort</w:t>
            </w:r>
          </w:p>
        </w:tc>
        <w:tc>
          <w:tcPr>
            <w:tcW w:w="2318" w:type="dxa"/>
          </w:tcPr>
          <w:p w14:paraId="545F9971" w14:textId="70678B6F" w:rsidR="007B3FA0" w:rsidRPr="006D6008" w:rsidRDefault="007B3FA0" w:rsidP="00692966">
            <w:pPr>
              <w:keepNext/>
              <w:spacing w:before="100" w:beforeAutospacing="1" w:after="120"/>
              <w:rPr>
                <w:rStyle w:val="CSI"/>
                <w:rFonts w:ascii="Arial Narrow" w:hAnsi="Arial Narrow"/>
                <w:sz w:val="20"/>
                <w:szCs w:val="20"/>
              </w:rPr>
            </w:pPr>
            <w:r w:rsidRPr="006D6008">
              <w:rPr>
                <w:rStyle w:val="CSI"/>
                <w:rFonts w:ascii="Arial Narrow" w:hAnsi="Arial Narrow"/>
                <w:sz w:val="20"/>
                <w:szCs w:val="20"/>
              </w:rPr>
              <w:t xml:space="preserve">Nausea </w:t>
            </w:r>
            <w:r w:rsidRPr="006D6008">
              <w:rPr>
                <w:rStyle w:val="CSI"/>
                <w:rFonts w:ascii="Arial Narrow" w:hAnsi="Arial Narrow"/>
                <w:sz w:val="20"/>
                <w:szCs w:val="20"/>
              </w:rPr>
              <w:br/>
              <w:t>Vomiting</w:t>
            </w:r>
            <w:r w:rsidRPr="006D6008">
              <w:rPr>
                <w:rStyle w:val="CSI"/>
                <w:rFonts w:ascii="Arial Narrow" w:hAnsi="Arial Narrow"/>
                <w:sz w:val="20"/>
                <w:szCs w:val="20"/>
              </w:rPr>
              <w:br/>
            </w:r>
            <w:r>
              <w:rPr>
                <w:rStyle w:val="CSI"/>
                <w:rFonts w:ascii="Arial Narrow" w:hAnsi="Arial Narrow"/>
                <w:sz w:val="20"/>
                <w:szCs w:val="20"/>
              </w:rPr>
              <w:t>Upper a</w:t>
            </w:r>
            <w:r w:rsidRPr="006D6008">
              <w:rPr>
                <w:rStyle w:val="CSI"/>
                <w:rFonts w:ascii="Arial Narrow" w:hAnsi="Arial Narrow"/>
                <w:sz w:val="20"/>
                <w:szCs w:val="20"/>
              </w:rPr>
              <w:t xml:space="preserve">bdominal pain </w:t>
            </w:r>
            <w:r w:rsidRPr="006D6008">
              <w:rPr>
                <w:rStyle w:val="CSI"/>
                <w:rFonts w:ascii="Arial Narrow" w:hAnsi="Arial Narrow"/>
                <w:sz w:val="20"/>
                <w:szCs w:val="20"/>
              </w:rPr>
              <w:br/>
              <w:t xml:space="preserve"> Diarrhoea</w:t>
            </w:r>
            <w:r w:rsidRPr="006D6008">
              <w:rPr>
                <w:rStyle w:val="CSI"/>
                <w:rFonts w:ascii="Arial Narrow" w:hAnsi="Arial Narrow"/>
                <w:sz w:val="20"/>
                <w:szCs w:val="20"/>
              </w:rPr>
              <w:br/>
            </w:r>
          </w:p>
        </w:tc>
      </w:tr>
      <w:tr w:rsidR="00692966" w:rsidRPr="00AF2C08" w14:paraId="0363C8B1" w14:textId="77777777" w:rsidTr="002156DB">
        <w:trPr>
          <w:cantSplit/>
        </w:trPr>
        <w:tc>
          <w:tcPr>
            <w:tcW w:w="2250" w:type="dxa"/>
            <w:tcBorders>
              <w:top w:val="single" w:sz="4" w:space="0" w:color="auto"/>
              <w:bottom w:val="nil"/>
            </w:tcBorders>
            <w:shd w:val="clear" w:color="auto" w:fill="auto"/>
          </w:tcPr>
          <w:p w14:paraId="607D6C30" w14:textId="77777777" w:rsidR="00692966" w:rsidRPr="006D6008" w:rsidRDefault="00692966" w:rsidP="00692966">
            <w:pPr>
              <w:keepNext/>
              <w:spacing w:before="100" w:beforeAutospacing="1" w:after="120"/>
              <w:rPr>
                <w:rFonts w:ascii="Arial Narrow" w:hAnsi="Arial Narrow"/>
                <w:sz w:val="20"/>
                <w:szCs w:val="20"/>
              </w:rPr>
            </w:pPr>
          </w:p>
        </w:tc>
        <w:tc>
          <w:tcPr>
            <w:tcW w:w="1431" w:type="dxa"/>
            <w:shd w:val="clear" w:color="auto" w:fill="auto"/>
          </w:tcPr>
          <w:p w14:paraId="46AC6519" w14:textId="46D2ED31" w:rsidR="00692966" w:rsidRPr="006D6008" w:rsidRDefault="00692966" w:rsidP="00692966">
            <w:pPr>
              <w:keepNext/>
              <w:spacing w:before="100" w:beforeAutospacing="1" w:after="120"/>
              <w:rPr>
                <w:rFonts w:ascii="Arial Narrow" w:hAnsi="Arial Narrow"/>
                <w:sz w:val="20"/>
                <w:szCs w:val="20"/>
              </w:rPr>
            </w:pPr>
            <w:r>
              <w:rPr>
                <w:rFonts w:ascii="Arial Narrow" w:hAnsi="Arial Narrow"/>
                <w:sz w:val="20"/>
                <w:szCs w:val="20"/>
              </w:rPr>
              <w:t>Rare</w:t>
            </w:r>
          </w:p>
        </w:tc>
        <w:tc>
          <w:tcPr>
            <w:tcW w:w="2551" w:type="dxa"/>
          </w:tcPr>
          <w:p w14:paraId="5EAF4CFE" w14:textId="77777777" w:rsidR="00692966" w:rsidRPr="006D6008" w:rsidRDefault="00692966" w:rsidP="00692966">
            <w:pPr>
              <w:keepNext/>
              <w:spacing w:before="100" w:beforeAutospacing="1" w:after="120"/>
              <w:rPr>
                <w:rStyle w:val="CSI"/>
                <w:rFonts w:ascii="Arial Narrow" w:hAnsi="Arial Narrow"/>
                <w:sz w:val="20"/>
                <w:szCs w:val="20"/>
              </w:rPr>
            </w:pPr>
          </w:p>
        </w:tc>
        <w:tc>
          <w:tcPr>
            <w:tcW w:w="2318" w:type="dxa"/>
          </w:tcPr>
          <w:p w14:paraId="06298F1C" w14:textId="2B41918C" w:rsidR="00692966" w:rsidRPr="006D6008" w:rsidRDefault="00692966" w:rsidP="00692966">
            <w:pPr>
              <w:keepNext/>
              <w:spacing w:before="100" w:beforeAutospacing="1" w:after="120"/>
              <w:rPr>
                <w:rStyle w:val="CSI"/>
                <w:rFonts w:ascii="Arial Narrow" w:hAnsi="Arial Narrow"/>
                <w:sz w:val="20"/>
                <w:szCs w:val="20"/>
              </w:rPr>
            </w:pPr>
            <w:r>
              <w:rPr>
                <w:rStyle w:val="CSI"/>
                <w:rFonts w:ascii="Arial Narrow" w:hAnsi="Arial Narrow"/>
                <w:sz w:val="20"/>
                <w:szCs w:val="20"/>
              </w:rPr>
              <w:t>R</w:t>
            </w:r>
            <w:r w:rsidRPr="00815BD2">
              <w:rPr>
                <w:rStyle w:val="CSI"/>
                <w:rFonts w:ascii="Arial Narrow" w:hAnsi="Arial Narrow"/>
                <w:sz w:val="20"/>
                <w:szCs w:val="20"/>
              </w:rPr>
              <w:t>ises in serum amylase</w:t>
            </w:r>
            <w:r w:rsidRPr="00692966">
              <w:rPr>
                <w:rStyle w:val="CSI"/>
                <w:rFonts w:ascii="Arial Narrow" w:hAnsi="Arial Narrow"/>
                <w:sz w:val="20"/>
                <w:szCs w:val="20"/>
                <w:vertAlign w:val="superscript"/>
              </w:rPr>
              <w:t>#</w:t>
            </w:r>
            <w:r w:rsidRPr="006D6008">
              <w:rPr>
                <w:rStyle w:val="CSI"/>
                <w:rFonts w:ascii="Arial Narrow" w:hAnsi="Arial Narrow"/>
                <w:sz w:val="20"/>
                <w:szCs w:val="20"/>
              </w:rPr>
              <w:br/>
            </w:r>
            <w:r>
              <w:rPr>
                <w:rStyle w:val="CSI"/>
                <w:rFonts w:ascii="Arial Narrow" w:hAnsi="Arial Narrow"/>
                <w:sz w:val="20"/>
                <w:szCs w:val="20"/>
              </w:rPr>
              <w:t>P</w:t>
            </w:r>
            <w:r w:rsidRPr="00815BD2">
              <w:rPr>
                <w:rStyle w:val="CSI"/>
                <w:rFonts w:ascii="Arial Narrow" w:hAnsi="Arial Narrow"/>
                <w:sz w:val="20"/>
                <w:szCs w:val="20"/>
              </w:rPr>
              <w:t>ancreatitis, although a causal relationship to lamivudine is uncertain</w:t>
            </w:r>
            <w:r w:rsidRPr="00692966">
              <w:rPr>
                <w:rStyle w:val="CSI"/>
                <w:rFonts w:ascii="Arial Narrow" w:hAnsi="Arial Narrow"/>
                <w:sz w:val="20"/>
                <w:szCs w:val="20"/>
                <w:vertAlign w:val="superscript"/>
              </w:rPr>
              <w:t>#</w:t>
            </w:r>
          </w:p>
        </w:tc>
      </w:tr>
      <w:tr w:rsidR="00692966" w:rsidRPr="00AF2C08" w14:paraId="077364A3" w14:textId="77777777" w:rsidTr="003E241C">
        <w:trPr>
          <w:cantSplit/>
        </w:trPr>
        <w:tc>
          <w:tcPr>
            <w:tcW w:w="2250" w:type="dxa"/>
            <w:vMerge w:val="restart"/>
            <w:shd w:val="clear" w:color="auto" w:fill="auto"/>
          </w:tcPr>
          <w:p w14:paraId="59836018" w14:textId="77777777" w:rsidR="00692966" w:rsidRPr="006D6008" w:rsidRDefault="00692966" w:rsidP="00692966">
            <w:pPr>
              <w:keepNext/>
              <w:spacing w:before="100" w:beforeAutospacing="1" w:after="120"/>
              <w:rPr>
                <w:rFonts w:ascii="Arial Narrow" w:hAnsi="Arial Narrow"/>
                <w:sz w:val="20"/>
                <w:szCs w:val="20"/>
              </w:rPr>
            </w:pPr>
            <w:r w:rsidRPr="006D6008">
              <w:rPr>
                <w:rFonts w:ascii="Arial Narrow" w:hAnsi="Arial Narrow"/>
                <w:b/>
                <w:sz w:val="20"/>
                <w:szCs w:val="20"/>
              </w:rPr>
              <w:t>Hepatobiliary disorders</w:t>
            </w:r>
          </w:p>
        </w:tc>
        <w:tc>
          <w:tcPr>
            <w:tcW w:w="1431" w:type="dxa"/>
            <w:shd w:val="clear" w:color="auto" w:fill="auto"/>
          </w:tcPr>
          <w:p w14:paraId="200A4E37" w14:textId="77777777" w:rsidR="00692966" w:rsidRPr="006D6008" w:rsidRDefault="00692966" w:rsidP="00692966">
            <w:pPr>
              <w:keepNext/>
              <w:spacing w:before="100" w:beforeAutospacing="1" w:after="120"/>
              <w:rPr>
                <w:rFonts w:ascii="Arial Narrow" w:hAnsi="Arial Narrow"/>
                <w:sz w:val="20"/>
                <w:szCs w:val="20"/>
              </w:rPr>
            </w:pPr>
            <w:r w:rsidRPr="006D6008">
              <w:rPr>
                <w:rFonts w:ascii="Arial Narrow" w:hAnsi="Arial Narrow"/>
                <w:sz w:val="20"/>
                <w:szCs w:val="20"/>
              </w:rPr>
              <w:t>Uncommon</w:t>
            </w:r>
          </w:p>
        </w:tc>
        <w:tc>
          <w:tcPr>
            <w:tcW w:w="2551" w:type="dxa"/>
          </w:tcPr>
          <w:p w14:paraId="4667511F" w14:textId="77777777" w:rsidR="00692966" w:rsidRPr="006D6008" w:rsidRDefault="00692966" w:rsidP="00692966">
            <w:pPr>
              <w:keepNext/>
              <w:spacing w:before="100" w:beforeAutospacing="1" w:after="120"/>
              <w:rPr>
                <w:rStyle w:val="CSI"/>
                <w:rFonts w:ascii="Arial Narrow" w:hAnsi="Arial Narrow"/>
                <w:sz w:val="20"/>
                <w:szCs w:val="20"/>
              </w:rPr>
            </w:pPr>
            <w:r w:rsidRPr="006D6008">
              <w:rPr>
                <w:rStyle w:val="CSI"/>
                <w:rFonts w:ascii="Arial Narrow" w:hAnsi="Arial Narrow"/>
                <w:sz w:val="20"/>
                <w:szCs w:val="20"/>
              </w:rPr>
              <w:t>Hepatitis</w:t>
            </w:r>
          </w:p>
        </w:tc>
        <w:tc>
          <w:tcPr>
            <w:tcW w:w="2318" w:type="dxa"/>
          </w:tcPr>
          <w:p w14:paraId="049FF47F" w14:textId="1DA2E223" w:rsidR="00692966" w:rsidRPr="006D6008" w:rsidRDefault="00692966" w:rsidP="00692966">
            <w:pPr>
              <w:keepNext/>
              <w:spacing w:before="100" w:beforeAutospacing="1" w:after="120"/>
              <w:rPr>
                <w:rStyle w:val="CSI"/>
                <w:rFonts w:ascii="Arial Narrow" w:hAnsi="Arial Narrow"/>
                <w:sz w:val="20"/>
                <w:szCs w:val="20"/>
              </w:rPr>
            </w:pPr>
            <w:r>
              <w:rPr>
                <w:rStyle w:val="CSI"/>
                <w:rFonts w:ascii="Arial Narrow" w:hAnsi="Arial Narrow"/>
                <w:sz w:val="20"/>
                <w:szCs w:val="20"/>
              </w:rPr>
              <w:t>Transient rises in liver enzymes (AST, ALT)</w:t>
            </w:r>
          </w:p>
        </w:tc>
      </w:tr>
      <w:tr w:rsidR="00692966" w:rsidRPr="00AF2C08" w14:paraId="26492F4F" w14:textId="77777777" w:rsidTr="003E241C">
        <w:trPr>
          <w:cantSplit/>
        </w:trPr>
        <w:tc>
          <w:tcPr>
            <w:tcW w:w="2250" w:type="dxa"/>
            <w:vMerge/>
            <w:shd w:val="clear" w:color="auto" w:fill="auto"/>
          </w:tcPr>
          <w:p w14:paraId="535F31C3" w14:textId="77777777" w:rsidR="00692966" w:rsidRPr="006D6008" w:rsidRDefault="00692966" w:rsidP="00692966">
            <w:pPr>
              <w:keepNext/>
              <w:spacing w:before="100" w:beforeAutospacing="1" w:after="120"/>
              <w:rPr>
                <w:rFonts w:ascii="Arial Narrow" w:hAnsi="Arial Narrow"/>
                <w:b/>
                <w:sz w:val="20"/>
                <w:szCs w:val="20"/>
              </w:rPr>
            </w:pPr>
          </w:p>
        </w:tc>
        <w:tc>
          <w:tcPr>
            <w:tcW w:w="1431" w:type="dxa"/>
            <w:shd w:val="clear" w:color="auto" w:fill="auto"/>
          </w:tcPr>
          <w:p w14:paraId="0604ED78" w14:textId="511D9C60" w:rsidR="00692966" w:rsidRPr="006D6008" w:rsidRDefault="00692966" w:rsidP="00692966">
            <w:pPr>
              <w:keepNext/>
              <w:spacing w:before="100" w:beforeAutospacing="1" w:after="120"/>
              <w:rPr>
                <w:rFonts w:ascii="Arial Narrow" w:hAnsi="Arial Narrow"/>
                <w:sz w:val="20"/>
                <w:szCs w:val="20"/>
              </w:rPr>
            </w:pPr>
            <w:r>
              <w:rPr>
                <w:rFonts w:ascii="Arial Narrow" w:hAnsi="Arial Narrow"/>
                <w:sz w:val="20"/>
                <w:szCs w:val="20"/>
              </w:rPr>
              <w:t>Rare</w:t>
            </w:r>
          </w:p>
        </w:tc>
        <w:tc>
          <w:tcPr>
            <w:tcW w:w="2551" w:type="dxa"/>
          </w:tcPr>
          <w:p w14:paraId="0616D017" w14:textId="77777777" w:rsidR="00692966" w:rsidRPr="006D6008" w:rsidRDefault="00692966" w:rsidP="00692966">
            <w:pPr>
              <w:keepNext/>
              <w:spacing w:before="100" w:beforeAutospacing="1" w:after="120"/>
              <w:rPr>
                <w:rStyle w:val="CSI"/>
                <w:rFonts w:ascii="Arial Narrow" w:hAnsi="Arial Narrow"/>
                <w:sz w:val="20"/>
                <w:szCs w:val="20"/>
              </w:rPr>
            </w:pPr>
          </w:p>
        </w:tc>
        <w:tc>
          <w:tcPr>
            <w:tcW w:w="2318" w:type="dxa"/>
          </w:tcPr>
          <w:p w14:paraId="3439BE60" w14:textId="43E6E7E0" w:rsidR="00692966" w:rsidRDefault="00692966" w:rsidP="00692966">
            <w:pPr>
              <w:keepNext/>
              <w:spacing w:before="100" w:beforeAutospacing="1" w:after="120"/>
              <w:rPr>
                <w:rStyle w:val="CSI"/>
                <w:rFonts w:ascii="Arial Narrow" w:hAnsi="Arial Narrow"/>
                <w:sz w:val="20"/>
                <w:szCs w:val="20"/>
              </w:rPr>
            </w:pPr>
            <w:r>
              <w:rPr>
                <w:rStyle w:val="CSI"/>
                <w:rFonts w:ascii="Arial Narrow" w:hAnsi="Arial Narrow"/>
                <w:sz w:val="20"/>
                <w:szCs w:val="20"/>
              </w:rPr>
              <w:t>Acute hepatic failure</w:t>
            </w:r>
            <w:r>
              <w:rPr>
                <w:rStyle w:val="CSI"/>
                <w:rFonts w:ascii="Arial Narrow" w:hAnsi="Arial Narrow"/>
                <w:sz w:val="20"/>
                <w:szCs w:val="20"/>
                <w:vertAlign w:val="superscript"/>
              </w:rPr>
              <w:t>2#</w:t>
            </w:r>
          </w:p>
        </w:tc>
      </w:tr>
      <w:tr w:rsidR="00126668" w:rsidRPr="00AF2C08" w14:paraId="49DC4815" w14:textId="77777777" w:rsidTr="003E241C">
        <w:trPr>
          <w:cantSplit/>
        </w:trPr>
        <w:tc>
          <w:tcPr>
            <w:tcW w:w="2250" w:type="dxa"/>
            <w:vMerge w:val="restart"/>
            <w:shd w:val="clear" w:color="auto" w:fill="auto"/>
          </w:tcPr>
          <w:p w14:paraId="70E8730A" w14:textId="77777777" w:rsidR="00126668" w:rsidRPr="006D6008" w:rsidRDefault="00126668" w:rsidP="00692966">
            <w:pPr>
              <w:keepNext/>
              <w:spacing w:before="100" w:beforeAutospacing="1" w:after="120"/>
              <w:rPr>
                <w:rFonts w:ascii="Arial Narrow" w:hAnsi="Arial Narrow"/>
                <w:sz w:val="20"/>
                <w:szCs w:val="20"/>
              </w:rPr>
            </w:pPr>
            <w:r w:rsidRPr="006D6008">
              <w:rPr>
                <w:rFonts w:ascii="Arial Narrow" w:hAnsi="Arial Narrow"/>
                <w:b/>
                <w:sz w:val="20"/>
                <w:szCs w:val="20"/>
              </w:rPr>
              <w:t>Skin and subcutaneous tissue disorders</w:t>
            </w:r>
          </w:p>
        </w:tc>
        <w:tc>
          <w:tcPr>
            <w:tcW w:w="1431" w:type="dxa"/>
            <w:shd w:val="clear" w:color="auto" w:fill="auto"/>
          </w:tcPr>
          <w:p w14:paraId="20923ED2" w14:textId="77777777" w:rsidR="00126668" w:rsidRPr="006D6008" w:rsidRDefault="00126668" w:rsidP="00692966">
            <w:pPr>
              <w:keepNext/>
              <w:spacing w:before="100" w:beforeAutospacing="1" w:after="120"/>
              <w:rPr>
                <w:rStyle w:val="CSI"/>
                <w:rFonts w:ascii="Arial Narrow" w:hAnsi="Arial Narrow"/>
                <w:sz w:val="20"/>
                <w:szCs w:val="20"/>
              </w:rPr>
            </w:pPr>
            <w:r w:rsidRPr="006D6008">
              <w:rPr>
                <w:rFonts w:ascii="Arial Narrow" w:hAnsi="Arial Narrow"/>
                <w:sz w:val="20"/>
                <w:szCs w:val="20"/>
              </w:rPr>
              <w:t>Common</w:t>
            </w:r>
          </w:p>
        </w:tc>
        <w:tc>
          <w:tcPr>
            <w:tcW w:w="2551" w:type="dxa"/>
          </w:tcPr>
          <w:p w14:paraId="2580BF41" w14:textId="77777777" w:rsidR="00126668" w:rsidRPr="006D6008" w:rsidRDefault="00126668" w:rsidP="00692966">
            <w:pPr>
              <w:keepNext/>
              <w:spacing w:before="100" w:beforeAutospacing="1" w:after="120"/>
              <w:rPr>
                <w:rStyle w:val="CSI"/>
                <w:rFonts w:ascii="Arial Narrow" w:hAnsi="Arial Narrow"/>
                <w:sz w:val="20"/>
                <w:szCs w:val="20"/>
              </w:rPr>
            </w:pPr>
            <w:r w:rsidRPr="006D6008">
              <w:rPr>
                <w:rStyle w:val="CSI"/>
                <w:rFonts w:ascii="Arial Narrow" w:hAnsi="Arial Narrow"/>
                <w:sz w:val="20"/>
                <w:szCs w:val="20"/>
              </w:rPr>
              <w:t xml:space="preserve">Rash </w:t>
            </w:r>
            <w:r w:rsidRPr="006D6008">
              <w:rPr>
                <w:rStyle w:val="CSI"/>
                <w:rFonts w:ascii="Arial Narrow" w:hAnsi="Arial Narrow"/>
                <w:sz w:val="20"/>
                <w:szCs w:val="20"/>
              </w:rPr>
              <w:br/>
              <w:t>Pruritus</w:t>
            </w:r>
          </w:p>
        </w:tc>
        <w:tc>
          <w:tcPr>
            <w:tcW w:w="2318" w:type="dxa"/>
          </w:tcPr>
          <w:p w14:paraId="5735E698" w14:textId="77777777" w:rsidR="00126668" w:rsidRPr="006D6008" w:rsidRDefault="00126668" w:rsidP="00692966">
            <w:pPr>
              <w:keepNext/>
              <w:spacing w:before="100" w:beforeAutospacing="1" w:after="120"/>
              <w:rPr>
                <w:rStyle w:val="CSI"/>
                <w:rFonts w:ascii="Arial Narrow" w:hAnsi="Arial Narrow"/>
                <w:sz w:val="20"/>
                <w:szCs w:val="20"/>
              </w:rPr>
            </w:pPr>
            <w:r w:rsidRPr="006D6008">
              <w:rPr>
                <w:rStyle w:val="CSI"/>
                <w:rFonts w:ascii="Arial Narrow" w:hAnsi="Arial Narrow"/>
                <w:sz w:val="20"/>
                <w:szCs w:val="20"/>
              </w:rPr>
              <w:t>Rash</w:t>
            </w:r>
          </w:p>
        </w:tc>
      </w:tr>
      <w:tr w:rsidR="00126668" w:rsidRPr="00AF2C08" w14:paraId="54166D90" w14:textId="77777777" w:rsidTr="003E241C">
        <w:trPr>
          <w:cantSplit/>
        </w:trPr>
        <w:tc>
          <w:tcPr>
            <w:tcW w:w="2250" w:type="dxa"/>
            <w:vMerge/>
            <w:shd w:val="clear" w:color="auto" w:fill="auto"/>
          </w:tcPr>
          <w:p w14:paraId="6F31414E" w14:textId="77777777" w:rsidR="00126668" w:rsidRPr="006D6008" w:rsidRDefault="00126668" w:rsidP="00692966">
            <w:pPr>
              <w:keepNext/>
              <w:spacing w:before="100" w:beforeAutospacing="1" w:after="120"/>
              <w:rPr>
                <w:rFonts w:ascii="Arial Narrow" w:hAnsi="Arial Narrow"/>
                <w:b/>
                <w:sz w:val="20"/>
                <w:szCs w:val="20"/>
              </w:rPr>
            </w:pPr>
          </w:p>
        </w:tc>
        <w:tc>
          <w:tcPr>
            <w:tcW w:w="1431" w:type="dxa"/>
            <w:shd w:val="clear" w:color="auto" w:fill="auto"/>
          </w:tcPr>
          <w:p w14:paraId="4FA33FAD" w14:textId="3869510A" w:rsidR="00126668" w:rsidRPr="006D6008" w:rsidRDefault="00126668" w:rsidP="00692966">
            <w:pPr>
              <w:keepNext/>
              <w:spacing w:before="100" w:beforeAutospacing="1" w:after="120"/>
              <w:rPr>
                <w:rFonts w:ascii="Arial Narrow" w:hAnsi="Arial Narrow"/>
                <w:sz w:val="20"/>
                <w:szCs w:val="20"/>
              </w:rPr>
            </w:pPr>
            <w:r>
              <w:rPr>
                <w:rFonts w:ascii="Arial Narrow" w:hAnsi="Arial Narrow"/>
                <w:sz w:val="20"/>
                <w:szCs w:val="20"/>
              </w:rPr>
              <w:t>Common</w:t>
            </w:r>
          </w:p>
        </w:tc>
        <w:tc>
          <w:tcPr>
            <w:tcW w:w="2551" w:type="dxa"/>
          </w:tcPr>
          <w:p w14:paraId="44CEB0E1" w14:textId="77777777" w:rsidR="00126668" w:rsidRPr="006D6008" w:rsidRDefault="00126668" w:rsidP="00692966">
            <w:pPr>
              <w:keepNext/>
              <w:spacing w:before="100" w:beforeAutospacing="1" w:after="120"/>
              <w:rPr>
                <w:rStyle w:val="CSI"/>
                <w:rFonts w:ascii="Arial Narrow" w:hAnsi="Arial Narrow"/>
                <w:sz w:val="20"/>
                <w:szCs w:val="20"/>
              </w:rPr>
            </w:pPr>
          </w:p>
        </w:tc>
        <w:tc>
          <w:tcPr>
            <w:tcW w:w="2318" w:type="dxa"/>
          </w:tcPr>
          <w:p w14:paraId="48648A32" w14:textId="78DEE4C4" w:rsidR="00126668" w:rsidRPr="006D6008" w:rsidRDefault="00126668" w:rsidP="00692966">
            <w:pPr>
              <w:keepNext/>
              <w:spacing w:before="100" w:beforeAutospacing="1" w:after="120"/>
              <w:rPr>
                <w:rStyle w:val="CSI"/>
                <w:rFonts w:ascii="Arial Narrow" w:hAnsi="Arial Narrow"/>
                <w:sz w:val="20"/>
                <w:szCs w:val="20"/>
              </w:rPr>
            </w:pPr>
            <w:r>
              <w:rPr>
                <w:rStyle w:val="CSI"/>
                <w:rFonts w:ascii="Arial Narrow" w:hAnsi="Arial Narrow"/>
                <w:sz w:val="20"/>
                <w:szCs w:val="20"/>
              </w:rPr>
              <w:t>Alopecia</w:t>
            </w:r>
            <w:r w:rsidRPr="00126668">
              <w:rPr>
                <w:rStyle w:val="CSI"/>
                <w:rFonts w:ascii="Arial Narrow" w:hAnsi="Arial Narrow"/>
                <w:sz w:val="20"/>
                <w:szCs w:val="20"/>
                <w:vertAlign w:val="superscript"/>
              </w:rPr>
              <w:t>#</w:t>
            </w:r>
          </w:p>
        </w:tc>
      </w:tr>
      <w:tr w:rsidR="00126668" w:rsidRPr="00AF2C08" w14:paraId="4A62D9D9" w14:textId="77777777" w:rsidTr="003E241C">
        <w:trPr>
          <w:cantSplit/>
        </w:trPr>
        <w:tc>
          <w:tcPr>
            <w:tcW w:w="2250" w:type="dxa"/>
            <w:shd w:val="clear" w:color="auto" w:fill="auto"/>
          </w:tcPr>
          <w:p w14:paraId="49C94127" w14:textId="28BD9649" w:rsidR="00126668" w:rsidRPr="006D6008" w:rsidRDefault="00126668" w:rsidP="00126668">
            <w:pPr>
              <w:keepNext/>
              <w:spacing w:before="100" w:beforeAutospacing="1" w:after="120"/>
              <w:rPr>
                <w:rFonts w:ascii="Arial Narrow" w:hAnsi="Arial Narrow"/>
                <w:b/>
                <w:sz w:val="20"/>
                <w:szCs w:val="20"/>
              </w:rPr>
            </w:pPr>
            <w:r w:rsidRPr="00380521">
              <w:rPr>
                <w:rFonts w:ascii="Arial Narrow" w:hAnsi="Arial Narrow"/>
                <w:b/>
                <w:sz w:val="20"/>
                <w:szCs w:val="20"/>
              </w:rPr>
              <w:t>Musculoskeletal and connective tissue disorders</w:t>
            </w:r>
          </w:p>
        </w:tc>
        <w:tc>
          <w:tcPr>
            <w:tcW w:w="1431" w:type="dxa"/>
            <w:shd w:val="clear" w:color="auto" w:fill="auto"/>
          </w:tcPr>
          <w:p w14:paraId="48D5445E" w14:textId="0C3B3C00" w:rsidR="00126668" w:rsidRPr="006D6008" w:rsidRDefault="00126668" w:rsidP="00126668">
            <w:pPr>
              <w:keepNext/>
              <w:spacing w:before="100" w:beforeAutospacing="1" w:after="120"/>
              <w:rPr>
                <w:rFonts w:ascii="Arial Narrow" w:hAnsi="Arial Narrow"/>
                <w:sz w:val="20"/>
                <w:szCs w:val="20"/>
              </w:rPr>
            </w:pPr>
            <w:r w:rsidRPr="00380521">
              <w:rPr>
                <w:rFonts w:ascii="Arial Narrow" w:hAnsi="Arial Narrow"/>
                <w:sz w:val="20"/>
                <w:szCs w:val="20"/>
              </w:rPr>
              <w:t>Common</w:t>
            </w:r>
          </w:p>
        </w:tc>
        <w:tc>
          <w:tcPr>
            <w:tcW w:w="2551" w:type="dxa"/>
          </w:tcPr>
          <w:p w14:paraId="38ACA3C3" w14:textId="77777777" w:rsidR="00126668" w:rsidRPr="006D6008" w:rsidRDefault="00126668" w:rsidP="00126668">
            <w:pPr>
              <w:keepNext/>
              <w:spacing w:before="100" w:beforeAutospacing="1" w:after="120"/>
              <w:rPr>
                <w:rStyle w:val="CSI"/>
                <w:rFonts w:ascii="Arial Narrow" w:hAnsi="Arial Narrow"/>
                <w:sz w:val="20"/>
                <w:szCs w:val="20"/>
              </w:rPr>
            </w:pPr>
          </w:p>
        </w:tc>
        <w:tc>
          <w:tcPr>
            <w:tcW w:w="2318" w:type="dxa"/>
          </w:tcPr>
          <w:p w14:paraId="521352F8" w14:textId="7A5CC5CF" w:rsidR="00126668" w:rsidRPr="00596EF9" w:rsidRDefault="00126668" w:rsidP="00126668">
            <w:pPr>
              <w:keepNext/>
              <w:spacing w:before="100" w:beforeAutospacing="1" w:after="120"/>
              <w:rPr>
                <w:rStyle w:val="CSI"/>
                <w:rFonts w:ascii="Arial Narrow" w:hAnsi="Arial Narrow"/>
                <w:sz w:val="20"/>
                <w:szCs w:val="20"/>
              </w:rPr>
            </w:pPr>
            <w:r>
              <w:rPr>
                <w:rFonts w:ascii="Arial Narrow" w:hAnsi="Arial Narrow"/>
                <w:sz w:val="20"/>
                <w:szCs w:val="20"/>
              </w:rPr>
              <w:t>Arthralgia</w:t>
            </w:r>
            <w:r w:rsidRPr="0068545E">
              <w:rPr>
                <w:rStyle w:val="CSI"/>
                <w:rFonts w:ascii="Arial Narrow" w:hAnsi="Arial Narrow"/>
                <w:sz w:val="20"/>
                <w:szCs w:val="20"/>
                <w:vertAlign w:val="superscript"/>
              </w:rPr>
              <w:t>#</w:t>
            </w:r>
            <w:r>
              <w:rPr>
                <w:rFonts w:ascii="Arial Narrow" w:hAnsi="Arial Narrow"/>
                <w:sz w:val="20"/>
                <w:szCs w:val="20"/>
              </w:rPr>
              <w:br/>
              <w:t>M</w:t>
            </w:r>
            <w:r w:rsidRPr="00380521">
              <w:rPr>
                <w:rFonts w:ascii="Arial Narrow" w:hAnsi="Arial Narrow"/>
                <w:sz w:val="20"/>
                <w:szCs w:val="20"/>
              </w:rPr>
              <w:t>uscle disorders</w:t>
            </w:r>
            <w:r w:rsidRPr="0068545E">
              <w:rPr>
                <w:rStyle w:val="CSI"/>
                <w:rFonts w:ascii="Arial Narrow" w:hAnsi="Arial Narrow"/>
                <w:sz w:val="20"/>
                <w:szCs w:val="20"/>
                <w:vertAlign w:val="superscript"/>
              </w:rPr>
              <w:t>#</w:t>
            </w:r>
          </w:p>
        </w:tc>
      </w:tr>
      <w:tr w:rsidR="00126668" w:rsidRPr="00AF2C08" w14:paraId="42B2E43E" w14:textId="77777777" w:rsidTr="003E241C">
        <w:trPr>
          <w:cantSplit/>
        </w:trPr>
        <w:tc>
          <w:tcPr>
            <w:tcW w:w="2250" w:type="dxa"/>
            <w:shd w:val="clear" w:color="auto" w:fill="auto"/>
          </w:tcPr>
          <w:p w14:paraId="69088D55" w14:textId="77777777" w:rsidR="00126668" w:rsidRPr="006D6008" w:rsidRDefault="00126668" w:rsidP="00126668">
            <w:pPr>
              <w:keepNext/>
              <w:spacing w:before="100" w:beforeAutospacing="1" w:after="120"/>
              <w:rPr>
                <w:rFonts w:ascii="Arial Narrow" w:hAnsi="Arial Narrow"/>
                <w:b/>
                <w:sz w:val="20"/>
                <w:szCs w:val="20"/>
              </w:rPr>
            </w:pPr>
          </w:p>
        </w:tc>
        <w:tc>
          <w:tcPr>
            <w:tcW w:w="1431" w:type="dxa"/>
            <w:shd w:val="clear" w:color="auto" w:fill="auto"/>
          </w:tcPr>
          <w:p w14:paraId="0822F6E9" w14:textId="6A0E0926" w:rsidR="00126668" w:rsidRPr="006D6008" w:rsidRDefault="00126668" w:rsidP="00126668">
            <w:pPr>
              <w:keepNext/>
              <w:spacing w:before="100" w:beforeAutospacing="1" w:after="120"/>
              <w:rPr>
                <w:rFonts w:ascii="Arial Narrow" w:hAnsi="Arial Narrow"/>
                <w:sz w:val="20"/>
                <w:szCs w:val="20"/>
              </w:rPr>
            </w:pPr>
            <w:r w:rsidRPr="00380521">
              <w:rPr>
                <w:rFonts w:ascii="Arial Narrow" w:hAnsi="Arial Narrow"/>
                <w:sz w:val="20"/>
                <w:szCs w:val="20"/>
              </w:rPr>
              <w:t>Uncommon</w:t>
            </w:r>
          </w:p>
        </w:tc>
        <w:tc>
          <w:tcPr>
            <w:tcW w:w="2551" w:type="dxa"/>
          </w:tcPr>
          <w:p w14:paraId="4066F3E1" w14:textId="541D9D5E" w:rsidR="00126668" w:rsidRPr="006D6008" w:rsidRDefault="00126668" w:rsidP="00126668">
            <w:pPr>
              <w:keepNext/>
              <w:spacing w:before="100" w:beforeAutospacing="1" w:after="120"/>
              <w:rPr>
                <w:rStyle w:val="CSI"/>
                <w:rFonts w:ascii="Arial Narrow" w:hAnsi="Arial Narrow"/>
                <w:sz w:val="20"/>
                <w:szCs w:val="20"/>
              </w:rPr>
            </w:pPr>
            <w:r>
              <w:rPr>
                <w:rFonts w:ascii="Arial Narrow" w:hAnsi="Arial Narrow"/>
                <w:sz w:val="20"/>
                <w:szCs w:val="20"/>
              </w:rPr>
              <w:t>A</w:t>
            </w:r>
            <w:r w:rsidRPr="00380521">
              <w:rPr>
                <w:rFonts w:ascii="Arial Narrow" w:hAnsi="Arial Narrow"/>
                <w:sz w:val="20"/>
                <w:szCs w:val="20"/>
              </w:rPr>
              <w:t>rthralgia</w:t>
            </w:r>
            <w:r w:rsidRPr="0068545E">
              <w:rPr>
                <w:rStyle w:val="CSI"/>
                <w:rFonts w:ascii="Arial Narrow" w:hAnsi="Arial Narrow"/>
                <w:sz w:val="20"/>
                <w:szCs w:val="20"/>
                <w:vertAlign w:val="superscript"/>
              </w:rPr>
              <w:t>#</w:t>
            </w:r>
            <w:r w:rsidRPr="00380521">
              <w:rPr>
                <w:rFonts w:ascii="Arial Narrow" w:hAnsi="Arial Narrow"/>
                <w:sz w:val="20"/>
                <w:szCs w:val="20"/>
              </w:rPr>
              <w:br/>
            </w:r>
            <w:r>
              <w:rPr>
                <w:rFonts w:ascii="Arial Narrow" w:hAnsi="Arial Narrow"/>
                <w:sz w:val="20"/>
                <w:szCs w:val="20"/>
              </w:rPr>
              <w:t>M</w:t>
            </w:r>
            <w:r w:rsidRPr="00380521">
              <w:rPr>
                <w:rFonts w:ascii="Arial Narrow" w:hAnsi="Arial Narrow"/>
                <w:sz w:val="20"/>
                <w:szCs w:val="20"/>
              </w:rPr>
              <w:t>yalgia</w:t>
            </w:r>
            <w:r w:rsidRPr="0068545E">
              <w:rPr>
                <w:rStyle w:val="CSI"/>
                <w:rFonts w:ascii="Arial Narrow" w:hAnsi="Arial Narrow"/>
                <w:sz w:val="20"/>
                <w:szCs w:val="20"/>
                <w:vertAlign w:val="superscript"/>
              </w:rPr>
              <w:t>#</w:t>
            </w:r>
          </w:p>
        </w:tc>
        <w:tc>
          <w:tcPr>
            <w:tcW w:w="2318" w:type="dxa"/>
          </w:tcPr>
          <w:p w14:paraId="48A6D129" w14:textId="77777777" w:rsidR="00126668" w:rsidRPr="00596EF9" w:rsidRDefault="00126668" w:rsidP="00126668">
            <w:pPr>
              <w:keepNext/>
              <w:spacing w:before="100" w:beforeAutospacing="1" w:after="120"/>
              <w:rPr>
                <w:rStyle w:val="CSI"/>
                <w:rFonts w:ascii="Arial Narrow" w:hAnsi="Arial Narrow"/>
                <w:sz w:val="20"/>
                <w:szCs w:val="20"/>
              </w:rPr>
            </w:pPr>
          </w:p>
        </w:tc>
      </w:tr>
      <w:tr w:rsidR="00126668" w:rsidRPr="00AF2C08" w14:paraId="7FFDBCE0" w14:textId="77777777" w:rsidTr="003E241C">
        <w:trPr>
          <w:cantSplit/>
        </w:trPr>
        <w:tc>
          <w:tcPr>
            <w:tcW w:w="2250" w:type="dxa"/>
            <w:shd w:val="clear" w:color="auto" w:fill="auto"/>
          </w:tcPr>
          <w:p w14:paraId="2024873E" w14:textId="77777777" w:rsidR="00126668" w:rsidRPr="006D6008" w:rsidRDefault="00126668" w:rsidP="00126668">
            <w:pPr>
              <w:keepNext/>
              <w:spacing w:before="100" w:beforeAutospacing="1" w:after="120"/>
              <w:rPr>
                <w:rFonts w:ascii="Arial Narrow" w:hAnsi="Arial Narrow"/>
                <w:b/>
                <w:sz w:val="20"/>
                <w:szCs w:val="20"/>
              </w:rPr>
            </w:pPr>
          </w:p>
        </w:tc>
        <w:tc>
          <w:tcPr>
            <w:tcW w:w="1431" w:type="dxa"/>
            <w:shd w:val="clear" w:color="auto" w:fill="auto"/>
          </w:tcPr>
          <w:p w14:paraId="3465107E" w14:textId="0C03BEF5" w:rsidR="00126668" w:rsidRPr="006D6008" w:rsidRDefault="00126668" w:rsidP="00126668">
            <w:pPr>
              <w:keepNext/>
              <w:spacing w:before="100" w:beforeAutospacing="1" w:after="120"/>
              <w:rPr>
                <w:rFonts w:ascii="Arial Narrow" w:hAnsi="Arial Narrow"/>
                <w:sz w:val="20"/>
                <w:szCs w:val="20"/>
              </w:rPr>
            </w:pPr>
            <w:r w:rsidRPr="00380521">
              <w:rPr>
                <w:rFonts w:ascii="Arial Narrow" w:hAnsi="Arial Narrow"/>
                <w:sz w:val="20"/>
                <w:szCs w:val="20"/>
              </w:rPr>
              <w:t>Rare</w:t>
            </w:r>
          </w:p>
        </w:tc>
        <w:tc>
          <w:tcPr>
            <w:tcW w:w="2551" w:type="dxa"/>
          </w:tcPr>
          <w:p w14:paraId="243689BE" w14:textId="77777777" w:rsidR="00126668" w:rsidRPr="006D6008" w:rsidRDefault="00126668" w:rsidP="00126668">
            <w:pPr>
              <w:keepNext/>
              <w:spacing w:before="100" w:beforeAutospacing="1" w:after="120"/>
              <w:rPr>
                <w:rStyle w:val="CSI"/>
                <w:rFonts w:ascii="Arial Narrow" w:hAnsi="Arial Narrow"/>
                <w:sz w:val="20"/>
                <w:szCs w:val="20"/>
              </w:rPr>
            </w:pPr>
          </w:p>
        </w:tc>
        <w:tc>
          <w:tcPr>
            <w:tcW w:w="2318" w:type="dxa"/>
          </w:tcPr>
          <w:p w14:paraId="5B4EFAF0" w14:textId="0F2B1311" w:rsidR="00126668" w:rsidRPr="00596EF9" w:rsidRDefault="00126668" w:rsidP="00126668">
            <w:pPr>
              <w:keepNext/>
              <w:spacing w:before="100" w:beforeAutospacing="1" w:after="120"/>
              <w:rPr>
                <w:rStyle w:val="CSI"/>
                <w:rFonts w:ascii="Arial Narrow" w:hAnsi="Arial Narrow"/>
                <w:sz w:val="20"/>
                <w:szCs w:val="20"/>
              </w:rPr>
            </w:pPr>
            <w:r>
              <w:rPr>
                <w:rFonts w:ascii="Arial Narrow" w:hAnsi="Arial Narrow"/>
                <w:sz w:val="20"/>
                <w:szCs w:val="20"/>
              </w:rPr>
              <w:t>R</w:t>
            </w:r>
            <w:r w:rsidRPr="00380521">
              <w:rPr>
                <w:rFonts w:ascii="Arial Narrow" w:hAnsi="Arial Narrow"/>
                <w:sz w:val="20"/>
                <w:szCs w:val="20"/>
              </w:rPr>
              <w:t>habdomyolysis</w:t>
            </w:r>
            <w:r w:rsidRPr="0068545E">
              <w:rPr>
                <w:rStyle w:val="CSI"/>
                <w:rFonts w:ascii="Arial Narrow" w:hAnsi="Arial Narrow"/>
                <w:sz w:val="20"/>
                <w:szCs w:val="20"/>
                <w:vertAlign w:val="superscript"/>
              </w:rPr>
              <w:t>#</w:t>
            </w:r>
          </w:p>
        </w:tc>
      </w:tr>
      <w:tr w:rsidR="00126668" w:rsidRPr="00AF2C08" w14:paraId="65C6DFC4" w14:textId="77777777" w:rsidTr="003E241C">
        <w:trPr>
          <w:cantSplit/>
        </w:trPr>
        <w:tc>
          <w:tcPr>
            <w:tcW w:w="2250" w:type="dxa"/>
            <w:shd w:val="clear" w:color="auto" w:fill="auto"/>
          </w:tcPr>
          <w:p w14:paraId="2568AAF1" w14:textId="18D054FA" w:rsidR="00126668" w:rsidRPr="006D6008" w:rsidRDefault="00126668" w:rsidP="00126668">
            <w:pPr>
              <w:keepNext/>
              <w:spacing w:before="100" w:beforeAutospacing="1" w:after="120"/>
              <w:rPr>
                <w:rFonts w:ascii="Arial Narrow" w:hAnsi="Arial Narrow"/>
                <w:b/>
                <w:sz w:val="20"/>
                <w:szCs w:val="20"/>
              </w:rPr>
            </w:pPr>
            <w:r>
              <w:rPr>
                <w:rFonts w:ascii="Arial Narrow" w:hAnsi="Arial Narrow"/>
                <w:b/>
                <w:sz w:val="20"/>
                <w:szCs w:val="20"/>
              </w:rPr>
              <w:t>Investigations</w:t>
            </w:r>
          </w:p>
        </w:tc>
        <w:tc>
          <w:tcPr>
            <w:tcW w:w="1431" w:type="dxa"/>
            <w:shd w:val="clear" w:color="auto" w:fill="auto"/>
          </w:tcPr>
          <w:p w14:paraId="3B72A995" w14:textId="0B58B232" w:rsidR="00126668" w:rsidRPr="006D6008" w:rsidRDefault="00126668" w:rsidP="00126668">
            <w:pPr>
              <w:keepNext/>
              <w:spacing w:before="100" w:beforeAutospacing="1" w:after="120"/>
              <w:rPr>
                <w:rFonts w:ascii="Arial Narrow" w:hAnsi="Arial Narrow"/>
                <w:sz w:val="20"/>
                <w:szCs w:val="20"/>
              </w:rPr>
            </w:pPr>
            <w:r>
              <w:rPr>
                <w:rFonts w:ascii="Arial Narrow" w:hAnsi="Arial Narrow"/>
                <w:sz w:val="20"/>
                <w:szCs w:val="20"/>
              </w:rPr>
              <w:t>Unc</w:t>
            </w:r>
            <w:r w:rsidRPr="006D6008">
              <w:rPr>
                <w:rFonts w:ascii="Arial Narrow" w:hAnsi="Arial Narrow"/>
                <w:sz w:val="20"/>
                <w:szCs w:val="20"/>
              </w:rPr>
              <w:t>ommon</w:t>
            </w:r>
          </w:p>
        </w:tc>
        <w:tc>
          <w:tcPr>
            <w:tcW w:w="2551" w:type="dxa"/>
          </w:tcPr>
          <w:p w14:paraId="38E07E4A" w14:textId="76E2B87F" w:rsidR="00126668" w:rsidRPr="006D6008" w:rsidRDefault="00126668" w:rsidP="00126668">
            <w:pPr>
              <w:keepNext/>
              <w:spacing w:before="100" w:beforeAutospacing="1" w:after="120"/>
              <w:rPr>
                <w:rStyle w:val="CSI"/>
                <w:rFonts w:ascii="Arial Narrow" w:hAnsi="Arial Narrow"/>
                <w:sz w:val="20"/>
                <w:szCs w:val="20"/>
              </w:rPr>
            </w:pPr>
            <w:r>
              <w:rPr>
                <w:rStyle w:val="CSI"/>
                <w:rFonts w:ascii="Arial Narrow" w:hAnsi="Arial Narrow"/>
                <w:sz w:val="20"/>
                <w:szCs w:val="20"/>
              </w:rPr>
              <w:t>Weight increased</w:t>
            </w:r>
            <w:r w:rsidRPr="0068545E">
              <w:rPr>
                <w:rStyle w:val="CSI"/>
                <w:rFonts w:ascii="Arial Narrow" w:hAnsi="Arial Narrow"/>
                <w:sz w:val="20"/>
                <w:szCs w:val="20"/>
                <w:vertAlign w:val="superscript"/>
              </w:rPr>
              <w:t>#</w:t>
            </w:r>
          </w:p>
        </w:tc>
        <w:tc>
          <w:tcPr>
            <w:tcW w:w="2318" w:type="dxa"/>
          </w:tcPr>
          <w:p w14:paraId="1759A976" w14:textId="77777777" w:rsidR="00126668" w:rsidRPr="00596EF9" w:rsidRDefault="00126668" w:rsidP="00126668">
            <w:pPr>
              <w:keepNext/>
              <w:spacing w:before="100" w:beforeAutospacing="1" w:after="120"/>
              <w:rPr>
                <w:rStyle w:val="CSI"/>
                <w:rFonts w:ascii="Arial Narrow" w:hAnsi="Arial Narrow"/>
                <w:sz w:val="20"/>
                <w:szCs w:val="20"/>
              </w:rPr>
            </w:pPr>
          </w:p>
        </w:tc>
      </w:tr>
      <w:tr w:rsidR="00126668" w:rsidRPr="00AF2C08" w14:paraId="315FD4A5" w14:textId="77777777" w:rsidTr="003E241C">
        <w:trPr>
          <w:cantSplit/>
        </w:trPr>
        <w:tc>
          <w:tcPr>
            <w:tcW w:w="2250" w:type="dxa"/>
            <w:shd w:val="clear" w:color="auto" w:fill="auto"/>
          </w:tcPr>
          <w:p w14:paraId="22C638EE" w14:textId="77777777" w:rsidR="00126668" w:rsidRPr="006D6008" w:rsidRDefault="00126668" w:rsidP="00126668">
            <w:pPr>
              <w:keepNext/>
              <w:spacing w:before="100" w:beforeAutospacing="1" w:after="120"/>
              <w:rPr>
                <w:rFonts w:ascii="Arial Narrow" w:hAnsi="Arial Narrow"/>
                <w:sz w:val="20"/>
                <w:szCs w:val="20"/>
              </w:rPr>
            </w:pPr>
            <w:r w:rsidRPr="006D6008">
              <w:rPr>
                <w:rFonts w:ascii="Arial Narrow" w:hAnsi="Arial Narrow"/>
                <w:b/>
                <w:sz w:val="20"/>
                <w:szCs w:val="20"/>
              </w:rPr>
              <w:t>General disorders and administration site conditions</w:t>
            </w:r>
          </w:p>
        </w:tc>
        <w:tc>
          <w:tcPr>
            <w:tcW w:w="1431" w:type="dxa"/>
            <w:shd w:val="clear" w:color="auto" w:fill="auto"/>
          </w:tcPr>
          <w:p w14:paraId="2982BA22" w14:textId="77777777" w:rsidR="00126668" w:rsidRPr="006D6008" w:rsidRDefault="00126668" w:rsidP="00126668">
            <w:pPr>
              <w:keepNext/>
              <w:spacing w:before="100" w:beforeAutospacing="1" w:after="120"/>
              <w:rPr>
                <w:rStyle w:val="CSI"/>
                <w:rFonts w:ascii="Arial Narrow" w:hAnsi="Arial Narrow"/>
                <w:sz w:val="20"/>
                <w:szCs w:val="20"/>
              </w:rPr>
            </w:pPr>
            <w:r w:rsidRPr="006D6008">
              <w:rPr>
                <w:rFonts w:ascii="Arial Narrow" w:hAnsi="Arial Narrow"/>
                <w:sz w:val="20"/>
                <w:szCs w:val="20"/>
              </w:rPr>
              <w:t>Common</w:t>
            </w:r>
          </w:p>
        </w:tc>
        <w:tc>
          <w:tcPr>
            <w:tcW w:w="2551" w:type="dxa"/>
          </w:tcPr>
          <w:p w14:paraId="172B829F" w14:textId="77777777" w:rsidR="00126668" w:rsidRPr="006D6008" w:rsidRDefault="00126668" w:rsidP="00126668">
            <w:pPr>
              <w:keepNext/>
              <w:spacing w:before="100" w:beforeAutospacing="1" w:after="120"/>
              <w:rPr>
                <w:rStyle w:val="CSI"/>
                <w:rFonts w:ascii="Arial Narrow" w:hAnsi="Arial Narrow"/>
                <w:sz w:val="20"/>
                <w:szCs w:val="20"/>
              </w:rPr>
            </w:pPr>
            <w:r w:rsidRPr="006D6008">
              <w:rPr>
                <w:rStyle w:val="CSI"/>
                <w:rFonts w:ascii="Arial Narrow" w:hAnsi="Arial Narrow"/>
                <w:sz w:val="20"/>
                <w:szCs w:val="20"/>
              </w:rPr>
              <w:t>Fatigue</w:t>
            </w:r>
          </w:p>
        </w:tc>
        <w:tc>
          <w:tcPr>
            <w:tcW w:w="2318" w:type="dxa"/>
          </w:tcPr>
          <w:p w14:paraId="7B3EC02F" w14:textId="34893A00" w:rsidR="00126668" w:rsidRPr="00596EF9" w:rsidRDefault="00126668" w:rsidP="00126668">
            <w:pPr>
              <w:keepNext/>
              <w:spacing w:before="100" w:beforeAutospacing="1" w:after="120"/>
              <w:rPr>
                <w:rStyle w:val="CSI"/>
                <w:rFonts w:ascii="Arial Narrow" w:hAnsi="Arial Narrow"/>
                <w:sz w:val="20"/>
                <w:szCs w:val="20"/>
              </w:rPr>
            </w:pPr>
            <w:r w:rsidRPr="00596EF9">
              <w:rPr>
                <w:rStyle w:val="CSI"/>
                <w:rFonts w:ascii="Arial Narrow" w:hAnsi="Arial Narrow"/>
                <w:sz w:val="20"/>
                <w:szCs w:val="20"/>
              </w:rPr>
              <w:t>Fatigue</w:t>
            </w:r>
            <w:r w:rsidRPr="00596EF9">
              <w:rPr>
                <w:rStyle w:val="CSI"/>
                <w:rFonts w:ascii="Arial Narrow" w:hAnsi="Arial Narrow"/>
                <w:sz w:val="20"/>
                <w:szCs w:val="20"/>
              </w:rPr>
              <w:br/>
            </w:r>
            <w:r w:rsidRPr="00596EF9">
              <w:rPr>
                <w:rFonts w:ascii="Arial Narrow" w:hAnsi="Arial Narrow"/>
                <w:sz w:val="20"/>
                <w:szCs w:val="20"/>
              </w:rPr>
              <w:t>Malaise</w:t>
            </w:r>
            <w:r w:rsidRPr="00596EF9">
              <w:rPr>
                <w:rStyle w:val="CSI"/>
                <w:rFonts w:ascii="Arial Narrow" w:hAnsi="Arial Narrow"/>
                <w:sz w:val="20"/>
                <w:szCs w:val="20"/>
              </w:rPr>
              <w:br/>
            </w:r>
            <w:r w:rsidRPr="00596EF9">
              <w:rPr>
                <w:rFonts w:ascii="Arial Narrow" w:hAnsi="Arial Narrow"/>
                <w:sz w:val="20"/>
                <w:szCs w:val="20"/>
              </w:rPr>
              <w:t xml:space="preserve">Fever </w:t>
            </w:r>
          </w:p>
        </w:tc>
      </w:tr>
    </w:tbl>
    <w:bookmarkEnd w:id="7"/>
    <w:p w14:paraId="1C5C6590" w14:textId="188547E7" w:rsidR="005F3307" w:rsidRDefault="005F3307" w:rsidP="003E241C">
      <w:pPr>
        <w:spacing w:after="0"/>
        <w:ind w:left="180" w:hanging="180"/>
        <w:rPr>
          <w:rFonts w:ascii="Arial Narrow" w:hAnsi="Arial Narrow"/>
          <w:sz w:val="20"/>
          <w:szCs w:val="20"/>
        </w:rPr>
      </w:pPr>
      <w:r w:rsidRPr="00AF2C08">
        <w:rPr>
          <w:sz w:val="18"/>
          <w:szCs w:val="18"/>
        </w:rPr>
        <w:t>*</w:t>
      </w:r>
      <w:r w:rsidRPr="006D6008">
        <w:rPr>
          <w:rFonts w:ascii="Arial Narrow" w:hAnsi="Arial Narrow"/>
          <w:sz w:val="20"/>
          <w:szCs w:val="20"/>
        </w:rPr>
        <w:tab/>
        <w:t>Frequ</w:t>
      </w:r>
      <w:r w:rsidR="006D6008">
        <w:rPr>
          <w:rFonts w:ascii="Arial Narrow" w:hAnsi="Arial Narrow"/>
          <w:sz w:val="20"/>
          <w:szCs w:val="20"/>
        </w:rPr>
        <w:t>e</w:t>
      </w:r>
      <w:r w:rsidRPr="006D6008">
        <w:rPr>
          <w:rFonts w:ascii="Arial Narrow" w:hAnsi="Arial Narrow"/>
          <w:sz w:val="20"/>
          <w:szCs w:val="20"/>
        </w:rPr>
        <w:t xml:space="preserve">ncies are assigned based on the maximum frequencies observed in the pooled </w:t>
      </w:r>
      <w:r w:rsidR="006C6D94">
        <w:rPr>
          <w:rFonts w:ascii="Arial Narrow" w:hAnsi="Arial Narrow"/>
          <w:sz w:val="20"/>
          <w:szCs w:val="20"/>
        </w:rPr>
        <w:t>GEMINI</w:t>
      </w:r>
      <w:r w:rsidR="006C6D94" w:rsidRPr="006D6008">
        <w:rPr>
          <w:rFonts w:ascii="Arial Narrow" w:hAnsi="Arial Narrow"/>
          <w:sz w:val="20"/>
          <w:szCs w:val="20"/>
        </w:rPr>
        <w:t xml:space="preserve"> </w:t>
      </w:r>
      <w:r w:rsidRPr="006D6008">
        <w:rPr>
          <w:rFonts w:ascii="Arial Narrow" w:hAnsi="Arial Narrow"/>
          <w:sz w:val="20"/>
          <w:szCs w:val="20"/>
        </w:rPr>
        <w:t>studies</w:t>
      </w:r>
      <w:r w:rsidR="008A75D9">
        <w:rPr>
          <w:rFonts w:ascii="Arial Narrow" w:hAnsi="Arial Narrow"/>
          <w:sz w:val="20"/>
          <w:szCs w:val="20"/>
        </w:rPr>
        <w:t xml:space="preserve">, </w:t>
      </w:r>
      <w:r w:rsidRPr="006D6008">
        <w:rPr>
          <w:rFonts w:ascii="Arial Narrow" w:hAnsi="Arial Narrow"/>
          <w:sz w:val="20"/>
          <w:szCs w:val="20"/>
        </w:rPr>
        <w:t>studies with the individual components</w:t>
      </w:r>
      <w:r w:rsidR="008A75D9">
        <w:rPr>
          <w:rFonts w:ascii="Arial Narrow" w:hAnsi="Arial Narrow"/>
          <w:sz w:val="20"/>
          <w:szCs w:val="20"/>
        </w:rPr>
        <w:t xml:space="preserve"> or post-marketing</w:t>
      </w:r>
      <w:r w:rsidR="00692966">
        <w:rPr>
          <w:rFonts w:ascii="Arial Narrow" w:hAnsi="Arial Narrow"/>
          <w:sz w:val="20"/>
          <w:szCs w:val="20"/>
        </w:rPr>
        <w:t xml:space="preserve"> use of the individual components</w:t>
      </w:r>
      <w:r w:rsidRPr="006D6008">
        <w:rPr>
          <w:rFonts w:ascii="Arial Narrow" w:hAnsi="Arial Narrow"/>
          <w:sz w:val="20"/>
          <w:szCs w:val="20"/>
        </w:rPr>
        <w:t>.</w:t>
      </w:r>
    </w:p>
    <w:p w14:paraId="53E35D55" w14:textId="71210103" w:rsidR="00692966" w:rsidRDefault="00692966" w:rsidP="003E241C">
      <w:pPr>
        <w:spacing w:after="0"/>
        <w:ind w:left="180" w:hanging="180"/>
        <w:rPr>
          <w:rFonts w:ascii="Arial Narrow" w:hAnsi="Arial Narrow"/>
          <w:sz w:val="20"/>
          <w:szCs w:val="20"/>
        </w:rPr>
      </w:pPr>
      <w:r w:rsidRPr="003E241C">
        <w:rPr>
          <w:rFonts w:ascii="Arial Narrow" w:hAnsi="Arial Narrow"/>
          <w:sz w:val="20"/>
          <w:szCs w:val="20"/>
          <w:vertAlign w:val="superscript"/>
        </w:rPr>
        <w:t>#</w:t>
      </w:r>
      <w:r>
        <w:rPr>
          <w:rFonts w:ascii="Arial Narrow" w:hAnsi="Arial Narrow"/>
          <w:sz w:val="20"/>
          <w:szCs w:val="20"/>
        </w:rPr>
        <w:t xml:space="preserve"> Post marketing events reported with individual components</w:t>
      </w:r>
    </w:p>
    <w:p w14:paraId="078D04C5" w14:textId="77777777" w:rsidR="00692966" w:rsidRPr="00380521" w:rsidRDefault="00692966" w:rsidP="00A916E1">
      <w:pPr>
        <w:pStyle w:val="tabletextNS"/>
        <w:rPr>
          <w:sz w:val="20"/>
        </w:rPr>
      </w:pPr>
      <w:r w:rsidRPr="00380521">
        <w:rPr>
          <w:sz w:val="20"/>
          <w:vertAlign w:val="superscript"/>
        </w:rPr>
        <w:t>1</w:t>
      </w:r>
      <w:r w:rsidRPr="00380521">
        <w:rPr>
          <w:sz w:val="20"/>
        </w:rPr>
        <w:t xml:space="preserve">Lactic acidosis (see </w:t>
      </w:r>
      <w:r w:rsidRPr="00AF6D26">
        <w:rPr>
          <w:sz w:val="20"/>
        </w:rPr>
        <w:t>SPECIAL WARNINGS AND PRECAUTIONS FOR USE</w:t>
      </w:r>
      <w:r w:rsidRPr="00380521">
        <w:rPr>
          <w:sz w:val="20"/>
        </w:rPr>
        <w:t>)</w:t>
      </w:r>
    </w:p>
    <w:p w14:paraId="4AC1CAC7" w14:textId="1F89D9B5" w:rsidR="00692966" w:rsidRPr="003E241C" w:rsidRDefault="00692966" w:rsidP="003E241C">
      <w:pPr>
        <w:pStyle w:val="tabletextNS"/>
        <w:rPr>
          <w:sz w:val="20"/>
        </w:rPr>
      </w:pPr>
      <w:r w:rsidRPr="00380521">
        <w:rPr>
          <w:sz w:val="20"/>
          <w:vertAlign w:val="superscript"/>
        </w:rPr>
        <w:t>2</w:t>
      </w:r>
      <w:r w:rsidRPr="00380521">
        <w:rPr>
          <w:sz w:val="20"/>
        </w:rPr>
        <w:t>Acute hepatic failure has been reported in a dolutegravir-containing regimen. The contribution of dolutegravir in these cases is unclear.</w:t>
      </w:r>
    </w:p>
    <w:p w14:paraId="030AEB45" w14:textId="11F876FE" w:rsidR="002048F8" w:rsidRPr="00DF0BE9" w:rsidRDefault="002048F8" w:rsidP="002048F8">
      <w:pPr>
        <w:pStyle w:val="Heading3"/>
      </w:pPr>
      <w:r>
        <w:rPr>
          <w:rStyle w:val="Heading3Char"/>
          <w:b/>
          <w:bCs/>
        </w:rPr>
        <w:t>Laboratory abnormalities</w:t>
      </w:r>
    </w:p>
    <w:p w14:paraId="22BE32F0" w14:textId="64E69031" w:rsidR="002048F8" w:rsidRDefault="002048F8" w:rsidP="003F4BF6">
      <w:r w:rsidRPr="003F4BF6">
        <w:t xml:space="preserve">Selected laboratory abnormalities with a worsening grade from baseline and representing the worst-grade toxicity in ≥2% of subjects are presented in Table </w:t>
      </w:r>
      <w:r w:rsidR="003F4BF6">
        <w:t>6</w:t>
      </w:r>
      <w:r w:rsidRPr="003F4BF6">
        <w:t xml:space="preserve">. The mean change from baseline observed for selected lipid values is presented in Table </w:t>
      </w:r>
      <w:r w:rsidR="003F4BF6">
        <w:t>7</w:t>
      </w:r>
      <w:r w:rsidRPr="003F4BF6">
        <w:t>.</w:t>
      </w:r>
    </w:p>
    <w:p w14:paraId="078B02D3" w14:textId="57211EAB" w:rsidR="0019232A" w:rsidRDefault="0019232A" w:rsidP="00687AB5">
      <w:pPr>
        <w:keepNext/>
        <w:spacing w:after="240"/>
        <w:ind w:left="1134" w:hanging="1134"/>
      </w:pPr>
      <w:r w:rsidRPr="007271A4">
        <w:rPr>
          <w:b/>
        </w:rPr>
        <w:t xml:space="preserve">Table </w:t>
      </w:r>
      <w:r>
        <w:rPr>
          <w:b/>
        </w:rPr>
        <w:t>6</w:t>
      </w:r>
      <w:r w:rsidRPr="007271A4">
        <w:rPr>
          <w:b/>
        </w:rPr>
        <w:t xml:space="preserve">: </w:t>
      </w:r>
      <w:r>
        <w:rPr>
          <w:b/>
        </w:rPr>
        <w:tab/>
        <w:t xml:space="preserve">Selected Laboratory Abnormalities (Grades 2 to 4) </w:t>
      </w:r>
      <w:r w:rsidRPr="00F34FB4">
        <w:rPr>
          <w:b/>
        </w:rPr>
        <w:t>in GEMINI-1 and GEMINI-2 (Week 48 Pooled Analysis)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2974"/>
        <w:gridCol w:w="2838"/>
      </w:tblGrid>
      <w:tr w:rsidR="003F4BF6" w:rsidRPr="002169FD" w14:paraId="3E2B1039" w14:textId="77777777" w:rsidTr="0019232A">
        <w:trPr>
          <w:trHeight w:val="647"/>
          <w:tblHeader/>
        </w:trPr>
        <w:tc>
          <w:tcPr>
            <w:tcW w:w="3681" w:type="dxa"/>
            <w:vAlign w:val="bottom"/>
          </w:tcPr>
          <w:p w14:paraId="536E1DC8" w14:textId="77777777" w:rsidR="003F4BF6" w:rsidRPr="002169FD" w:rsidRDefault="003F4BF6" w:rsidP="0019232A">
            <w:pPr>
              <w:pStyle w:val="tabletextNS"/>
              <w:keepNext/>
              <w:keepLines/>
              <w:spacing w:line="320" w:lineRule="atLeast"/>
              <w:jc w:val="center"/>
              <w:rPr>
                <w:b/>
                <w:sz w:val="22"/>
                <w:szCs w:val="22"/>
              </w:rPr>
            </w:pPr>
            <w:r w:rsidRPr="002169FD">
              <w:rPr>
                <w:b/>
                <w:sz w:val="22"/>
                <w:szCs w:val="22"/>
              </w:rPr>
              <w:t xml:space="preserve">Laboratory Parameter </w:t>
            </w:r>
          </w:p>
          <w:p w14:paraId="427962FD" w14:textId="77777777" w:rsidR="003F4BF6" w:rsidRPr="002169FD" w:rsidRDefault="003F4BF6" w:rsidP="0019232A">
            <w:pPr>
              <w:pStyle w:val="tabletextNS"/>
              <w:keepNext/>
              <w:keepLines/>
              <w:spacing w:line="320" w:lineRule="atLeast"/>
              <w:jc w:val="center"/>
              <w:rPr>
                <w:b/>
                <w:bCs/>
                <w:sz w:val="22"/>
                <w:szCs w:val="22"/>
              </w:rPr>
            </w:pPr>
            <w:r w:rsidRPr="002169FD">
              <w:rPr>
                <w:b/>
                <w:sz w:val="22"/>
                <w:szCs w:val="22"/>
              </w:rPr>
              <w:t>Preferred Term</w:t>
            </w:r>
          </w:p>
        </w:tc>
        <w:tc>
          <w:tcPr>
            <w:tcW w:w="2974" w:type="dxa"/>
            <w:tcBorders>
              <w:right w:val="single" w:sz="4" w:space="0" w:color="auto"/>
            </w:tcBorders>
            <w:vAlign w:val="bottom"/>
          </w:tcPr>
          <w:p w14:paraId="45D75BE0" w14:textId="77777777" w:rsidR="003F4BF6" w:rsidRPr="002169FD" w:rsidRDefault="003F4BF6" w:rsidP="0019232A">
            <w:pPr>
              <w:pStyle w:val="tabletextNS"/>
              <w:keepNext/>
              <w:keepLines/>
              <w:spacing w:line="320" w:lineRule="atLeast"/>
              <w:jc w:val="center"/>
              <w:rPr>
                <w:b/>
                <w:sz w:val="22"/>
                <w:szCs w:val="22"/>
                <w:lang w:val="en-US"/>
              </w:rPr>
            </w:pPr>
            <w:r w:rsidRPr="002169FD">
              <w:rPr>
                <w:b/>
                <w:sz w:val="22"/>
                <w:szCs w:val="22"/>
                <w:lang w:val="en-US"/>
              </w:rPr>
              <w:t>Dolutegravir plus lamivudine</w:t>
            </w:r>
          </w:p>
          <w:p w14:paraId="71EC83A7" w14:textId="77777777" w:rsidR="003F4BF6" w:rsidRPr="002169FD" w:rsidRDefault="003F4BF6" w:rsidP="0019232A">
            <w:pPr>
              <w:pStyle w:val="tabletextNS"/>
              <w:keepNext/>
              <w:keepLines/>
              <w:spacing w:line="320" w:lineRule="atLeast"/>
              <w:jc w:val="center"/>
              <w:rPr>
                <w:b/>
                <w:sz w:val="22"/>
                <w:szCs w:val="22"/>
                <w:lang w:val="en-US"/>
              </w:rPr>
            </w:pPr>
            <w:r w:rsidRPr="002169FD">
              <w:rPr>
                <w:b/>
                <w:sz w:val="22"/>
                <w:szCs w:val="22"/>
              </w:rPr>
              <w:t>(n = 716)</w:t>
            </w:r>
          </w:p>
        </w:tc>
        <w:tc>
          <w:tcPr>
            <w:tcW w:w="2838" w:type="dxa"/>
            <w:tcBorders>
              <w:right w:val="single" w:sz="4" w:space="0" w:color="auto"/>
            </w:tcBorders>
            <w:vAlign w:val="bottom"/>
          </w:tcPr>
          <w:p w14:paraId="1983915C" w14:textId="77777777" w:rsidR="003F4BF6" w:rsidRDefault="003F4BF6" w:rsidP="0019232A">
            <w:pPr>
              <w:pStyle w:val="tabletextNS"/>
              <w:keepNext/>
              <w:keepLines/>
              <w:spacing w:line="320" w:lineRule="atLeast"/>
              <w:jc w:val="center"/>
              <w:rPr>
                <w:rFonts w:eastAsiaTheme="minorHAnsi" w:cstheme="minorBidi"/>
                <w:b/>
                <w:sz w:val="22"/>
                <w:szCs w:val="22"/>
                <w:lang w:val="en-AU"/>
              </w:rPr>
            </w:pPr>
            <w:r w:rsidRPr="002169FD">
              <w:rPr>
                <w:rFonts w:eastAsiaTheme="minorHAnsi" w:cstheme="minorBidi"/>
                <w:b/>
                <w:sz w:val="22"/>
                <w:szCs w:val="22"/>
                <w:lang w:val="en-AU"/>
              </w:rPr>
              <w:t xml:space="preserve">Dolutegravir plus </w:t>
            </w:r>
            <w:r>
              <w:rPr>
                <w:rFonts w:eastAsiaTheme="minorHAnsi" w:cstheme="minorBidi"/>
                <w:b/>
                <w:sz w:val="22"/>
                <w:szCs w:val="22"/>
                <w:lang w:val="en-AU"/>
              </w:rPr>
              <w:t>TDF*</w:t>
            </w:r>
            <w:r w:rsidRPr="002169FD">
              <w:rPr>
                <w:rFonts w:eastAsiaTheme="minorHAnsi" w:cstheme="minorBidi"/>
                <w:b/>
                <w:sz w:val="22"/>
                <w:szCs w:val="22"/>
                <w:lang w:val="en-AU"/>
              </w:rPr>
              <w:t xml:space="preserve">/emtricitabine </w:t>
            </w:r>
          </w:p>
          <w:p w14:paraId="676C3B47" w14:textId="77777777" w:rsidR="003F4BF6" w:rsidRPr="002169FD" w:rsidRDefault="003F4BF6" w:rsidP="00A35061">
            <w:pPr>
              <w:pStyle w:val="tabletextNS"/>
              <w:keepNext/>
              <w:keepLines/>
              <w:spacing w:line="320" w:lineRule="atLeast"/>
              <w:jc w:val="center"/>
              <w:rPr>
                <w:b/>
                <w:sz w:val="22"/>
                <w:szCs w:val="22"/>
              </w:rPr>
            </w:pPr>
            <w:r w:rsidRPr="002169FD">
              <w:rPr>
                <w:b/>
                <w:sz w:val="22"/>
                <w:szCs w:val="22"/>
                <w:lang w:val="en-US"/>
              </w:rPr>
              <w:t>(n = 717)</w:t>
            </w:r>
          </w:p>
        </w:tc>
      </w:tr>
      <w:tr w:rsidR="003F4BF6" w:rsidRPr="003F4BF6" w14:paraId="0844493B" w14:textId="77777777" w:rsidTr="002156DB">
        <w:tc>
          <w:tcPr>
            <w:tcW w:w="3681" w:type="dxa"/>
            <w:tcBorders>
              <w:bottom w:val="single" w:sz="4" w:space="0" w:color="auto"/>
            </w:tcBorders>
          </w:tcPr>
          <w:p w14:paraId="7A725B7E" w14:textId="55EBD1DD" w:rsidR="003F4BF6" w:rsidRPr="0019232A" w:rsidRDefault="003F4BF6" w:rsidP="0019232A">
            <w:pPr>
              <w:pStyle w:val="tabletextNS"/>
              <w:spacing w:line="320" w:lineRule="atLeast"/>
              <w:rPr>
                <w:bCs/>
                <w:sz w:val="22"/>
                <w:szCs w:val="22"/>
              </w:rPr>
            </w:pPr>
            <w:r w:rsidRPr="0019232A">
              <w:rPr>
                <w:bCs/>
                <w:sz w:val="22"/>
                <w:szCs w:val="22"/>
              </w:rPr>
              <w:t>ALT</w:t>
            </w:r>
          </w:p>
          <w:p w14:paraId="41A109B7" w14:textId="6610D376" w:rsidR="003F4BF6" w:rsidRPr="0019232A" w:rsidRDefault="003F4BF6" w:rsidP="0019232A">
            <w:pPr>
              <w:pStyle w:val="tabletextNS"/>
              <w:spacing w:line="320" w:lineRule="atLeast"/>
              <w:ind w:left="175"/>
              <w:rPr>
                <w:bCs/>
                <w:sz w:val="22"/>
                <w:szCs w:val="22"/>
              </w:rPr>
            </w:pPr>
            <w:r w:rsidRPr="0019232A">
              <w:rPr>
                <w:bCs/>
                <w:sz w:val="22"/>
                <w:szCs w:val="22"/>
              </w:rPr>
              <w:t>Grade 2 (&gt;</w:t>
            </w:r>
            <w:r>
              <w:rPr>
                <w:bCs/>
                <w:sz w:val="22"/>
                <w:szCs w:val="22"/>
              </w:rPr>
              <w:t xml:space="preserve"> </w:t>
            </w:r>
            <w:r w:rsidRPr="0019232A">
              <w:rPr>
                <w:bCs/>
                <w:sz w:val="22"/>
                <w:szCs w:val="22"/>
              </w:rPr>
              <w:t>2.5 – 5.0 x ULN)</w:t>
            </w:r>
          </w:p>
          <w:p w14:paraId="151A3719" w14:textId="3FC8052F" w:rsidR="003F4BF6" w:rsidRPr="0019232A" w:rsidRDefault="003F4BF6" w:rsidP="0019232A">
            <w:pPr>
              <w:pStyle w:val="tabletextNS"/>
              <w:spacing w:line="320" w:lineRule="atLeast"/>
              <w:ind w:left="175"/>
              <w:rPr>
                <w:bCs/>
                <w:sz w:val="22"/>
                <w:szCs w:val="22"/>
              </w:rPr>
            </w:pPr>
            <w:r w:rsidRPr="0019232A">
              <w:rPr>
                <w:bCs/>
                <w:sz w:val="22"/>
                <w:szCs w:val="22"/>
              </w:rPr>
              <w:t xml:space="preserve">Grade 3 to </w:t>
            </w:r>
            <w:r>
              <w:rPr>
                <w:bCs/>
                <w:sz w:val="22"/>
                <w:szCs w:val="22"/>
              </w:rPr>
              <w:t>4</w:t>
            </w:r>
            <w:r w:rsidRPr="0019232A">
              <w:rPr>
                <w:bCs/>
                <w:sz w:val="22"/>
                <w:szCs w:val="22"/>
              </w:rPr>
              <w:t xml:space="preserve"> (&gt;</w:t>
            </w:r>
            <w:r>
              <w:rPr>
                <w:bCs/>
                <w:sz w:val="22"/>
                <w:szCs w:val="22"/>
              </w:rPr>
              <w:t xml:space="preserve"> </w:t>
            </w:r>
            <w:r w:rsidRPr="0019232A">
              <w:rPr>
                <w:bCs/>
                <w:sz w:val="22"/>
                <w:szCs w:val="22"/>
              </w:rPr>
              <w:t>5.0 x ULN)</w:t>
            </w:r>
          </w:p>
        </w:tc>
        <w:tc>
          <w:tcPr>
            <w:tcW w:w="2974" w:type="dxa"/>
            <w:tcBorders>
              <w:bottom w:val="single" w:sz="4" w:space="0" w:color="auto"/>
            </w:tcBorders>
          </w:tcPr>
          <w:p w14:paraId="7F7FB443" w14:textId="77777777" w:rsidR="003F4BF6" w:rsidRDefault="003F4BF6" w:rsidP="0019232A">
            <w:pPr>
              <w:spacing w:after="0" w:line="320" w:lineRule="atLeast"/>
              <w:jc w:val="center"/>
              <w:rPr>
                <w:rFonts w:ascii="Arial Narrow" w:hAnsi="Arial Narrow"/>
                <w:snapToGrid w:val="0"/>
              </w:rPr>
            </w:pPr>
          </w:p>
          <w:p w14:paraId="5DDF5C1F" w14:textId="77777777" w:rsidR="00C031FF" w:rsidRDefault="00C031FF" w:rsidP="0019232A">
            <w:pPr>
              <w:spacing w:after="0" w:line="320" w:lineRule="atLeast"/>
              <w:jc w:val="center"/>
              <w:rPr>
                <w:rFonts w:ascii="Arial Narrow" w:hAnsi="Arial Narrow"/>
                <w:snapToGrid w:val="0"/>
              </w:rPr>
            </w:pPr>
            <w:r>
              <w:rPr>
                <w:rFonts w:ascii="Arial Narrow" w:hAnsi="Arial Narrow"/>
                <w:snapToGrid w:val="0"/>
              </w:rPr>
              <w:t>2%</w:t>
            </w:r>
          </w:p>
          <w:p w14:paraId="29C06C23" w14:textId="4A4042B8" w:rsidR="00C031FF" w:rsidRPr="0019232A" w:rsidRDefault="00C031FF" w:rsidP="0019232A">
            <w:pPr>
              <w:spacing w:after="0" w:line="320" w:lineRule="atLeast"/>
              <w:jc w:val="center"/>
              <w:rPr>
                <w:rFonts w:ascii="Arial Narrow" w:hAnsi="Arial Narrow"/>
                <w:snapToGrid w:val="0"/>
              </w:rPr>
            </w:pPr>
            <w:r>
              <w:rPr>
                <w:rFonts w:ascii="Arial Narrow" w:hAnsi="Arial Narrow"/>
                <w:snapToGrid w:val="0"/>
              </w:rPr>
              <w:t>3%</w:t>
            </w:r>
          </w:p>
        </w:tc>
        <w:tc>
          <w:tcPr>
            <w:tcW w:w="2838" w:type="dxa"/>
            <w:tcBorders>
              <w:bottom w:val="single" w:sz="4" w:space="0" w:color="auto"/>
              <w:right w:val="single" w:sz="4" w:space="0" w:color="auto"/>
            </w:tcBorders>
          </w:tcPr>
          <w:p w14:paraId="73542185" w14:textId="77777777" w:rsidR="003F4BF6" w:rsidRDefault="003F4BF6" w:rsidP="0019232A">
            <w:pPr>
              <w:spacing w:after="0" w:line="320" w:lineRule="atLeast"/>
              <w:jc w:val="center"/>
              <w:rPr>
                <w:rFonts w:ascii="Arial Narrow" w:hAnsi="Arial Narrow"/>
                <w:snapToGrid w:val="0"/>
              </w:rPr>
            </w:pPr>
          </w:p>
          <w:p w14:paraId="142A18C5" w14:textId="77777777" w:rsidR="00C031FF" w:rsidRDefault="00C031FF" w:rsidP="0019232A">
            <w:pPr>
              <w:spacing w:after="0" w:line="320" w:lineRule="atLeast"/>
              <w:jc w:val="center"/>
              <w:rPr>
                <w:rFonts w:ascii="Arial Narrow" w:hAnsi="Arial Narrow"/>
                <w:snapToGrid w:val="0"/>
              </w:rPr>
            </w:pPr>
            <w:r>
              <w:rPr>
                <w:rFonts w:ascii="Arial Narrow" w:hAnsi="Arial Narrow"/>
                <w:snapToGrid w:val="0"/>
              </w:rPr>
              <w:t>3%</w:t>
            </w:r>
          </w:p>
          <w:p w14:paraId="56013B14" w14:textId="0E668742" w:rsidR="00C031FF" w:rsidRPr="0019232A" w:rsidRDefault="00C031FF" w:rsidP="0019232A">
            <w:pPr>
              <w:spacing w:after="0" w:line="320" w:lineRule="atLeast"/>
              <w:jc w:val="center"/>
              <w:rPr>
                <w:rFonts w:ascii="Arial Narrow" w:hAnsi="Arial Narrow"/>
                <w:snapToGrid w:val="0"/>
              </w:rPr>
            </w:pPr>
            <w:r>
              <w:rPr>
                <w:rFonts w:ascii="Arial Narrow" w:hAnsi="Arial Narrow"/>
                <w:snapToGrid w:val="0"/>
              </w:rPr>
              <w:t>3%</w:t>
            </w:r>
          </w:p>
        </w:tc>
      </w:tr>
      <w:tr w:rsidR="00C031FF" w:rsidRPr="003F4BF6" w14:paraId="5562A846" w14:textId="77777777" w:rsidTr="0019232A">
        <w:tc>
          <w:tcPr>
            <w:tcW w:w="3681" w:type="dxa"/>
            <w:tcBorders>
              <w:bottom w:val="nil"/>
            </w:tcBorders>
          </w:tcPr>
          <w:p w14:paraId="6BBE51C5" w14:textId="41EF960C" w:rsidR="00C031FF" w:rsidRPr="00B90222" w:rsidRDefault="00C031FF" w:rsidP="00C031FF">
            <w:pPr>
              <w:pStyle w:val="tabletextNS"/>
              <w:spacing w:line="320" w:lineRule="atLeast"/>
              <w:rPr>
                <w:bCs/>
                <w:sz w:val="22"/>
                <w:szCs w:val="22"/>
              </w:rPr>
            </w:pPr>
            <w:r w:rsidRPr="00B90222">
              <w:rPr>
                <w:bCs/>
                <w:sz w:val="22"/>
                <w:szCs w:val="22"/>
              </w:rPr>
              <w:t>A</w:t>
            </w:r>
            <w:r>
              <w:rPr>
                <w:bCs/>
                <w:sz w:val="22"/>
                <w:szCs w:val="22"/>
              </w:rPr>
              <w:t>S</w:t>
            </w:r>
            <w:r w:rsidRPr="00B90222">
              <w:rPr>
                <w:bCs/>
                <w:sz w:val="22"/>
                <w:szCs w:val="22"/>
              </w:rPr>
              <w:t>T</w:t>
            </w:r>
          </w:p>
          <w:p w14:paraId="7F53D34C" w14:textId="7D995450" w:rsidR="00C031FF" w:rsidRPr="00B90222" w:rsidRDefault="00C031FF" w:rsidP="00C031FF">
            <w:pPr>
              <w:pStyle w:val="tabletextNS"/>
              <w:spacing w:line="320" w:lineRule="atLeast"/>
              <w:ind w:left="175"/>
              <w:rPr>
                <w:bCs/>
                <w:sz w:val="22"/>
                <w:szCs w:val="22"/>
              </w:rPr>
            </w:pPr>
            <w:r w:rsidRPr="00B90222">
              <w:rPr>
                <w:bCs/>
                <w:sz w:val="22"/>
                <w:szCs w:val="22"/>
              </w:rPr>
              <w:t>Grade 2 (&gt;</w:t>
            </w:r>
            <w:r>
              <w:rPr>
                <w:bCs/>
                <w:sz w:val="22"/>
                <w:szCs w:val="22"/>
              </w:rPr>
              <w:t xml:space="preserve"> </w:t>
            </w:r>
            <w:r w:rsidRPr="00B90222">
              <w:rPr>
                <w:bCs/>
                <w:sz w:val="22"/>
                <w:szCs w:val="22"/>
              </w:rPr>
              <w:t>2.5 – 5.0 x ULN)</w:t>
            </w:r>
          </w:p>
          <w:p w14:paraId="3EBA238A" w14:textId="2E8D4B95" w:rsidR="00C031FF" w:rsidRPr="0019232A" w:rsidRDefault="00C031FF" w:rsidP="0019232A">
            <w:pPr>
              <w:pStyle w:val="tabletextNS"/>
              <w:spacing w:line="320" w:lineRule="atLeast"/>
              <w:ind w:left="175"/>
              <w:rPr>
                <w:bCs/>
                <w:sz w:val="22"/>
                <w:szCs w:val="22"/>
              </w:rPr>
            </w:pPr>
            <w:r w:rsidRPr="00B90222">
              <w:rPr>
                <w:bCs/>
                <w:sz w:val="22"/>
                <w:szCs w:val="22"/>
              </w:rPr>
              <w:t xml:space="preserve">Grade 3 to </w:t>
            </w:r>
            <w:r>
              <w:rPr>
                <w:bCs/>
                <w:sz w:val="22"/>
                <w:szCs w:val="22"/>
              </w:rPr>
              <w:t>4</w:t>
            </w:r>
            <w:r w:rsidRPr="00B90222">
              <w:rPr>
                <w:bCs/>
                <w:sz w:val="22"/>
                <w:szCs w:val="22"/>
              </w:rPr>
              <w:t xml:space="preserve"> (&gt;</w:t>
            </w:r>
            <w:r>
              <w:rPr>
                <w:bCs/>
                <w:sz w:val="22"/>
                <w:szCs w:val="22"/>
              </w:rPr>
              <w:t xml:space="preserve"> </w:t>
            </w:r>
            <w:r w:rsidRPr="00B90222">
              <w:rPr>
                <w:bCs/>
                <w:sz w:val="22"/>
                <w:szCs w:val="22"/>
              </w:rPr>
              <w:t>5.0 x ULN)</w:t>
            </w:r>
          </w:p>
        </w:tc>
        <w:tc>
          <w:tcPr>
            <w:tcW w:w="2974" w:type="dxa"/>
            <w:tcBorders>
              <w:bottom w:val="nil"/>
            </w:tcBorders>
          </w:tcPr>
          <w:p w14:paraId="27E69818" w14:textId="77777777" w:rsidR="00C031FF" w:rsidRDefault="00C031FF" w:rsidP="00C031FF">
            <w:pPr>
              <w:spacing w:after="0" w:line="320" w:lineRule="atLeast"/>
              <w:jc w:val="center"/>
              <w:rPr>
                <w:rFonts w:ascii="Arial Narrow" w:hAnsi="Arial Narrow"/>
                <w:snapToGrid w:val="0"/>
              </w:rPr>
            </w:pPr>
          </w:p>
          <w:p w14:paraId="5465A10A" w14:textId="739AF67B" w:rsidR="00C031FF" w:rsidRDefault="00C031FF" w:rsidP="00C031FF">
            <w:pPr>
              <w:spacing w:after="0" w:line="320" w:lineRule="atLeast"/>
              <w:jc w:val="center"/>
              <w:rPr>
                <w:rFonts w:ascii="Arial Narrow" w:hAnsi="Arial Narrow"/>
                <w:snapToGrid w:val="0"/>
              </w:rPr>
            </w:pPr>
            <w:r>
              <w:rPr>
                <w:rFonts w:ascii="Arial Narrow" w:hAnsi="Arial Narrow"/>
                <w:snapToGrid w:val="0"/>
              </w:rPr>
              <w:t>3%</w:t>
            </w:r>
          </w:p>
          <w:p w14:paraId="669D2525" w14:textId="77777777" w:rsidR="00C031FF" w:rsidRDefault="00C031FF" w:rsidP="00C031FF">
            <w:pPr>
              <w:spacing w:after="0" w:line="320" w:lineRule="atLeast"/>
              <w:jc w:val="center"/>
              <w:rPr>
                <w:rFonts w:ascii="Arial Narrow" w:hAnsi="Arial Narrow"/>
                <w:snapToGrid w:val="0"/>
              </w:rPr>
            </w:pPr>
            <w:r>
              <w:rPr>
                <w:rFonts w:ascii="Arial Narrow" w:hAnsi="Arial Narrow"/>
                <w:snapToGrid w:val="0"/>
              </w:rPr>
              <w:t>2%</w:t>
            </w:r>
          </w:p>
          <w:p w14:paraId="05F24D70" w14:textId="5722A191" w:rsidR="007B3FA0" w:rsidRPr="0019232A" w:rsidRDefault="007B3FA0" w:rsidP="00C031FF">
            <w:pPr>
              <w:spacing w:after="0" w:line="320" w:lineRule="atLeast"/>
              <w:jc w:val="center"/>
              <w:rPr>
                <w:rFonts w:ascii="Arial Narrow" w:hAnsi="Arial Narrow"/>
                <w:snapToGrid w:val="0"/>
              </w:rPr>
            </w:pPr>
          </w:p>
        </w:tc>
        <w:tc>
          <w:tcPr>
            <w:tcW w:w="2838" w:type="dxa"/>
            <w:tcBorders>
              <w:bottom w:val="nil"/>
              <w:right w:val="single" w:sz="4" w:space="0" w:color="auto"/>
            </w:tcBorders>
          </w:tcPr>
          <w:p w14:paraId="7F558209" w14:textId="77777777" w:rsidR="00C031FF" w:rsidRDefault="00C031FF" w:rsidP="00C031FF">
            <w:pPr>
              <w:spacing w:after="0" w:line="320" w:lineRule="atLeast"/>
              <w:jc w:val="center"/>
              <w:rPr>
                <w:rFonts w:ascii="Arial Narrow" w:hAnsi="Arial Narrow"/>
                <w:snapToGrid w:val="0"/>
              </w:rPr>
            </w:pPr>
          </w:p>
          <w:p w14:paraId="0E6A7EA5" w14:textId="77777777" w:rsidR="00C031FF" w:rsidRDefault="00C031FF" w:rsidP="00C031FF">
            <w:pPr>
              <w:spacing w:after="0" w:line="320" w:lineRule="atLeast"/>
              <w:jc w:val="center"/>
              <w:rPr>
                <w:rFonts w:ascii="Arial Narrow" w:hAnsi="Arial Narrow"/>
                <w:snapToGrid w:val="0"/>
              </w:rPr>
            </w:pPr>
            <w:r>
              <w:rPr>
                <w:rFonts w:ascii="Arial Narrow" w:hAnsi="Arial Narrow"/>
                <w:snapToGrid w:val="0"/>
              </w:rPr>
              <w:t>3%</w:t>
            </w:r>
          </w:p>
          <w:p w14:paraId="3B916F2B" w14:textId="26893EA9" w:rsidR="00C031FF" w:rsidRPr="0019232A" w:rsidRDefault="00C031FF" w:rsidP="00C031FF">
            <w:pPr>
              <w:spacing w:after="0" w:line="320" w:lineRule="atLeast"/>
              <w:jc w:val="center"/>
              <w:rPr>
                <w:rFonts w:ascii="Arial Narrow" w:hAnsi="Arial Narrow"/>
                <w:snapToGrid w:val="0"/>
              </w:rPr>
            </w:pPr>
            <w:r>
              <w:rPr>
                <w:rFonts w:ascii="Arial Narrow" w:hAnsi="Arial Narrow"/>
                <w:snapToGrid w:val="0"/>
              </w:rPr>
              <w:t>3%</w:t>
            </w:r>
          </w:p>
        </w:tc>
      </w:tr>
      <w:tr w:rsidR="00C031FF" w:rsidRPr="003F4BF6" w14:paraId="01A75C60" w14:textId="77777777" w:rsidTr="0019232A">
        <w:tc>
          <w:tcPr>
            <w:tcW w:w="3681" w:type="dxa"/>
            <w:tcBorders>
              <w:bottom w:val="single" w:sz="4" w:space="0" w:color="auto"/>
            </w:tcBorders>
          </w:tcPr>
          <w:p w14:paraId="2A4AAB94" w14:textId="77777777" w:rsidR="00C031FF" w:rsidRDefault="00C031FF" w:rsidP="00C031FF">
            <w:pPr>
              <w:pStyle w:val="tabletextNS"/>
              <w:spacing w:line="320" w:lineRule="atLeast"/>
              <w:rPr>
                <w:bCs/>
                <w:sz w:val="22"/>
                <w:szCs w:val="22"/>
              </w:rPr>
            </w:pPr>
            <w:r>
              <w:rPr>
                <w:bCs/>
                <w:sz w:val="22"/>
                <w:szCs w:val="22"/>
              </w:rPr>
              <w:t>Total Bilirubin</w:t>
            </w:r>
          </w:p>
          <w:p w14:paraId="35671624" w14:textId="02E3D30B" w:rsidR="00C031FF" w:rsidRPr="00B90222" w:rsidRDefault="00C031FF" w:rsidP="00C031FF">
            <w:pPr>
              <w:pStyle w:val="tabletextNS"/>
              <w:spacing w:line="320" w:lineRule="atLeast"/>
              <w:ind w:left="175"/>
              <w:rPr>
                <w:bCs/>
                <w:sz w:val="22"/>
                <w:szCs w:val="22"/>
              </w:rPr>
            </w:pPr>
            <w:r w:rsidRPr="00B90222">
              <w:rPr>
                <w:bCs/>
                <w:sz w:val="22"/>
                <w:szCs w:val="22"/>
              </w:rPr>
              <w:t>Grade 2 (</w:t>
            </w:r>
            <w:r>
              <w:rPr>
                <w:bCs/>
                <w:sz w:val="22"/>
                <w:szCs w:val="22"/>
              </w:rPr>
              <w:t>1.6 – 2.5</w:t>
            </w:r>
            <w:r w:rsidRPr="00B90222">
              <w:rPr>
                <w:bCs/>
                <w:sz w:val="22"/>
                <w:szCs w:val="22"/>
              </w:rPr>
              <w:t xml:space="preserve"> x ULN)</w:t>
            </w:r>
          </w:p>
          <w:p w14:paraId="44DE7599" w14:textId="7295A75E" w:rsidR="00C031FF" w:rsidRPr="0019232A" w:rsidRDefault="00C031FF" w:rsidP="0019232A">
            <w:pPr>
              <w:pStyle w:val="tabletextNS"/>
              <w:spacing w:line="320" w:lineRule="atLeast"/>
              <w:ind w:left="175"/>
              <w:rPr>
                <w:bCs/>
                <w:sz w:val="22"/>
                <w:szCs w:val="22"/>
              </w:rPr>
            </w:pPr>
            <w:r w:rsidRPr="00B90222">
              <w:rPr>
                <w:bCs/>
                <w:sz w:val="22"/>
                <w:szCs w:val="22"/>
              </w:rPr>
              <w:t xml:space="preserve">Grade 3 to </w:t>
            </w:r>
            <w:r>
              <w:rPr>
                <w:bCs/>
                <w:sz w:val="22"/>
                <w:szCs w:val="22"/>
              </w:rPr>
              <w:t>4</w:t>
            </w:r>
            <w:r w:rsidRPr="00B90222">
              <w:rPr>
                <w:bCs/>
                <w:sz w:val="22"/>
                <w:szCs w:val="22"/>
              </w:rPr>
              <w:t xml:space="preserve"> (&gt;</w:t>
            </w:r>
            <w:r>
              <w:rPr>
                <w:bCs/>
                <w:sz w:val="22"/>
                <w:szCs w:val="22"/>
              </w:rPr>
              <w:t xml:space="preserve"> 2.5</w:t>
            </w:r>
            <w:r w:rsidRPr="00B90222">
              <w:rPr>
                <w:bCs/>
                <w:sz w:val="22"/>
                <w:szCs w:val="22"/>
              </w:rPr>
              <w:t xml:space="preserve"> x ULN)</w:t>
            </w:r>
          </w:p>
        </w:tc>
        <w:tc>
          <w:tcPr>
            <w:tcW w:w="2974" w:type="dxa"/>
            <w:tcBorders>
              <w:bottom w:val="single" w:sz="4" w:space="0" w:color="auto"/>
            </w:tcBorders>
          </w:tcPr>
          <w:p w14:paraId="54C1CA4B" w14:textId="77777777" w:rsidR="00C031FF" w:rsidRDefault="00C031FF" w:rsidP="00C031FF">
            <w:pPr>
              <w:spacing w:after="0" w:line="320" w:lineRule="atLeast"/>
              <w:jc w:val="center"/>
              <w:rPr>
                <w:rFonts w:ascii="Arial Narrow" w:hAnsi="Arial Narrow"/>
                <w:snapToGrid w:val="0"/>
              </w:rPr>
            </w:pPr>
          </w:p>
          <w:p w14:paraId="297A86B9" w14:textId="08E636C1" w:rsidR="00C031FF" w:rsidRDefault="00C031FF" w:rsidP="00C031FF">
            <w:pPr>
              <w:spacing w:after="0" w:line="320" w:lineRule="atLeast"/>
              <w:jc w:val="center"/>
              <w:rPr>
                <w:rFonts w:ascii="Arial Narrow" w:hAnsi="Arial Narrow"/>
                <w:snapToGrid w:val="0"/>
              </w:rPr>
            </w:pPr>
            <w:r>
              <w:rPr>
                <w:rFonts w:ascii="Arial Narrow" w:hAnsi="Arial Narrow"/>
                <w:snapToGrid w:val="0"/>
              </w:rPr>
              <w:t>1%</w:t>
            </w:r>
          </w:p>
          <w:p w14:paraId="25524533" w14:textId="779A681A" w:rsidR="00C031FF" w:rsidRPr="0019232A" w:rsidRDefault="00C031FF" w:rsidP="00C031FF">
            <w:pPr>
              <w:spacing w:after="0" w:line="320" w:lineRule="atLeast"/>
              <w:jc w:val="center"/>
              <w:rPr>
                <w:rFonts w:ascii="Arial Narrow" w:hAnsi="Arial Narrow"/>
                <w:snapToGrid w:val="0"/>
              </w:rPr>
            </w:pPr>
            <w:r>
              <w:rPr>
                <w:rFonts w:ascii="Arial Narrow" w:hAnsi="Arial Narrow"/>
                <w:snapToGrid w:val="0"/>
              </w:rPr>
              <w:t>&lt; 1%</w:t>
            </w:r>
          </w:p>
        </w:tc>
        <w:tc>
          <w:tcPr>
            <w:tcW w:w="2838" w:type="dxa"/>
            <w:tcBorders>
              <w:bottom w:val="single" w:sz="4" w:space="0" w:color="auto"/>
              <w:right w:val="single" w:sz="4" w:space="0" w:color="auto"/>
            </w:tcBorders>
          </w:tcPr>
          <w:p w14:paraId="7DDC253F" w14:textId="77777777" w:rsidR="00C031FF" w:rsidRDefault="00C031FF" w:rsidP="00C031FF">
            <w:pPr>
              <w:spacing w:after="0" w:line="320" w:lineRule="atLeast"/>
              <w:jc w:val="center"/>
              <w:rPr>
                <w:rFonts w:ascii="Arial Narrow" w:hAnsi="Arial Narrow"/>
                <w:snapToGrid w:val="0"/>
              </w:rPr>
            </w:pPr>
          </w:p>
          <w:p w14:paraId="018DCDF0" w14:textId="6E22CF77" w:rsidR="00C031FF" w:rsidRDefault="00C031FF" w:rsidP="00C031FF">
            <w:pPr>
              <w:spacing w:after="0" w:line="320" w:lineRule="atLeast"/>
              <w:jc w:val="center"/>
              <w:rPr>
                <w:rFonts w:ascii="Arial Narrow" w:hAnsi="Arial Narrow"/>
                <w:snapToGrid w:val="0"/>
              </w:rPr>
            </w:pPr>
            <w:r>
              <w:rPr>
                <w:rFonts w:ascii="Arial Narrow" w:hAnsi="Arial Narrow"/>
                <w:snapToGrid w:val="0"/>
              </w:rPr>
              <w:t>2%</w:t>
            </w:r>
          </w:p>
          <w:p w14:paraId="60358E77" w14:textId="42A397CE" w:rsidR="00C031FF" w:rsidRPr="0019232A" w:rsidRDefault="00C031FF" w:rsidP="00C031FF">
            <w:pPr>
              <w:spacing w:after="0" w:line="320" w:lineRule="atLeast"/>
              <w:jc w:val="center"/>
              <w:rPr>
                <w:rFonts w:ascii="Arial Narrow" w:hAnsi="Arial Narrow"/>
                <w:snapToGrid w:val="0"/>
              </w:rPr>
            </w:pPr>
            <w:r>
              <w:rPr>
                <w:rFonts w:ascii="Arial Narrow" w:hAnsi="Arial Narrow"/>
                <w:snapToGrid w:val="0"/>
              </w:rPr>
              <w:t>&lt; 1%</w:t>
            </w:r>
          </w:p>
        </w:tc>
      </w:tr>
      <w:tr w:rsidR="00C031FF" w:rsidRPr="003F4BF6" w14:paraId="310CD06A" w14:textId="77777777" w:rsidTr="0019232A">
        <w:tc>
          <w:tcPr>
            <w:tcW w:w="3681" w:type="dxa"/>
          </w:tcPr>
          <w:p w14:paraId="72950A57" w14:textId="77777777" w:rsidR="00C031FF" w:rsidRDefault="00C031FF" w:rsidP="00C031FF">
            <w:pPr>
              <w:pStyle w:val="tabletextNS"/>
              <w:spacing w:line="320" w:lineRule="atLeast"/>
              <w:rPr>
                <w:bCs/>
                <w:sz w:val="22"/>
                <w:szCs w:val="22"/>
              </w:rPr>
            </w:pPr>
            <w:r>
              <w:rPr>
                <w:bCs/>
                <w:sz w:val="22"/>
                <w:szCs w:val="22"/>
              </w:rPr>
              <w:t>Creatine kinase</w:t>
            </w:r>
          </w:p>
          <w:p w14:paraId="5ABA9ADF" w14:textId="6A457CB6" w:rsidR="00C031FF" w:rsidRPr="00B90222" w:rsidRDefault="00C031FF" w:rsidP="00C031FF">
            <w:pPr>
              <w:pStyle w:val="tabletextNS"/>
              <w:spacing w:line="320" w:lineRule="atLeast"/>
              <w:ind w:left="175"/>
              <w:rPr>
                <w:bCs/>
                <w:sz w:val="22"/>
                <w:szCs w:val="22"/>
              </w:rPr>
            </w:pPr>
            <w:r w:rsidRPr="00B90222">
              <w:rPr>
                <w:bCs/>
                <w:sz w:val="22"/>
                <w:szCs w:val="22"/>
              </w:rPr>
              <w:t>Grade 2 (</w:t>
            </w:r>
            <w:r>
              <w:rPr>
                <w:bCs/>
                <w:sz w:val="22"/>
                <w:szCs w:val="22"/>
              </w:rPr>
              <w:t>6.0 – 9.9</w:t>
            </w:r>
            <w:r w:rsidRPr="00B90222">
              <w:rPr>
                <w:bCs/>
                <w:sz w:val="22"/>
                <w:szCs w:val="22"/>
              </w:rPr>
              <w:t xml:space="preserve"> x ULN)</w:t>
            </w:r>
          </w:p>
          <w:p w14:paraId="0C8F8CFE" w14:textId="546AEF26" w:rsidR="00C031FF" w:rsidRPr="0019232A" w:rsidRDefault="00C031FF" w:rsidP="0019232A">
            <w:pPr>
              <w:pStyle w:val="tabletextNS"/>
              <w:spacing w:line="320" w:lineRule="atLeast"/>
              <w:ind w:left="175"/>
              <w:rPr>
                <w:bCs/>
                <w:sz w:val="22"/>
                <w:szCs w:val="22"/>
              </w:rPr>
            </w:pPr>
            <w:r w:rsidRPr="00B90222">
              <w:rPr>
                <w:bCs/>
                <w:sz w:val="22"/>
                <w:szCs w:val="22"/>
              </w:rPr>
              <w:t xml:space="preserve">Grade 3 to </w:t>
            </w:r>
            <w:r>
              <w:rPr>
                <w:bCs/>
                <w:sz w:val="22"/>
                <w:szCs w:val="22"/>
              </w:rPr>
              <w:t>4</w:t>
            </w:r>
            <w:r w:rsidRPr="00B90222">
              <w:rPr>
                <w:bCs/>
                <w:sz w:val="22"/>
                <w:szCs w:val="22"/>
              </w:rPr>
              <w:t xml:space="preserve"> (&gt;</w:t>
            </w:r>
            <w:r>
              <w:rPr>
                <w:bCs/>
                <w:sz w:val="22"/>
                <w:szCs w:val="22"/>
              </w:rPr>
              <w:t xml:space="preserve"> 10.0</w:t>
            </w:r>
            <w:r w:rsidRPr="00B90222">
              <w:rPr>
                <w:bCs/>
                <w:sz w:val="22"/>
                <w:szCs w:val="22"/>
              </w:rPr>
              <w:t xml:space="preserve"> x ULN)</w:t>
            </w:r>
          </w:p>
        </w:tc>
        <w:tc>
          <w:tcPr>
            <w:tcW w:w="2974" w:type="dxa"/>
          </w:tcPr>
          <w:p w14:paraId="116E8EDF" w14:textId="77777777" w:rsidR="00C031FF" w:rsidRDefault="00C031FF" w:rsidP="00C031FF">
            <w:pPr>
              <w:spacing w:after="0" w:line="320" w:lineRule="atLeast"/>
              <w:jc w:val="center"/>
              <w:rPr>
                <w:rFonts w:ascii="Arial Narrow" w:hAnsi="Arial Narrow"/>
                <w:snapToGrid w:val="0"/>
              </w:rPr>
            </w:pPr>
          </w:p>
          <w:p w14:paraId="596BC07A" w14:textId="37E6512B" w:rsidR="00C031FF" w:rsidRDefault="00C031FF" w:rsidP="00C031FF">
            <w:pPr>
              <w:spacing w:after="0" w:line="320" w:lineRule="atLeast"/>
              <w:jc w:val="center"/>
              <w:rPr>
                <w:rFonts w:ascii="Arial Narrow" w:hAnsi="Arial Narrow"/>
                <w:snapToGrid w:val="0"/>
              </w:rPr>
            </w:pPr>
            <w:r>
              <w:rPr>
                <w:rFonts w:ascii="Arial Narrow" w:hAnsi="Arial Narrow"/>
                <w:snapToGrid w:val="0"/>
              </w:rPr>
              <w:t>4%</w:t>
            </w:r>
          </w:p>
          <w:p w14:paraId="7A20B600" w14:textId="27955EB1" w:rsidR="00C031FF" w:rsidRPr="0019232A" w:rsidRDefault="00C031FF" w:rsidP="00C031FF">
            <w:pPr>
              <w:spacing w:after="0" w:line="320" w:lineRule="atLeast"/>
              <w:jc w:val="center"/>
              <w:rPr>
                <w:rFonts w:ascii="Arial Narrow" w:hAnsi="Arial Narrow"/>
                <w:snapToGrid w:val="0"/>
              </w:rPr>
            </w:pPr>
            <w:r>
              <w:rPr>
                <w:rFonts w:ascii="Arial Narrow" w:hAnsi="Arial Narrow"/>
                <w:snapToGrid w:val="0"/>
              </w:rPr>
              <w:t>4%</w:t>
            </w:r>
          </w:p>
        </w:tc>
        <w:tc>
          <w:tcPr>
            <w:tcW w:w="2838" w:type="dxa"/>
            <w:tcBorders>
              <w:right w:val="single" w:sz="4" w:space="0" w:color="auto"/>
            </w:tcBorders>
          </w:tcPr>
          <w:p w14:paraId="15EABA87" w14:textId="77777777" w:rsidR="00C031FF" w:rsidRDefault="00C031FF" w:rsidP="00C031FF">
            <w:pPr>
              <w:spacing w:after="0" w:line="320" w:lineRule="atLeast"/>
              <w:jc w:val="center"/>
              <w:rPr>
                <w:rFonts w:ascii="Arial Narrow" w:hAnsi="Arial Narrow"/>
                <w:snapToGrid w:val="0"/>
              </w:rPr>
            </w:pPr>
          </w:p>
          <w:p w14:paraId="69028A7B" w14:textId="77777777" w:rsidR="00C031FF" w:rsidRDefault="00C031FF" w:rsidP="00C031FF">
            <w:pPr>
              <w:spacing w:after="0" w:line="320" w:lineRule="atLeast"/>
              <w:jc w:val="center"/>
              <w:rPr>
                <w:rFonts w:ascii="Arial Narrow" w:hAnsi="Arial Narrow"/>
                <w:snapToGrid w:val="0"/>
              </w:rPr>
            </w:pPr>
            <w:r>
              <w:rPr>
                <w:rFonts w:ascii="Arial Narrow" w:hAnsi="Arial Narrow"/>
                <w:snapToGrid w:val="0"/>
              </w:rPr>
              <w:t>3%</w:t>
            </w:r>
          </w:p>
          <w:p w14:paraId="53F31F83" w14:textId="4B729A17" w:rsidR="00C031FF" w:rsidRPr="0019232A" w:rsidRDefault="00C031FF" w:rsidP="00C031FF">
            <w:pPr>
              <w:spacing w:after="0" w:line="320" w:lineRule="atLeast"/>
              <w:jc w:val="center"/>
              <w:rPr>
                <w:rFonts w:ascii="Arial Narrow" w:hAnsi="Arial Narrow"/>
                <w:snapToGrid w:val="0"/>
              </w:rPr>
            </w:pPr>
            <w:r>
              <w:rPr>
                <w:rFonts w:ascii="Arial Narrow" w:hAnsi="Arial Narrow"/>
                <w:snapToGrid w:val="0"/>
              </w:rPr>
              <w:t>5%</w:t>
            </w:r>
          </w:p>
        </w:tc>
      </w:tr>
      <w:tr w:rsidR="00C031FF" w:rsidRPr="003F4BF6" w14:paraId="57E3F10F" w14:textId="77777777" w:rsidTr="0019232A">
        <w:tc>
          <w:tcPr>
            <w:tcW w:w="3681" w:type="dxa"/>
          </w:tcPr>
          <w:p w14:paraId="099A4453" w14:textId="5B8F2D58" w:rsidR="00C031FF" w:rsidRDefault="00C031FF" w:rsidP="00C031FF">
            <w:pPr>
              <w:pStyle w:val="tabletextNS"/>
              <w:spacing w:line="320" w:lineRule="atLeast"/>
              <w:rPr>
                <w:bCs/>
                <w:sz w:val="22"/>
                <w:szCs w:val="22"/>
              </w:rPr>
            </w:pPr>
            <w:r>
              <w:rPr>
                <w:bCs/>
                <w:sz w:val="22"/>
                <w:szCs w:val="22"/>
              </w:rPr>
              <w:t>Hyperglycaemia</w:t>
            </w:r>
          </w:p>
          <w:p w14:paraId="1ECB7864" w14:textId="0BE10A4A" w:rsidR="00C031FF" w:rsidRPr="00B90222" w:rsidRDefault="00C031FF" w:rsidP="00C031FF">
            <w:pPr>
              <w:pStyle w:val="tabletextNS"/>
              <w:spacing w:line="320" w:lineRule="atLeast"/>
              <w:ind w:left="175"/>
              <w:rPr>
                <w:bCs/>
                <w:sz w:val="22"/>
                <w:szCs w:val="22"/>
              </w:rPr>
            </w:pPr>
            <w:r w:rsidRPr="00B90222">
              <w:rPr>
                <w:bCs/>
                <w:sz w:val="22"/>
                <w:szCs w:val="22"/>
              </w:rPr>
              <w:t>Grade 2 (</w:t>
            </w:r>
            <w:r w:rsidR="00D12618">
              <w:rPr>
                <w:bCs/>
                <w:sz w:val="22"/>
                <w:szCs w:val="22"/>
              </w:rPr>
              <w:t>6.9</w:t>
            </w:r>
            <w:r w:rsidR="00087F8F">
              <w:rPr>
                <w:bCs/>
                <w:sz w:val="22"/>
                <w:szCs w:val="22"/>
              </w:rPr>
              <w:t>5</w:t>
            </w:r>
            <w:r w:rsidR="007A52F2">
              <w:rPr>
                <w:bCs/>
                <w:sz w:val="22"/>
                <w:szCs w:val="22"/>
              </w:rPr>
              <w:t>-13.</w:t>
            </w:r>
            <w:r w:rsidR="00467186">
              <w:rPr>
                <w:bCs/>
                <w:sz w:val="22"/>
                <w:szCs w:val="22"/>
              </w:rPr>
              <w:t>89</w:t>
            </w:r>
            <w:r w:rsidR="007A52F2">
              <w:rPr>
                <w:bCs/>
                <w:sz w:val="22"/>
                <w:szCs w:val="22"/>
              </w:rPr>
              <w:t xml:space="preserve"> mmol/L</w:t>
            </w:r>
            <w:r w:rsidRPr="00B90222">
              <w:rPr>
                <w:bCs/>
                <w:sz w:val="22"/>
                <w:szCs w:val="22"/>
              </w:rPr>
              <w:t>)</w:t>
            </w:r>
          </w:p>
          <w:p w14:paraId="53A43498" w14:textId="1074966C" w:rsidR="00C031FF" w:rsidRPr="0019232A" w:rsidRDefault="00C031FF" w:rsidP="0019232A">
            <w:pPr>
              <w:pStyle w:val="tabletextNS"/>
              <w:spacing w:line="320" w:lineRule="atLeast"/>
              <w:ind w:left="175"/>
              <w:rPr>
                <w:bCs/>
                <w:sz w:val="22"/>
                <w:szCs w:val="22"/>
              </w:rPr>
            </w:pPr>
            <w:r w:rsidRPr="00B90222">
              <w:rPr>
                <w:bCs/>
                <w:sz w:val="22"/>
                <w:szCs w:val="22"/>
              </w:rPr>
              <w:t xml:space="preserve">Grade 3 to </w:t>
            </w:r>
            <w:r>
              <w:rPr>
                <w:bCs/>
                <w:sz w:val="22"/>
                <w:szCs w:val="22"/>
              </w:rPr>
              <w:t>4</w:t>
            </w:r>
            <w:r w:rsidRPr="00B90222">
              <w:rPr>
                <w:bCs/>
                <w:sz w:val="22"/>
                <w:szCs w:val="22"/>
              </w:rPr>
              <w:t xml:space="preserve"> (&gt;</w:t>
            </w:r>
            <w:r>
              <w:rPr>
                <w:bCs/>
                <w:sz w:val="22"/>
                <w:szCs w:val="22"/>
              </w:rPr>
              <w:t xml:space="preserve"> </w:t>
            </w:r>
            <w:r w:rsidR="007A52F2">
              <w:rPr>
                <w:bCs/>
                <w:sz w:val="22"/>
                <w:szCs w:val="22"/>
              </w:rPr>
              <w:t>13.</w:t>
            </w:r>
            <w:r w:rsidR="00467186">
              <w:rPr>
                <w:bCs/>
                <w:sz w:val="22"/>
                <w:szCs w:val="22"/>
              </w:rPr>
              <w:t>89</w:t>
            </w:r>
            <w:r w:rsidR="007A52F2">
              <w:rPr>
                <w:bCs/>
                <w:sz w:val="22"/>
                <w:szCs w:val="22"/>
              </w:rPr>
              <w:t xml:space="preserve"> mmol/L</w:t>
            </w:r>
            <w:r w:rsidRPr="00B90222">
              <w:rPr>
                <w:bCs/>
                <w:sz w:val="22"/>
                <w:szCs w:val="22"/>
              </w:rPr>
              <w:t>)</w:t>
            </w:r>
          </w:p>
        </w:tc>
        <w:tc>
          <w:tcPr>
            <w:tcW w:w="2974" w:type="dxa"/>
          </w:tcPr>
          <w:p w14:paraId="765F8846" w14:textId="77777777" w:rsidR="00C031FF" w:rsidRDefault="00C031FF" w:rsidP="00C031FF">
            <w:pPr>
              <w:spacing w:after="0" w:line="320" w:lineRule="atLeast"/>
              <w:jc w:val="center"/>
              <w:rPr>
                <w:rFonts w:ascii="Arial Narrow" w:hAnsi="Arial Narrow"/>
                <w:snapToGrid w:val="0"/>
              </w:rPr>
            </w:pPr>
          </w:p>
          <w:p w14:paraId="49FBD60C" w14:textId="3CB437D9" w:rsidR="00C031FF" w:rsidRDefault="00C031FF" w:rsidP="00C031FF">
            <w:pPr>
              <w:spacing w:after="0" w:line="320" w:lineRule="atLeast"/>
              <w:jc w:val="center"/>
              <w:rPr>
                <w:rFonts w:ascii="Arial Narrow" w:hAnsi="Arial Narrow"/>
                <w:snapToGrid w:val="0"/>
              </w:rPr>
            </w:pPr>
            <w:r>
              <w:rPr>
                <w:rFonts w:ascii="Arial Narrow" w:hAnsi="Arial Narrow"/>
                <w:snapToGrid w:val="0"/>
              </w:rPr>
              <w:t>7%</w:t>
            </w:r>
          </w:p>
          <w:p w14:paraId="5D828D00" w14:textId="4040BB8E" w:rsidR="00C031FF" w:rsidRPr="0019232A" w:rsidRDefault="00C031FF" w:rsidP="00C031FF">
            <w:pPr>
              <w:spacing w:after="0" w:line="320" w:lineRule="atLeast"/>
              <w:jc w:val="center"/>
              <w:rPr>
                <w:rFonts w:ascii="Arial Narrow" w:hAnsi="Arial Narrow"/>
                <w:snapToGrid w:val="0"/>
              </w:rPr>
            </w:pPr>
            <w:r>
              <w:rPr>
                <w:rFonts w:ascii="Arial Narrow" w:hAnsi="Arial Narrow"/>
                <w:snapToGrid w:val="0"/>
              </w:rPr>
              <w:t>&lt; 1%</w:t>
            </w:r>
          </w:p>
        </w:tc>
        <w:tc>
          <w:tcPr>
            <w:tcW w:w="2838" w:type="dxa"/>
            <w:tcBorders>
              <w:right w:val="single" w:sz="4" w:space="0" w:color="auto"/>
            </w:tcBorders>
          </w:tcPr>
          <w:p w14:paraId="49CF49AE" w14:textId="77777777" w:rsidR="00C031FF" w:rsidRDefault="00C031FF" w:rsidP="00C031FF">
            <w:pPr>
              <w:spacing w:after="0" w:line="320" w:lineRule="atLeast"/>
              <w:jc w:val="center"/>
              <w:rPr>
                <w:rFonts w:ascii="Arial Narrow" w:hAnsi="Arial Narrow"/>
                <w:snapToGrid w:val="0"/>
              </w:rPr>
            </w:pPr>
          </w:p>
          <w:p w14:paraId="304A877B" w14:textId="495676C0" w:rsidR="00C031FF" w:rsidRDefault="00C031FF" w:rsidP="00C031FF">
            <w:pPr>
              <w:spacing w:after="0" w:line="320" w:lineRule="atLeast"/>
              <w:jc w:val="center"/>
              <w:rPr>
                <w:rFonts w:ascii="Arial Narrow" w:hAnsi="Arial Narrow"/>
                <w:snapToGrid w:val="0"/>
              </w:rPr>
            </w:pPr>
            <w:r>
              <w:rPr>
                <w:rFonts w:ascii="Arial Narrow" w:hAnsi="Arial Narrow"/>
                <w:snapToGrid w:val="0"/>
              </w:rPr>
              <w:t>4%</w:t>
            </w:r>
          </w:p>
          <w:p w14:paraId="74681469" w14:textId="1872418B" w:rsidR="00C031FF" w:rsidRPr="0019232A" w:rsidRDefault="00C031FF" w:rsidP="00C031FF">
            <w:pPr>
              <w:spacing w:after="0" w:line="320" w:lineRule="atLeast"/>
              <w:jc w:val="center"/>
              <w:rPr>
                <w:rFonts w:ascii="Arial Narrow" w:hAnsi="Arial Narrow"/>
                <w:snapToGrid w:val="0"/>
              </w:rPr>
            </w:pPr>
            <w:r>
              <w:rPr>
                <w:rFonts w:ascii="Arial Narrow" w:hAnsi="Arial Narrow"/>
                <w:snapToGrid w:val="0"/>
              </w:rPr>
              <w:t>&lt; 1%</w:t>
            </w:r>
          </w:p>
        </w:tc>
      </w:tr>
      <w:tr w:rsidR="00C031FF" w:rsidRPr="003F4BF6" w14:paraId="6C8CF35C" w14:textId="77777777" w:rsidTr="0019232A">
        <w:tc>
          <w:tcPr>
            <w:tcW w:w="3681" w:type="dxa"/>
          </w:tcPr>
          <w:p w14:paraId="07E3B928" w14:textId="77777777" w:rsidR="00C031FF" w:rsidRDefault="00C031FF" w:rsidP="00C031FF">
            <w:pPr>
              <w:pStyle w:val="tabletextNS"/>
              <w:spacing w:line="320" w:lineRule="atLeast"/>
              <w:rPr>
                <w:bCs/>
                <w:sz w:val="22"/>
                <w:szCs w:val="22"/>
              </w:rPr>
            </w:pPr>
            <w:proofErr w:type="spellStart"/>
            <w:r>
              <w:rPr>
                <w:bCs/>
                <w:sz w:val="22"/>
                <w:szCs w:val="22"/>
              </w:rPr>
              <w:lastRenderedPageBreak/>
              <w:t>Hypophosphataemia</w:t>
            </w:r>
            <w:proofErr w:type="spellEnd"/>
          </w:p>
          <w:p w14:paraId="4642E595" w14:textId="7156E47F" w:rsidR="00C031FF" w:rsidRPr="00B90222" w:rsidRDefault="00C031FF" w:rsidP="00C031FF">
            <w:pPr>
              <w:pStyle w:val="tabletextNS"/>
              <w:spacing w:line="320" w:lineRule="atLeast"/>
              <w:ind w:left="175"/>
              <w:rPr>
                <w:bCs/>
                <w:sz w:val="22"/>
                <w:szCs w:val="22"/>
              </w:rPr>
            </w:pPr>
            <w:r w:rsidRPr="00B90222">
              <w:rPr>
                <w:bCs/>
                <w:sz w:val="22"/>
                <w:szCs w:val="22"/>
              </w:rPr>
              <w:t>Grade 2 (</w:t>
            </w:r>
            <w:r w:rsidR="00F77AD3">
              <w:rPr>
                <w:bCs/>
                <w:sz w:val="22"/>
                <w:szCs w:val="22"/>
              </w:rPr>
              <w:t>0.</w:t>
            </w:r>
            <w:r w:rsidR="00C52D6D">
              <w:rPr>
                <w:bCs/>
                <w:sz w:val="22"/>
                <w:szCs w:val="22"/>
              </w:rPr>
              <w:t>65</w:t>
            </w:r>
            <w:r w:rsidR="00F77AD3">
              <w:rPr>
                <w:bCs/>
                <w:sz w:val="22"/>
                <w:szCs w:val="22"/>
              </w:rPr>
              <w:t>-0.</w:t>
            </w:r>
            <w:r w:rsidR="00951147">
              <w:rPr>
                <w:bCs/>
                <w:sz w:val="22"/>
                <w:szCs w:val="22"/>
              </w:rPr>
              <w:t>81</w:t>
            </w:r>
            <w:r w:rsidR="00F77AD3">
              <w:rPr>
                <w:bCs/>
                <w:sz w:val="22"/>
                <w:szCs w:val="22"/>
              </w:rPr>
              <w:t xml:space="preserve"> mmol/L</w:t>
            </w:r>
            <w:r w:rsidRPr="00B90222">
              <w:rPr>
                <w:bCs/>
                <w:sz w:val="22"/>
                <w:szCs w:val="22"/>
              </w:rPr>
              <w:t>)</w:t>
            </w:r>
          </w:p>
          <w:p w14:paraId="0A6EBE7D" w14:textId="21ECFA50" w:rsidR="00C031FF" w:rsidRPr="0019232A" w:rsidRDefault="00C031FF" w:rsidP="0019232A">
            <w:pPr>
              <w:pStyle w:val="tabletextNS"/>
              <w:spacing w:line="320" w:lineRule="atLeast"/>
              <w:ind w:left="175"/>
              <w:rPr>
                <w:bCs/>
                <w:sz w:val="22"/>
                <w:szCs w:val="22"/>
              </w:rPr>
            </w:pPr>
            <w:r w:rsidRPr="00B90222">
              <w:rPr>
                <w:bCs/>
                <w:sz w:val="22"/>
                <w:szCs w:val="22"/>
              </w:rPr>
              <w:t xml:space="preserve">Grade 3 to </w:t>
            </w:r>
            <w:r>
              <w:rPr>
                <w:bCs/>
                <w:sz w:val="22"/>
                <w:szCs w:val="22"/>
              </w:rPr>
              <w:t>4</w:t>
            </w:r>
            <w:r w:rsidRPr="00B90222">
              <w:rPr>
                <w:bCs/>
                <w:sz w:val="22"/>
                <w:szCs w:val="22"/>
              </w:rPr>
              <w:t xml:space="preserve"> (</w:t>
            </w:r>
            <w:r>
              <w:rPr>
                <w:bCs/>
                <w:sz w:val="22"/>
                <w:szCs w:val="22"/>
              </w:rPr>
              <w:t xml:space="preserve">&lt; </w:t>
            </w:r>
            <w:r w:rsidR="00F77AD3">
              <w:rPr>
                <w:bCs/>
                <w:sz w:val="22"/>
                <w:szCs w:val="22"/>
              </w:rPr>
              <w:t>0.</w:t>
            </w:r>
            <w:r w:rsidR="00951147">
              <w:rPr>
                <w:bCs/>
                <w:sz w:val="22"/>
                <w:szCs w:val="22"/>
              </w:rPr>
              <w:t>65</w:t>
            </w:r>
            <w:r w:rsidR="00F77AD3">
              <w:rPr>
                <w:bCs/>
                <w:sz w:val="22"/>
                <w:szCs w:val="22"/>
              </w:rPr>
              <w:t xml:space="preserve"> mmol/L</w:t>
            </w:r>
            <w:r w:rsidRPr="00B90222">
              <w:rPr>
                <w:bCs/>
                <w:sz w:val="22"/>
                <w:szCs w:val="22"/>
              </w:rPr>
              <w:t>)</w:t>
            </w:r>
          </w:p>
        </w:tc>
        <w:tc>
          <w:tcPr>
            <w:tcW w:w="2974" w:type="dxa"/>
          </w:tcPr>
          <w:p w14:paraId="5571C270" w14:textId="77777777" w:rsidR="00C031FF" w:rsidRDefault="00C031FF" w:rsidP="00C031FF">
            <w:pPr>
              <w:spacing w:after="0" w:line="320" w:lineRule="atLeast"/>
              <w:jc w:val="center"/>
              <w:rPr>
                <w:rFonts w:ascii="Arial Narrow" w:hAnsi="Arial Narrow"/>
                <w:snapToGrid w:val="0"/>
              </w:rPr>
            </w:pPr>
          </w:p>
          <w:p w14:paraId="083D2945" w14:textId="42E31BB0" w:rsidR="00C031FF" w:rsidRDefault="00C031FF" w:rsidP="00C031FF">
            <w:pPr>
              <w:spacing w:after="0" w:line="320" w:lineRule="atLeast"/>
              <w:jc w:val="center"/>
              <w:rPr>
                <w:rFonts w:ascii="Arial Narrow" w:hAnsi="Arial Narrow"/>
                <w:snapToGrid w:val="0"/>
              </w:rPr>
            </w:pPr>
            <w:r>
              <w:rPr>
                <w:rFonts w:ascii="Arial Narrow" w:hAnsi="Arial Narrow"/>
                <w:snapToGrid w:val="0"/>
              </w:rPr>
              <w:t>7%</w:t>
            </w:r>
          </w:p>
          <w:p w14:paraId="558E8478" w14:textId="39093E41" w:rsidR="00C031FF" w:rsidRPr="0019232A" w:rsidRDefault="00C031FF" w:rsidP="00C031FF">
            <w:pPr>
              <w:spacing w:after="0" w:line="320" w:lineRule="atLeast"/>
              <w:jc w:val="center"/>
              <w:rPr>
                <w:rFonts w:ascii="Arial Narrow" w:hAnsi="Arial Narrow"/>
                <w:snapToGrid w:val="0"/>
              </w:rPr>
            </w:pPr>
            <w:r>
              <w:rPr>
                <w:rFonts w:ascii="Arial Narrow" w:hAnsi="Arial Narrow"/>
                <w:snapToGrid w:val="0"/>
              </w:rPr>
              <w:t>&lt; 1%</w:t>
            </w:r>
          </w:p>
        </w:tc>
        <w:tc>
          <w:tcPr>
            <w:tcW w:w="2838" w:type="dxa"/>
            <w:tcBorders>
              <w:right w:val="single" w:sz="4" w:space="0" w:color="auto"/>
            </w:tcBorders>
          </w:tcPr>
          <w:p w14:paraId="125AEF49" w14:textId="77777777" w:rsidR="00C031FF" w:rsidRDefault="00C031FF" w:rsidP="00C031FF">
            <w:pPr>
              <w:spacing w:after="0" w:line="320" w:lineRule="atLeast"/>
              <w:jc w:val="center"/>
              <w:rPr>
                <w:rFonts w:ascii="Arial Narrow" w:hAnsi="Arial Narrow"/>
                <w:snapToGrid w:val="0"/>
              </w:rPr>
            </w:pPr>
          </w:p>
          <w:p w14:paraId="459A84B5" w14:textId="2688E20F" w:rsidR="00C031FF" w:rsidRDefault="00C031FF" w:rsidP="00C031FF">
            <w:pPr>
              <w:spacing w:after="0" w:line="320" w:lineRule="atLeast"/>
              <w:jc w:val="center"/>
              <w:rPr>
                <w:rFonts w:ascii="Arial Narrow" w:hAnsi="Arial Narrow"/>
                <w:snapToGrid w:val="0"/>
              </w:rPr>
            </w:pPr>
            <w:r>
              <w:rPr>
                <w:rFonts w:ascii="Arial Narrow" w:hAnsi="Arial Narrow"/>
                <w:snapToGrid w:val="0"/>
              </w:rPr>
              <w:t>8%</w:t>
            </w:r>
          </w:p>
          <w:p w14:paraId="577CDF3C" w14:textId="44932457" w:rsidR="00C031FF" w:rsidRPr="0019232A" w:rsidRDefault="00C031FF" w:rsidP="00C031FF">
            <w:pPr>
              <w:spacing w:after="0" w:line="320" w:lineRule="atLeast"/>
              <w:jc w:val="center"/>
              <w:rPr>
                <w:rFonts w:ascii="Arial Narrow" w:hAnsi="Arial Narrow"/>
                <w:snapToGrid w:val="0"/>
              </w:rPr>
            </w:pPr>
            <w:r>
              <w:rPr>
                <w:rFonts w:ascii="Arial Narrow" w:hAnsi="Arial Narrow"/>
                <w:snapToGrid w:val="0"/>
              </w:rPr>
              <w:t>&lt; 1%</w:t>
            </w:r>
          </w:p>
        </w:tc>
      </w:tr>
      <w:tr w:rsidR="00C031FF" w:rsidRPr="003F4BF6" w14:paraId="1A069AD6" w14:textId="77777777" w:rsidTr="0019232A">
        <w:tc>
          <w:tcPr>
            <w:tcW w:w="3681" w:type="dxa"/>
          </w:tcPr>
          <w:p w14:paraId="1321105D" w14:textId="77777777" w:rsidR="00C031FF" w:rsidRDefault="00C031FF" w:rsidP="00C031FF">
            <w:pPr>
              <w:pStyle w:val="tabletextNS"/>
              <w:spacing w:line="320" w:lineRule="atLeast"/>
              <w:rPr>
                <w:bCs/>
                <w:sz w:val="22"/>
                <w:szCs w:val="22"/>
              </w:rPr>
            </w:pPr>
            <w:r>
              <w:rPr>
                <w:bCs/>
                <w:sz w:val="22"/>
                <w:szCs w:val="22"/>
              </w:rPr>
              <w:t>Lipase</w:t>
            </w:r>
          </w:p>
          <w:p w14:paraId="4D53B3BE" w14:textId="35834046" w:rsidR="00C031FF" w:rsidRPr="00B90222" w:rsidRDefault="00C031FF" w:rsidP="00C031FF">
            <w:pPr>
              <w:pStyle w:val="tabletextNS"/>
              <w:spacing w:line="320" w:lineRule="atLeast"/>
              <w:ind w:left="175"/>
              <w:rPr>
                <w:bCs/>
                <w:sz w:val="22"/>
                <w:szCs w:val="22"/>
              </w:rPr>
            </w:pPr>
            <w:r w:rsidRPr="00B90222">
              <w:rPr>
                <w:bCs/>
                <w:sz w:val="22"/>
                <w:szCs w:val="22"/>
              </w:rPr>
              <w:t>Grade 2 (</w:t>
            </w:r>
            <w:r>
              <w:rPr>
                <w:bCs/>
                <w:sz w:val="22"/>
                <w:szCs w:val="22"/>
              </w:rPr>
              <w:t>&gt; 1.5 – 3.0</w:t>
            </w:r>
            <w:r w:rsidRPr="00B90222">
              <w:rPr>
                <w:bCs/>
                <w:sz w:val="22"/>
                <w:szCs w:val="22"/>
              </w:rPr>
              <w:t xml:space="preserve"> x ULN)</w:t>
            </w:r>
          </w:p>
          <w:p w14:paraId="56100A4B" w14:textId="7AC72A2F" w:rsidR="00C031FF" w:rsidRPr="0019232A" w:rsidRDefault="00C031FF" w:rsidP="0019232A">
            <w:pPr>
              <w:pStyle w:val="tabletextNS"/>
              <w:spacing w:line="320" w:lineRule="atLeast"/>
              <w:ind w:left="175"/>
              <w:rPr>
                <w:bCs/>
                <w:sz w:val="22"/>
                <w:szCs w:val="22"/>
              </w:rPr>
            </w:pPr>
            <w:r w:rsidRPr="00B90222">
              <w:rPr>
                <w:bCs/>
                <w:sz w:val="22"/>
                <w:szCs w:val="22"/>
              </w:rPr>
              <w:t xml:space="preserve">Grade 3 to </w:t>
            </w:r>
            <w:r>
              <w:rPr>
                <w:bCs/>
                <w:sz w:val="22"/>
                <w:szCs w:val="22"/>
              </w:rPr>
              <w:t>4</w:t>
            </w:r>
            <w:r w:rsidRPr="00B90222">
              <w:rPr>
                <w:bCs/>
                <w:sz w:val="22"/>
                <w:szCs w:val="22"/>
              </w:rPr>
              <w:t xml:space="preserve"> (&gt;</w:t>
            </w:r>
            <w:r>
              <w:rPr>
                <w:bCs/>
                <w:sz w:val="22"/>
                <w:szCs w:val="22"/>
              </w:rPr>
              <w:t xml:space="preserve"> 3.0</w:t>
            </w:r>
            <w:r w:rsidRPr="00B90222">
              <w:rPr>
                <w:bCs/>
                <w:sz w:val="22"/>
                <w:szCs w:val="22"/>
              </w:rPr>
              <w:t xml:space="preserve"> x ULN)</w:t>
            </w:r>
          </w:p>
        </w:tc>
        <w:tc>
          <w:tcPr>
            <w:tcW w:w="2974" w:type="dxa"/>
          </w:tcPr>
          <w:p w14:paraId="5ACA864E" w14:textId="77777777" w:rsidR="00C031FF" w:rsidRDefault="00C031FF" w:rsidP="00C031FF">
            <w:pPr>
              <w:spacing w:after="0" w:line="320" w:lineRule="atLeast"/>
              <w:jc w:val="center"/>
              <w:rPr>
                <w:rFonts w:ascii="Arial Narrow" w:hAnsi="Arial Narrow"/>
                <w:snapToGrid w:val="0"/>
              </w:rPr>
            </w:pPr>
          </w:p>
          <w:p w14:paraId="268F45AA" w14:textId="636C3071" w:rsidR="00C031FF" w:rsidRDefault="00C031FF" w:rsidP="00C031FF">
            <w:pPr>
              <w:spacing w:after="0" w:line="320" w:lineRule="atLeast"/>
              <w:jc w:val="center"/>
              <w:rPr>
                <w:rFonts w:ascii="Arial Narrow" w:hAnsi="Arial Narrow"/>
                <w:snapToGrid w:val="0"/>
              </w:rPr>
            </w:pPr>
            <w:r>
              <w:rPr>
                <w:rFonts w:ascii="Arial Narrow" w:hAnsi="Arial Narrow"/>
                <w:snapToGrid w:val="0"/>
              </w:rPr>
              <w:t>5%</w:t>
            </w:r>
          </w:p>
          <w:p w14:paraId="4067B530" w14:textId="617050BD" w:rsidR="00C031FF" w:rsidRPr="0019232A" w:rsidRDefault="00C031FF" w:rsidP="00C031FF">
            <w:pPr>
              <w:spacing w:after="0" w:line="320" w:lineRule="atLeast"/>
              <w:jc w:val="center"/>
              <w:rPr>
                <w:rFonts w:ascii="Arial Narrow" w:hAnsi="Arial Narrow"/>
                <w:snapToGrid w:val="0"/>
              </w:rPr>
            </w:pPr>
            <w:r>
              <w:rPr>
                <w:rFonts w:ascii="Arial Narrow" w:hAnsi="Arial Narrow"/>
                <w:snapToGrid w:val="0"/>
              </w:rPr>
              <w:t>&lt; 1%</w:t>
            </w:r>
          </w:p>
        </w:tc>
        <w:tc>
          <w:tcPr>
            <w:tcW w:w="2838" w:type="dxa"/>
            <w:tcBorders>
              <w:right w:val="single" w:sz="4" w:space="0" w:color="auto"/>
            </w:tcBorders>
          </w:tcPr>
          <w:p w14:paraId="2CD65587" w14:textId="77777777" w:rsidR="00C031FF" w:rsidRDefault="00C031FF" w:rsidP="00C031FF">
            <w:pPr>
              <w:spacing w:after="0" w:line="320" w:lineRule="atLeast"/>
              <w:jc w:val="center"/>
              <w:rPr>
                <w:rFonts w:ascii="Arial Narrow" w:hAnsi="Arial Narrow"/>
                <w:snapToGrid w:val="0"/>
              </w:rPr>
            </w:pPr>
          </w:p>
          <w:p w14:paraId="359BE0FA" w14:textId="2179A456" w:rsidR="00C031FF" w:rsidRDefault="00C031FF" w:rsidP="00C031FF">
            <w:pPr>
              <w:spacing w:after="0" w:line="320" w:lineRule="atLeast"/>
              <w:jc w:val="center"/>
              <w:rPr>
                <w:rFonts w:ascii="Arial Narrow" w:hAnsi="Arial Narrow"/>
                <w:snapToGrid w:val="0"/>
              </w:rPr>
            </w:pPr>
            <w:r>
              <w:rPr>
                <w:rFonts w:ascii="Arial Narrow" w:hAnsi="Arial Narrow"/>
                <w:snapToGrid w:val="0"/>
              </w:rPr>
              <w:t>5%</w:t>
            </w:r>
          </w:p>
          <w:p w14:paraId="659ED963" w14:textId="1B4B8709" w:rsidR="00C031FF" w:rsidRPr="0019232A" w:rsidRDefault="006B665A" w:rsidP="00C031FF">
            <w:pPr>
              <w:spacing w:after="0" w:line="320" w:lineRule="atLeast"/>
              <w:jc w:val="center"/>
              <w:rPr>
                <w:rFonts w:ascii="Arial Narrow" w:hAnsi="Arial Narrow"/>
                <w:snapToGrid w:val="0"/>
              </w:rPr>
            </w:pPr>
            <w:r>
              <w:rPr>
                <w:rFonts w:ascii="Arial Narrow" w:hAnsi="Arial Narrow"/>
                <w:snapToGrid w:val="0"/>
              </w:rPr>
              <w:t>3</w:t>
            </w:r>
            <w:r w:rsidR="00C031FF">
              <w:rPr>
                <w:rFonts w:ascii="Arial Narrow" w:hAnsi="Arial Narrow"/>
                <w:snapToGrid w:val="0"/>
              </w:rPr>
              <w:t>%</w:t>
            </w:r>
          </w:p>
        </w:tc>
      </w:tr>
    </w:tbl>
    <w:p w14:paraId="17026F56" w14:textId="0AB4C087" w:rsidR="0019232A" w:rsidRPr="0019232A" w:rsidRDefault="00C031FF" w:rsidP="00A35061">
      <w:pPr>
        <w:rPr>
          <w:sz w:val="18"/>
          <w:szCs w:val="18"/>
        </w:rPr>
      </w:pPr>
      <w:r w:rsidRPr="0019232A">
        <w:rPr>
          <w:sz w:val="18"/>
          <w:szCs w:val="18"/>
        </w:rPr>
        <w:t>ULN = Upper Limit of Normal</w:t>
      </w:r>
      <w:r w:rsidR="00A35061">
        <w:rPr>
          <w:sz w:val="18"/>
          <w:szCs w:val="18"/>
        </w:rPr>
        <w:t xml:space="preserve">    </w:t>
      </w:r>
      <w:r w:rsidR="0019232A">
        <w:t xml:space="preserve">* </w:t>
      </w:r>
      <w:r w:rsidR="0019232A" w:rsidRPr="007271A4">
        <w:rPr>
          <w:sz w:val="18"/>
          <w:szCs w:val="18"/>
        </w:rPr>
        <w:t>tenofovir disoproxil fumarate</w:t>
      </w:r>
    </w:p>
    <w:p w14:paraId="2096FBFC" w14:textId="58CAFE84" w:rsidR="003F4BF6" w:rsidRPr="009C2695" w:rsidRDefault="003F4BF6" w:rsidP="003F4BF6">
      <w:pPr>
        <w:keepNext/>
        <w:ind w:left="1134" w:hanging="1134"/>
        <w:rPr>
          <w:b/>
        </w:rPr>
      </w:pPr>
      <w:r w:rsidRPr="009C2695">
        <w:rPr>
          <w:b/>
        </w:rPr>
        <w:t xml:space="preserve">Table </w:t>
      </w:r>
      <w:r>
        <w:rPr>
          <w:b/>
        </w:rPr>
        <w:t>7</w:t>
      </w:r>
      <w:r w:rsidR="00B84A56">
        <w:rPr>
          <w:b/>
        </w:rPr>
        <w:t>:</w:t>
      </w:r>
      <w:r w:rsidRPr="009C2695">
        <w:rPr>
          <w:b/>
        </w:rPr>
        <w:t xml:space="preserve"> </w:t>
      </w:r>
      <w:r>
        <w:rPr>
          <w:b/>
        </w:rPr>
        <w:tab/>
      </w:r>
      <w:r w:rsidRPr="009C2695">
        <w:rPr>
          <w:b/>
        </w:rPr>
        <w:t xml:space="preserve">Mean Change from Baseline in Fasted Lipid Values in GEMINI-1 and GEMINI-2 (Week 48 Pooled </w:t>
      </w:r>
      <w:proofErr w:type="spellStart"/>
      <w:r w:rsidRPr="009C2695">
        <w:rPr>
          <w:b/>
        </w:rPr>
        <w:t>Analys</w:t>
      </w:r>
      <w:r>
        <w:rPr>
          <w:b/>
        </w:rPr>
        <w:t>i</w:t>
      </w:r>
      <w:r w:rsidRPr="009C2695">
        <w:rPr>
          <w:b/>
        </w:rPr>
        <w:t>s</w:t>
      </w:r>
      <w:r w:rsidRPr="009C2695">
        <w:rPr>
          <w:b/>
          <w:vertAlign w:val="superscript"/>
        </w:rPr>
        <w:t>a</w:t>
      </w:r>
      <w:proofErr w:type="spellEnd"/>
      <w:r w:rsidRPr="009C2695">
        <w:rPr>
          <w:b/>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2974"/>
        <w:gridCol w:w="2838"/>
      </w:tblGrid>
      <w:tr w:rsidR="003F4BF6" w:rsidRPr="002169FD" w14:paraId="421562CB" w14:textId="77777777" w:rsidTr="0019232A">
        <w:trPr>
          <w:trHeight w:val="647"/>
        </w:trPr>
        <w:tc>
          <w:tcPr>
            <w:tcW w:w="3681" w:type="dxa"/>
            <w:vAlign w:val="bottom"/>
          </w:tcPr>
          <w:p w14:paraId="5B4DC6FD" w14:textId="77777777" w:rsidR="003F4BF6" w:rsidRPr="002169FD" w:rsidRDefault="003F4BF6" w:rsidP="0019232A">
            <w:pPr>
              <w:pStyle w:val="tabletextNS"/>
              <w:keepNext/>
              <w:keepLines/>
              <w:spacing w:line="320" w:lineRule="atLeast"/>
              <w:jc w:val="center"/>
              <w:rPr>
                <w:b/>
                <w:sz w:val="22"/>
                <w:szCs w:val="22"/>
              </w:rPr>
            </w:pPr>
            <w:r w:rsidRPr="002169FD">
              <w:rPr>
                <w:b/>
                <w:sz w:val="22"/>
                <w:szCs w:val="22"/>
              </w:rPr>
              <w:t xml:space="preserve">Laboratory Parameter </w:t>
            </w:r>
          </w:p>
          <w:p w14:paraId="51D7CCF3" w14:textId="77777777" w:rsidR="003F4BF6" w:rsidRPr="002169FD" w:rsidRDefault="003F4BF6" w:rsidP="0019232A">
            <w:pPr>
              <w:pStyle w:val="tabletextNS"/>
              <w:keepNext/>
              <w:keepLines/>
              <w:spacing w:line="320" w:lineRule="atLeast"/>
              <w:jc w:val="center"/>
              <w:rPr>
                <w:b/>
                <w:bCs/>
                <w:sz w:val="22"/>
                <w:szCs w:val="22"/>
              </w:rPr>
            </w:pPr>
            <w:r w:rsidRPr="002169FD">
              <w:rPr>
                <w:b/>
                <w:sz w:val="22"/>
                <w:szCs w:val="22"/>
              </w:rPr>
              <w:t>Preferred Term</w:t>
            </w:r>
          </w:p>
        </w:tc>
        <w:tc>
          <w:tcPr>
            <w:tcW w:w="2974" w:type="dxa"/>
            <w:tcBorders>
              <w:right w:val="single" w:sz="4" w:space="0" w:color="auto"/>
            </w:tcBorders>
            <w:vAlign w:val="bottom"/>
          </w:tcPr>
          <w:p w14:paraId="5EDE557A" w14:textId="77777777" w:rsidR="003F4BF6" w:rsidRPr="002169FD" w:rsidRDefault="003F4BF6" w:rsidP="0019232A">
            <w:pPr>
              <w:pStyle w:val="tabletextNS"/>
              <w:keepNext/>
              <w:keepLines/>
              <w:spacing w:line="320" w:lineRule="atLeast"/>
              <w:jc w:val="center"/>
              <w:rPr>
                <w:b/>
                <w:sz w:val="22"/>
                <w:szCs w:val="22"/>
                <w:lang w:val="en-US"/>
              </w:rPr>
            </w:pPr>
            <w:r w:rsidRPr="002169FD">
              <w:rPr>
                <w:b/>
                <w:sz w:val="22"/>
                <w:szCs w:val="22"/>
                <w:lang w:val="en-US"/>
              </w:rPr>
              <w:t>Dolutegravir plus lamivudine</w:t>
            </w:r>
          </w:p>
          <w:p w14:paraId="128202F0" w14:textId="77777777" w:rsidR="003F4BF6" w:rsidRPr="002169FD" w:rsidRDefault="003F4BF6" w:rsidP="0019232A">
            <w:pPr>
              <w:pStyle w:val="tabletextNS"/>
              <w:keepNext/>
              <w:keepLines/>
              <w:spacing w:line="320" w:lineRule="atLeast"/>
              <w:jc w:val="center"/>
              <w:rPr>
                <w:b/>
                <w:sz w:val="22"/>
                <w:szCs w:val="22"/>
                <w:lang w:val="en-US"/>
              </w:rPr>
            </w:pPr>
            <w:r w:rsidRPr="002169FD">
              <w:rPr>
                <w:b/>
                <w:sz w:val="22"/>
                <w:szCs w:val="22"/>
              </w:rPr>
              <w:t>(n = 716)</w:t>
            </w:r>
          </w:p>
        </w:tc>
        <w:tc>
          <w:tcPr>
            <w:tcW w:w="2838" w:type="dxa"/>
            <w:tcBorders>
              <w:right w:val="single" w:sz="4" w:space="0" w:color="auto"/>
            </w:tcBorders>
            <w:vAlign w:val="bottom"/>
          </w:tcPr>
          <w:p w14:paraId="20B76DF5" w14:textId="77777777" w:rsidR="003F4BF6" w:rsidRDefault="003F4BF6" w:rsidP="0019232A">
            <w:pPr>
              <w:pStyle w:val="tabletextNS"/>
              <w:keepNext/>
              <w:keepLines/>
              <w:spacing w:line="320" w:lineRule="atLeast"/>
              <w:jc w:val="center"/>
              <w:rPr>
                <w:rFonts w:eastAsiaTheme="minorHAnsi" w:cstheme="minorBidi"/>
                <w:b/>
                <w:sz w:val="22"/>
                <w:szCs w:val="22"/>
                <w:lang w:val="en-AU"/>
              </w:rPr>
            </w:pPr>
            <w:r w:rsidRPr="002169FD">
              <w:rPr>
                <w:rFonts w:eastAsiaTheme="minorHAnsi" w:cstheme="minorBidi"/>
                <w:b/>
                <w:sz w:val="22"/>
                <w:szCs w:val="22"/>
                <w:lang w:val="en-AU"/>
              </w:rPr>
              <w:t xml:space="preserve">Dolutegravir plus </w:t>
            </w:r>
            <w:r>
              <w:rPr>
                <w:rFonts w:eastAsiaTheme="minorHAnsi" w:cstheme="minorBidi"/>
                <w:b/>
                <w:sz w:val="22"/>
                <w:szCs w:val="22"/>
                <w:lang w:val="en-AU"/>
              </w:rPr>
              <w:t>TDF*</w:t>
            </w:r>
            <w:r w:rsidRPr="002169FD">
              <w:rPr>
                <w:rFonts w:eastAsiaTheme="minorHAnsi" w:cstheme="minorBidi"/>
                <w:b/>
                <w:sz w:val="22"/>
                <w:szCs w:val="22"/>
                <w:lang w:val="en-AU"/>
              </w:rPr>
              <w:t xml:space="preserve">/emtricitabine </w:t>
            </w:r>
          </w:p>
          <w:p w14:paraId="38020F65" w14:textId="77777777" w:rsidR="003F4BF6" w:rsidRPr="002169FD" w:rsidRDefault="003F4BF6" w:rsidP="0019232A">
            <w:pPr>
              <w:pStyle w:val="tabletextNS"/>
              <w:keepNext/>
              <w:keepLines/>
              <w:spacing w:line="320" w:lineRule="atLeast"/>
              <w:jc w:val="center"/>
              <w:rPr>
                <w:b/>
                <w:sz w:val="22"/>
                <w:szCs w:val="22"/>
              </w:rPr>
            </w:pPr>
            <w:r w:rsidRPr="002169FD">
              <w:rPr>
                <w:b/>
                <w:sz w:val="22"/>
                <w:szCs w:val="22"/>
                <w:lang w:val="en-US"/>
              </w:rPr>
              <w:t>(n = 717)</w:t>
            </w:r>
          </w:p>
        </w:tc>
      </w:tr>
      <w:tr w:rsidR="003F4BF6" w:rsidRPr="002169FD" w14:paraId="41E51000" w14:textId="77777777" w:rsidTr="0019232A">
        <w:tc>
          <w:tcPr>
            <w:tcW w:w="3681" w:type="dxa"/>
            <w:tcBorders>
              <w:bottom w:val="nil"/>
            </w:tcBorders>
          </w:tcPr>
          <w:p w14:paraId="497BDC10" w14:textId="2F8A4CF6" w:rsidR="003F4BF6" w:rsidRPr="002169FD" w:rsidRDefault="003F4BF6" w:rsidP="0019232A">
            <w:pPr>
              <w:pStyle w:val="tabletextNS"/>
              <w:spacing w:line="320" w:lineRule="atLeast"/>
              <w:rPr>
                <w:bCs/>
                <w:sz w:val="22"/>
                <w:szCs w:val="22"/>
              </w:rPr>
            </w:pPr>
            <w:r w:rsidRPr="002169FD">
              <w:rPr>
                <w:bCs/>
                <w:sz w:val="22"/>
                <w:szCs w:val="22"/>
              </w:rPr>
              <w:t>Cholesterol (</w:t>
            </w:r>
            <w:r w:rsidR="00B40081" w:rsidRPr="00223876">
              <w:rPr>
                <w:bCs/>
                <w:sz w:val="22"/>
                <w:szCs w:val="22"/>
              </w:rPr>
              <w:t>mmol/L</w:t>
            </w:r>
            <w:r w:rsidRPr="00223876">
              <w:rPr>
                <w:bCs/>
                <w:sz w:val="22"/>
                <w:szCs w:val="22"/>
              </w:rPr>
              <w:t>)</w:t>
            </w:r>
          </w:p>
        </w:tc>
        <w:tc>
          <w:tcPr>
            <w:tcW w:w="2974" w:type="dxa"/>
            <w:tcBorders>
              <w:bottom w:val="nil"/>
            </w:tcBorders>
          </w:tcPr>
          <w:p w14:paraId="2FB6353E" w14:textId="4C2430A0" w:rsidR="003F4BF6" w:rsidRPr="002169FD" w:rsidRDefault="007B59AE" w:rsidP="0019232A">
            <w:pPr>
              <w:spacing w:after="0" w:line="320" w:lineRule="atLeast"/>
              <w:jc w:val="center"/>
              <w:rPr>
                <w:rFonts w:ascii="Arial Narrow" w:hAnsi="Arial Narrow"/>
                <w:snapToGrid w:val="0"/>
              </w:rPr>
            </w:pPr>
            <w:r>
              <w:rPr>
                <w:rFonts w:ascii="Arial Narrow" w:hAnsi="Arial Narrow"/>
                <w:snapToGrid w:val="0"/>
              </w:rPr>
              <w:t>0.35</w:t>
            </w:r>
          </w:p>
        </w:tc>
        <w:tc>
          <w:tcPr>
            <w:tcW w:w="2838" w:type="dxa"/>
            <w:tcBorders>
              <w:bottom w:val="nil"/>
              <w:right w:val="single" w:sz="4" w:space="0" w:color="auto"/>
            </w:tcBorders>
          </w:tcPr>
          <w:p w14:paraId="7C2566C8" w14:textId="236A3D73" w:rsidR="003F4BF6" w:rsidRPr="002169FD" w:rsidRDefault="003F4BF6" w:rsidP="0019232A">
            <w:pPr>
              <w:spacing w:after="0" w:line="320" w:lineRule="atLeast"/>
              <w:jc w:val="center"/>
              <w:rPr>
                <w:rFonts w:ascii="Arial Narrow" w:hAnsi="Arial Narrow"/>
                <w:snapToGrid w:val="0"/>
              </w:rPr>
            </w:pPr>
            <w:r w:rsidRPr="002169FD">
              <w:rPr>
                <w:rFonts w:ascii="Arial Narrow" w:hAnsi="Arial Narrow"/>
                <w:snapToGrid w:val="0"/>
              </w:rPr>
              <w:t>-</w:t>
            </w:r>
            <w:r w:rsidR="007B59AE">
              <w:rPr>
                <w:rFonts w:ascii="Arial Narrow" w:hAnsi="Arial Narrow"/>
                <w:snapToGrid w:val="0"/>
              </w:rPr>
              <w:t>0.18</w:t>
            </w:r>
          </w:p>
        </w:tc>
      </w:tr>
      <w:tr w:rsidR="003F4BF6" w:rsidRPr="002169FD" w14:paraId="27845F87" w14:textId="77777777" w:rsidTr="0019232A">
        <w:tc>
          <w:tcPr>
            <w:tcW w:w="3681" w:type="dxa"/>
            <w:tcBorders>
              <w:bottom w:val="nil"/>
            </w:tcBorders>
          </w:tcPr>
          <w:p w14:paraId="0BA3A7E5" w14:textId="7BB17484" w:rsidR="003F4BF6" w:rsidRPr="00223876" w:rsidRDefault="003F4BF6" w:rsidP="0019232A">
            <w:pPr>
              <w:pStyle w:val="tabletextNS"/>
              <w:spacing w:line="320" w:lineRule="atLeast"/>
              <w:rPr>
                <w:bCs/>
                <w:sz w:val="22"/>
                <w:szCs w:val="22"/>
              </w:rPr>
            </w:pPr>
            <w:r w:rsidRPr="00223876">
              <w:rPr>
                <w:bCs/>
                <w:sz w:val="22"/>
                <w:szCs w:val="22"/>
              </w:rPr>
              <w:t>HDL cholesterol (</w:t>
            </w:r>
            <w:r w:rsidR="00B40081" w:rsidRPr="00223876">
              <w:rPr>
                <w:bCs/>
                <w:sz w:val="22"/>
                <w:szCs w:val="22"/>
              </w:rPr>
              <w:t>mmol/L</w:t>
            </w:r>
            <w:r w:rsidRPr="00223876">
              <w:rPr>
                <w:bCs/>
                <w:sz w:val="22"/>
                <w:szCs w:val="22"/>
              </w:rPr>
              <w:t>)</w:t>
            </w:r>
          </w:p>
        </w:tc>
        <w:tc>
          <w:tcPr>
            <w:tcW w:w="2974" w:type="dxa"/>
            <w:tcBorders>
              <w:bottom w:val="nil"/>
            </w:tcBorders>
          </w:tcPr>
          <w:p w14:paraId="206CB224" w14:textId="3DC417A7" w:rsidR="003F4BF6" w:rsidRPr="002169FD" w:rsidRDefault="00552C24" w:rsidP="0019232A">
            <w:pPr>
              <w:spacing w:after="0" w:line="320" w:lineRule="atLeast"/>
              <w:jc w:val="center"/>
              <w:rPr>
                <w:rFonts w:ascii="Arial Narrow" w:hAnsi="Arial Narrow"/>
                <w:snapToGrid w:val="0"/>
              </w:rPr>
            </w:pPr>
            <w:r>
              <w:rPr>
                <w:rFonts w:ascii="Arial Narrow" w:hAnsi="Arial Narrow"/>
                <w:snapToGrid w:val="0"/>
              </w:rPr>
              <w:t>0.15</w:t>
            </w:r>
          </w:p>
        </w:tc>
        <w:tc>
          <w:tcPr>
            <w:tcW w:w="2838" w:type="dxa"/>
            <w:tcBorders>
              <w:bottom w:val="nil"/>
              <w:right w:val="single" w:sz="4" w:space="0" w:color="auto"/>
            </w:tcBorders>
          </w:tcPr>
          <w:p w14:paraId="04FAE087" w14:textId="26CC4852" w:rsidR="003F4BF6" w:rsidRPr="002169FD" w:rsidRDefault="006A58B6" w:rsidP="0019232A">
            <w:pPr>
              <w:spacing w:after="0" w:line="320" w:lineRule="atLeast"/>
              <w:jc w:val="center"/>
              <w:rPr>
                <w:rFonts w:ascii="Arial Narrow" w:hAnsi="Arial Narrow"/>
                <w:snapToGrid w:val="0"/>
              </w:rPr>
            </w:pPr>
            <w:r>
              <w:rPr>
                <w:rFonts w:ascii="Arial Narrow" w:hAnsi="Arial Narrow"/>
                <w:snapToGrid w:val="0"/>
              </w:rPr>
              <w:t>0.02</w:t>
            </w:r>
          </w:p>
        </w:tc>
      </w:tr>
      <w:tr w:rsidR="003F4BF6" w:rsidRPr="002169FD" w14:paraId="0AAEE50C" w14:textId="77777777" w:rsidTr="0019232A">
        <w:tc>
          <w:tcPr>
            <w:tcW w:w="3681" w:type="dxa"/>
            <w:tcBorders>
              <w:bottom w:val="single" w:sz="4" w:space="0" w:color="auto"/>
            </w:tcBorders>
          </w:tcPr>
          <w:p w14:paraId="1C5198A2" w14:textId="7FEB948D" w:rsidR="003F4BF6" w:rsidRPr="00223876" w:rsidRDefault="003F4BF6" w:rsidP="0019232A">
            <w:pPr>
              <w:pStyle w:val="tabletextNS"/>
              <w:spacing w:line="320" w:lineRule="atLeast"/>
              <w:rPr>
                <w:bCs/>
                <w:sz w:val="22"/>
                <w:szCs w:val="22"/>
              </w:rPr>
            </w:pPr>
            <w:r w:rsidRPr="00223876">
              <w:rPr>
                <w:bCs/>
                <w:sz w:val="22"/>
                <w:szCs w:val="22"/>
              </w:rPr>
              <w:t>LDL cholesterol (</w:t>
            </w:r>
            <w:r w:rsidR="00B40081" w:rsidRPr="00223876">
              <w:rPr>
                <w:bCs/>
                <w:sz w:val="22"/>
                <w:szCs w:val="22"/>
              </w:rPr>
              <w:t>mmol/L</w:t>
            </w:r>
            <w:r w:rsidRPr="00223876">
              <w:rPr>
                <w:bCs/>
                <w:sz w:val="22"/>
                <w:szCs w:val="22"/>
              </w:rPr>
              <w:t>)</w:t>
            </w:r>
          </w:p>
        </w:tc>
        <w:tc>
          <w:tcPr>
            <w:tcW w:w="2974" w:type="dxa"/>
            <w:tcBorders>
              <w:bottom w:val="single" w:sz="4" w:space="0" w:color="auto"/>
            </w:tcBorders>
          </w:tcPr>
          <w:p w14:paraId="0159497C" w14:textId="05FF45CA" w:rsidR="003F4BF6" w:rsidRPr="002169FD" w:rsidRDefault="00217F3B" w:rsidP="0019232A">
            <w:pPr>
              <w:spacing w:after="0" w:line="320" w:lineRule="atLeast"/>
              <w:jc w:val="center"/>
              <w:rPr>
                <w:rFonts w:ascii="Arial Narrow" w:hAnsi="Arial Narrow"/>
                <w:snapToGrid w:val="0"/>
              </w:rPr>
            </w:pPr>
            <w:r>
              <w:rPr>
                <w:rFonts w:ascii="Arial Narrow" w:hAnsi="Arial Narrow"/>
                <w:snapToGrid w:val="0"/>
              </w:rPr>
              <w:t>0.19</w:t>
            </w:r>
          </w:p>
        </w:tc>
        <w:tc>
          <w:tcPr>
            <w:tcW w:w="2838" w:type="dxa"/>
            <w:tcBorders>
              <w:bottom w:val="single" w:sz="4" w:space="0" w:color="auto"/>
              <w:right w:val="single" w:sz="4" w:space="0" w:color="auto"/>
            </w:tcBorders>
          </w:tcPr>
          <w:p w14:paraId="5964CA39" w14:textId="2D24FB40" w:rsidR="003F4BF6" w:rsidRPr="002169FD" w:rsidRDefault="003F4BF6" w:rsidP="0019232A">
            <w:pPr>
              <w:spacing w:after="0" w:line="320" w:lineRule="atLeast"/>
              <w:jc w:val="center"/>
              <w:rPr>
                <w:rFonts w:ascii="Arial Narrow" w:hAnsi="Arial Narrow"/>
                <w:snapToGrid w:val="0"/>
              </w:rPr>
            </w:pPr>
            <w:r w:rsidRPr="002169FD">
              <w:rPr>
                <w:rFonts w:ascii="Arial Narrow" w:hAnsi="Arial Narrow"/>
                <w:snapToGrid w:val="0"/>
              </w:rPr>
              <w:t>-</w:t>
            </w:r>
            <w:r w:rsidR="00D80DEA">
              <w:rPr>
                <w:rFonts w:ascii="Arial Narrow" w:hAnsi="Arial Narrow"/>
                <w:snapToGrid w:val="0"/>
              </w:rPr>
              <w:t>0.16</w:t>
            </w:r>
          </w:p>
        </w:tc>
      </w:tr>
      <w:tr w:rsidR="003F4BF6" w:rsidRPr="002169FD" w14:paraId="64BBF125" w14:textId="77777777" w:rsidTr="0019232A">
        <w:tc>
          <w:tcPr>
            <w:tcW w:w="3681" w:type="dxa"/>
          </w:tcPr>
          <w:p w14:paraId="7295B15B" w14:textId="4FE67572" w:rsidR="003F4BF6" w:rsidRPr="002169FD" w:rsidRDefault="003F4BF6" w:rsidP="0019232A">
            <w:pPr>
              <w:pStyle w:val="tabletextNS"/>
              <w:spacing w:line="320" w:lineRule="atLeast"/>
              <w:rPr>
                <w:bCs/>
                <w:sz w:val="22"/>
                <w:szCs w:val="22"/>
              </w:rPr>
            </w:pPr>
            <w:r w:rsidRPr="00223876">
              <w:rPr>
                <w:bCs/>
                <w:sz w:val="22"/>
                <w:szCs w:val="22"/>
              </w:rPr>
              <w:t>Triglycerides (</w:t>
            </w:r>
            <w:r w:rsidR="00B40081" w:rsidRPr="00223876">
              <w:rPr>
                <w:bCs/>
                <w:sz w:val="22"/>
                <w:szCs w:val="22"/>
              </w:rPr>
              <w:t>mmol/L</w:t>
            </w:r>
            <w:r w:rsidRPr="00223876">
              <w:rPr>
                <w:bCs/>
                <w:sz w:val="22"/>
                <w:szCs w:val="22"/>
              </w:rPr>
              <w:t>)</w:t>
            </w:r>
          </w:p>
        </w:tc>
        <w:tc>
          <w:tcPr>
            <w:tcW w:w="2974" w:type="dxa"/>
          </w:tcPr>
          <w:p w14:paraId="73C1F282" w14:textId="47B20DEE" w:rsidR="003F4BF6" w:rsidRPr="002169FD" w:rsidRDefault="00535A44" w:rsidP="0019232A">
            <w:pPr>
              <w:spacing w:after="0" w:line="320" w:lineRule="atLeast"/>
              <w:jc w:val="center"/>
              <w:rPr>
                <w:rFonts w:ascii="Arial Narrow" w:hAnsi="Arial Narrow"/>
                <w:snapToGrid w:val="0"/>
              </w:rPr>
            </w:pPr>
            <w:r>
              <w:rPr>
                <w:rFonts w:ascii="Arial Narrow" w:hAnsi="Arial Narrow"/>
                <w:snapToGrid w:val="0"/>
              </w:rPr>
              <w:t>0.04</w:t>
            </w:r>
          </w:p>
        </w:tc>
        <w:tc>
          <w:tcPr>
            <w:tcW w:w="2838" w:type="dxa"/>
            <w:tcBorders>
              <w:right w:val="single" w:sz="4" w:space="0" w:color="auto"/>
            </w:tcBorders>
          </w:tcPr>
          <w:p w14:paraId="72814834" w14:textId="14CD3583" w:rsidR="003F4BF6" w:rsidRPr="002169FD" w:rsidRDefault="003F4BF6" w:rsidP="0019232A">
            <w:pPr>
              <w:spacing w:after="0" w:line="320" w:lineRule="atLeast"/>
              <w:jc w:val="center"/>
              <w:rPr>
                <w:rFonts w:ascii="Arial Narrow" w:hAnsi="Arial Narrow"/>
                <w:snapToGrid w:val="0"/>
              </w:rPr>
            </w:pPr>
            <w:r w:rsidRPr="002169FD">
              <w:rPr>
                <w:rFonts w:ascii="Arial Narrow" w:hAnsi="Arial Narrow"/>
                <w:snapToGrid w:val="0"/>
              </w:rPr>
              <w:t>-</w:t>
            </w:r>
            <w:r w:rsidR="007D0226">
              <w:rPr>
                <w:rFonts w:ascii="Arial Narrow" w:hAnsi="Arial Narrow"/>
                <w:snapToGrid w:val="0"/>
              </w:rPr>
              <w:t>0.08</w:t>
            </w:r>
          </w:p>
        </w:tc>
      </w:tr>
      <w:tr w:rsidR="003F4BF6" w:rsidRPr="002169FD" w14:paraId="028ADDE8" w14:textId="77777777" w:rsidTr="008A75D9">
        <w:tc>
          <w:tcPr>
            <w:tcW w:w="3681" w:type="dxa"/>
            <w:tcBorders>
              <w:bottom w:val="single" w:sz="4" w:space="0" w:color="auto"/>
            </w:tcBorders>
          </w:tcPr>
          <w:p w14:paraId="191EF4D5" w14:textId="3EFFB55E" w:rsidR="003F4BF6" w:rsidRPr="002169FD" w:rsidRDefault="003F4BF6" w:rsidP="0019232A">
            <w:pPr>
              <w:pStyle w:val="tabletextNS"/>
              <w:spacing w:line="320" w:lineRule="atLeast"/>
              <w:rPr>
                <w:bCs/>
                <w:sz w:val="22"/>
                <w:szCs w:val="22"/>
              </w:rPr>
            </w:pPr>
            <w:r w:rsidRPr="002169FD">
              <w:rPr>
                <w:bCs/>
                <w:sz w:val="22"/>
                <w:szCs w:val="22"/>
              </w:rPr>
              <w:t>Total cholesterol/HDL cholesterol ratio</w:t>
            </w:r>
            <w:r w:rsidR="008A75D9">
              <w:rPr>
                <w:bCs/>
                <w:sz w:val="22"/>
                <w:szCs w:val="22"/>
              </w:rPr>
              <w:t xml:space="preserve"> </w:t>
            </w:r>
          </w:p>
        </w:tc>
        <w:tc>
          <w:tcPr>
            <w:tcW w:w="2974" w:type="dxa"/>
            <w:tcBorders>
              <w:bottom w:val="single" w:sz="4" w:space="0" w:color="auto"/>
            </w:tcBorders>
          </w:tcPr>
          <w:p w14:paraId="53A3416E" w14:textId="77777777" w:rsidR="003F4BF6" w:rsidRPr="002169FD" w:rsidRDefault="003F4BF6" w:rsidP="0019232A">
            <w:pPr>
              <w:spacing w:after="0" w:line="320" w:lineRule="atLeast"/>
              <w:jc w:val="center"/>
              <w:rPr>
                <w:rFonts w:ascii="Arial Narrow" w:hAnsi="Arial Narrow"/>
                <w:snapToGrid w:val="0"/>
              </w:rPr>
            </w:pPr>
            <w:r w:rsidRPr="002169FD">
              <w:rPr>
                <w:rFonts w:ascii="Arial Narrow" w:hAnsi="Arial Narrow"/>
                <w:snapToGrid w:val="0"/>
              </w:rPr>
              <w:t>-0.1</w:t>
            </w:r>
          </w:p>
        </w:tc>
        <w:tc>
          <w:tcPr>
            <w:tcW w:w="2838" w:type="dxa"/>
            <w:tcBorders>
              <w:bottom w:val="single" w:sz="4" w:space="0" w:color="auto"/>
              <w:right w:val="single" w:sz="4" w:space="0" w:color="auto"/>
            </w:tcBorders>
          </w:tcPr>
          <w:p w14:paraId="3911FFB0" w14:textId="77777777" w:rsidR="003F4BF6" w:rsidRPr="002169FD" w:rsidRDefault="003F4BF6" w:rsidP="0019232A">
            <w:pPr>
              <w:spacing w:after="0" w:line="320" w:lineRule="atLeast"/>
              <w:jc w:val="center"/>
              <w:rPr>
                <w:rFonts w:ascii="Arial Narrow" w:hAnsi="Arial Narrow"/>
                <w:snapToGrid w:val="0"/>
              </w:rPr>
            </w:pPr>
            <w:r w:rsidRPr="002169FD">
              <w:rPr>
                <w:rFonts w:ascii="Arial Narrow" w:hAnsi="Arial Narrow"/>
                <w:snapToGrid w:val="0"/>
              </w:rPr>
              <w:t>-0.3</w:t>
            </w:r>
          </w:p>
        </w:tc>
      </w:tr>
    </w:tbl>
    <w:p w14:paraId="246FAE07" w14:textId="77777777" w:rsidR="003F4BF6" w:rsidRDefault="003F4BF6" w:rsidP="003F4BF6">
      <w:pPr>
        <w:widowControl w:val="0"/>
        <w:tabs>
          <w:tab w:val="left" w:pos="144"/>
        </w:tabs>
        <w:adjustRightInd w:val="0"/>
        <w:spacing w:after="0"/>
        <w:ind w:left="144" w:hanging="144"/>
        <w:textAlignment w:val="baseline"/>
        <w:rPr>
          <w:sz w:val="18"/>
          <w:szCs w:val="18"/>
        </w:rPr>
      </w:pPr>
      <w:r w:rsidRPr="002169FD">
        <w:rPr>
          <w:sz w:val="18"/>
          <w:szCs w:val="18"/>
          <w:vertAlign w:val="superscript"/>
        </w:rPr>
        <w:t>a</w:t>
      </w:r>
      <w:r w:rsidRPr="002169FD">
        <w:rPr>
          <w:sz w:val="18"/>
          <w:szCs w:val="18"/>
          <w:vertAlign w:val="superscript"/>
        </w:rPr>
        <w:tab/>
      </w:r>
      <w:r w:rsidRPr="002169FD">
        <w:rPr>
          <w:sz w:val="18"/>
          <w:szCs w:val="18"/>
        </w:rPr>
        <w:t>Subjects on lipid-lowering agents at baseline are excluded (dolutegravir plus lamivudine, n = 29; dolutegravir plus tenofovir/emtricitabine FDC, n = 23). Lipid last observation carried forward data were used such that the last available fasted, on-treatment lipid value prior to the initiation of a lipid-lowering agent is used in place of future observed values. A total of 23 and 13 subjects receiving dolutegravir plus lamivudine and dolutegravir plus tenofovir/emtricitabine FDC, respectively, initiated lipid-lowering agents post-baseline.</w:t>
      </w:r>
    </w:p>
    <w:p w14:paraId="234170F4" w14:textId="7DC0A332" w:rsidR="003F4BF6" w:rsidRPr="00A35061" w:rsidRDefault="003F4BF6" w:rsidP="00A35061">
      <w:pPr>
        <w:widowControl w:val="0"/>
        <w:tabs>
          <w:tab w:val="left" w:pos="144"/>
        </w:tabs>
        <w:adjustRightInd w:val="0"/>
        <w:ind w:left="144" w:hanging="144"/>
        <w:textAlignment w:val="baseline"/>
        <w:rPr>
          <w:sz w:val="18"/>
          <w:szCs w:val="18"/>
        </w:rPr>
      </w:pPr>
      <w:r>
        <w:t xml:space="preserve">* </w:t>
      </w:r>
      <w:r w:rsidRPr="007271A4">
        <w:rPr>
          <w:sz w:val="18"/>
          <w:szCs w:val="18"/>
        </w:rPr>
        <w:t>tenofovir disoproxil fumarate</w:t>
      </w:r>
    </w:p>
    <w:p w14:paraId="4415264C" w14:textId="2B48CBC6" w:rsidR="00B11DD6" w:rsidRPr="00AF2C08" w:rsidRDefault="00B11DD6" w:rsidP="00B11DD6">
      <w:pPr>
        <w:spacing w:before="200" w:after="0"/>
        <w:rPr>
          <w:b/>
          <w:i/>
          <w:iCs/>
        </w:rPr>
      </w:pPr>
      <w:r w:rsidRPr="00AF2C08">
        <w:rPr>
          <w:b/>
          <w:i/>
          <w:iCs/>
        </w:rPr>
        <w:t>Paediatric population</w:t>
      </w:r>
    </w:p>
    <w:p w14:paraId="00C92267" w14:textId="36DA22F7" w:rsidR="00C5794D" w:rsidRDefault="00C5794D" w:rsidP="00C5794D">
      <w:pPr>
        <w:spacing w:after="0"/>
      </w:pPr>
      <w:r>
        <w:t>There are no clinical study data with DOVATO in the paediatric population.</w:t>
      </w:r>
    </w:p>
    <w:p w14:paraId="3F398C8E" w14:textId="68CAC11F" w:rsidR="00C5794D" w:rsidRDefault="00C5794D" w:rsidP="00C5794D">
      <w:pPr>
        <w:spacing w:before="200" w:after="0"/>
      </w:pPr>
      <w:r>
        <w:t xml:space="preserve">Based on limited available data with the dolutegravir single entity used in combination with other antiretroviral agents to treat adolescents (12 to less than 18 years of age), there were no additional types of adverse reactions beyond those observed in the adult population. </w:t>
      </w:r>
    </w:p>
    <w:p w14:paraId="745DB50E" w14:textId="0B49C486" w:rsidR="00815BD2" w:rsidRDefault="00C5794D" w:rsidP="00B20715">
      <w:pPr>
        <w:spacing w:before="200" w:after="0"/>
      </w:pPr>
      <w:r>
        <w:t>Lamivudine has been investigated separately, and as a part of a dual nucleoside backbone, in combination antiretroviral therapy to treat ART- naive and ART- experienced HIV- infected paediatric patients (data available on the use of lamivudine in children less than three months are limited). No additional types of undesirable effects have been observed beyond those characterised for the adult population.</w:t>
      </w:r>
    </w:p>
    <w:p w14:paraId="1E05013F" w14:textId="77777777" w:rsidR="00DF0BE9" w:rsidRDefault="00DF0BE9" w:rsidP="00DF0BE9">
      <w:pPr>
        <w:pStyle w:val="Heading3"/>
      </w:pPr>
      <w:r>
        <w:t>Reporting suspected adverse effects</w:t>
      </w:r>
    </w:p>
    <w:p w14:paraId="5F5075EA" w14:textId="0B088B68" w:rsidR="003D316B" w:rsidRPr="00AF2C08" w:rsidRDefault="00CC50FA" w:rsidP="00192B58">
      <w:r w:rsidRPr="00AF2C08">
        <w:t>Reporting suspected adverse reactions after registration of the medicinal product is important. It allows continued monitoring of the benefit-risk balance of the medicinal product. Healthcare professionals are asked to report any suspected adverse reactions at www.tga.gov.au/reporting-problems.</w:t>
      </w:r>
    </w:p>
    <w:p w14:paraId="2CC882DA" w14:textId="77777777" w:rsidR="00051DBE" w:rsidRPr="00AF2C08" w:rsidRDefault="004A09A2" w:rsidP="00B20715">
      <w:pPr>
        <w:pStyle w:val="Heading2"/>
        <w:keepNext/>
        <w:keepLines/>
      </w:pPr>
      <w:r w:rsidRPr="00AF2C08">
        <w:lastRenderedPageBreak/>
        <w:t>Overdose</w:t>
      </w:r>
    </w:p>
    <w:p w14:paraId="2350ADCE" w14:textId="77777777" w:rsidR="00051DBE" w:rsidRPr="00AF2C08" w:rsidRDefault="00051DBE" w:rsidP="00B20715">
      <w:pPr>
        <w:keepNext/>
        <w:keepLines/>
        <w:spacing w:before="200" w:after="0"/>
        <w:rPr>
          <w:b/>
        </w:rPr>
      </w:pPr>
      <w:r w:rsidRPr="00AF2C08">
        <w:rPr>
          <w:b/>
        </w:rPr>
        <w:t>Symptoms and signs</w:t>
      </w:r>
    </w:p>
    <w:p w14:paraId="351234EB" w14:textId="4BA47462" w:rsidR="0086772F" w:rsidRDefault="0086772F" w:rsidP="00B20715">
      <w:pPr>
        <w:keepNext/>
        <w:keepLines/>
        <w:spacing w:before="200" w:after="0"/>
      </w:pPr>
      <w:r>
        <w:t>There is currently limited experience with over</w:t>
      </w:r>
      <w:r w:rsidR="006A756F">
        <w:t>-</w:t>
      </w:r>
      <w:r>
        <w:t xml:space="preserve">dosage in dolutegravir.  Limited experience of single higher doses (up to 250 mg in healthy subjects) revealed no specific symptoms or signs, apart from those listed as adverse reactions. </w:t>
      </w:r>
    </w:p>
    <w:p w14:paraId="514D1F79" w14:textId="36932180" w:rsidR="008F3A2B" w:rsidRDefault="0086772F" w:rsidP="0086772F">
      <w:pPr>
        <w:spacing w:before="200" w:after="0"/>
      </w:pPr>
      <w:r>
        <w:t>No specific symptoms or signs have been identified following acute overdose with lamivudine, apart from those listed as adverse reactions</w:t>
      </w:r>
      <w:r w:rsidR="008F3A2B">
        <w:t>.</w:t>
      </w:r>
    </w:p>
    <w:p w14:paraId="4EB80D16" w14:textId="19C5B8BE" w:rsidR="00051DBE" w:rsidRPr="00AF2C08" w:rsidRDefault="00051DBE" w:rsidP="00223876">
      <w:pPr>
        <w:keepNext/>
        <w:spacing w:before="200" w:after="0"/>
        <w:rPr>
          <w:b/>
        </w:rPr>
      </w:pPr>
      <w:r w:rsidRPr="00AF2C08">
        <w:rPr>
          <w:b/>
        </w:rPr>
        <w:t>Treatment</w:t>
      </w:r>
    </w:p>
    <w:p w14:paraId="05DAF025" w14:textId="77777777" w:rsidR="00410EF5" w:rsidRPr="00AF2C08" w:rsidRDefault="004A09A2" w:rsidP="00223876">
      <w:pPr>
        <w:keepNext/>
      </w:pPr>
      <w:r w:rsidRPr="00AF2C08">
        <w:t>Further management should be as clinically indicated or as recommended by the national po</w:t>
      </w:r>
      <w:r w:rsidR="00410EF5" w:rsidRPr="00AF2C08">
        <w:t>isons centre, where available.</w:t>
      </w:r>
    </w:p>
    <w:p w14:paraId="3B3B652D" w14:textId="46673702" w:rsidR="00410EF5" w:rsidRPr="00AF2C08" w:rsidRDefault="004A09A2" w:rsidP="00192B58">
      <w:r w:rsidRPr="00AF2C08">
        <w:t xml:space="preserve">If overdose occurs, the patient should be treated supportively with appropriate monitoring as necessary. </w:t>
      </w:r>
      <w:r w:rsidR="008F3A2B" w:rsidRPr="008F3A2B">
        <w:t xml:space="preserve">Since lamivudine is </w:t>
      </w:r>
      <w:proofErr w:type="spellStart"/>
      <w:r w:rsidR="008F3A2B" w:rsidRPr="008F3A2B">
        <w:t>dialysable</w:t>
      </w:r>
      <w:proofErr w:type="spellEnd"/>
      <w:r w:rsidR="008F3A2B" w:rsidRPr="008F3A2B">
        <w:t>, continuous haemodialysis could be used in the treatment of overdose, although this has not been studied.</w:t>
      </w:r>
      <w:r w:rsidRPr="00AF2C08">
        <w:t xml:space="preserve"> As dolutegravir </w:t>
      </w:r>
      <w:r w:rsidR="008F3A2B">
        <w:t>is</w:t>
      </w:r>
      <w:r w:rsidRPr="00AF2C08">
        <w:t xml:space="preserve"> highly bound to plasma proteins, it is unlikely </w:t>
      </w:r>
      <w:r w:rsidR="008F3A2B">
        <w:t>that it</w:t>
      </w:r>
      <w:r w:rsidRPr="00AF2C08">
        <w:t xml:space="preserve"> will be sign</w:t>
      </w:r>
      <w:r w:rsidR="00410EF5" w:rsidRPr="00AF2C08">
        <w:t>ificantly removed by dialysis.</w:t>
      </w:r>
    </w:p>
    <w:p w14:paraId="70A54FDA" w14:textId="77777777" w:rsidR="00A55FF2" w:rsidRPr="00AF2C08" w:rsidRDefault="00A55FF2" w:rsidP="00A55FF2">
      <w:r w:rsidRPr="00AF2C08">
        <w:t>For information on the management of overdose, contact the Poisons Information Centre on 131126 (Australia).</w:t>
      </w:r>
    </w:p>
    <w:p w14:paraId="10F55C9A" w14:textId="77777777" w:rsidR="003D316B" w:rsidRPr="00AF2C08" w:rsidRDefault="004A09A2" w:rsidP="00192B58">
      <w:pPr>
        <w:pStyle w:val="Heading1"/>
        <w:rPr>
          <w:lang w:val="en-US"/>
        </w:rPr>
      </w:pPr>
      <w:r w:rsidRPr="00AF2C08">
        <w:rPr>
          <w:lang w:val="en-US"/>
        </w:rPr>
        <w:t>Pharmacological properties</w:t>
      </w:r>
    </w:p>
    <w:p w14:paraId="2FEE43E8" w14:textId="77777777" w:rsidR="003D316B" w:rsidRPr="00AF2C08" w:rsidRDefault="004A09A2" w:rsidP="00A55FF2">
      <w:pPr>
        <w:pStyle w:val="Heading2"/>
        <w:rPr>
          <w:lang w:val="en-US"/>
        </w:rPr>
      </w:pPr>
      <w:r w:rsidRPr="00AF2C08">
        <w:rPr>
          <w:lang w:val="en-US"/>
        </w:rPr>
        <w:t xml:space="preserve">Pharmacodynamic properties </w:t>
      </w:r>
    </w:p>
    <w:p w14:paraId="62AFEB74" w14:textId="77777777" w:rsidR="003D316B" w:rsidRPr="00AF2C08" w:rsidRDefault="00CC50FA" w:rsidP="00192B58">
      <w:pPr>
        <w:pStyle w:val="Heading3"/>
      </w:pPr>
      <w:r w:rsidRPr="00AF2C08">
        <w:t xml:space="preserve">Mechanism of </w:t>
      </w:r>
      <w:r w:rsidR="00A55FF2" w:rsidRPr="00AF2C08">
        <w:t>a</w:t>
      </w:r>
      <w:r w:rsidR="004A09A2" w:rsidRPr="00AF2C08">
        <w:t>ction</w:t>
      </w:r>
    </w:p>
    <w:p w14:paraId="11E8A89F" w14:textId="77777777" w:rsidR="00410EF5" w:rsidRPr="00AF2C08" w:rsidRDefault="004A09A2" w:rsidP="00192B58">
      <w:r w:rsidRPr="00AF2C08">
        <w:t>Dolutegravir inhibits HIV integrase by binding to the integrase active site and blocking the strand transfer step of retroviral Deoxyribonucleic acid (DNA) integration which is essential for the HIV replication cycle. Strand transfer biochemical assays using purified HIV-1 integrase and pre-processed substrate DNA resulted in IC</w:t>
      </w:r>
      <w:r w:rsidRPr="00AF2C08">
        <w:rPr>
          <w:vertAlign w:val="subscript"/>
        </w:rPr>
        <w:t>50</w:t>
      </w:r>
      <w:r w:rsidRPr="00AF2C08">
        <w:t xml:space="preserve"> values of 2.7 </w:t>
      </w:r>
      <w:proofErr w:type="spellStart"/>
      <w:r w:rsidRPr="00AF2C08">
        <w:t>nM</w:t>
      </w:r>
      <w:proofErr w:type="spellEnd"/>
      <w:r w:rsidRPr="00AF2C08">
        <w:t xml:space="preserve"> and 12.6 </w:t>
      </w:r>
      <w:proofErr w:type="spellStart"/>
      <w:r w:rsidRPr="00AF2C08">
        <w:t>nM</w:t>
      </w:r>
      <w:proofErr w:type="spellEnd"/>
      <w:r w:rsidRPr="00AF2C08">
        <w:t xml:space="preserve">. </w:t>
      </w:r>
      <w:r w:rsidRPr="00AF2C08">
        <w:rPr>
          <w:i/>
          <w:iCs/>
        </w:rPr>
        <w:t>In vitro,</w:t>
      </w:r>
      <w:r w:rsidRPr="00AF2C08">
        <w:t xml:space="preserve"> dolutegravir dissociates slowly from the active site of the wild type integrase-DNA complex (t</w:t>
      </w:r>
      <w:r w:rsidRPr="00AF2C08">
        <w:rPr>
          <w:vertAlign w:val="subscript"/>
        </w:rPr>
        <w:t>½</w:t>
      </w:r>
      <w:r w:rsidR="00410EF5" w:rsidRPr="00AF2C08">
        <w:t xml:space="preserve"> 71 hours).</w:t>
      </w:r>
    </w:p>
    <w:p w14:paraId="25998952" w14:textId="2FEF0940" w:rsidR="003D316B" w:rsidRPr="00AF2C08" w:rsidRDefault="008F3A2B" w:rsidP="00192B58">
      <w:r w:rsidRPr="008F3A2B">
        <w:t xml:space="preserve">Lamivudine is a NRTI, and is a potent, selective inhibitor of HIV-1 and HIV-2.  Lamivudine is metabolised sequentially by intracellular kinases to the respective triphosphate (TP) which is the active moiety with an extended intracellular half-life supporting once daily dosing (see </w:t>
      </w:r>
      <w:r w:rsidR="00671073">
        <w:t>5.2 PHARMACOKINETIC PROPERTIES, Excretion</w:t>
      </w:r>
      <w:r w:rsidRPr="008F3A2B">
        <w:t>). Lamivudine-TP is a substrate for and competitive inhibitor of HIV reverse transcriptase (RT). However, its main antiviral activity is through incorporation of the monophosphate form into the viral DNA chain, resulting in chain termination. Lamivudine-TP shows significantly less affinity for host cell DNA polymerases.</w:t>
      </w:r>
    </w:p>
    <w:p w14:paraId="0E35D30D" w14:textId="77777777" w:rsidR="00882D1B" w:rsidRPr="00D73240" w:rsidRDefault="00B501EF" w:rsidP="00C806B7">
      <w:pPr>
        <w:pStyle w:val="Heading3"/>
      </w:pPr>
      <w:r w:rsidRPr="00D73240">
        <w:t xml:space="preserve">Pharmacodynamic </w:t>
      </w:r>
      <w:r w:rsidR="001B6DE8" w:rsidRPr="00D73240">
        <w:t>e</w:t>
      </w:r>
      <w:r w:rsidRPr="00D73240">
        <w:t>ffects</w:t>
      </w:r>
    </w:p>
    <w:p w14:paraId="1DF20B88" w14:textId="7DDED2A0" w:rsidR="002D37B9" w:rsidRPr="002D37B9" w:rsidRDefault="002D37B9" w:rsidP="00496801">
      <w:pPr>
        <w:spacing w:before="200" w:after="0"/>
      </w:pPr>
      <w:r w:rsidRPr="002D37B9">
        <w:t>In a randomized, dose-ranging trial, HIV 1–infected subjects treated with dolutegravir monotherapy (ING111521) demonstrated rapid and dose-dependent antiviral activity, with mean declines from baseline to day 11 in HIV-1 RNA of 1.5, 2.0, and 2.5 log10 for dolutegravir 2 mg, 10 mg, and 50 mg once daily, respectively. This antiviral response was maintained for 3 to 4 days after the last dose in the 50 mg group.</w:t>
      </w:r>
    </w:p>
    <w:p w14:paraId="41EE5F68" w14:textId="7A1F4DA1" w:rsidR="00882D1B" w:rsidRPr="00AF2C08" w:rsidRDefault="00CC50FA" w:rsidP="00496801">
      <w:pPr>
        <w:spacing w:before="200" w:after="0"/>
        <w:rPr>
          <w:b/>
          <w:i/>
        </w:rPr>
      </w:pPr>
      <w:r w:rsidRPr="00AF2C08">
        <w:rPr>
          <w:b/>
          <w:i/>
        </w:rPr>
        <w:lastRenderedPageBreak/>
        <w:t xml:space="preserve">Antiviral </w:t>
      </w:r>
      <w:r w:rsidR="001B6DE8">
        <w:rPr>
          <w:b/>
          <w:i/>
        </w:rPr>
        <w:t>a</w:t>
      </w:r>
      <w:r w:rsidRPr="00AF2C08">
        <w:rPr>
          <w:b/>
          <w:i/>
        </w:rPr>
        <w:t xml:space="preserve">ctivity in </w:t>
      </w:r>
      <w:r w:rsidR="001B6DE8">
        <w:rPr>
          <w:b/>
          <w:i/>
        </w:rPr>
        <w:t>c</w:t>
      </w:r>
      <w:r w:rsidRPr="00AF2C08">
        <w:rPr>
          <w:b/>
          <w:i/>
        </w:rPr>
        <w:t xml:space="preserve">ell </w:t>
      </w:r>
      <w:r w:rsidR="001B6DE8">
        <w:rPr>
          <w:b/>
          <w:i/>
        </w:rPr>
        <w:t>c</w:t>
      </w:r>
      <w:r w:rsidR="004A09A2" w:rsidRPr="00AF2C08">
        <w:rPr>
          <w:b/>
          <w:i/>
        </w:rPr>
        <w:t>ulture</w:t>
      </w:r>
    </w:p>
    <w:p w14:paraId="70CEEFC5" w14:textId="1EF21B9A" w:rsidR="00410EF5" w:rsidRPr="00AF2C08" w:rsidRDefault="004A09A2" w:rsidP="00192B58">
      <w:pPr>
        <w:rPr>
          <w:b/>
        </w:rPr>
      </w:pPr>
      <w:r w:rsidRPr="00AF2C08">
        <w:t>Dolutegravir exhibited antiviral activity against laboratory strains of wild-type HIV-1 in peripheral blood mononuclear cells (PBMCs) and MT</w:t>
      </w:r>
      <w:r w:rsidR="00AC67C6">
        <w:t>-</w:t>
      </w:r>
      <w:r w:rsidRPr="00AF2C08">
        <w:t>4 cells with mean EC</w:t>
      </w:r>
      <w:r w:rsidRPr="00AF2C08">
        <w:rPr>
          <w:vertAlign w:val="subscript"/>
        </w:rPr>
        <w:t>50</w:t>
      </w:r>
      <w:r w:rsidR="00410EF5" w:rsidRPr="00AF2C08">
        <w:t xml:space="preserve">s of 0.5 </w:t>
      </w:r>
      <w:proofErr w:type="spellStart"/>
      <w:r w:rsidR="00410EF5" w:rsidRPr="00AF2C08">
        <w:t>nM</w:t>
      </w:r>
      <w:proofErr w:type="spellEnd"/>
      <w:r w:rsidR="00410EF5" w:rsidRPr="00AF2C08">
        <w:t xml:space="preserve"> to 2.1 </w:t>
      </w:r>
      <w:proofErr w:type="spellStart"/>
      <w:r w:rsidR="00410EF5" w:rsidRPr="00AF2C08">
        <w:t>nM</w:t>
      </w:r>
      <w:proofErr w:type="spellEnd"/>
      <w:r w:rsidR="00410EF5" w:rsidRPr="00AF2C08">
        <w:t>.</w:t>
      </w:r>
    </w:p>
    <w:p w14:paraId="4DD15459" w14:textId="77777777" w:rsidR="00410EF5" w:rsidRPr="00AF2C08" w:rsidRDefault="004A09A2" w:rsidP="00192B58">
      <w:r w:rsidRPr="00AF2C08">
        <w:t>In a viral integrase susceptibility assay using the integrase coding region from 13 clinically diverse clade B isolates, dolutegravir demonstrated antiviral potency similar to laboratory strains, with a mean EC</w:t>
      </w:r>
      <w:r w:rsidRPr="00AF2C08">
        <w:rPr>
          <w:vertAlign w:val="subscript"/>
        </w:rPr>
        <w:t>50</w:t>
      </w:r>
      <w:r w:rsidRPr="00AF2C08">
        <w:t xml:space="preserve"> of 0.52 </w:t>
      </w:r>
      <w:proofErr w:type="spellStart"/>
      <w:r w:rsidRPr="00AF2C08">
        <w:t>nM</w:t>
      </w:r>
      <w:proofErr w:type="spellEnd"/>
      <w:r w:rsidRPr="00AF2C08">
        <w:t>. When tested in PBMC assays against a panel consisting of 24 HIV-1 clinical isolates [group M (clade A, B, C, D, E, F and G) and group O] and 3 HIV-2 clinical isolates, the geometric mean EC</w:t>
      </w:r>
      <w:r w:rsidRPr="00AF2C08">
        <w:rPr>
          <w:vertAlign w:val="subscript"/>
        </w:rPr>
        <w:t>50</w:t>
      </w:r>
      <w:r w:rsidRPr="00AF2C08">
        <w:t xml:space="preserve"> was 0.20 </w:t>
      </w:r>
      <w:proofErr w:type="spellStart"/>
      <w:r w:rsidRPr="00AF2C08">
        <w:t>nM</w:t>
      </w:r>
      <w:proofErr w:type="spellEnd"/>
      <w:r w:rsidRPr="00AF2C08">
        <w:t xml:space="preserve"> and EC</w:t>
      </w:r>
      <w:r w:rsidRPr="00AF2C08">
        <w:rPr>
          <w:vertAlign w:val="subscript"/>
        </w:rPr>
        <w:t>50</w:t>
      </w:r>
      <w:r w:rsidRPr="00AF2C08">
        <w:t xml:space="preserve"> values ranged from 0.02 to 2.14 </w:t>
      </w:r>
      <w:proofErr w:type="spellStart"/>
      <w:r w:rsidRPr="00AF2C08">
        <w:t>nM</w:t>
      </w:r>
      <w:proofErr w:type="spellEnd"/>
      <w:r w:rsidRPr="00AF2C08">
        <w:t xml:space="preserve"> for HIV-1, while the geometric mean EC</w:t>
      </w:r>
      <w:r w:rsidRPr="00AF2C08">
        <w:rPr>
          <w:vertAlign w:val="subscript"/>
        </w:rPr>
        <w:t>50</w:t>
      </w:r>
      <w:r w:rsidRPr="00AF2C08">
        <w:t xml:space="preserve"> was 0.18 </w:t>
      </w:r>
      <w:proofErr w:type="spellStart"/>
      <w:r w:rsidRPr="00AF2C08">
        <w:t>nM</w:t>
      </w:r>
      <w:proofErr w:type="spellEnd"/>
      <w:r w:rsidRPr="00AF2C08">
        <w:t xml:space="preserve"> and EC</w:t>
      </w:r>
      <w:r w:rsidRPr="00AF2C08">
        <w:rPr>
          <w:vertAlign w:val="subscript"/>
        </w:rPr>
        <w:t>50</w:t>
      </w:r>
      <w:r w:rsidRPr="00AF2C08">
        <w:t xml:space="preserve"> values ranged from 0.09 </w:t>
      </w:r>
      <w:r w:rsidR="00410EF5" w:rsidRPr="00AF2C08">
        <w:t xml:space="preserve">to 0.61 </w:t>
      </w:r>
      <w:proofErr w:type="spellStart"/>
      <w:r w:rsidR="00410EF5" w:rsidRPr="00AF2C08">
        <w:t>nM</w:t>
      </w:r>
      <w:proofErr w:type="spellEnd"/>
      <w:r w:rsidR="00410EF5" w:rsidRPr="00AF2C08">
        <w:t xml:space="preserve"> for HIV-2 isolates.</w:t>
      </w:r>
    </w:p>
    <w:p w14:paraId="277D4901" w14:textId="55DA8E63" w:rsidR="003D316B" w:rsidRPr="00AF2C08" w:rsidRDefault="002C0D7F" w:rsidP="00192B58">
      <w:r w:rsidRPr="002C0D7F">
        <w:t>The antiviral activity of lamivudine against HIV 1 was assessed in a number of cell lines including monocytes and PBMCs using standard susceptibility assays. EC</w:t>
      </w:r>
      <w:r w:rsidRPr="002C0D7F">
        <w:rPr>
          <w:vertAlign w:val="subscript"/>
        </w:rPr>
        <w:t>50</w:t>
      </w:r>
      <w:r w:rsidRPr="002C0D7F">
        <w:t xml:space="preserve"> values were in the range of 0.003 to </w:t>
      </w:r>
      <w:r w:rsidR="008B53ED">
        <w:t>0.17</w:t>
      </w:r>
      <w:r w:rsidR="008B53ED" w:rsidRPr="002C0D7F">
        <w:t xml:space="preserve"> </w:t>
      </w:r>
      <w:proofErr w:type="spellStart"/>
      <w:r w:rsidRPr="002C0D7F">
        <w:t>μM</w:t>
      </w:r>
      <w:proofErr w:type="spellEnd"/>
      <w:r w:rsidRPr="002C0D7F">
        <w:t>. The EC</w:t>
      </w:r>
      <w:r w:rsidRPr="002C0D7F">
        <w:rPr>
          <w:vertAlign w:val="subscript"/>
        </w:rPr>
        <w:t>50</w:t>
      </w:r>
      <w:r w:rsidRPr="002C0D7F">
        <w:t xml:space="preserve"> values of lamivudine against different HIV-1 clades (A-G) ranged from 0.001 to </w:t>
      </w:r>
      <w:r w:rsidR="00455A4B">
        <w:t>0.120</w:t>
      </w:r>
      <w:r w:rsidR="008B53ED" w:rsidRPr="002C0D7F">
        <w:t xml:space="preserve"> </w:t>
      </w:r>
      <w:proofErr w:type="spellStart"/>
      <w:r w:rsidRPr="002C0D7F">
        <w:t>μM</w:t>
      </w:r>
      <w:proofErr w:type="spellEnd"/>
      <w:r w:rsidRPr="002C0D7F">
        <w:t>, and against HIV-2 isolates from 0.</w:t>
      </w:r>
      <w:r w:rsidR="008B53ED" w:rsidRPr="002C0D7F">
        <w:t>00</w:t>
      </w:r>
      <w:r w:rsidR="008B53ED">
        <w:t>2</w:t>
      </w:r>
      <w:r w:rsidR="008B53ED" w:rsidRPr="002C0D7F">
        <w:t xml:space="preserve"> </w:t>
      </w:r>
      <w:r w:rsidRPr="002C0D7F">
        <w:t xml:space="preserve">to 0.120 </w:t>
      </w:r>
      <w:proofErr w:type="spellStart"/>
      <w:r w:rsidRPr="002C0D7F">
        <w:t>μM</w:t>
      </w:r>
      <w:proofErr w:type="spellEnd"/>
      <w:r w:rsidRPr="002C0D7F">
        <w:t xml:space="preserve"> in PBMCs.</w:t>
      </w:r>
    </w:p>
    <w:p w14:paraId="0C6663A3" w14:textId="77777777" w:rsidR="003D316B" w:rsidRPr="00AF2C08" w:rsidRDefault="00CC50FA" w:rsidP="00882D1B">
      <w:pPr>
        <w:spacing w:before="200" w:after="0"/>
        <w:rPr>
          <w:b/>
          <w:i/>
        </w:rPr>
      </w:pPr>
      <w:r w:rsidRPr="00AF2C08">
        <w:rPr>
          <w:b/>
          <w:i/>
        </w:rPr>
        <w:t xml:space="preserve">Antiviral </w:t>
      </w:r>
      <w:r w:rsidR="0075725E">
        <w:rPr>
          <w:b/>
          <w:i/>
        </w:rPr>
        <w:t>a</w:t>
      </w:r>
      <w:r w:rsidRPr="00AF2C08">
        <w:rPr>
          <w:b/>
          <w:i/>
        </w:rPr>
        <w:t xml:space="preserve">ctivity in </w:t>
      </w:r>
      <w:r w:rsidR="0075725E">
        <w:rPr>
          <w:b/>
          <w:i/>
        </w:rPr>
        <w:t>c</w:t>
      </w:r>
      <w:r w:rsidRPr="00AF2C08">
        <w:rPr>
          <w:b/>
          <w:i/>
        </w:rPr>
        <w:t xml:space="preserve">ombination with </w:t>
      </w:r>
      <w:r w:rsidR="0075725E">
        <w:rPr>
          <w:b/>
          <w:i/>
        </w:rPr>
        <w:t>o</w:t>
      </w:r>
      <w:r w:rsidRPr="00AF2C08">
        <w:rPr>
          <w:b/>
          <w:i/>
        </w:rPr>
        <w:t xml:space="preserve">ther </w:t>
      </w:r>
      <w:r w:rsidR="0075725E">
        <w:rPr>
          <w:b/>
          <w:i/>
        </w:rPr>
        <w:t>a</w:t>
      </w:r>
      <w:r w:rsidRPr="00AF2C08">
        <w:rPr>
          <w:b/>
          <w:i/>
        </w:rPr>
        <w:t xml:space="preserve">ntiviral </w:t>
      </w:r>
      <w:r w:rsidR="0075725E">
        <w:rPr>
          <w:b/>
          <w:i/>
        </w:rPr>
        <w:t>a</w:t>
      </w:r>
      <w:r w:rsidR="004A09A2" w:rsidRPr="00AF2C08">
        <w:rPr>
          <w:b/>
          <w:i/>
        </w:rPr>
        <w:t>gents</w:t>
      </w:r>
    </w:p>
    <w:p w14:paraId="6C9B3DB5" w14:textId="3F6B68C2" w:rsidR="00455A4B" w:rsidRDefault="00455A4B" w:rsidP="00192B58">
      <w:r w:rsidRPr="00455A4B">
        <w:rPr>
          <w:i/>
        </w:rPr>
        <w:t>In vitro</w:t>
      </w:r>
      <w:r>
        <w:t xml:space="preserve"> data with dolutegravir combined with lamivudine are not available.</w:t>
      </w:r>
    </w:p>
    <w:p w14:paraId="4F092780" w14:textId="6BDBDC31" w:rsidR="00410EF5" w:rsidRPr="00AF2C08" w:rsidRDefault="004A09A2" w:rsidP="00192B58">
      <w:r w:rsidRPr="00AF2C08">
        <w:t xml:space="preserve">The antiviral activity of dolutegravir </w:t>
      </w:r>
      <w:r w:rsidRPr="00AF2C08">
        <w:rPr>
          <w:i/>
          <w:iCs/>
        </w:rPr>
        <w:t>in vitro</w:t>
      </w:r>
      <w:r w:rsidRPr="00AF2C08">
        <w:t xml:space="preserve"> was not antagonistic with the integrase inhibitor (INI) </w:t>
      </w:r>
      <w:proofErr w:type="spellStart"/>
      <w:r w:rsidRPr="00AF2C08">
        <w:t>raltegravir</w:t>
      </w:r>
      <w:proofErr w:type="spellEnd"/>
      <w:r w:rsidRPr="00AF2C08">
        <w:t>; the non-nucleoside reverse transcriptase inhibitors (NNRTIs) efavirenz or nevirapine; the nucleoside reverse transcriptase inhibitors (NRTIs) abacavir or stavudine; the protease inhibitors (PIs) amprenavir or lopinavir; the CCR5 co-receptor antagonist maraviroc; or the fusion inhibitor enfuvirtide. Dolutegravir antiviral activity was not antagonistic when combined with the HBV reverse transcriptase inhibitor adefovir, or inhibit</w:t>
      </w:r>
      <w:r w:rsidR="00410EF5" w:rsidRPr="00AF2C08">
        <w:t>ed by the antiviral ribavirin.</w:t>
      </w:r>
    </w:p>
    <w:p w14:paraId="208E1AC7" w14:textId="0B2A737A" w:rsidR="003D316B" w:rsidRPr="00AF2C08" w:rsidRDefault="00436E9A" w:rsidP="00192B58">
      <w:r w:rsidRPr="00436E9A">
        <w:t xml:space="preserve">No antagonistic effects </w:t>
      </w:r>
      <w:r w:rsidRPr="00BC2DEE">
        <w:rPr>
          <w:i/>
        </w:rPr>
        <w:t>in vitro</w:t>
      </w:r>
      <w:r w:rsidRPr="00436E9A">
        <w:t xml:space="preserve"> were seen with lamivudine and other </w:t>
      </w:r>
      <w:proofErr w:type="spellStart"/>
      <w:r w:rsidRPr="00436E9A">
        <w:t>antiretrovirals</w:t>
      </w:r>
      <w:proofErr w:type="spellEnd"/>
      <w:r w:rsidRPr="00436E9A">
        <w:t xml:space="preserve"> (tested agents: </w:t>
      </w:r>
      <w:proofErr w:type="spellStart"/>
      <w:r w:rsidRPr="00436E9A">
        <w:t>abacavir</w:t>
      </w:r>
      <w:proofErr w:type="spellEnd"/>
      <w:r w:rsidRPr="00436E9A">
        <w:t xml:space="preserve">, </w:t>
      </w:r>
      <w:proofErr w:type="spellStart"/>
      <w:r w:rsidRPr="00436E9A">
        <w:t>didanosine</w:t>
      </w:r>
      <w:proofErr w:type="spellEnd"/>
      <w:r w:rsidRPr="00436E9A">
        <w:t xml:space="preserve">, </w:t>
      </w:r>
      <w:proofErr w:type="spellStart"/>
      <w:r w:rsidRPr="00436E9A">
        <w:t>nevirapine</w:t>
      </w:r>
      <w:proofErr w:type="spellEnd"/>
      <w:r w:rsidRPr="00436E9A">
        <w:t xml:space="preserve">, </w:t>
      </w:r>
      <w:proofErr w:type="spellStart"/>
      <w:r w:rsidRPr="00436E9A">
        <w:t>zalcitabine</w:t>
      </w:r>
      <w:proofErr w:type="spellEnd"/>
      <w:r w:rsidRPr="00436E9A">
        <w:t>, and zidovudine).</w:t>
      </w:r>
    </w:p>
    <w:p w14:paraId="06A614D8" w14:textId="77777777" w:rsidR="003D316B" w:rsidRPr="00AF2C08" w:rsidRDefault="00CC50FA" w:rsidP="00406A63">
      <w:pPr>
        <w:keepNext/>
        <w:spacing w:before="200" w:after="0"/>
        <w:rPr>
          <w:b/>
          <w:i/>
        </w:rPr>
      </w:pPr>
      <w:r w:rsidRPr="00AF2C08">
        <w:rPr>
          <w:b/>
          <w:i/>
        </w:rPr>
        <w:t xml:space="preserve">Effect of </w:t>
      </w:r>
      <w:r w:rsidR="0075725E">
        <w:rPr>
          <w:b/>
          <w:i/>
        </w:rPr>
        <w:t>h</w:t>
      </w:r>
      <w:r w:rsidRPr="00AF2C08">
        <w:rPr>
          <w:b/>
          <w:i/>
        </w:rPr>
        <w:t xml:space="preserve">uman </w:t>
      </w:r>
      <w:r w:rsidR="0075725E">
        <w:rPr>
          <w:b/>
          <w:i/>
        </w:rPr>
        <w:t>s</w:t>
      </w:r>
      <w:r w:rsidRPr="00AF2C08">
        <w:rPr>
          <w:b/>
          <w:i/>
        </w:rPr>
        <w:t xml:space="preserve">erum and </w:t>
      </w:r>
      <w:r w:rsidR="0075725E">
        <w:rPr>
          <w:b/>
          <w:i/>
        </w:rPr>
        <w:t>s</w:t>
      </w:r>
      <w:r w:rsidRPr="00AF2C08">
        <w:rPr>
          <w:b/>
          <w:i/>
        </w:rPr>
        <w:t xml:space="preserve">erum </w:t>
      </w:r>
      <w:r w:rsidR="0075725E">
        <w:rPr>
          <w:b/>
          <w:i/>
        </w:rPr>
        <w:t>p</w:t>
      </w:r>
      <w:r w:rsidR="004A09A2" w:rsidRPr="00AF2C08">
        <w:rPr>
          <w:b/>
          <w:i/>
        </w:rPr>
        <w:t>roteins</w:t>
      </w:r>
    </w:p>
    <w:p w14:paraId="2C7A6010" w14:textId="7A1E95BC" w:rsidR="003D316B" w:rsidRDefault="004A09A2" w:rsidP="00406A63">
      <w:pPr>
        <w:keepNext/>
      </w:pPr>
      <w:r w:rsidRPr="00AF2C08">
        <w:t xml:space="preserve">The protein adjusted </w:t>
      </w:r>
      <w:r w:rsidR="00403F89">
        <w:t>E</w:t>
      </w:r>
      <w:r w:rsidRPr="00AF2C08">
        <w:t>C</w:t>
      </w:r>
      <w:r w:rsidRPr="00AF2C08">
        <w:rPr>
          <w:vertAlign w:val="subscript"/>
        </w:rPr>
        <w:t>90</w:t>
      </w:r>
      <w:r w:rsidRPr="00AF2C08">
        <w:t xml:space="preserve"> (PA-IC</w:t>
      </w:r>
      <w:r w:rsidRPr="00AF2C08">
        <w:rPr>
          <w:vertAlign w:val="subscript"/>
        </w:rPr>
        <w:t>90</w:t>
      </w:r>
      <w:r w:rsidRPr="00AF2C08">
        <w:t xml:space="preserve">) in PBMCs for dolutegravir was estimated to be 64 </w:t>
      </w:r>
      <w:r w:rsidR="00E55733">
        <w:t>ng</w:t>
      </w:r>
      <w:r w:rsidRPr="00AF2C08">
        <w:t>/</w:t>
      </w:r>
      <w:proofErr w:type="spellStart"/>
      <w:r w:rsidRPr="00AF2C08">
        <w:t>mL.</w:t>
      </w:r>
      <w:proofErr w:type="spellEnd"/>
      <w:r w:rsidRPr="00AF2C08">
        <w:t xml:space="preserve"> Dolutegravir trough concentration for a single 50 mg dose in integrase inhibitor naïve subjects was 1.20 </w:t>
      </w:r>
      <w:r w:rsidR="00024896" w:rsidRPr="00024896">
        <w:rPr>
          <w:rStyle w:val="CSI"/>
        </w:rPr>
        <w:sym w:font="Symbol" w:char="F06D"/>
      </w:r>
      <w:r w:rsidR="00024896">
        <w:rPr>
          <w:rStyle w:val="CSI"/>
        </w:rPr>
        <w:t>g</w:t>
      </w:r>
      <w:r w:rsidRPr="00AF2C08">
        <w:t>/mL, 19 times higher than the estimated PA-</w:t>
      </w:r>
      <w:r w:rsidR="00403F89">
        <w:t>E</w:t>
      </w:r>
      <w:r w:rsidRPr="00AF2C08">
        <w:t>C</w:t>
      </w:r>
      <w:r w:rsidRPr="00AF2C08">
        <w:rPr>
          <w:vertAlign w:val="subscript"/>
        </w:rPr>
        <w:t>90</w:t>
      </w:r>
      <w:r w:rsidRPr="00AF2C08">
        <w:t>.</w:t>
      </w:r>
    </w:p>
    <w:p w14:paraId="02633CB8" w14:textId="04F8C7F8" w:rsidR="00436E9A" w:rsidRPr="00AF2C08" w:rsidRDefault="00436E9A" w:rsidP="00406A63">
      <w:pPr>
        <w:keepNext/>
      </w:pPr>
      <w:r w:rsidRPr="00436E9A">
        <w:t>Lamivudine exhibits linear pharmacokinetics over the therapeutic dose range and displays low plasma protein binding (less than 36%).</w:t>
      </w:r>
    </w:p>
    <w:p w14:paraId="6DC40520" w14:textId="556D5438" w:rsidR="003D316B" w:rsidRPr="00AF2C08" w:rsidRDefault="004A09A2" w:rsidP="00496801">
      <w:pPr>
        <w:spacing w:before="200" w:after="0"/>
        <w:rPr>
          <w:b/>
          <w:i/>
        </w:rPr>
      </w:pPr>
      <w:r w:rsidRPr="00AF2C08">
        <w:rPr>
          <w:b/>
          <w:i/>
        </w:rPr>
        <w:t xml:space="preserve">Resistance </w:t>
      </w:r>
      <w:r w:rsidR="0075725E">
        <w:rPr>
          <w:b/>
          <w:i/>
          <w:iCs/>
        </w:rPr>
        <w:t>i</w:t>
      </w:r>
      <w:r w:rsidR="00CC50FA" w:rsidRPr="00AF2C08">
        <w:rPr>
          <w:b/>
          <w:i/>
          <w:iCs/>
        </w:rPr>
        <w:t xml:space="preserve">n </w:t>
      </w:r>
      <w:r w:rsidR="0075725E">
        <w:rPr>
          <w:b/>
          <w:i/>
          <w:iCs/>
        </w:rPr>
        <w:t>v</w:t>
      </w:r>
      <w:r w:rsidRPr="00AF2C08">
        <w:rPr>
          <w:b/>
          <w:i/>
          <w:iCs/>
        </w:rPr>
        <w:t>itro</w:t>
      </w:r>
      <w:r w:rsidR="00746595">
        <w:rPr>
          <w:b/>
          <w:i/>
          <w:iCs/>
        </w:rPr>
        <w:t xml:space="preserve"> and in vivo (dolutegravir)</w:t>
      </w:r>
    </w:p>
    <w:p w14:paraId="61B3BBDF" w14:textId="3A8EC8EB" w:rsidR="00455A4B" w:rsidRDefault="00455A4B" w:rsidP="00192B58">
      <w:r>
        <w:t>Dolutegravir-resistant viruses were selected in studies of potential resistance using different wi</w:t>
      </w:r>
      <w:r w:rsidR="00810F39">
        <w:t>l</w:t>
      </w:r>
      <w:r>
        <w:t>d type strains and clades of HIV-1</w:t>
      </w:r>
      <w:r w:rsidR="00810F39">
        <w:t>. Amino acid substitutions that emerged during passaging included E92Q, G193E, G118R, S153F or Y and R263K, and were associated with decreased susceptibility to dolutegravir of 1.3- to 10-fold.</w:t>
      </w:r>
    </w:p>
    <w:p w14:paraId="336A44B4" w14:textId="2E99EA06" w:rsidR="00410EF5" w:rsidRPr="00AF2C08" w:rsidRDefault="004A09A2" w:rsidP="00192B58">
      <w:r w:rsidRPr="00AF2C08">
        <w:t xml:space="preserve">In resistance development studies starting with the single </w:t>
      </w:r>
      <w:proofErr w:type="spellStart"/>
      <w:r w:rsidRPr="00AF2C08">
        <w:t>raltegravir</w:t>
      </w:r>
      <w:proofErr w:type="spellEnd"/>
      <w:r w:rsidRPr="00AF2C08">
        <w:t xml:space="preserve"> resistance mutants Q148H, Q148K or Q148R, additional mutations detected during passage with dolutegravir </w:t>
      </w:r>
      <w:r w:rsidRPr="00AF2C08">
        <w:lastRenderedPageBreak/>
        <w:t>included E138K/Q148K, E138K/Q148R, Q140S/Q148R and G140S/Q148R, which all exhibited greater than ten-fold reductions i</w:t>
      </w:r>
      <w:r w:rsidR="00410EF5" w:rsidRPr="00AF2C08">
        <w:t>n sensitivity to dolutegravir.</w:t>
      </w:r>
    </w:p>
    <w:p w14:paraId="06A76E94" w14:textId="2F1A2702" w:rsidR="00746595" w:rsidRDefault="00746595" w:rsidP="00746595">
      <w:r w:rsidRPr="00746595">
        <w:rPr>
          <w:u w:val="single"/>
        </w:rPr>
        <w:t>Treatment-naïve HIV-1 infected subjects receiving dolutegravir:</w:t>
      </w:r>
      <w:r>
        <w:t xml:space="preserve"> No INI-resistant mutations or treatment emergent resistance to the NRTI backbone therapy were isolated with dolutegravir 50 mg once daily in treatment–naive studies.</w:t>
      </w:r>
    </w:p>
    <w:p w14:paraId="663BE790" w14:textId="77777777" w:rsidR="00746595" w:rsidRPr="00C806B7" w:rsidRDefault="00746595" w:rsidP="00746595">
      <w:pPr>
        <w:rPr>
          <w:b/>
          <w:i/>
        </w:rPr>
      </w:pPr>
      <w:r w:rsidRPr="00C806B7">
        <w:rPr>
          <w:b/>
          <w:i/>
        </w:rPr>
        <w:t>Resistance in vitro and in vivo (lamivudine)</w:t>
      </w:r>
    </w:p>
    <w:p w14:paraId="232F7121" w14:textId="381C5214" w:rsidR="00746595" w:rsidRDefault="00746595" w:rsidP="00746595">
      <w:r>
        <w:t xml:space="preserve">HIV-1 resistance to lamivudine involves the development of a M184I or M184V amino acid change close to the active site of the viral RT. This variant arises both </w:t>
      </w:r>
      <w:r w:rsidRPr="00BC2DEE">
        <w:rPr>
          <w:i/>
        </w:rPr>
        <w:t>in vitro</w:t>
      </w:r>
      <w:r>
        <w:t xml:space="preserve"> and in HIV-1 infected patients treated with lamivudine-containing antiretroviral therapy.  M184V mutants display greatly reduced susceptibility to lamivudine and show diminished viral replicative capacity </w:t>
      </w:r>
      <w:r w:rsidRPr="00BC2DEE">
        <w:rPr>
          <w:i/>
        </w:rPr>
        <w:t>in vitro</w:t>
      </w:r>
      <w:r>
        <w:t xml:space="preserve">. </w:t>
      </w:r>
      <w:r w:rsidR="00201AF7">
        <w:t xml:space="preserve">Studies </w:t>
      </w:r>
      <w:r w:rsidR="00201AF7" w:rsidRPr="00201AF7">
        <w:t xml:space="preserve">in vitro </w:t>
      </w:r>
      <w:r w:rsidR="00201AF7">
        <w:t>indicate that zidovudine-resistant virus isolates can become zidovudine sensitive when they simultaneously acquire resistance to lamivudine. The clinical relevance of such findings remains, however, not well defined.</w:t>
      </w:r>
    </w:p>
    <w:p w14:paraId="6E13D574" w14:textId="77777777" w:rsidR="00746595" w:rsidRPr="00C806B7" w:rsidRDefault="00746595" w:rsidP="00746595">
      <w:pPr>
        <w:rPr>
          <w:b/>
          <w:i/>
        </w:rPr>
      </w:pPr>
      <w:r w:rsidRPr="00C806B7">
        <w:rPr>
          <w:b/>
          <w:i/>
        </w:rPr>
        <w:t>Resistance in vivo (dolutegravir plus lamivudine)</w:t>
      </w:r>
    </w:p>
    <w:p w14:paraId="0457DA02" w14:textId="74234E32" w:rsidR="00577674" w:rsidRDefault="00746595" w:rsidP="004476B1">
      <w:pPr>
        <w:spacing w:before="200" w:after="0"/>
      </w:pPr>
      <w:r>
        <w:t>No</w:t>
      </w:r>
      <w:r w:rsidR="00073082">
        <w:t>ne of the six</w:t>
      </w:r>
      <w:r>
        <w:t xml:space="preserve"> subjects </w:t>
      </w:r>
      <w:r w:rsidR="00073082">
        <w:t xml:space="preserve">in the dolutegravir plus lamivudine group or the four subjects in the dolutegravir plus tenofovir disoproxil/emtricitabine group </w:t>
      </w:r>
      <w:r>
        <w:t xml:space="preserve">that met the protocol-defined confirmed virologic withdrawal (CVW) criteria across the pooled GEMINI-1 and GEMINI-2 studies through Week 48 had emergent INSTI or NRTI resistance substitutions.  </w:t>
      </w:r>
    </w:p>
    <w:p w14:paraId="7AB0D004" w14:textId="77777777" w:rsidR="003D316B" w:rsidRPr="00AF2C08" w:rsidRDefault="00CC50FA" w:rsidP="00496801">
      <w:pPr>
        <w:spacing w:before="200" w:after="0"/>
        <w:rPr>
          <w:b/>
          <w:i/>
        </w:rPr>
      </w:pPr>
      <w:r w:rsidRPr="00AF2C08">
        <w:rPr>
          <w:b/>
          <w:i/>
        </w:rPr>
        <w:t>Cross-</w:t>
      </w:r>
      <w:r w:rsidR="00933ACB">
        <w:rPr>
          <w:b/>
          <w:i/>
        </w:rPr>
        <w:t>r</w:t>
      </w:r>
      <w:r w:rsidR="004A09A2" w:rsidRPr="00AF2C08">
        <w:rPr>
          <w:b/>
          <w:i/>
        </w:rPr>
        <w:t>esistance</w:t>
      </w:r>
    </w:p>
    <w:p w14:paraId="6C2930EC" w14:textId="484C6746" w:rsidR="00410EF5" w:rsidRDefault="004A09A2" w:rsidP="00192B58">
      <w:r w:rsidRPr="0075725E">
        <w:rPr>
          <w:iCs/>
          <w:u w:val="single"/>
        </w:rPr>
        <w:t>Site-directed INSTI mutant virus</w:t>
      </w:r>
      <w:r w:rsidR="00843E19" w:rsidRPr="0075725E">
        <w:rPr>
          <w:iCs/>
          <w:u w:val="single"/>
        </w:rPr>
        <w:t>:</w:t>
      </w:r>
      <w:r w:rsidRPr="00AF2C08">
        <w:t xml:space="preserve"> Dolutegravir activity was determined against a panel of 60 INSTI-resistant site-directed mutant HIV-1 viruses (28 with single substitutions and 32 with 2 or more substitutions). The single INSTI-resistance substitutions T66K, I151L, and S153Y conferred a greater than 2-fold decrease in dolutegravir susceptibility (range: 2.3-fold to 3.6-fold from reference). Combinations of multiple substitutions T66K/L74M, E92Q/N155H, G140C/Q148R, G140S/Q148H, R or K, Q148R/N155H, T97A/G140S/Q148, and substitutions at E138/G140/Q148 showed a greater than 2-fold decrease in dolutegravir susceptibility (range: 2.5-fo</w:t>
      </w:r>
      <w:r w:rsidR="00410EF5" w:rsidRPr="00AF2C08">
        <w:t>ld to 21-fold from reference).</w:t>
      </w:r>
    </w:p>
    <w:p w14:paraId="10EB8F6D" w14:textId="77777777" w:rsidR="007A6635" w:rsidRPr="00AF2C08" w:rsidRDefault="004A09A2" w:rsidP="00192B58">
      <w:r w:rsidRPr="0075725E">
        <w:rPr>
          <w:u w:val="single"/>
        </w:rPr>
        <w:t>Recombinant clinical isolates:</w:t>
      </w:r>
      <w:r w:rsidRPr="00AF2C08">
        <w:t xml:space="preserve"> Dolutegravir activity was measured for 705 </w:t>
      </w:r>
      <w:proofErr w:type="spellStart"/>
      <w:r w:rsidRPr="00AF2C08">
        <w:t>raltegravir</w:t>
      </w:r>
      <w:proofErr w:type="spellEnd"/>
      <w:r w:rsidRPr="00AF2C08">
        <w:t xml:space="preserve"> resistant recombinant isolates from clinical practice; 93.9% (662/705) of the isolates had a dolutegravir FC ≤ 10. Dolutegravir had a ≤ 10 FC against 67 (73%) of the 92 clinical isolates with Q148 + ≥ 2 INSTI-resistance substitutions and 168 (91%) of the 184 isolates with Q148 + 1 INSTI resistance substitutions.</w:t>
      </w:r>
    </w:p>
    <w:p w14:paraId="6E5D15C7" w14:textId="5FE070C5" w:rsidR="003E241C" w:rsidRPr="003E241C" w:rsidRDefault="008E233C" w:rsidP="003E241C">
      <w:r w:rsidRPr="008E233C">
        <w:rPr>
          <w:u w:val="single"/>
        </w:rPr>
        <w:t>Cross-resistance conferred by the M184V reverse transcriptase:</w:t>
      </w:r>
      <w:r>
        <w:t xml:space="preserve"> </w:t>
      </w:r>
      <w:r w:rsidR="003E241C" w:rsidRPr="003E241C">
        <w:t xml:space="preserve">Cross-resistance has been observed among nucleoside reverse transcriptase inhibitors. Viruses containing lamivudine resistance-associated mutations (including M184V/I, and K65R/E/N) may exhibit cross-resistance </w:t>
      </w:r>
      <w:r w:rsidR="003E241C" w:rsidRPr="003E241C">
        <w:rPr>
          <w:i/>
        </w:rPr>
        <w:t>in vitro</w:t>
      </w:r>
      <w:r w:rsidR="003E241C" w:rsidRPr="003E241C">
        <w:t xml:space="preserve"> and </w:t>
      </w:r>
      <w:r w:rsidR="003E241C" w:rsidRPr="003E241C">
        <w:rPr>
          <w:i/>
        </w:rPr>
        <w:t>in vivo</w:t>
      </w:r>
      <w:r w:rsidR="003E241C" w:rsidRPr="003E241C">
        <w:t xml:space="preserve">. The M184V mutation can confer resistance to </w:t>
      </w:r>
      <w:proofErr w:type="spellStart"/>
      <w:r w:rsidR="003E241C" w:rsidRPr="003E241C">
        <w:t>abacavir</w:t>
      </w:r>
      <w:proofErr w:type="spellEnd"/>
      <w:r w:rsidR="003E241C" w:rsidRPr="003E241C">
        <w:t xml:space="preserve">, </w:t>
      </w:r>
      <w:proofErr w:type="spellStart"/>
      <w:r w:rsidR="00170C29">
        <w:t>didanosine</w:t>
      </w:r>
      <w:proofErr w:type="spellEnd"/>
      <w:r w:rsidR="00170C29">
        <w:t xml:space="preserve"> and </w:t>
      </w:r>
      <w:r w:rsidR="003E241C" w:rsidRPr="003E241C">
        <w:t xml:space="preserve">emtricitabine; the K65R mutation can confer resistance to </w:t>
      </w:r>
      <w:proofErr w:type="spellStart"/>
      <w:r w:rsidR="003E241C" w:rsidRPr="003E241C">
        <w:t>abacavir</w:t>
      </w:r>
      <w:proofErr w:type="spellEnd"/>
      <w:r w:rsidR="003E241C" w:rsidRPr="003E241C">
        <w:t xml:space="preserve">, </w:t>
      </w:r>
      <w:proofErr w:type="spellStart"/>
      <w:r w:rsidR="003E241C" w:rsidRPr="003E241C">
        <w:t>didanosine</w:t>
      </w:r>
      <w:proofErr w:type="spellEnd"/>
      <w:r w:rsidR="003E241C" w:rsidRPr="003E241C">
        <w:t xml:space="preserve">, emtricitabine, </w:t>
      </w:r>
      <w:proofErr w:type="spellStart"/>
      <w:r w:rsidR="003E241C" w:rsidRPr="003E241C">
        <w:t>stavudine</w:t>
      </w:r>
      <w:proofErr w:type="spellEnd"/>
      <w:r w:rsidR="003E241C" w:rsidRPr="003E241C">
        <w:t>, and tenofovir.</w:t>
      </w:r>
    </w:p>
    <w:p w14:paraId="450F0A27" w14:textId="3E488735" w:rsidR="008E233C" w:rsidRPr="00AF2C08" w:rsidRDefault="003E241C" w:rsidP="003E241C">
      <w:r w:rsidRPr="003E241C">
        <w:t>Resistance patterns may change, and the most up-to-date information in conjunction with resistance testing should be used to inform the choice of therapy</w:t>
      </w:r>
      <w:r w:rsidR="008C2EDE">
        <w:t>.</w:t>
      </w:r>
    </w:p>
    <w:p w14:paraId="27BD07F6" w14:textId="77777777" w:rsidR="003D316B" w:rsidRPr="00AF2C08" w:rsidRDefault="00CC50FA" w:rsidP="00223876">
      <w:pPr>
        <w:keepNext/>
        <w:spacing w:before="200" w:after="0"/>
        <w:rPr>
          <w:b/>
          <w:i/>
        </w:rPr>
      </w:pPr>
      <w:r w:rsidRPr="00AF2C08">
        <w:rPr>
          <w:b/>
          <w:i/>
        </w:rPr>
        <w:lastRenderedPageBreak/>
        <w:t xml:space="preserve">Effects on </w:t>
      </w:r>
      <w:r w:rsidR="0075725E">
        <w:rPr>
          <w:b/>
          <w:i/>
        </w:rPr>
        <w:t>e</w:t>
      </w:r>
      <w:r w:rsidR="004A09A2" w:rsidRPr="00AF2C08">
        <w:rPr>
          <w:b/>
          <w:i/>
        </w:rPr>
        <w:t>lectrocardiogram</w:t>
      </w:r>
    </w:p>
    <w:p w14:paraId="19E73C70" w14:textId="1B871777" w:rsidR="007A6635" w:rsidRPr="00AF2C08" w:rsidRDefault="004A09A2" w:rsidP="00223876">
      <w:pPr>
        <w:keepNext/>
      </w:pPr>
      <w:r w:rsidRPr="00AF2C08">
        <w:t>In a randomised, placebo-controlled, cross-over trial, 42 healthy subjects received single dose oral administrations of placebo, dolutegravir 250 mg suspension (exposures approximately 3-fold of the 50 mg once-daily dose at steady state), and moxifloxacin (400 mg, active control) in random sequence. Dolutegravir did not prolong the QTc interval for 24 hours post dose. After baseline and placebo adjustment, the maximum mean QTc change</w:t>
      </w:r>
      <w:r w:rsidR="00223876">
        <w:t xml:space="preserve"> </w:t>
      </w:r>
      <w:r w:rsidRPr="00AF2C08">
        <w:t xml:space="preserve">based on </w:t>
      </w:r>
      <w:proofErr w:type="spellStart"/>
      <w:r w:rsidRPr="00AF2C08">
        <w:t>Fridericia</w:t>
      </w:r>
      <w:proofErr w:type="spellEnd"/>
      <w:r w:rsidRPr="00AF2C08">
        <w:t xml:space="preserve"> correction method (</w:t>
      </w:r>
      <w:proofErr w:type="spellStart"/>
      <w:r w:rsidRPr="00AF2C08">
        <w:t>QTcF</w:t>
      </w:r>
      <w:proofErr w:type="spellEnd"/>
      <w:r w:rsidRPr="00AF2C08">
        <w:t xml:space="preserve">) was 1.99 </w:t>
      </w:r>
      <w:proofErr w:type="spellStart"/>
      <w:r w:rsidRPr="00AF2C08">
        <w:t>msec</w:t>
      </w:r>
      <w:proofErr w:type="spellEnd"/>
      <w:r w:rsidRPr="00AF2C08">
        <w:t xml:space="preserve"> (1-sided 95% upper CI: 4.5</w:t>
      </w:r>
      <w:r w:rsidR="007A6635" w:rsidRPr="00AF2C08">
        <w:t xml:space="preserve">3 </w:t>
      </w:r>
      <w:proofErr w:type="spellStart"/>
      <w:r w:rsidR="007A6635" w:rsidRPr="00AF2C08">
        <w:t>msec</w:t>
      </w:r>
      <w:proofErr w:type="spellEnd"/>
      <w:r w:rsidR="007A6635" w:rsidRPr="00AF2C08">
        <w:t>).</w:t>
      </w:r>
    </w:p>
    <w:p w14:paraId="6903B999" w14:textId="77777777" w:rsidR="003A096D" w:rsidRDefault="003A096D" w:rsidP="00406A63">
      <w:pPr>
        <w:keepNext/>
        <w:spacing w:before="200" w:after="0"/>
      </w:pPr>
      <w:r w:rsidRPr="003A096D">
        <w:t>Similar studies were not conducted with lamivudine.</w:t>
      </w:r>
    </w:p>
    <w:p w14:paraId="1325CF06" w14:textId="45E122E0" w:rsidR="003D316B" w:rsidRPr="00AF2C08" w:rsidRDefault="00CC50FA" w:rsidP="00406A63">
      <w:pPr>
        <w:keepNext/>
        <w:spacing w:before="200" w:after="0"/>
        <w:rPr>
          <w:b/>
          <w:i/>
        </w:rPr>
      </w:pPr>
      <w:r w:rsidRPr="00AF2C08">
        <w:rPr>
          <w:b/>
          <w:i/>
        </w:rPr>
        <w:t xml:space="preserve">Effects on </w:t>
      </w:r>
      <w:r w:rsidR="0075725E">
        <w:rPr>
          <w:b/>
          <w:i/>
        </w:rPr>
        <w:t>r</w:t>
      </w:r>
      <w:r w:rsidRPr="00AF2C08">
        <w:rPr>
          <w:b/>
          <w:i/>
        </w:rPr>
        <w:t xml:space="preserve">enal </w:t>
      </w:r>
      <w:r w:rsidR="0075725E">
        <w:rPr>
          <w:b/>
          <w:i/>
        </w:rPr>
        <w:t>f</w:t>
      </w:r>
      <w:r w:rsidR="004A09A2" w:rsidRPr="00AF2C08">
        <w:rPr>
          <w:b/>
          <w:i/>
        </w:rPr>
        <w:t>unction</w:t>
      </w:r>
    </w:p>
    <w:p w14:paraId="2C83E78E" w14:textId="7FEB8361" w:rsidR="003D316B" w:rsidRPr="00AF2C08" w:rsidRDefault="004A09A2" w:rsidP="00406A63">
      <w:pPr>
        <w:keepNext/>
      </w:pPr>
      <w:r w:rsidRPr="00AF2C08">
        <w:t>The effect of dolutegravir on serum creatinine clearance (</w:t>
      </w:r>
      <w:proofErr w:type="spellStart"/>
      <w:r w:rsidRPr="00AF2C08">
        <w:t>CrCl</w:t>
      </w:r>
      <w:proofErr w:type="spellEnd"/>
      <w:r w:rsidRPr="00AF2C08">
        <w:t xml:space="preserve">), glomerular filtration rate (GFR) using </w:t>
      </w:r>
      <w:proofErr w:type="spellStart"/>
      <w:r w:rsidRPr="00AF2C08">
        <w:t>iohexol</w:t>
      </w:r>
      <w:proofErr w:type="spellEnd"/>
      <w:r w:rsidRPr="00AF2C08">
        <w:t xml:space="preserve"> as the probe and effective renal plasma flow (ERPF) using para-</w:t>
      </w:r>
      <w:proofErr w:type="spellStart"/>
      <w:r w:rsidRPr="00AF2C08">
        <w:t>aminohippurate</w:t>
      </w:r>
      <w:proofErr w:type="spellEnd"/>
      <w:r w:rsidRPr="00AF2C08">
        <w:t xml:space="preserve"> (PAH) as the probe was evaluated in an open-label, randomised, 3 arm, parallel, placebo-controlled study in 37 healthy subjects, who were administered dolutegravir 50 mg once daily (n=12), 50 mg twice daily (n=13) or placebo once daily (n=12) for 14 days. A modest decrease in </w:t>
      </w:r>
      <w:proofErr w:type="spellStart"/>
      <w:r w:rsidRPr="00AF2C08">
        <w:t>CrCl</w:t>
      </w:r>
      <w:proofErr w:type="spellEnd"/>
      <w:r w:rsidRPr="00AF2C08">
        <w:t xml:space="preserve"> was observed with dolutegravir within the first week of treatment, consistent with that seen in clinical </w:t>
      </w:r>
      <w:r w:rsidR="003666B4">
        <w:t>trials</w:t>
      </w:r>
      <w:r w:rsidRPr="00AF2C08">
        <w:t xml:space="preserve">. Dolutegravir at both doses had no significant effect on GFR or ERPF. These data support </w:t>
      </w:r>
      <w:r w:rsidRPr="00AF2C08">
        <w:rPr>
          <w:i/>
          <w:iCs/>
        </w:rPr>
        <w:t>in vitro</w:t>
      </w:r>
      <w:r w:rsidRPr="00AF2C08">
        <w:t xml:space="preserve"> studies which suggest that the small increases in creatinine observed in clinical </w:t>
      </w:r>
      <w:r w:rsidR="003666B4">
        <w:t>trials</w:t>
      </w:r>
      <w:r w:rsidR="003666B4" w:rsidRPr="00AF2C08">
        <w:t xml:space="preserve"> </w:t>
      </w:r>
      <w:r w:rsidRPr="00AF2C08">
        <w:t xml:space="preserve">are due to the </w:t>
      </w:r>
      <w:proofErr w:type="spellStart"/>
      <w:r w:rsidRPr="00AF2C08">
        <w:t>nonpathologic</w:t>
      </w:r>
      <w:proofErr w:type="spellEnd"/>
      <w:r w:rsidRPr="00AF2C08">
        <w:t xml:space="preserve"> inhibition of the organic cation transporter 2 (OCT2) in the proximal renal tubules, which mediates the tubular secretion of creatinine.</w:t>
      </w:r>
    </w:p>
    <w:p w14:paraId="5B1FF3AC" w14:textId="65732298" w:rsidR="003D316B" w:rsidRPr="00AF2C08" w:rsidRDefault="00CC50FA" w:rsidP="00192B58">
      <w:pPr>
        <w:pStyle w:val="Heading3"/>
      </w:pPr>
      <w:r w:rsidRPr="00AF2C08">
        <w:t xml:space="preserve">Clinical </w:t>
      </w:r>
      <w:r w:rsidR="0075725E">
        <w:t>t</w:t>
      </w:r>
      <w:r w:rsidR="004A09A2" w:rsidRPr="00AF2C08">
        <w:t>rials</w:t>
      </w:r>
    </w:p>
    <w:p w14:paraId="1971D39F" w14:textId="10670C8E" w:rsidR="002E769D" w:rsidRDefault="003A096D" w:rsidP="002E769D">
      <w:r>
        <w:t xml:space="preserve">The efficacy of </w:t>
      </w:r>
      <w:r w:rsidR="00BE7D0C">
        <w:t>DOVATO</w:t>
      </w:r>
      <w:r>
        <w:t xml:space="preserve"> is supported by data from </w:t>
      </w:r>
      <w:r w:rsidR="00AC67C6">
        <w:t xml:space="preserve">two </w:t>
      </w:r>
      <w:r>
        <w:t xml:space="preserve">identical 148-week, Phase III, randomised, double-blind, </w:t>
      </w:r>
      <w:r w:rsidR="00B861BE">
        <w:t>multicentre</w:t>
      </w:r>
      <w:r>
        <w:t>, parallel-group, non-inferiority controlled trials (GEMINI-1 [204861] and GEMINI-2 [205543]). A total of 1433</w:t>
      </w:r>
      <w:r w:rsidR="00AC67C6">
        <w:t>,</w:t>
      </w:r>
      <w:r>
        <w:t xml:space="preserve"> HIV-1 infected antiretroviral treatment-naïve adult subjects</w:t>
      </w:r>
      <w:r w:rsidR="002E769D">
        <w:t xml:space="preserve">, </w:t>
      </w:r>
      <w:r w:rsidR="002E769D" w:rsidRPr="00416616">
        <w:t xml:space="preserve">defined as having had ≤10 days of prior therapy with any antiretroviral agent following a diagnosis of HIV-1 infection, </w:t>
      </w:r>
      <w:r>
        <w:t xml:space="preserve">received treatment in the trials. </w:t>
      </w:r>
      <w:r w:rsidR="002E769D" w:rsidRPr="00416616">
        <w:t xml:space="preserve">Subjects with pre-existing viral resistance (based on the presence of any major resistance-associated mutation), severe hepatic or renal impairment, HBV positive status or those requiring </w:t>
      </w:r>
      <w:r w:rsidR="00416616">
        <w:t>hepatitis C virus (</w:t>
      </w:r>
      <w:r w:rsidR="002E769D" w:rsidRPr="00416616">
        <w:t>HCV</w:t>
      </w:r>
      <w:r w:rsidR="00416616">
        <w:t>)</w:t>
      </w:r>
      <w:r w:rsidR="002E769D" w:rsidRPr="00416616">
        <w:t xml:space="preserve"> therapy were excluded from the trials.</w:t>
      </w:r>
      <w:r w:rsidR="002E769D">
        <w:t xml:space="preserve"> HIV-2 infected subjects were not evaluated.</w:t>
      </w:r>
    </w:p>
    <w:p w14:paraId="220007A9" w14:textId="0FCBD332" w:rsidR="003A096D" w:rsidRDefault="003A096D" w:rsidP="00416616">
      <w:r>
        <w:t>Subjects were enrolled with a screening plasma HIV-1 RNA of 1000 c/mL to ≤500,000 c/</w:t>
      </w:r>
      <w:proofErr w:type="spellStart"/>
      <w:r>
        <w:t>mL.</w:t>
      </w:r>
      <w:proofErr w:type="spellEnd"/>
      <w:r>
        <w:t xml:space="preserve"> Subjects were randomised to a two-drug regimen of dolutegravir </w:t>
      </w:r>
      <w:r w:rsidR="00C21AB0">
        <w:t xml:space="preserve">50 mg </w:t>
      </w:r>
      <w:r>
        <w:t xml:space="preserve">plus lamivudine </w:t>
      </w:r>
      <w:r w:rsidR="00C21AB0">
        <w:t xml:space="preserve">300 mg </w:t>
      </w:r>
      <w:r>
        <w:t xml:space="preserve">administered once daily or dolutegravir </w:t>
      </w:r>
      <w:r w:rsidR="00C21AB0">
        <w:t xml:space="preserve">50 mg </w:t>
      </w:r>
      <w:r>
        <w:t xml:space="preserve">plus tenofovir/emtricitabine </w:t>
      </w:r>
      <w:r w:rsidR="002E769D">
        <w:t xml:space="preserve">300/200 mg </w:t>
      </w:r>
      <w:r>
        <w:t>FDC administered once daily. The primary efficacy endpoint for each GEMINI trial was the proportion of subjects with plasma HIV-1 RNA &lt;50 copies/mL at Week 48 (Snapshot algorithm for the ITT-E population).</w:t>
      </w:r>
    </w:p>
    <w:p w14:paraId="7632A845" w14:textId="37E993FD" w:rsidR="003A096D" w:rsidRDefault="003A096D" w:rsidP="003A096D">
      <w:pPr>
        <w:spacing w:before="200" w:after="0"/>
      </w:pPr>
      <w:r>
        <w:t>At baseline, in the pooled analysis, the median age of subjects was 33 years</w:t>
      </w:r>
      <w:r w:rsidR="00C21AB0">
        <w:t xml:space="preserve"> (18 – 72 years)</w:t>
      </w:r>
      <w:r>
        <w:t xml:space="preserve">, 15% were female, 68% were white, 9% were CDC Stage 3 (AIDS), 20% had HIV-1 RNA &gt;100,000 copies/mL, and 8% had CD4+ cell count less than 200 cells per mm3; these characteristics were similar between studies and treatment arms. </w:t>
      </w:r>
    </w:p>
    <w:p w14:paraId="106E6305" w14:textId="6B9E84C6" w:rsidR="003A096D" w:rsidRDefault="003A096D" w:rsidP="003A096D">
      <w:pPr>
        <w:spacing w:before="200" w:after="0"/>
      </w:pPr>
      <w:r>
        <w:lastRenderedPageBreak/>
        <w:t xml:space="preserve">At week 48, dolutegravir plus lamivudine was non-inferior to dolutegravir plus tenofovir/emtricitabine FDC in GEMINI-1 and GEMINI-2 studies.  This was supported by the pooled analysis, see Table </w:t>
      </w:r>
      <w:r w:rsidR="00B20715">
        <w:t>8</w:t>
      </w:r>
      <w:r>
        <w:t>.</w:t>
      </w:r>
    </w:p>
    <w:p w14:paraId="75D96558" w14:textId="4FB9A47B" w:rsidR="003A096D" w:rsidRPr="00BE7D0C" w:rsidRDefault="004226A0" w:rsidP="002156DB">
      <w:pPr>
        <w:pStyle w:val="captiontable"/>
        <w:keepLines/>
        <w:spacing w:after="200"/>
        <w:ind w:left="1134" w:hanging="1134"/>
      </w:pPr>
      <w:r>
        <w:t xml:space="preserve">Table </w:t>
      </w:r>
      <w:r w:rsidR="00B20715">
        <w:t>8</w:t>
      </w:r>
      <w:r w:rsidR="00D66960">
        <w:t>:</w:t>
      </w:r>
      <w:r w:rsidR="00FB7D66">
        <w:tab/>
      </w:r>
      <w:r w:rsidR="003A096D" w:rsidRPr="00BE7D0C">
        <w:t>Virologic Outcomes of Randomised Treatment at Week 48 (Snapshot algorithm</w:t>
      </w:r>
      <w:r w:rsidR="00A101BE">
        <w:t xml:space="preserve"> for the ITT-E population</w:t>
      </w:r>
      <w:r w:rsidR="003A096D" w:rsidRPr="00BE7D0C">
        <w:t>)</w:t>
      </w:r>
    </w:p>
    <w:tbl>
      <w:tblPr>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1952"/>
        <w:gridCol w:w="1891"/>
      </w:tblGrid>
      <w:tr w:rsidR="00CD5CAE" w:rsidRPr="004535D6" w14:paraId="5647285E" w14:textId="77777777" w:rsidTr="002156DB">
        <w:trPr>
          <w:trHeight w:val="283"/>
        </w:trPr>
        <w:tc>
          <w:tcPr>
            <w:tcW w:w="4814" w:type="dxa"/>
            <w:vMerge w:val="restart"/>
          </w:tcPr>
          <w:p w14:paraId="5808405A" w14:textId="77777777" w:rsidR="00CD5CAE" w:rsidRPr="004535D6" w:rsidRDefault="00CD5CAE" w:rsidP="002156DB">
            <w:pPr>
              <w:keepNext/>
              <w:keepLines/>
              <w:spacing w:after="0"/>
              <w:rPr>
                <w:rFonts w:ascii="Arial Narrow" w:hAnsi="Arial Narrow" w:cs="Arial Narrow"/>
                <w:szCs w:val="24"/>
              </w:rPr>
            </w:pPr>
          </w:p>
        </w:tc>
        <w:tc>
          <w:tcPr>
            <w:tcW w:w="3843" w:type="dxa"/>
            <w:gridSpan w:val="2"/>
          </w:tcPr>
          <w:p w14:paraId="4F99B1CF" w14:textId="77777777" w:rsidR="00CD5CAE" w:rsidRPr="004535D6" w:rsidRDefault="00CD5CAE" w:rsidP="002156DB">
            <w:pPr>
              <w:keepNext/>
              <w:keepLines/>
              <w:spacing w:after="0"/>
              <w:jc w:val="center"/>
              <w:rPr>
                <w:rFonts w:ascii="Arial Narrow" w:hAnsi="Arial Narrow" w:cs="Arial Narrow"/>
                <w:b/>
                <w:szCs w:val="24"/>
              </w:rPr>
            </w:pPr>
            <w:r w:rsidRPr="004535D6">
              <w:rPr>
                <w:rFonts w:ascii="Arial Narrow" w:hAnsi="Arial Narrow" w:cs="Arial Narrow"/>
                <w:b/>
                <w:szCs w:val="24"/>
              </w:rPr>
              <w:t>GEMINI-1 and GEMINI-2 Pooled Data</w:t>
            </w:r>
            <w:r w:rsidRPr="004535D6">
              <w:rPr>
                <w:rFonts w:ascii="Arial Narrow" w:hAnsi="Arial Narrow" w:cs="Arial Narrow"/>
                <w:szCs w:val="24"/>
              </w:rPr>
              <w:t>*</w:t>
            </w:r>
          </w:p>
        </w:tc>
      </w:tr>
      <w:tr w:rsidR="00CD5CAE" w:rsidRPr="004535D6" w14:paraId="7538AA16" w14:textId="77777777" w:rsidTr="002156DB">
        <w:trPr>
          <w:trHeight w:val="596"/>
        </w:trPr>
        <w:tc>
          <w:tcPr>
            <w:tcW w:w="4814" w:type="dxa"/>
            <w:vMerge/>
          </w:tcPr>
          <w:p w14:paraId="02E473A5" w14:textId="77777777" w:rsidR="00CD5CAE" w:rsidRPr="004535D6" w:rsidRDefault="00CD5CAE" w:rsidP="00A93C3A">
            <w:pPr>
              <w:keepNext/>
              <w:keepLines/>
              <w:spacing w:after="0"/>
              <w:rPr>
                <w:rFonts w:ascii="Arial Narrow" w:hAnsi="Arial Narrow" w:cs="Arial Narrow"/>
                <w:szCs w:val="24"/>
              </w:rPr>
            </w:pPr>
          </w:p>
        </w:tc>
        <w:tc>
          <w:tcPr>
            <w:tcW w:w="1952" w:type="dxa"/>
          </w:tcPr>
          <w:p w14:paraId="11353E16" w14:textId="1FE7DFBF" w:rsidR="00CD5CAE" w:rsidRPr="004535D6" w:rsidRDefault="00CD5CAE" w:rsidP="00A93C3A">
            <w:pPr>
              <w:keepNext/>
              <w:keepLines/>
              <w:spacing w:after="0"/>
              <w:jc w:val="center"/>
              <w:rPr>
                <w:rFonts w:ascii="Arial Narrow" w:hAnsi="Arial Narrow" w:cs="Arial Narrow"/>
                <w:b/>
                <w:szCs w:val="24"/>
              </w:rPr>
            </w:pPr>
            <w:r w:rsidRPr="004535D6">
              <w:rPr>
                <w:rFonts w:ascii="Arial Narrow" w:hAnsi="Arial Narrow" w:cs="Arial Narrow"/>
                <w:b/>
                <w:szCs w:val="24"/>
              </w:rPr>
              <w:t xml:space="preserve">DTG + </w:t>
            </w:r>
            <w:r w:rsidR="00E95193">
              <w:rPr>
                <w:rFonts w:ascii="Arial Narrow" w:hAnsi="Arial Narrow" w:cs="Arial Narrow"/>
                <w:b/>
                <w:szCs w:val="24"/>
              </w:rPr>
              <w:t>LAM</w:t>
            </w:r>
          </w:p>
          <w:p w14:paraId="429B8DDD" w14:textId="77777777" w:rsidR="00CD5CAE" w:rsidRPr="004535D6" w:rsidRDefault="00CD5CAE" w:rsidP="00A93C3A">
            <w:pPr>
              <w:keepNext/>
              <w:keepLines/>
              <w:spacing w:after="0"/>
              <w:jc w:val="center"/>
              <w:rPr>
                <w:rFonts w:ascii="Arial Narrow" w:hAnsi="Arial Narrow" w:cs="Arial Narrow"/>
                <w:b/>
                <w:szCs w:val="24"/>
              </w:rPr>
            </w:pPr>
            <w:r w:rsidRPr="004535D6">
              <w:rPr>
                <w:rFonts w:ascii="Arial Narrow" w:hAnsi="Arial Narrow" w:cs="Arial Narrow"/>
                <w:b/>
                <w:szCs w:val="24"/>
              </w:rPr>
              <w:t>N=716</w:t>
            </w:r>
          </w:p>
        </w:tc>
        <w:tc>
          <w:tcPr>
            <w:tcW w:w="1891" w:type="dxa"/>
          </w:tcPr>
          <w:p w14:paraId="649E26C8" w14:textId="77777777" w:rsidR="00CD5CAE" w:rsidRPr="004535D6" w:rsidRDefault="00CD5CAE" w:rsidP="00A93C3A">
            <w:pPr>
              <w:keepNext/>
              <w:keepLines/>
              <w:spacing w:after="0"/>
              <w:jc w:val="center"/>
              <w:rPr>
                <w:rFonts w:ascii="Arial Narrow" w:hAnsi="Arial Narrow" w:cs="Arial Narrow"/>
                <w:b/>
                <w:szCs w:val="24"/>
              </w:rPr>
            </w:pPr>
            <w:r w:rsidRPr="004535D6">
              <w:rPr>
                <w:rFonts w:ascii="Arial Narrow" w:hAnsi="Arial Narrow" w:cs="Arial Narrow"/>
                <w:b/>
                <w:szCs w:val="24"/>
              </w:rPr>
              <w:t>DTG + TDF/FTC</w:t>
            </w:r>
          </w:p>
          <w:p w14:paraId="2242BC25" w14:textId="77777777" w:rsidR="00CD5CAE" w:rsidRPr="004535D6" w:rsidRDefault="00CD5CAE" w:rsidP="00A93C3A">
            <w:pPr>
              <w:keepNext/>
              <w:keepLines/>
              <w:spacing w:after="0"/>
              <w:jc w:val="center"/>
              <w:rPr>
                <w:rFonts w:ascii="Arial Narrow" w:hAnsi="Arial Narrow" w:cs="Arial Narrow"/>
                <w:b/>
                <w:szCs w:val="24"/>
              </w:rPr>
            </w:pPr>
            <w:r w:rsidRPr="004535D6">
              <w:rPr>
                <w:rFonts w:ascii="Arial Narrow" w:hAnsi="Arial Narrow" w:cs="Arial Narrow"/>
                <w:b/>
                <w:szCs w:val="24"/>
              </w:rPr>
              <w:t>N=717</w:t>
            </w:r>
          </w:p>
        </w:tc>
      </w:tr>
      <w:tr w:rsidR="00CD5CAE" w:rsidRPr="004535D6" w14:paraId="102D12D7" w14:textId="77777777" w:rsidTr="002156DB">
        <w:trPr>
          <w:trHeight w:val="283"/>
        </w:trPr>
        <w:tc>
          <w:tcPr>
            <w:tcW w:w="4814" w:type="dxa"/>
            <w:vAlign w:val="center"/>
          </w:tcPr>
          <w:p w14:paraId="19E1F53F" w14:textId="77777777" w:rsidR="00CD5CAE" w:rsidRPr="004535D6" w:rsidRDefault="00CD5CAE" w:rsidP="002156DB">
            <w:pPr>
              <w:keepNext/>
              <w:keepLines/>
              <w:spacing w:after="0"/>
              <w:rPr>
                <w:rFonts w:ascii="Arial Narrow" w:hAnsi="Arial Narrow" w:cs="Arial Narrow"/>
                <w:szCs w:val="24"/>
              </w:rPr>
            </w:pPr>
            <w:r w:rsidRPr="004535D6">
              <w:rPr>
                <w:rFonts w:ascii="Arial Narrow" w:hAnsi="Arial Narrow" w:cs="Arial Narrow"/>
                <w:b/>
                <w:szCs w:val="24"/>
              </w:rPr>
              <w:t>HIV-1 RNA &lt;50 copies/mL</w:t>
            </w:r>
          </w:p>
        </w:tc>
        <w:tc>
          <w:tcPr>
            <w:tcW w:w="1952" w:type="dxa"/>
          </w:tcPr>
          <w:p w14:paraId="0C8A310E" w14:textId="77777777" w:rsidR="00CD5CAE" w:rsidRPr="005309C2" w:rsidRDefault="00CD5CAE" w:rsidP="002156DB">
            <w:pPr>
              <w:keepNext/>
              <w:keepLines/>
              <w:spacing w:after="0"/>
              <w:jc w:val="center"/>
              <w:rPr>
                <w:rFonts w:ascii="Arial Narrow" w:hAnsi="Arial Narrow" w:cs="Arial Narrow"/>
                <w:szCs w:val="24"/>
                <w:highlight w:val="green"/>
              </w:rPr>
            </w:pPr>
            <w:r w:rsidRPr="005309C2">
              <w:rPr>
                <w:rFonts w:ascii="Arial Narrow" w:hAnsi="Arial Narrow" w:cs="Arial Narrow"/>
                <w:szCs w:val="24"/>
              </w:rPr>
              <w:t>91%</w:t>
            </w:r>
          </w:p>
        </w:tc>
        <w:tc>
          <w:tcPr>
            <w:tcW w:w="1891" w:type="dxa"/>
          </w:tcPr>
          <w:p w14:paraId="2C889E49" w14:textId="77777777" w:rsidR="00CD5CAE" w:rsidRPr="005309C2" w:rsidRDefault="00CD5CAE" w:rsidP="002156DB">
            <w:pPr>
              <w:keepNext/>
              <w:keepLines/>
              <w:spacing w:after="0"/>
              <w:jc w:val="center"/>
              <w:rPr>
                <w:rFonts w:ascii="Arial Narrow" w:hAnsi="Arial Narrow" w:cs="Arial Narrow"/>
                <w:szCs w:val="24"/>
                <w:highlight w:val="green"/>
              </w:rPr>
            </w:pPr>
            <w:r w:rsidRPr="005309C2">
              <w:rPr>
                <w:rFonts w:ascii="Arial Narrow" w:hAnsi="Arial Narrow" w:cs="Arial Narrow"/>
                <w:szCs w:val="24"/>
              </w:rPr>
              <w:t>93%</w:t>
            </w:r>
          </w:p>
        </w:tc>
      </w:tr>
      <w:tr w:rsidR="00CD5CAE" w:rsidRPr="004535D6" w14:paraId="0D379D83" w14:textId="77777777" w:rsidTr="002156DB">
        <w:trPr>
          <w:trHeight w:val="283"/>
        </w:trPr>
        <w:tc>
          <w:tcPr>
            <w:tcW w:w="4814" w:type="dxa"/>
            <w:tcBorders>
              <w:bottom w:val="single" w:sz="4" w:space="0" w:color="auto"/>
            </w:tcBorders>
            <w:vAlign w:val="center"/>
          </w:tcPr>
          <w:p w14:paraId="2C387E0D" w14:textId="77777777" w:rsidR="00CD5CAE" w:rsidRPr="004535D6" w:rsidRDefault="00CD5CAE" w:rsidP="002156DB">
            <w:pPr>
              <w:keepNext/>
              <w:keepLines/>
              <w:spacing w:after="0"/>
              <w:rPr>
                <w:rFonts w:ascii="Arial Narrow" w:hAnsi="Arial Narrow" w:cs="Arial Narrow"/>
                <w:b/>
                <w:szCs w:val="24"/>
              </w:rPr>
            </w:pPr>
            <w:r w:rsidRPr="004535D6">
              <w:rPr>
                <w:rFonts w:ascii="Arial Narrow" w:hAnsi="Arial Narrow" w:cs="Arial Narrow"/>
                <w:b/>
                <w:szCs w:val="24"/>
              </w:rPr>
              <w:t xml:space="preserve"> Treatment Difference</w:t>
            </w:r>
            <w:r w:rsidRPr="004535D6">
              <w:rPr>
                <w:rFonts w:ascii="Arial Narrow" w:hAnsi="Arial Narrow" w:cs="Arial Narrow"/>
                <w:vertAlign w:val="superscript"/>
              </w:rPr>
              <w:t xml:space="preserve">† </w:t>
            </w:r>
            <w:r w:rsidRPr="004535D6">
              <w:rPr>
                <w:rFonts w:ascii="Arial Narrow" w:hAnsi="Arial Narrow" w:cs="Arial Narrow"/>
              </w:rPr>
              <w:t>(</w:t>
            </w:r>
            <w:r w:rsidRPr="005309C2">
              <w:rPr>
                <w:rFonts w:ascii="Arial Narrow" w:hAnsi="Arial Narrow" w:cs="Arial Narrow"/>
              </w:rPr>
              <w:t>95%</w:t>
            </w:r>
            <w:r w:rsidRPr="005309C2">
              <w:rPr>
                <w:rFonts w:ascii="Arial Narrow" w:hAnsi="Arial Narrow" w:cs="Arial Narrow"/>
                <w:vertAlign w:val="superscript"/>
              </w:rPr>
              <w:t xml:space="preserve"> </w:t>
            </w:r>
            <w:r w:rsidRPr="005309C2">
              <w:rPr>
                <w:rFonts w:ascii="Arial Narrow" w:hAnsi="Arial Narrow" w:cs="Arial Narrow"/>
                <w:szCs w:val="24"/>
              </w:rPr>
              <w:t>confidence intervals)</w:t>
            </w:r>
          </w:p>
        </w:tc>
        <w:tc>
          <w:tcPr>
            <w:tcW w:w="3843" w:type="dxa"/>
            <w:gridSpan w:val="2"/>
            <w:tcBorders>
              <w:bottom w:val="single" w:sz="4" w:space="0" w:color="auto"/>
            </w:tcBorders>
          </w:tcPr>
          <w:p w14:paraId="0E487831" w14:textId="77777777" w:rsidR="00CD5CAE" w:rsidRPr="005309C2" w:rsidRDefault="00CD5CAE" w:rsidP="002156DB">
            <w:pPr>
              <w:keepNext/>
              <w:keepLines/>
              <w:spacing w:after="0"/>
              <w:jc w:val="center"/>
              <w:rPr>
                <w:rFonts w:ascii="Arial Narrow" w:hAnsi="Arial Narrow" w:cs="Arial Narrow"/>
                <w:szCs w:val="24"/>
                <w:highlight w:val="green"/>
              </w:rPr>
            </w:pPr>
            <w:r w:rsidRPr="005309C2">
              <w:rPr>
                <w:rFonts w:ascii="Arial Narrow" w:hAnsi="Arial Narrow" w:cs="Arial Narrow"/>
                <w:szCs w:val="24"/>
              </w:rPr>
              <w:t>-1.7 (-4.4, 1.1)</w:t>
            </w:r>
          </w:p>
        </w:tc>
      </w:tr>
      <w:tr w:rsidR="00CD5CAE" w:rsidRPr="004535D6" w14:paraId="03716541" w14:textId="77777777" w:rsidTr="002156DB">
        <w:trPr>
          <w:trHeight w:val="283"/>
        </w:trPr>
        <w:tc>
          <w:tcPr>
            <w:tcW w:w="4814" w:type="dxa"/>
            <w:tcBorders>
              <w:bottom w:val="nil"/>
            </w:tcBorders>
          </w:tcPr>
          <w:p w14:paraId="29A2566D" w14:textId="77777777" w:rsidR="00CD5CAE" w:rsidRPr="004535D6" w:rsidRDefault="00CD5CAE" w:rsidP="002156DB">
            <w:pPr>
              <w:keepNext/>
              <w:keepLines/>
              <w:spacing w:after="0"/>
              <w:rPr>
                <w:rFonts w:ascii="Arial Narrow" w:hAnsi="Arial Narrow" w:cs="Arial Narrow"/>
                <w:szCs w:val="24"/>
              </w:rPr>
            </w:pPr>
            <w:r w:rsidRPr="004535D6">
              <w:rPr>
                <w:rFonts w:ascii="Arial Narrow" w:hAnsi="Arial Narrow" w:cs="Arial Narrow"/>
                <w:b/>
                <w:szCs w:val="24"/>
              </w:rPr>
              <w:t>Virologic non response</w:t>
            </w:r>
          </w:p>
        </w:tc>
        <w:tc>
          <w:tcPr>
            <w:tcW w:w="1952" w:type="dxa"/>
            <w:tcBorders>
              <w:bottom w:val="nil"/>
            </w:tcBorders>
            <w:vAlign w:val="center"/>
          </w:tcPr>
          <w:p w14:paraId="53DA510A"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3%</w:t>
            </w:r>
          </w:p>
        </w:tc>
        <w:tc>
          <w:tcPr>
            <w:tcW w:w="1891" w:type="dxa"/>
            <w:tcBorders>
              <w:bottom w:val="nil"/>
            </w:tcBorders>
          </w:tcPr>
          <w:p w14:paraId="7963C45F"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2%</w:t>
            </w:r>
          </w:p>
        </w:tc>
      </w:tr>
      <w:tr w:rsidR="00CD5CAE" w:rsidRPr="004535D6" w14:paraId="3F22DE0D" w14:textId="77777777" w:rsidTr="002156DB">
        <w:trPr>
          <w:trHeight w:val="283"/>
        </w:trPr>
        <w:tc>
          <w:tcPr>
            <w:tcW w:w="4814" w:type="dxa"/>
            <w:tcBorders>
              <w:top w:val="nil"/>
              <w:bottom w:val="nil"/>
            </w:tcBorders>
          </w:tcPr>
          <w:p w14:paraId="30462217" w14:textId="77777777" w:rsidR="00CD5CAE" w:rsidRPr="004535D6" w:rsidRDefault="00CD5CAE" w:rsidP="002156DB">
            <w:pPr>
              <w:keepNext/>
              <w:keepLines/>
              <w:spacing w:after="0"/>
              <w:rPr>
                <w:rFonts w:ascii="Arial Narrow" w:hAnsi="Arial Narrow" w:cs="Arial Narrow"/>
                <w:b/>
                <w:szCs w:val="24"/>
              </w:rPr>
            </w:pPr>
            <w:r w:rsidRPr="004535D6">
              <w:rPr>
                <w:rFonts w:ascii="Arial Narrow" w:hAnsi="Arial Narrow" w:cs="Arial Narrow"/>
                <w:szCs w:val="24"/>
                <w:u w:val="single"/>
              </w:rPr>
              <w:t>Reasons</w:t>
            </w:r>
          </w:p>
        </w:tc>
        <w:tc>
          <w:tcPr>
            <w:tcW w:w="1952" w:type="dxa"/>
            <w:tcBorders>
              <w:top w:val="nil"/>
              <w:bottom w:val="nil"/>
            </w:tcBorders>
            <w:vAlign w:val="center"/>
          </w:tcPr>
          <w:p w14:paraId="0D969E08" w14:textId="77777777" w:rsidR="00CD5CAE" w:rsidRPr="004535D6" w:rsidRDefault="00CD5CAE" w:rsidP="002156DB">
            <w:pPr>
              <w:keepNext/>
              <w:keepLines/>
              <w:spacing w:after="0"/>
              <w:jc w:val="center"/>
              <w:rPr>
                <w:rFonts w:ascii="Arial Narrow" w:hAnsi="Arial Narrow" w:cs="Arial Narrow"/>
                <w:szCs w:val="24"/>
              </w:rPr>
            </w:pPr>
          </w:p>
        </w:tc>
        <w:tc>
          <w:tcPr>
            <w:tcW w:w="1891" w:type="dxa"/>
            <w:tcBorders>
              <w:top w:val="nil"/>
              <w:bottom w:val="nil"/>
            </w:tcBorders>
            <w:vAlign w:val="center"/>
          </w:tcPr>
          <w:p w14:paraId="66394BEE" w14:textId="77777777" w:rsidR="00CD5CAE" w:rsidRPr="004535D6" w:rsidRDefault="00CD5CAE" w:rsidP="002156DB">
            <w:pPr>
              <w:keepNext/>
              <w:keepLines/>
              <w:spacing w:after="0"/>
              <w:jc w:val="center"/>
              <w:rPr>
                <w:rFonts w:ascii="Arial Narrow" w:hAnsi="Arial Narrow" w:cs="Arial Narrow"/>
                <w:szCs w:val="24"/>
              </w:rPr>
            </w:pPr>
          </w:p>
        </w:tc>
      </w:tr>
      <w:tr w:rsidR="00CD5CAE" w:rsidRPr="004535D6" w14:paraId="2EB6124B" w14:textId="77777777" w:rsidTr="002156DB">
        <w:trPr>
          <w:trHeight w:val="297"/>
        </w:trPr>
        <w:tc>
          <w:tcPr>
            <w:tcW w:w="4814" w:type="dxa"/>
            <w:tcBorders>
              <w:top w:val="nil"/>
              <w:bottom w:val="nil"/>
            </w:tcBorders>
          </w:tcPr>
          <w:p w14:paraId="37AD647A" w14:textId="77777777" w:rsidR="00CD5CAE" w:rsidRPr="004535D6" w:rsidRDefault="00CD5CAE" w:rsidP="002156DB">
            <w:pPr>
              <w:keepNext/>
              <w:keepLines/>
              <w:spacing w:after="0"/>
              <w:ind w:left="144"/>
              <w:rPr>
                <w:rFonts w:ascii="Arial Narrow" w:hAnsi="Arial Narrow" w:cs="Arial Narrow"/>
                <w:szCs w:val="24"/>
              </w:rPr>
            </w:pPr>
            <w:r w:rsidRPr="004535D6">
              <w:rPr>
                <w:rFonts w:ascii="Arial Narrow" w:hAnsi="Arial Narrow" w:cs="Arial Narrow"/>
                <w:szCs w:val="24"/>
              </w:rPr>
              <w:t xml:space="preserve">Data in window and ≥50 copies/mL </w:t>
            </w:r>
          </w:p>
        </w:tc>
        <w:tc>
          <w:tcPr>
            <w:tcW w:w="1952" w:type="dxa"/>
            <w:tcBorders>
              <w:top w:val="nil"/>
              <w:bottom w:val="nil"/>
            </w:tcBorders>
            <w:vAlign w:val="center"/>
          </w:tcPr>
          <w:p w14:paraId="11F4684D"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1%</w:t>
            </w:r>
          </w:p>
        </w:tc>
        <w:tc>
          <w:tcPr>
            <w:tcW w:w="1891" w:type="dxa"/>
            <w:tcBorders>
              <w:top w:val="nil"/>
              <w:bottom w:val="nil"/>
            </w:tcBorders>
            <w:vAlign w:val="center"/>
          </w:tcPr>
          <w:p w14:paraId="68520C7D"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&lt;1%</w:t>
            </w:r>
          </w:p>
        </w:tc>
      </w:tr>
      <w:tr w:rsidR="00CD5CAE" w:rsidRPr="004535D6" w14:paraId="2A0205AD" w14:textId="77777777" w:rsidTr="002156DB">
        <w:trPr>
          <w:trHeight w:val="283"/>
        </w:trPr>
        <w:tc>
          <w:tcPr>
            <w:tcW w:w="4814" w:type="dxa"/>
            <w:tcBorders>
              <w:top w:val="nil"/>
              <w:bottom w:val="nil"/>
            </w:tcBorders>
            <w:vAlign w:val="center"/>
          </w:tcPr>
          <w:p w14:paraId="19E89CE4" w14:textId="77777777" w:rsidR="00CD5CAE" w:rsidRPr="004535D6" w:rsidRDefault="00CD5CAE" w:rsidP="002156DB">
            <w:pPr>
              <w:keepNext/>
              <w:keepLines/>
              <w:spacing w:after="0"/>
              <w:ind w:left="144"/>
              <w:rPr>
                <w:rFonts w:ascii="Arial Narrow" w:hAnsi="Arial Narrow" w:cs="Arial Narrow"/>
                <w:szCs w:val="24"/>
              </w:rPr>
            </w:pPr>
            <w:r w:rsidRPr="004535D6">
              <w:rPr>
                <w:rFonts w:ascii="Arial Narrow" w:hAnsi="Arial Narrow" w:cs="Arial Narrow"/>
                <w:szCs w:val="24"/>
              </w:rPr>
              <w:t>Discontinued for lack of efficacy</w:t>
            </w:r>
          </w:p>
        </w:tc>
        <w:tc>
          <w:tcPr>
            <w:tcW w:w="1952" w:type="dxa"/>
            <w:tcBorders>
              <w:top w:val="nil"/>
              <w:bottom w:val="nil"/>
            </w:tcBorders>
            <w:vAlign w:val="center"/>
          </w:tcPr>
          <w:p w14:paraId="0BD7A1E9"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&lt;1%</w:t>
            </w:r>
          </w:p>
        </w:tc>
        <w:tc>
          <w:tcPr>
            <w:tcW w:w="1891" w:type="dxa"/>
            <w:tcBorders>
              <w:top w:val="nil"/>
              <w:bottom w:val="nil"/>
            </w:tcBorders>
            <w:vAlign w:val="center"/>
          </w:tcPr>
          <w:p w14:paraId="6A6B1B45"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&lt;1%</w:t>
            </w:r>
          </w:p>
        </w:tc>
      </w:tr>
      <w:tr w:rsidR="00CD5CAE" w:rsidRPr="004535D6" w14:paraId="694D5A97" w14:textId="77777777" w:rsidTr="002156DB">
        <w:trPr>
          <w:trHeight w:val="283"/>
        </w:trPr>
        <w:tc>
          <w:tcPr>
            <w:tcW w:w="4814" w:type="dxa"/>
            <w:tcBorders>
              <w:top w:val="nil"/>
              <w:bottom w:val="nil"/>
            </w:tcBorders>
          </w:tcPr>
          <w:p w14:paraId="2AA08EFF" w14:textId="77777777" w:rsidR="00CD5CAE" w:rsidRPr="004535D6" w:rsidRDefault="00CD5CAE" w:rsidP="002156DB">
            <w:pPr>
              <w:keepNext/>
              <w:keepLines/>
              <w:spacing w:after="0"/>
              <w:ind w:left="144"/>
              <w:rPr>
                <w:rFonts w:ascii="Arial Narrow" w:hAnsi="Arial Narrow" w:cs="Arial Narrow"/>
                <w:szCs w:val="24"/>
              </w:rPr>
            </w:pPr>
            <w:r w:rsidRPr="004535D6">
              <w:rPr>
                <w:rFonts w:ascii="Arial Narrow" w:hAnsi="Arial Narrow" w:cs="Arial Narrow"/>
                <w:szCs w:val="24"/>
              </w:rPr>
              <w:t>Discontinued for other reasons and ≥50 copies/mL</w:t>
            </w:r>
          </w:p>
        </w:tc>
        <w:tc>
          <w:tcPr>
            <w:tcW w:w="1952" w:type="dxa"/>
            <w:tcBorders>
              <w:top w:val="nil"/>
              <w:bottom w:val="nil"/>
            </w:tcBorders>
            <w:vAlign w:val="center"/>
          </w:tcPr>
          <w:p w14:paraId="6C9A9B9C"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&lt;1%</w:t>
            </w:r>
          </w:p>
        </w:tc>
        <w:tc>
          <w:tcPr>
            <w:tcW w:w="1891" w:type="dxa"/>
            <w:tcBorders>
              <w:top w:val="nil"/>
              <w:bottom w:val="nil"/>
            </w:tcBorders>
            <w:vAlign w:val="center"/>
          </w:tcPr>
          <w:p w14:paraId="02509AC0"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&lt;1%</w:t>
            </w:r>
          </w:p>
        </w:tc>
      </w:tr>
      <w:tr w:rsidR="00CD5CAE" w:rsidRPr="004535D6" w14:paraId="31E36791" w14:textId="77777777" w:rsidTr="002156DB">
        <w:trPr>
          <w:trHeight w:val="297"/>
        </w:trPr>
        <w:tc>
          <w:tcPr>
            <w:tcW w:w="4814" w:type="dxa"/>
            <w:tcBorders>
              <w:top w:val="nil"/>
              <w:bottom w:val="single" w:sz="4" w:space="0" w:color="auto"/>
            </w:tcBorders>
          </w:tcPr>
          <w:p w14:paraId="57993E74" w14:textId="77777777" w:rsidR="00CD5CAE" w:rsidRPr="004535D6" w:rsidRDefault="00CD5CAE" w:rsidP="002156DB">
            <w:pPr>
              <w:keepNext/>
              <w:keepLines/>
              <w:spacing w:after="0"/>
              <w:ind w:left="144"/>
              <w:rPr>
                <w:rFonts w:ascii="Arial Narrow" w:hAnsi="Arial Narrow" w:cs="Arial Narrow"/>
                <w:szCs w:val="24"/>
              </w:rPr>
            </w:pPr>
            <w:r w:rsidRPr="004535D6">
              <w:rPr>
                <w:rFonts w:ascii="Arial Narrow" w:hAnsi="Arial Narrow" w:cs="Arial Narrow"/>
                <w:szCs w:val="24"/>
              </w:rPr>
              <w:t>Change in ART</w:t>
            </w:r>
          </w:p>
        </w:tc>
        <w:tc>
          <w:tcPr>
            <w:tcW w:w="1952" w:type="dxa"/>
            <w:tcBorders>
              <w:top w:val="nil"/>
              <w:bottom w:val="single" w:sz="4" w:space="0" w:color="auto"/>
            </w:tcBorders>
            <w:vAlign w:val="center"/>
          </w:tcPr>
          <w:p w14:paraId="2CFDD2B1"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&lt;1%</w:t>
            </w:r>
          </w:p>
        </w:tc>
        <w:tc>
          <w:tcPr>
            <w:tcW w:w="1891" w:type="dxa"/>
            <w:tcBorders>
              <w:top w:val="nil"/>
              <w:bottom w:val="single" w:sz="4" w:space="0" w:color="auto"/>
            </w:tcBorders>
            <w:vAlign w:val="center"/>
          </w:tcPr>
          <w:p w14:paraId="20888F05"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&lt;1%</w:t>
            </w:r>
          </w:p>
        </w:tc>
      </w:tr>
      <w:tr w:rsidR="00CD5CAE" w:rsidRPr="004535D6" w14:paraId="40B70C05" w14:textId="77777777" w:rsidTr="002156DB">
        <w:trPr>
          <w:trHeight w:val="283"/>
        </w:trPr>
        <w:tc>
          <w:tcPr>
            <w:tcW w:w="4814" w:type="dxa"/>
            <w:tcBorders>
              <w:bottom w:val="nil"/>
            </w:tcBorders>
          </w:tcPr>
          <w:p w14:paraId="7C08FAB7" w14:textId="77777777" w:rsidR="00CD5CAE" w:rsidRPr="004535D6" w:rsidRDefault="00CD5CAE" w:rsidP="002156DB">
            <w:pPr>
              <w:keepNext/>
              <w:keepLines/>
              <w:spacing w:after="0"/>
              <w:rPr>
                <w:rFonts w:ascii="Arial Narrow" w:hAnsi="Arial Narrow" w:cs="Arial Narrow"/>
                <w:b/>
                <w:szCs w:val="24"/>
              </w:rPr>
            </w:pPr>
            <w:r w:rsidRPr="004535D6">
              <w:rPr>
                <w:rFonts w:ascii="Arial Narrow" w:hAnsi="Arial Narrow" w:cs="Arial Narrow"/>
                <w:b/>
                <w:szCs w:val="24"/>
              </w:rPr>
              <w:t>No virologic data at Week 48 window</w:t>
            </w:r>
          </w:p>
        </w:tc>
        <w:tc>
          <w:tcPr>
            <w:tcW w:w="1952" w:type="dxa"/>
            <w:tcBorders>
              <w:bottom w:val="nil"/>
            </w:tcBorders>
            <w:vAlign w:val="center"/>
          </w:tcPr>
          <w:p w14:paraId="7F8744E6"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6%</w:t>
            </w:r>
          </w:p>
        </w:tc>
        <w:tc>
          <w:tcPr>
            <w:tcW w:w="1891" w:type="dxa"/>
            <w:tcBorders>
              <w:bottom w:val="nil"/>
            </w:tcBorders>
            <w:vAlign w:val="center"/>
          </w:tcPr>
          <w:p w14:paraId="036B26AA"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 xml:space="preserve">5% </w:t>
            </w:r>
          </w:p>
        </w:tc>
      </w:tr>
      <w:tr w:rsidR="00CD5CAE" w:rsidRPr="004535D6" w14:paraId="07090157" w14:textId="77777777" w:rsidTr="002156DB">
        <w:trPr>
          <w:trHeight w:val="283"/>
        </w:trPr>
        <w:tc>
          <w:tcPr>
            <w:tcW w:w="4814" w:type="dxa"/>
            <w:tcBorders>
              <w:top w:val="nil"/>
              <w:bottom w:val="nil"/>
            </w:tcBorders>
          </w:tcPr>
          <w:p w14:paraId="4954E180" w14:textId="77777777" w:rsidR="00CD5CAE" w:rsidRPr="004535D6" w:rsidRDefault="00CD5CAE" w:rsidP="002156DB">
            <w:pPr>
              <w:keepNext/>
              <w:keepLines/>
              <w:spacing w:after="0"/>
              <w:rPr>
                <w:rFonts w:ascii="Arial Narrow" w:hAnsi="Arial Narrow" w:cs="Arial Narrow"/>
                <w:b/>
                <w:szCs w:val="24"/>
              </w:rPr>
            </w:pPr>
            <w:r w:rsidRPr="004535D6">
              <w:rPr>
                <w:rFonts w:ascii="Arial Narrow" w:hAnsi="Arial Narrow" w:cs="Arial Narrow"/>
                <w:szCs w:val="24"/>
                <w:u w:val="single"/>
              </w:rPr>
              <w:t>Reasons</w:t>
            </w:r>
          </w:p>
        </w:tc>
        <w:tc>
          <w:tcPr>
            <w:tcW w:w="1952" w:type="dxa"/>
            <w:tcBorders>
              <w:top w:val="nil"/>
              <w:bottom w:val="nil"/>
            </w:tcBorders>
            <w:vAlign w:val="center"/>
          </w:tcPr>
          <w:p w14:paraId="585BC27E" w14:textId="77777777" w:rsidR="00CD5CAE" w:rsidRPr="004535D6" w:rsidRDefault="00CD5CAE" w:rsidP="002156DB">
            <w:pPr>
              <w:keepNext/>
              <w:keepLines/>
              <w:spacing w:after="0"/>
              <w:jc w:val="center"/>
              <w:rPr>
                <w:rFonts w:ascii="Arial Narrow" w:hAnsi="Arial Narrow" w:cs="Arial Narrow"/>
                <w:szCs w:val="24"/>
              </w:rPr>
            </w:pPr>
          </w:p>
        </w:tc>
        <w:tc>
          <w:tcPr>
            <w:tcW w:w="1891" w:type="dxa"/>
            <w:tcBorders>
              <w:top w:val="nil"/>
              <w:bottom w:val="nil"/>
            </w:tcBorders>
            <w:vAlign w:val="center"/>
          </w:tcPr>
          <w:p w14:paraId="53413131" w14:textId="77777777" w:rsidR="00CD5CAE" w:rsidRPr="004535D6" w:rsidRDefault="00CD5CAE" w:rsidP="002156DB">
            <w:pPr>
              <w:keepNext/>
              <w:keepLines/>
              <w:spacing w:after="0"/>
              <w:jc w:val="center"/>
              <w:rPr>
                <w:rFonts w:ascii="Arial Narrow" w:hAnsi="Arial Narrow" w:cs="Arial Narrow"/>
                <w:szCs w:val="24"/>
              </w:rPr>
            </w:pPr>
          </w:p>
        </w:tc>
      </w:tr>
      <w:tr w:rsidR="00CD5CAE" w:rsidRPr="004535D6" w14:paraId="724157BD" w14:textId="77777777" w:rsidTr="002156DB">
        <w:trPr>
          <w:trHeight w:val="297"/>
        </w:trPr>
        <w:tc>
          <w:tcPr>
            <w:tcW w:w="4814" w:type="dxa"/>
            <w:tcBorders>
              <w:top w:val="nil"/>
              <w:bottom w:val="nil"/>
            </w:tcBorders>
          </w:tcPr>
          <w:p w14:paraId="7F852697" w14:textId="77777777" w:rsidR="00CD5CAE" w:rsidRPr="004535D6" w:rsidRDefault="00CD5CAE" w:rsidP="002156DB">
            <w:pPr>
              <w:keepNext/>
              <w:keepLines/>
              <w:spacing w:after="0"/>
              <w:ind w:left="180"/>
              <w:rPr>
                <w:rFonts w:ascii="Arial Narrow" w:hAnsi="Arial Narrow" w:cs="Arial Narrow"/>
                <w:szCs w:val="24"/>
              </w:rPr>
            </w:pPr>
            <w:r w:rsidRPr="004535D6">
              <w:rPr>
                <w:rFonts w:ascii="Arial Narrow" w:hAnsi="Arial Narrow" w:cs="Arial Narrow"/>
                <w:szCs w:val="24"/>
              </w:rPr>
              <w:t xml:space="preserve">Discontinued study due to adverse event or death </w:t>
            </w:r>
          </w:p>
        </w:tc>
        <w:tc>
          <w:tcPr>
            <w:tcW w:w="1952" w:type="dxa"/>
            <w:tcBorders>
              <w:top w:val="nil"/>
              <w:bottom w:val="nil"/>
            </w:tcBorders>
            <w:vAlign w:val="center"/>
          </w:tcPr>
          <w:p w14:paraId="322673B4"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1%</w:t>
            </w:r>
          </w:p>
        </w:tc>
        <w:tc>
          <w:tcPr>
            <w:tcW w:w="1891" w:type="dxa"/>
            <w:tcBorders>
              <w:top w:val="nil"/>
              <w:bottom w:val="nil"/>
            </w:tcBorders>
            <w:vAlign w:val="center"/>
          </w:tcPr>
          <w:p w14:paraId="08319C2E"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2%</w:t>
            </w:r>
          </w:p>
        </w:tc>
      </w:tr>
      <w:tr w:rsidR="00CD5CAE" w:rsidRPr="004535D6" w14:paraId="784E473B" w14:textId="77777777" w:rsidTr="002156DB">
        <w:trPr>
          <w:trHeight w:val="283"/>
        </w:trPr>
        <w:tc>
          <w:tcPr>
            <w:tcW w:w="4814" w:type="dxa"/>
            <w:tcBorders>
              <w:top w:val="nil"/>
              <w:bottom w:val="nil"/>
            </w:tcBorders>
            <w:vAlign w:val="center"/>
          </w:tcPr>
          <w:p w14:paraId="4FCFF55B" w14:textId="77777777" w:rsidR="00CD5CAE" w:rsidRPr="004535D6" w:rsidRDefault="00CD5CAE" w:rsidP="002156DB">
            <w:pPr>
              <w:keepNext/>
              <w:keepLines/>
              <w:spacing w:after="0"/>
              <w:ind w:left="180"/>
              <w:rPr>
                <w:rFonts w:ascii="Arial Narrow" w:hAnsi="Arial Narrow" w:cs="Arial Narrow"/>
                <w:szCs w:val="24"/>
              </w:rPr>
            </w:pPr>
            <w:r w:rsidRPr="004535D6">
              <w:rPr>
                <w:rFonts w:ascii="Arial Narrow" w:hAnsi="Arial Narrow" w:cs="Arial Narrow"/>
                <w:szCs w:val="24"/>
              </w:rPr>
              <w:t>Discontinued study for other reasons</w:t>
            </w:r>
          </w:p>
        </w:tc>
        <w:tc>
          <w:tcPr>
            <w:tcW w:w="1952" w:type="dxa"/>
            <w:tcBorders>
              <w:top w:val="nil"/>
              <w:bottom w:val="nil"/>
            </w:tcBorders>
            <w:vAlign w:val="center"/>
          </w:tcPr>
          <w:p w14:paraId="78047C19"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4%</w:t>
            </w:r>
          </w:p>
        </w:tc>
        <w:tc>
          <w:tcPr>
            <w:tcW w:w="1891" w:type="dxa"/>
            <w:tcBorders>
              <w:top w:val="nil"/>
              <w:bottom w:val="nil"/>
            </w:tcBorders>
            <w:vAlign w:val="center"/>
          </w:tcPr>
          <w:p w14:paraId="5F19B554"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 xml:space="preserve">3% </w:t>
            </w:r>
          </w:p>
        </w:tc>
      </w:tr>
      <w:tr w:rsidR="00CD5CAE" w:rsidRPr="004535D6" w14:paraId="1AEB9264" w14:textId="77777777" w:rsidTr="002156DB">
        <w:trPr>
          <w:trHeight w:val="283"/>
        </w:trPr>
        <w:tc>
          <w:tcPr>
            <w:tcW w:w="4814" w:type="dxa"/>
            <w:tcBorders>
              <w:top w:val="nil"/>
              <w:bottom w:val="single" w:sz="4" w:space="0" w:color="auto"/>
            </w:tcBorders>
          </w:tcPr>
          <w:p w14:paraId="6E0F9BF7" w14:textId="77777777" w:rsidR="00CD5CAE" w:rsidRPr="004535D6" w:rsidRDefault="00CD5CAE" w:rsidP="002156DB">
            <w:pPr>
              <w:keepNext/>
              <w:keepLines/>
              <w:spacing w:after="0"/>
              <w:ind w:left="180"/>
              <w:rPr>
                <w:rFonts w:ascii="Arial Narrow" w:hAnsi="Arial Narrow" w:cs="Arial Narrow"/>
                <w:szCs w:val="24"/>
              </w:rPr>
            </w:pPr>
            <w:r w:rsidRPr="004535D6">
              <w:rPr>
                <w:rFonts w:ascii="Arial Narrow" w:hAnsi="Arial Narrow" w:cs="Arial Narrow"/>
                <w:szCs w:val="24"/>
              </w:rPr>
              <w:t>Missing data during window but on study</w:t>
            </w:r>
          </w:p>
        </w:tc>
        <w:tc>
          <w:tcPr>
            <w:tcW w:w="1952" w:type="dxa"/>
            <w:tcBorders>
              <w:top w:val="nil"/>
              <w:bottom w:val="single" w:sz="4" w:space="0" w:color="auto"/>
            </w:tcBorders>
            <w:vAlign w:val="center"/>
          </w:tcPr>
          <w:p w14:paraId="67DF448B"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&lt;1%</w:t>
            </w:r>
          </w:p>
        </w:tc>
        <w:tc>
          <w:tcPr>
            <w:tcW w:w="1891" w:type="dxa"/>
            <w:tcBorders>
              <w:top w:val="nil"/>
              <w:bottom w:val="single" w:sz="4" w:space="0" w:color="auto"/>
            </w:tcBorders>
            <w:vAlign w:val="center"/>
          </w:tcPr>
          <w:p w14:paraId="7B558566"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0%</w:t>
            </w:r>
          </w:p>
        </w:tc>
      </w:tr>
      <w:tr w:rsidR="00A101BE" w:rsidRPr="004535D6" w14:paraId="231EF267" w14:textId="77777777" w:rsidTr="002156DB">
        <w:trPr>
          <w:trHeight w:val="335"/>
        </w:trPr>
        <w:tc>
          <w:tcPr>
            <w:tcW w:w="4814" w:type="dxa"/>
            <w:tcBorders>
              <w:top w:val="single" w:sz="4" w:space="0" w:color="auto"/>
              <w:right w:val="nil"/>
            </w:tcBorders>
            <w:vAlign w:val="center"/>
          </w:tcPr>
          <w:p w14:paraId="03A50F18" w14:textId="1402D035" w:rsidR="00A101BE" w:rsidRPr="004535D6" w:rsidRDefault="00A101BE" w:rsidP="002156DB">
            <w:pPr>
              <w:keepNext/>
              <w:keepLines/>
              <w:spacing w:after="0"/>
              <w:rPr>
                <w:rFonts w:ascii="Arial Narrow" w:hAnsi="Arial Narrow" w:cs="Arial Narrow"/>
                <w:b/>
                <w:szCs w:val="24"/>
              </w:rPr>
            </w:pPr>
            <w:r w:rsidRPr="004535D6">
              <w:rPr>
                <w:rFonts w:ascii="Arial Narrow" w:hAnsi="Arial Narrow" w:cs="Arial Narrow"/>
                <w:b/>
                <w:szCs w:val="24"/>
              </w:rPr>
              <w:t>HIV-1 RNA &lt;50 copies/mL by baseline covariates</w:t>
            </w:r>
          </w:p>
        </w:tc>
        <w:tc>
          <w:tcPr>
            <w:tcW w:w="1952" w:type="dxa"/>
            <w:tcBorders>
              <w:top w:val="single" w:sz="4" w:space="0" w:color="auto"/>
              <w:left w:val="nil"/>
              <w:right w:val="nil"/>
            </w:tcBorders>
            <w:vAlign w:val="center"/>
          </w:tcPr>
          <w:p w14:paraId="6E40B633" w14:textId="77777777" w:rsidR="00A101BE" w:rsidRPr="004535D6" w:rsidRDefault="00A101BE" w:rsidP="002156DB">
            <w:pPr>
              <w:keepNext/>
              <w:keepLines/>
              <w:spacing w:after="0"/>
              <w:jc w:val="center"/>
              <w:rPr>
                <w:rFonts w:ascii="Arial Narrow" w:hAnsi="Arial Narrow" w:cs="Arial Narrow"/>
                <w:szCs w:val="24"/>
              </w:rPr>
            </w:pPr>
          </w:p>
        </w:tc>
        <w:tc>
          <w:tcPr>
            <w:tcW w:w="1891" w:type="dxa"/>
            <w:tcBorders>
              <w:top w:val="single" w:sz="4" w:space="0" w:color="auto"/>
              <w:left w:val="nil"/>
            </w:tcBorders>
            <w:vAlign w:val="center"/>
          </w:tcPr>
          <w:p w14:paraId="439AC25B" w14:textId="77777777" w:rsidR="00A101BE" w:rsidRPr="004535D6" w:rsidRDefault="00A101BE" w:rsidP="002156DB">
            <w:pPr>
              <w:keepNext/>
              <w:keepLines/>
              <w:spacing w:after="0"/>
              <w:jc w:val="center"/>
              <w:rPr>
                <w:rFonts w:ascii="Arial Narrow" w:hAnsi="Arial Narrow" w:cs="Arial Narrow"/>
                <w:szCs w:val="24"/>
              </w:rPr>
            </w:pPr>
          </w:p>
        </w:tc>
      </w:tr>
      <w:tr w:rsidR="003E19B5" w:rsidRPr="004535D6" w14:paraId="1015B5EB" w14:textId="77777777" w:rsidTr="002156DB">
        <w:trPr>
          <w:trHeight w:val="335"/>
        </w:trPr>
        <w:tc>
          <w:tcPr>
            <w:tcW w:w="4814" w:type="dxa"/>
            <w:tcBorders>
              <w:top w:val="single" w:sz="4" w:space="0" w:color="auto"/>
            </w:tcBorders>
            <w:vAlign w:val="center"/>
          </w:tcPr>
          <w:p w14:paraId="1542F2A6" w14:textId="1D7F6CCB" w:rsidR="003E19B5" w:rsidRPr="004535D6" w:rsidRDefault="003E19B5" w:rsidP="002156DB">
            <w:pPr>
              <w:keepNext/>
              <w:keepLines/>
              <w:spacing w:after="0"/>
              <w:rPr>
                <w:rFonts w:ascii="Arial Narrow" w:hAnsi="Arial Narrow" w:cs="Arial Narrow"/>
                <w:szCs w:val="24"/>
              </w:rPr>
            </w:pPr>
          </w:p>
        </w:tc>
        <w:tc>
          <w:tcPr>
            <w:tcW w:w="1952" w:type="dxa"/>
            <w:tcBorders>
              <w:top w:val="single" w:sz="4" w:space="0" w:color="auto"/>
            </w:tcBorders>
            <w:vAlign w:val="center"/>
          </w:tcPr>
          <w:p w14:paraId="4463765D" w14:textId="1DDCACA2" w:rsidR="003E19B5" w:rsidRPr="004535D6" w:rsidRDefault="003E19B5" w:rsidP="002156DB">
            <w:pPr>
              <w:keepNext/>
              <w:keepLines/>
              <w:spacing w:after="0"/>
              <w:jc w:val="center"/>
              <w:rPr>
                <w:rFonts w:ascii="Arial Narrow" w:hAnsi="Arial Narrow" w:cs="Arial Narrow"/>
                <w:szCs w:val="24"/>
              </w:rPr>
            </w:pPr>
            <w:r w:rsidRPr="004535D6">
              <w:rPr>
                <w:rFonts w:ascii="Arial Narrow" w:hAnsi="Arial Narrow" w:cs="Arial Narrow"/>
                <w:szCs w:val="24"/>
              </w:rPr>
              <w:t>n/N (%)</w:t>
            </w:r>
          </w:p>
        </w:tc>
        <w:tc>
          <w:tcPr>
            <w:tcW w:w="1891" w:type="dxa"/>
            <w:tcBorders>
              <w:top w:val="single" w:sz="4" w:space="0" w:color="auto"/>
            </w:tcBorders>
            <w:vAlign w:val="center"/>
          </w:tcPr>
          <w:p w14:paraId="5A5BD560" w14:textId="1DB7A2C2" w:rsidR="003E19B5" w:rsidRPr="004535D6" w:rsidRDefault="003E19B5" w:rsidP="002156DB">
            <w:pPr>
              <w:keepNext/>
              <w:keepLines/>
              <w:spacing w:after="0"/>
              <w:jc w:val="center"/>
              <w:rPr>
                <w:rFonts w:ascii="Arial Narrow" w:hAnsi="Arial Narrow" w:cs="Arial Narrow"/>
                <w:szCs w:val="24"/>
              </w:rPr>
            </w:pPr>
            <w:r w:rsidRPr="004535D6">
              <w:rPr>
                <w:rFonts w:ascii="Arial Narrow" w:hAnsi="Arial Narrow" w:cs="Arial Narrow"/>
                <w:szCs w:val="24"/>
              </w:rPr>
              <w:t>n/N (%)</w:t>
            </w:r>
          </w:p>
        </w:tc>
      </w:tr>
      <w:tr w:rsidR="00CD5CAE" w:rsidRPr="004535D6" w14:paraId="65A6FCE0" w14:textId="77777777" w:rsidTr="002156DB">
        <w:trPr>
          <w:trHeight w:val="209"/>
        </w:trPr>
        <w:tc>
          <w:tcPr>
            <w:tcW w:w="4814" w:type="dxa"/>
            <w:tcBorders>
              <w:top w:val="nil"/>
              <w:bottom w:val="single" w:sz="4" w:space="0" w:color="auto"/>
            </w:tcBorders>
            <w:vAlign w:val="center"/>
          </w:tcPr>
          <w:p w14:paraId="2399C634" w14:textId="77777777" w:rsidR="00CD5CAE" w:rsidRPr="004535D6" w:rsidRDefault="00CD5CAE" w:rsidP="002156DB">
            <w:pPr>
              <w:keepNext/>
              <w:keepLines/>
              <w:spacing w:after="0"/>
              <w:rPr>
                <w:rFonts w:ascii="Arial Narrow" w:hAnsi="Arial Narrow" w:cs="Arial Narrow"/>
                <w:b/>
                <w:szCs w:val="24"/>
              </w:rPr>
            </w:pPr>
            <w:r w:rsidRPr="004535D6">
              <w:rPr>
                <w:rFonts w:ascii="Arial Narrow" w:hAnsi="Arial Narrow" w:cs="Arial Narrow"/>
                <w:b/>
                <w:szCs w:val="24"/>
              </w:rPr>
              <w:t>Baseline Plasma Viral Load (copies/mL)</w:t>
            </w:r>
          </w:p>
          <w:p w14:paraId="5D559101" w14:textId="77777777" w:rsidR="00CD5CAE" w:rsidRPr="004535D6" w:rsidRDefault="00CD5CAE" w:rsidP="002156DB">
            <w:pPr>
              <w:keepNext/>
              <w:keepLines/>
              <w:spacing w:after="0"/>
              <w:rPr>
                <w:rFonts w:ascii="Arial Narrow" w:hAnsi="Arial Narrow" w:cs="Arial Narrow"/>
                <w:szCs w:val="24"/>
              </w:rPr>
            </w:pPr>
            <w:r w:rsidRPr="004535D6">
              <w:rPr>
                <w:rFonts w:ascii="Arial Narrow" w:hAnsi="Arial Narrow" w:cs="Arial Narrow"/>
                <w:szCs w:val="24"/>
              </w:rPr>
              <w:t>≤100,000</w:t>
            </w:r>
          </w:p>
          <w:p w14:paraId="36A8C495" w14:textId="77777777" w:rsidR="00CD5CAE" w:rsidRPr="004535D6" w:rsidRDefault="00CD5CAE" w:rsidP="002156DB">
            <w:pPr>
              <w:keepNext/>
              <w:keepLines/>
              <w:spacing w:after="0"/>
              <w:rPr>
                <w:rFonts w:ascii="Arial Narrow" w:hAnsi="Arial Narrow" w:cs="Arial Narrow"/>
                <w:szCs w:val="24"/>
              </w:rPr>
            </w:pPr>
            <w:r w:rsidRPr="004535D6">
              <w:rPr>
                <w:rFonts w:ascii="Arial Narrow" w:hAnsi="Arial Narrow" w:cs="Arial Narrow"/>
                <w:szCs w:val="24"/>
              </w:rPr>
              <w:t>&gt;100,000</w:t>
            </w:r>
          </w:p>
        </w:tc>
        <w:tc>
          <w:tcPr>
            <w:tcW w:w="1952" w:type="dxa"/>
            <w:tcBorders>
              <w:top w:val="nil"/>
              <w:bottom w:val="single" w:sz="4" w:space="0" w:color="auto"/>
            </w:tcBorders>
            <w:vAlign w:val="center"/>
          </w:tcPr>
          <w:p w14:paraId="038A4D38"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br/>
              <w:t>526 / 576 (91%)</w:t>
            </w:r>
            <w:r w:rsidRPr="004535D6">
              <w:rPr>
                <w:rFonts w:ascii="Arial Narrow" w:hAnsi="Arial Narrow" w:cs="Arial Narrow"/>
                <w:szCs w:val="24"/>
              </w:rPr>
              <w:br/>
              <w:t>129 / 140 (92%)</w:t>
            </w:r>
          </w:p>
        </w:tc>
        <w:tc>
          <w:tcPr>
            <w:tcW w:w="1891" w:type="dxa"/>
            <w:tcBorders>
              <w:top w:val="nil"/>
              <w:bottom w:val="single" w:sz="4" w:space="0" w:color="auto"/>
            </w:tcBorders>
            <w:vAlign w:val="center"/>
          </w:tcPr>
          <w:p w14:paraId="6BC0FC96"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br/>
              <w:t>531 / 564 (94%)</w:t>
            </w:r>
            <w:r w:rsidRPr="004535D6">
              <w:rPr>
                <w:rFonts w:ascii="Arial Narrow" w:hAnsi="Arial Narrow" w:cs="Arial Narrow"/>
                <w:szCs w:val="24"/>
              </w:rPr>
              <w:br/>
              <w:t>138 / 153 (90%)</w:t>
            </w:r>
          </w:p>
        </w:tc>
      </w:tr>
      <w:tr w:rsidR="00CD5CAE" w:rsidRPr="004535D6" w14:paraId="4C542EAE" w14:textId="77777777" w:rsidTr="002156DB">
        <w:trPr>
          <w:trHeight w:val="209"/>
        </w:trPr>
        <w:tc>
          <w:tcPr>
            <w:tcW w:w="4814" w:type="dxa"/>
            <w:tcBorders>
              <w:top w:val="single" w:sz="4" w:space="0" w:color="auto"/>
              <w:bottom w:val="nil"/>
            </w:tcBorders>
            <w:vAlign w:val="center"/>
          </w:tcPr>
          <w:p w14:paraId="52401D47" w14:textId="77777777" w:rsidR="00CD5CAE" w:rsidRPr="004535D6" w:rsidRDefault="00CD5CAE" w:rsidP="002156DB">
            <w:pPr>
              <w:keepNext/>
              <w:keepLines/>
              <w:spacing w:after="0"/>
              <w:rPr>
                <w:rFonts w:ascii="Arial Narrow" w:hAnsi="Arial Narrow" w:cs="Arial Narrow"/>
                <w:b/>
                <w:szCs w:val="24"/>
              </w:rPr>
            </w:pPr>
            <w:r w:rsidRPr="004535D6">
              <w:rPr>
                <w:rFonts w:ascii="Arial Narrow" w:hAnsi="Arial Narrow" w:cs="Arial Narrow"/>
                <w:b/>
                <w:szCs w:val="24"/>
              </w:rPr>
              <w:t>Baseline CD4+ (cells/</w:t>
            </w:r>
            <w:r w:rsidRPr="004535D6">
              <w:rPr>
                <w:rFonts w:ascii="Arial Narrow" w:hAnsi="Arial Narrow" w:cs="Arial Narrow"/>
                <w:b/>
                <w:bCs/>
                <w:szCs w:val="24"/>
              </w:rPr>
              <w:t xml:space="preserve"> mm</w:t>
            </w:r>
            <w:r w:rsidRPr="004535D6">
              <w:rPr>
                <w:rFonts w:ascii="Arial Narrow" w:hAnsi="Arial Narrow" w:cs="Arial Narrow"/>
                <w:b/>
                <w:bCs/>
                <w:szCs w:val="24"/>
                <w:vertAlign w:val="superscript"/>
              </w:rPr>
              <w:t>3</w:t>
            </w:r>
            <w:r w:rsidRPr="004535D6">
              <w:rPr>
                <w:rFonts w:ascii="Arial Narrow" w:hAnsi="Arial Narrow" w:cs="Arial Narrow"/>
                <w:b/>
                <w:szCs w:val="24"/>
              </w:rPr>
              <w:t>)</w:t>
            </w:r>
          </w:p>
        </w:tc>
        <w:tc>
          <w:tcPr>
            <w:tcW w:w="1952" w:type="dxa"/>
            <w:tcBorders>
              <w:top w:val="single" w:sz="4" w:space="0" w:color="auto"/>
              <w:bottom w:val="nil"/>
            </w:tcBorders>
            <w:vAlign w:val="center"/>
          </w:tcPr>
          <w:p w14:paraId="00B008F5" w14:textId="77777777" w:rsidR="00CD5CAE" w:rsidRPr="004535D6" w:rsidRDefault="00CD5CAE" w:rsidP="002156DB">
            <w:pPr>
              <w:keepNext/>
              <w:keepLines/>
              <w:spacing w:after="0"/>
              <w:jc w:val="center"/>
              <w:rPr>
                <w:rFonts w:ascii="Arial Narrow" w:hAnsi="Arial Narrow" w:cs="Arial Narrow"/>
                <w:szCs w:val="24"/>
              </w:rPr>
            </w:pPr>
          </w:p>
        </w:tc>
        <w:tc>
          <w:tcPr>
            <w:tcW w:w="1891" w:type="dxa"/>
            <w:tcBorders>
              <w:top w:val="single" w:sz="4" w:space="0" w:color="auto"/>
              <w:bottom w:val="nil"/>
            </w:tcBorders>
            <w:vAlign w:val="center"/>
          </w:tcPr>
          <w:p w14:paraId="7C546283" w14:textId="77777777" w:rsidR="00CD5CAE" w:rsidRPr="004535D6" w:rsidRDefault="00CD5CAE" w:rsidP="002156DB">
            <w:pPr>
              <w:keepNext/>
              <w:keepLines/>
              <w:spacing w:after="0"/>
              <w:jc w:val="center"/>
              <w:rPr>
                <w:rFonts w:ascii="Arial Narrow" w:hAnsi="Arial Narrow" w:cs="Arial Narrow"/>
                <w:szCs w:val="24"/>
              </w:rPr>
            </w:pPr>
          </w:p>
        </w:tc>
      </w:tr>
      <w:tr w:rsidR="00CD5CAE" w:rsidRPr="004535D6" w14:paraId="2FFCD215" w14:textId="77777777" w:rsidTr="002156DB">
        <w:trPr>
          <w:trHeight w:val="209"/>
        </w:trPr>
        <w:tc>
          <w:tcPr>
            <w:tcW w:w="4814" w:type="dxa"/>
            <w:tcBorders>
              <w:top w:val="nil"/>
              <w:left w:val="single" w:sz="4" w:space="0" w:color="auto"/>
              <w:bottom w:val="nil"/>
              <w:right w:val="single" w:sz="4" w:space="0" w:color="auto"/>
            </w:tcBorders>
            <w:vAlign w:val="center"/>
          </w:tcPr>
          <w:p w14:paraId="548FAE97" w14:textId="488AEB75" w:rsidR="00CD5CAE" w:rsidRPr="004535D6" w:rsidRDefault="00CD5CAE" w:rsidP="002156DB">
            <w:pPr>
              <w:keepNext/>
              <w:keepLines/>
              <w:spacing w:after="0"/>
              <w:rPr>
                <w:rFonts w:ascii="Arial Narrow" w:hAnsi="Arial Narrow" w:cs="Arial Narrow"/>
                <w:szCs w:val="24"/>
              </w:rPr>
            </w:pPr>
            <w:r w:rsidRPr="004535D6">
              <w:rPr>
                <w:rFonts w:ascii="Arial Narrow" w:hAnsi="Arial Narrow" w:cs="Arial Narrow"/>
                <w:szCs w:val="24"/>
              </w:rPr>
              <w:t>≤200</w:t>
            </w:r>
            <w:r w:rsidRPr="004535D6">
              <w:rPr>
                <w:rFonts w:ascii="Arial Narrow" w:hAnsi="Arial Narrow" w:cs="Arial Narrow"/>
                <w:bCs/>
                <w:szCs w:val="24"/>
              </w:rPr>
              <w:t xml:space="preserve"> </w:t>
            </w:r>
          </w:p>
        </w:tc>
        <w:tc>
          <w:tcPr>
            <w:tcW w:w="1952" w:type="dxa"/>
            <w:tcBorders>
              <w:top w:val="nil"/>
              <w:left w:val="single" w:sz="4" w:space="0" w:color="auto"/>
              <w:bottom w:val="nil"/>
              <w:right w:val="single" w:sz="4" w:space="0" w:color="auto"/>
            </w:tcBorders>
            <w:vAlign w:val="center"/>
          </w:tcPr>
          <w:p w14:paraId="2729A77B"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50 / 63 (79%)</w:t>
            </w:r>
          </w:p>
        </w:tc>
        <w:tc>
          <w:tcPr>
            <w:tcW w:w="1891" w:type="dxa"/>
            <w:tcBorders>
              <w:top w:val="nil"/>
              <w:left w:val="single" w:sz="4" w:space="0" w:color="auto"/>
              <w:bottom w:val="nil"/>
              <w:right w:val="single" w:sz="4" w:space="0" w:color="auto"/>
            </w:tcBorders>
            <w:vAlign w:val="center"/>
          </w:tcPr>
          <w:p w14:paraId="040ADE3F"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51 / 55 (93%)</w:t>
            </w:r>
          </w:p>
        </w:tc>
      </w:tr>
      <w:tr w:rsidR="00CD5CAE" w:rsidRPr="004535D6" w14:paraId="5FF796A1" w14:textId="77777777" w:rsidTr="002156DB">
        <w:trPr>
          <w:trHeight w:val="209"/>
        </w:trPr>
        <w:tc>
          <w:tcPr>
            <w:tcW w:w="4814" w:type="dxa"/>
            <w:tcBorders>
              <w:top w:val="nil"/>
              <w:left w:val="single" w:sz="4" w:space="0" w:color="auto"/>
              <w:bottom w:val="single" w:sz="4" w:space="0" w:color="auto"/>
              <w:right w:val="single" w:sz="4" w:space="0" w:color="auto"/>
            </w:tcBorders>
            <w:vAlign w:val="center"/>
          </w:tcPr>
          <w:p w14:paraId="11143624" w14:textId="77777777" w:rsidR="00CD5CAE" w:rsidRPr="004535D6" w:rsidRDefault="00CD5CAE" w:rsidP="002156DB">
            <w:pPr>
              <w:keepNext/>
              <w:keepLines/>
              <w:spacing w:after="0"/>
              <w:rPr>
                <w:rFonts w:ascii="Arial Narrow" w:hAnsi="Arial Narrow" w:cs="Arial Narrow"/>
                <w:szCs w:val="24"/>
              </w:rPr>
            </w:pPr>
            <w:r w:rsidRPr="004535D6" w:rsidDel="0005460E">
              <w:rPr>
                <w:rFonts w:ascii="Arial Narrow" w:hAnsi="Arial Narrow" w:cs="Arial Narrow"/>
                <w:szCs w:val="24"/>
              </w:rPr>
              <w:t xml:space="preserve"> </w:t>
            </w:r>
            <w:r w:rsidRPr="004535D6">
              <w:rPr>
                <w:rFonts w:ascii="Arial Narrow" w:hAnsi="Arial Narrow" w:cs="Arial Narrow"/>
                <w:szCs w:val="24"/>
              </w:rPr>
              <w:t>&gt;200</w:t>
            </w:r>
          </w:p>
        </w:tc>
        <w:tc>
          <w:tcPr>
            <w:tcW w:w="1952" w:type="dxa"/>
            <w:tcBorders>
              <w:top w:val="nil"/>
              <w:left w:val="single" w:sz="4" w:space="0" w:color="auto"/>
              <w:bottom w:val="single" w:sz="4" w:space="0" w:color="auto"/>
              <w:right w:val="single" w:sz="4" w:space="0" w:color="auto"/>
            </w:tcBorders>
            <w:vAlign w:val="center"/>
          </w:tcPr>
          <w:p w14:paraId="4F6DB3A2"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605 / 653 (93%)</w:t>
            </w:r>
          </w:p>
        </w:tc>
        <w:tc>
          <w:tcPr>
            <w:tcW w:w="1891" w:type="dxa"/>
            <w:tcBorders>
              <w:top w:val="nil"/>
              <w:left w:val="single" w:sz="4" w:space="0" w:color="auto"/>
              <w:bottom w:val="single" w:sz="4" w:space="0" w:color="auto"/>
              <w:right w:val="single" w:sz="4" w:space="0" w:color="auto"/>
            </w:tcBorders>
            <w:vAlign w:val="center"/>
          </w:tcPr>
          <w:p w14:paraId="3E911C4D"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618 / 662 (93%)</w:t>
            </w:r>
          </w:p>
        </w:tc>
      </w:tr>
      <w:tr w:rsidR="00CD5CAE" w:rsidRPr="004535D6" w14:paraId="5179F617" w14:textId="77777777" w:rsidTr="002156DB">
        <w:trPr>
          <w:trHeight w:val="209"/>
        </w:trPr>
        <w:tc>
          <w:tcPr>
            <w:tcW w:w="4814" w:type="dxa"/>
            <w:tcBorders>
              <w:top w:val="single" w:sz="4" w:space="0" w:color="auto"/>
              <w:bottom w:val="nil"/>
            </w:tcBorders>
            <w:vAlign w:val="center"/>
          </w:tcPr>
          <w:p w14:paraId="385A8477" w14:textId="77777777" w:rsidR="00CD5CAE" w:rsidRPr="004535D6" w:rsidRDefault="00CD5CAE" w:rsidP="002156DB">
            <w:pPr>
              <w:keepNext/>
              <w:keepLines/>
              <w:spacing w:after="0"/>
              <w:rPr>
                <w:rFonts w:ascii="Arial Narrow" w:hAnsi="Arial Narrow" w:cs="Arial Narrow"/>
                <w:b/>
                <w:szCs w:val="24"/>
              </w:rPr>
            </w:pPr>
            <w:r w:rsidRPr="004535D6">
              <w:rPr>
                <w:rFonts w:ascii="Arial Narrow" w:hAnsi="Arial Narrow" w:cs="Arial Narrow"/>
                <w:b/>
                <w:szCs w:val="24"/>
              </w:rPr>
              <w:t>Gender</w:t>
            </w:r>
          </w:p>
        </w:tc>
        <w:tc>
          <w:tcPr>
            <w:tcW w:w="1952" w:type="dxa"/>
            <w:tcBorders>
              <w:top w:val="single" w:sz="4" w:space="0" w:color="auto"/>
              <w:bottom w:val="nil"/>
            </w:tcBorders>
            <w:vAlign w:val="center"/>
          </w:tcPr>
          <w:p w14:paraId="0398AB3E" w14:textId="77777777" w:rsidR="00CD5CAE" w:rsidRPr="004535D6" w:rsidRDefault="00CD5CAE" w:rsidP="002156DB">
            <w:pPr>
              <w:keepNext/>
              <w:keepLines/>
              <w:spacing w:after="0"/>
              <w:jc w:val="center"/>
              <w:rPr>
                <w:rFonts w:ascii="Arial Narrow" w:hAnsi="Arial Narrow" w:cs="Arial Narrow"/>
                <w:szCs w:val="24"/>
              </w:rPr>
            </w:pPr>
          </w:p>
        </w:tc>
        <w:tc>
          <w:tcPr>
            <w:tcW w:w="1891" w:type="dxa"/>
            <w:tcBorders>
              <w:top w:val="single" w:sz="4" w:space="0" w:color="auto"/>
              <w:bottom w:val="nil"/>
            </w:tcBorders>
            <w:vAlign w:val="center"/>
          </w:tcPr>
          <w:p w14:paraId="12EE0D1E" w14:textId="77777777" w:rsidR="00CD5CAE" w:rsidRPr="004535D6" w:rsidRDefault="00CD5CAE" w:rsidP="002156DB">
            <w:pPr>
              <w:keepNext/>
              <w:keepLines/>
              <w:spacing w:after="0"/>
              <w:rPr>
                <w:rFonts w:ascii="Arial Narrow" w:hAnsi="Arial Narrow" w:cs="Arial Narrow"/>
                <w:szCs w:val="24"/>
              </w:rPr>
            </w:pPr>
          </w:p>
        </w:tc>
      </w:tr>
      <w:tr w:rsidR="00CD5CAE" w:rsidRPr="004535D6" w14:paraId="026965D8" w14:textId="77777777" w:rsidTr="002156DB">
        <w:trPr>
          <w:trHeight w:val="209"/>
        </w:trPr>
        <w:tc>
          <w:tcPr>
            <w:tcW w:w="4814" w:type="dxa"/>
            <w:tcBorders>
              <w:top w:val="nil"/>
              <w:left w:val="single" w:sz="4" w:space="0" w:color="auto"/>
              <w:bottom w:val="nil"/>
              <w:right w:val="single" w:sz="4" w:space="0" w:color="auto"/>
            </w:tcBorders>
            <w:vAlign w:val="center"/>
          </w:tcPr>
          <w:p w14:paraId="4EE2A10D" w14:textId="77777777" w:rsidR="00CD5CAE" w:rsidRPr="004535D6" w:rsidRDefault="00CD5CAE" w:rsidP="002156DB">
            <w:pPr>
              <w:keepNext/>
              <w:keepLines/>
              <w:spacing w:after="0"/>
              <w:rPr>
                <w:rFonts w:ascii="Arial Narrow" w:hAnsi="Arial Narrow" w:cs="Arial Narrow"/>
                <w:b/>
                <w:szCs w:val="24"/>
              </w:rPr>
            </w:pPr>
            <w:r w:rsidRPr="004535D6">
              <w:rPr>
                <w:rFonts w:ascii="Arial Narrow" w:hAnsi="Arial Narrow" w:cs="Arial Narrow"/>
                <w:szCs w:val="24"/>
              </w:rPr>
              <w:t xml:space="preserve"> Male </w:t>
            </w:r>
          </w:p>
        </w:tc>
        <w:tc>
          <w:tcPr>
            <w:tcW w:w="1952" w:type="dxa"/>
            <w:tcBorders>
              <w:top w:val="nil"/>
              <w:left w:val="single" w:sz="4" w:space="0" w:color="auto"/>
              <w:bottom w:val="nil"/>
              <w:right w:val="single" w:sz="4" w:space="0" w:color="auto"/>
            </w:tcBorders>
            <w:vAlign w:val="center"/>
          </w:tcPr>
          <w:p w14:paraId="6749619D"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555 / 603 (92%)</w:t>
            </w:r>
          </w:p>
        </w:tc>
        <w:tc>
          <w:tcPr>
            <w:tcW w:w="1891" w:type="dxa"/>
            <w:tcBorders>
              <w:top w:val="nil"/>
              <w:left w:val="single" w:sz="4" w:space="0" w:color="auto"/>
              <w:bottom w:val="nil"/>
              <w:right w:val="single" w:sz="4" w:space="0" w:color="auto"/>
            </w:tcBorders>
            <w:vAlign w:val="center"/>
          </w:tcPr>
          <w:p w14:paraId="0532A17A"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580 / 619 (94%)</w:t>
            </w:r>
          </w:p>
        </w:tc>
      </w:tr>
      <w:tr w:rsidR="00CD5CAE" w:rsidRPr="004535D6" w14:paraId="1E07A130" w14:textId="77777777" w:rsidTr="002156DB">
        <w:trPr>
          <w:trHeight w:val="209"/>
        </w:trPr>
        <w:tc>
          <w:tcPr>
            <w:tcW w:w="4814" w:type="dxa"/>
            <w:tcBorders>
              <w:top w:val="nil"/>
              <w:left w:val="single" w:sz="4" w:space="0" w:color="auto"/>
              <w:bottom w:val="single" w:sz="4" w:space="0" w:color="auto"/>
              <w:right w:val="single" w:sz="4" w:space="0" w:color="auto"/>
            </w:tcBorders>
            <w:vAlign w:val="center"/>
          </w:tcPr>
          <w:p w14:paraId="2074BC81" w14:textId="77777777" w:rsidR="00CD5CAE" w:rsidRPr="004535D6" w:rsidRDefault="00CD5CAE" w:rsidP="002156DB">
            <w:pPr>
              <w:keepNext/>
              <w:keepLines/>
              <w:spacing w:after="0"/>
              <w:rPr>
                <w:rFonts w:ascii="Arial Narrow" w:hAnsi="Arial Narrow" w:cs="Arial Narrow"/>
                <w:b/>
                <w:szCs w:val="24"/>
              </w:rPr>
            </w:pPr>
            <w:r w:rsidRPr="004535D6">
              <w:rPr>
                <w:rFonts w:ascii="Arial Narrow" w:hAnsi="Arial Narrow" w:cs="Arial Narrow"/>
                <w:szCs w:val="24"/>
              </w:rPr>
              <w:t xml:space="preserve"> Female </w:t>
            </w:r>
          </w:p>
        </w:tc>
        <w:tc>
          <w:tcPr>
            <w:tcW w:w="1952" w:type="dxa"/>
            <w:tcBorders>
              <w:top w:val="nil"/>
              <w:left w:val="single" w:sz="4" w:space="0" w:color="auto"/>
              <w:bottom w:val="single" w:sz="4" w:space="0" w:color="auto"/>
              <w:right w:val="single" w:sz="4" w:space="0" w:color="auto"/>
            </w:tcBorders>
            <w:vAlign w:val="center"/>
          </w:tcPr>
          <w:p w14:paraId="39705AB6"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100 / 113 (88%)</w:t>
            </w:r>
          </w:p>
        </w:tc>
        <w:tc>
          <w:tcPr>
            <w:tcW w:w="1891" w:type="dxa"/>
            <w:tcBorders>
              <w:top w:val="nil"/>
              <w:left w:val="single" w:sz="4" w:space="0" w:color="auto"/>
              <w:bottom w:val="single" w:sz="4" w:space="0" w:color="auto"/>
              <w:right w:val="single" w:sz="4" w:space="0" w:color="auto"/>
            </w:tcBorders>
            <w:vAlign w:val="center"/>
          </w:tcPr>
          <w:p w14:paraId="2654CB4A"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89 / 98 (91%)</w:t>
            </w:r>
          </w:p>
        </w:tc>
      </w:tr>
      <w:tr w:rsidR="00CD5CAE" w:rsidRPr="004535D6" w14:paraId="620AFE25" w14:textId="77777777" w:rsidTr="002156DB">
        <w:trPr>
          <w:trHeight w:val="209"/>
        </w:trPr>
        <w:tc>
          <w:tcPr>
            <w:tcW w:w="4814" w:type="dxa"/>
            <w:tcBorders>
              <w:top w:val="single" w:sz="4" w:space="0" w:color="auto"/>
              <w:bottom w:val="nil"/>
            </w:tcBorders>
            <w:vAlign w:val="center"/>
          </w:tcPr>
          <w:p w14:paraId="25BF76F8" w14:textId="77777777" w:rsidR="00CD5CAE" w:rsidRPr="004535D6" w:rsidRDefault="00CD5CAE" w:rsidP="002156DB">
            <w:pPr>
              <w:keepNext/>
              <w:keepLines/>
              <w:spacing w:after="0"/>
              <w:rPr>
                <w:rFonts w:ascii="Arial Narrow" w:hAnsi="Arial Narrow" w:cs="Arial Narrow"/>
                <w:b/>
                <w:szCs w:val="24"/>
              </w:rPr>
            </w:pPr>
            <w:r w:rsidRPr="004535D6">
              <w:rPr>
                <w:rFonts w:ascii="Arial Narrow" w:hAnsi="Arial Narrow" w:cs="Arial Narrow"/>
                <w:b/>
                <w:szCs w:val="24"/>
              </w:rPr>
              <w:t xml:space="preserve">Race </w:t>
            </w:r>
          </w:p>
        </w:tc>
        <w:tc>
          <w:tcPr>
            <w:tcW w:w="1952" w:type="dxa"/>
            <w:tcBorders>
              <w:top w:val="single" w:sz="4" w:space="0" w:color="auto"/>
              <w:bottom w:val="nil"/>
            </w:tcBorders>
            <w:vAlign w:val="center"/>
          </w:tcPr>
          <w:p w14:paraId="3D43DB57" w14:textId="77777777" w:rsidR="00CD5CAE" w:rsidRPr="004535D6" w:rsidRDefault="00CD5CAE" w:rsidP="002156DB">
            <w:pPr>
              <w:keepNext/>
              <w:keepLines/>
              <w:spacing w:after="0"/>
              <w:jc w:val="center"/>
              <w:rPr>
                <w:rFonts w:ascii="Arial Narrow" w:hAnsi="Arial Narrow" w:cs="Arial Narrow"/>
                <w:szCs w:val="24"/>
              </w:rPr>
            </w:pPr>
          </w:p>
        </w:tc>
        <w:tc>
          <w:tcPr>
            <w:tcW w:w="1891" w:type="dxa"/>
            <w:tcBorders>
              <w:top w:val="single" w:sz="4" w:space="0" w:color="auto"/>
              <w:bottom w:val="nil"/>
            </w:tcBorders>
            <w:vAlign w:val="center"/>
          </w:tcPr>
          <w:p w14:paraId="6F426AE0" w14:textId="77777777" w:rsidR="00CD5CAE" w:rsidRPr="004535D6" w:rsidRDefault="00CD5CAE" w:rsidP="002156DB">
            <w:pPr>
              <w:keepNext/>
              <w:keepLines/>
              <w:spacing w:after="0"/>
              <w:jc w:val="center"/>
              <w:rPr>
                <w:rFonts w:ascii="Arial Narrow" w:hAnsi="Arial Narrow" w:cs="Arial Narrow"/>
                <w:szCs w:val="24"/>
              </w:rPr>
            </w:pPr>
          </w:p>
        </w:tc>
      </w:tr>
      <w:tr w:rsidR="00CD5CAE" w:rsidRPr="004535D6" w14:paraId="585B8B32" w14:textId="77777777" w:rsidTr="002156DB">
        <w:trPr>
          <w:trHeight w:val="209"/>
        </w:trPr>
        <w:tc>
          <w:tcPr>
            <w:tcW w:w="4814" w:type="dxa"/>
            <w:tcBorders>
              <w:top w:val="nil"/>
              <w:left w:val="single" w:sz="4" w:space="0" w:color="auto"/>
              <w:bottom w:val="nil"/>
              <w:right w:val="single" w:sz="4" w:space="0" w:color="auto"/>
            </w:tcBorders>
            <w:vAlign w:val="center"/>
          </w:tcPr>
          <w:p w14:paraId="5AC4CB80" w14:textId="77777777" w:rsidR="00CD5CAE" w:rsidRPr="004535D6" w:rsidRDefault="00CD5CAE" w:rsidP="002156DB">
            <w:pPr>
              <w:keepNext/>
              <w:keepLines/>
              <w:spacing w:after="0"/>
              <w:rPr>
                <w:rFonts w:ascii="Arial Narrow" w:hAnsi="Arial Narrow" w:cs="Arial Narrow"/>
                <w:b/>
                <w:szCs w:val="24"/>
              </w:rPr>
            </w:pPr>
            <w:r w:rsidRPr="004535D6">
              <w:rPr>
                <w:rFonts w:ascii="Arial Narrow" w:hAnsi="Arial Narrow" w:cs="Arial Narrow"/>
                <w:szCs w:val="24"/>
              </w:rPr>
              <w:t xml:space="preserve"> White </w:t>
            </w:r>
          </w:p>
        </w:tc>
        <w:tc>
          <w:tcPr>
            <w:tcW w:w="1952" w:type="dxa"/>
            <w:tcBorders>
              <w:top w:val="nil"/>
              <w:left w:val="single" w:sz="4" w:space="0" w:color="auto"/>
              <w:bottom w:val="nil"/>
              <w:right w:val="single" w:sz="4" w:space="0" w:color="auto"/>
            </w:tcBorders>
            <w:vAlign w:val="center"/>
          </w:tcPr>
          <w:p w14:paraId="4ABFC338"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447 / 480 (93%)</w:t>
            </w:r>
          </w:p>
        </w:tc>
        <w:tc>
          <w:tcPr>
            <w:tcW w:w="1891" w:type="dxa"/>
            <w:tcBorders>
              <w:top w:val="nil"/>
              <w:left w:val="single" w:sz="4" w:space="0" w:color="auto"/>
              <w:bottom w:val="nil"/>
              <w:right w:val="single" w:sz="4" w:space="0" w:color="auto"/>
            </w:tcBorders>
            <w:vAlign w:val="center"/>
          </w:tcPr>
          <w:p w14:paraId="39B10D64"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471 / 497 (95%)</w:t>
            </w:r>
          </w:p>
        </w:tc>
      </w:tr>
      <w:tr w:rsidR="00CD5CAE" w:rsidRPr="004535D6" w14:paraId="3D41E73F" w14:textId="77777777" w:rsidTr="002156DB">
        <w:trPr>
          <w:trHeight w:val="209"/>
        </w:trPr>
        <w:tc>
          <w:tcPr>
            <w:tcW w:w="4814" w:type="dxa"/>
            <w:tcBorders>
              <w:top w:val="nil"/>
              <w:left w:val="single" w:sz="4" w:space="0" w:color="auto"/>
              <w:bottom w:val="single" w:sz="4" w:space="0" w:color="auto"/>
              <w:right w:val="single" w:sz="4" w:space="0" w:color="auto"/>
            </w:tcBorders>
            <w:vAlign w:val="center"/>
          </w:tcPr>
          <w:p w14:paraId="4AF7DD26" w14:textId="67031B38" w:rsidR="008F738F" w:rsidRPr="004535D6" w:rsidRDefault="00CD5CAE" w:rsidP="002156DB">
            <w:pPr>
              <w:keepNext/>
              <w:keepLines/>
              <w:spacing w:after="0"/>
              <w:rPr>
                <w:rFonts w:ascii="Arial Narrow" w:hAnsi="Arial Narrow" w:cs="Arial Narrow"/>
                <w:szCs w:val="24"/>
              </w:rPr>
            </w:pPr>
            <w:r w:rsidRPr="004535D6">
              <w:rPr>
                <w:rFonts w:ascii="Arial Narrow" w:hAnsi="Arial Narrow" w:cs="Arial Narrow"/>
                <w:szCs w:val="24"/>
              </w:rPr>
              <w:t xml:space="preserve"> African-America</w:t>
            </w:r>
            <w:r>
              <w:rPr>
                <w:rFonts w:ascii="Arial Narrow" w:hAnsi="Arial Narrow" w:cs="Arial Narrow"/>
                <w:szCs w:val="24"/>
              </w:rPr>
              <w:t>n</w:t>
            </w:r>
            <w:r w:rsidRPr="004535D6">
              <w:rPr>
                <w:rFonts w:ascii="Arial Narrow" w:hAnsi="Arial Narrow" w:cs="Arial Narrow"/>
                <w:szCs w:val="24"/>
              </w:rPr>
              <w:t>/African Heritage/Other</w:t>
            </w:r>
          </w:p>
        </w:tc>
        <w:tc>
          <w:tcPr>
            <w:tcW w:w="1952" w:type="dxa"/>
            <w:tcBorders>
              <w:top w:val="nil"/>
              <w:left w:val="single" w:sz="4" w:space="0" w:color="auto"/>
              <w:bottom w:val="single" w:sz="4" w:space="0" w:color="auto"/>
              <w:right w:val="single" w:sz="4" w:space="0" w:color="auto"/>
            </w:tcBorders>
            <w:vAlign w:val="center"/>
          </w:tcPr>
          <w:p w14:paraId="21EBC86F"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208 / 236 (88%)</w:t>
            </w:r>
          </w:p>
        </w:tc>
        <w:tc>
          <w:tcPr>
            <w:tcW w:w="1891" w:type="dxa"/>
            <w:tcBorders>
              <w:top w:val="nil"/>
              <w:left w:val="single" w:sz="4" w:space="0" w:color="auto"/>
              <w:bottom w:val="single" w:sz="4" w:space="0" w:color="auto"/>
              <w:right w:val="single" w:sz="4" w:space="0" w:color="auto"/>
            </w:tcBorders>
            <w:vAlign w:val="center"/>
          </w:tcPr>
          <w:p w14:paraId="6D7504B1"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198 / 220 (90%)</w:t>
            </w:r>
          </w:p>
        </w:tc>
      </w:tr>
      <w:tr w:rsidR="00CD5CAE" w:rsidRPr="004535D6" w14:paraId="36BC2397" w14:textId="77777777" w:rsidTr="002156DB">
        <w:trPr>
          <w:trHeight w:val="209"/>
        </w:trPr>
        <w:tc>
          <w:tcPr>
            <w:tcW w:w="4814" w:type="dxa"/>
            <w:tcBorders>
              <w:top w:val="single" w:sz="4" w:space="0" w:color="auto"/>
              <w:bottom w:val="nil"/>
            </w:tcBorders>
            <w:vAlign w:val="center"/>
          </w:tcPr>
          <w:p w14:paraId="245139EC" w14:textId="77777777" w:rsidR="00CD5CAE" w:rsidRPr="004535D6" w:rsidRDefault="00CD5CAE" w:rsidP="002156DB">
            <w:pPr>
              <w:keepNext/>
              <w:keepLines/>
              <w:spacing w:after="0"/>
              <w:rPr>
                <w:rFonts w:ascii="Arial Narrow" w:hAnsi="Arial Narrow" w:cs="Arial Narrow"/>
                <w:b/>
                <w:szCs w:val="24"/>
              </w:rPr>
            </w:pPr>
            <w:r w:rsidRPr="004535D6">
              <w:rPr>
                <w:rFonts w:ascii="Arial Narrow" w:hAnsi="Arial Narrow" w:cs="Arial Narrow"/>
                <w:b/>
                <w:szCs w:val="24"/>
              </w:rPr>
              <w:t>Age (years)</w:t>
            </w:r>
          </w:p>
        </w:tc>
        <w:tc>
          <w:tcPr>
            <w:tcW w:w="1952" w:type="dxa"/>
            <w:tcBorders>
              <w:top w:val="single" w:sz="4" w:space="0" w:color="auto"/>
              <w:bottom w:val="nil"/>
            </w:tcBorders>
            <w:vAlign w:val="center"/>
          </w:tcPr>
          <w:p w14:paraId="5B27EB00" w14:textId="77777777" w:rsidR="00CD5CAE" w:rsidRPr="004535D6" w:rsidRDefault="00CD5CAE" w:rsidP="002156DB">
            <w:pPr>
              <w:keepNext/>
              <w:keepLines/>
              <w:spacing w:after="0"/>
              <w:jc w:val="center"/>
              <w:rPr>
                <w:rFonts w:ascii="Arial Narrow" w:hAnsi="Arial Narrow" w:cs="Arial Narrow"/>
                <w:szCs w:val="24"/>
              </w:rPr>
            </w:pPr>
          </w:p>
        </w:tc>
        <w:tc>
          <w:tcPr>
            <w:tcW w:w="1891" w:type="dxa"/>
            <w:tcBorders>
              <w:top w:val="single" w:sz="4" w:space="0" w:color="auto"/>
              <w:bottom w:val="nil"/>
            </w:tcBorders>
            <w:vAlign w:val="center"/>
          </w:tcPr>
          <w:p w14:paraId="256F37CB" w14:textId="77777777" w:rsidR="00CD5CAE" w:rsidRPr="004535D6" w:rsidRDefault="00CD5CAE" w:rsidP="002156DB">
            <w:pPr>
              <w:keepNext/>
              <w:keepLines/>
              <w:spacing w:after="0"/>
              <w:jc w:val="center"/>
              <w:rPr>
                <w:rFonts w:ascii="Arial Narrow" w:hAnsi="Arial Narrow" w:cs="Arial Narrow"/>
                <w:szCs w:val="24"/>
              </w:rPr>
            </w:pPr>
          </w:p>
        </w:tc>
      </w:tr>
      <w:tr w:rsidR="00CD5CAE" w:rsidRPr="004535D6" w14:paraId="769BCF5B" w14:textId="77777777" w:rsidTr="002156DB">
        <w:trPr>
          <w:trHeight w:val="209"/>
        </w:trPr>
        <w:tc>
          <w:tcPr>
            <w:tcW w:w="4814" w:type="dxa"/>
            <w:tcBorders>
              <w:top w:val="nil"/>
              <w:left w:val="single" w:sz="4" w:space="0" w:color="auto"/>
              <w:bottom w:val="nil"/>
              <w:right w:val="single" w:sz="4" w:space="0" w:color="auto"/>
            </w:tcBorders>
            <w:vAlign w:val="center"/>
          </w:tcPr>
          <w:p w14:paraId="6AAE1E36" w14:textId="77777777" w:rsidR="00CD5CAE" w:rsidRPr="004535D6" w:rsidRDefault="00CD5CAE" w:rsidP="002156DB">
            <w:pPr>
              <w:keepNext/>
              <w:spacing w:after="0"/>
              <w:rPr>
                <w:rFonts w:ascii="Arial Narrow" w:hAnsi="Arial Narrow" w:cs="Arial Narrow"/>
                <w:szCs w:val="24"/>
              </w:rPr>
            </w:pPr>
            <w:r w:rsidRPr="004535D6">
              <w:rPr>
                <w:rFonts w:ascii="Arial Narrow" w:hAnsi="Arial Narrow" w:cs="Arial Narrow"/>
                <w:szCs w:val="24"/>
              </w:rPr>
              <w:t xml:space="preserve"> &lt;50</w:t>
            </w:r>
          </w:p>
        </w:tc>
        <w:tc>
          <w:tcPr>
            <w:tcW w:w="1952" w:type="dxa"/>
            <w:tcBorders>
              <w:top w:val="nil"/>
              <w:left w:val="single" w:sz="4" w:space="0" w:color="auto"/>
              <w:bottom w:val="nil"/>
              <w:right w:val="single" w:sz="4" w:space="0" w:color="auto"/>
            </w:tcBorders>
            <w:vAlign w:val="center"/>
          </w:tcPr>
          <w:p w14:paraId="34C9ECF6" w14:textId="77777777" w:rsidR="00CD5CAE" w:rsidRPr="004535D6" w:rsidRDefault="00CD5CAE" w:rsidP="002156DB">
            <w:pPr>
              <w:keepNext/>
              <w:spacing w:after="0"/>
              <w:jc w:val="center"/>
              <w:rPr>
                <w:rFonts w:ascii="Arial Narrow" w:hAnsi="Arial Narrow" w:cs="Arial Narrow"/>
                <w:szCs w:val="24"/>
              </w:rPr>
            </w:pPr>
            <w:r w:rsidRPr="004535D6">
              <w:rPr>
                <w:rFonts w:ascii="Arial Narrow" w:hAnsi="Arial Narrow" w:cs="Arial Narrow"/>
                <w:szCs w:val="24"/>
              </w:rPr>
              <w:t>597 / 651 (92%)</w:t>
            </w:r>
          </w:p>
        </w:tc>
        <w:tc>
          <w:tcPr>
            <w:tcW w:w="1891" w:type="dxa"/>
            <w:tcBorders>
              <w:top w:val="nil"/>
              <w:left w:val="single" w:sz="4" w:space="0" w:color="auto"/>
              <w:bottom w:val="nil"/>
              <w:right w:val="single" w:sz="4" w:space="0" w:color="auto"/>
            </w:tcBorders>
            <w:vAlign w:val="center"/>
          </w:tcPr>
          <w:p w14:paraId="4194700F" w14:textId="77777777" w:rsidR="00CD5CAE" w:rsidRPr="004535D6" w:rsidRDefault="00CD5CAE" w:rsidP="002156DB">
            <w:pPr>
              <w:keepNext/>
              <w:spacing w:after="0"/>
              <w:jc w:val="center"/>
              <w:rPr>
                <w:rFonts w:ascii="Arial Narrow" w:hAnsi="Arial Narrow" w:cs="Arial Narrow"/>
                <w:szCs w:val="24"/>
              </w:rPr>
            </w:pPr>
            <w:r w:rsidRPr="004535D6">
              <w:rPr>
                <w:rFonts w:ascii="Arial Narrow" w:hAnsi="Arial Narrow" w:cs="Arial Narrow"/>
                <w:szCs w:val="24"/>
              </w:rPr>
              <w:t>597 / 637 (94%)</w:t>
            </w:r>
          </w:p>
        </w:tc>
      </w:tr>
      <w:tr w:rsidR="00CD5CAE" w:rsidRPr="004535D6" w14:paraId="68EAF90A" w14:textId="77777777" w:rsidTr="002156DB">
        <w:trPr>
          <w:trHeight w:val="209"/>
        </w:trPr>
        <w:tc>
          <w:tcPr>
            <w:tcW w:w="4814" w:type="dxa"/>
            <w:tcBorders>
              <w:top w:val="nil"/>
              <w:left w:val="single" w:sz="4" w:space="0" w:color="auto"/>
              <w:bottom w:val="single" w:sz="4" w:space="0" w:color="auto"/>
              <w:right w:val="single" w:sz="4" w:space="0" w:color="auto"/>
            </w:tcBorders>
            <w:vAlign w:val="center"/>
          </w:tcPr>
          <w:p w14:paraId="526EC314" w14:textId="77777777" w:rsidR="00CD5CAE" w:rsidRPr="004535D6" w:rsidRDefault="00CD5CAE" w:rsidP="002156DB">
            <w:pPr>
              <w:keepNext/>
              <w:keepLines/>
              <w:spacing w:after="0"/>
              <w:rPr>
                <w:rFonts w:ascii="Arial Narrow" w:hAnsi="Arial Narrow" w:cs="Arial Narrow"/>
                <w:szCs w:val="24"/>
              </w:rPr>
            </w:pPr>
            <w:r w:rsidRPr="004535D6">
              <w:rPr>
                <w:rFonts w:ascii="Arial Narrow" w:hAnsi="Arial Narrow" w:cs="Arial Narrow"/>
                <w:szCs w:val="24"/>
              </w:rPr>
              <w:t xml:space="preserve"> </w:t>
            </w:r>
            <w:r w:rsidRPr="004535D6">
              <w:rPr>
                <w:rFonts w:ascii="Arial Narrow" w:hAnsi="Arial Narrow" w:cs="Arial Narrow"/>
                <w:szCs w:val="24"/>
              </w:rPr>
              <w:sym w:font="Symbol" w:char="F0B3"/>
            </w:r>
            <w:r w:rsidRPr="004535D6">
              <w:rPr>
                <w:rFonts w:ascii="Arial Narrow" w:hAnsi="Arial Narrow" w:cs="Arial Narrow"/>
                <w:szCs w:val="24"/>
              </w:rPr>
              <w:t>50</w:t>
            </w:r>
          </w:p>
        </w:tc>
        <w:tc>
          <w:tcPr>
            <w:tcW w:w="1952" w:type="dxa"/>
            <w:tcBorders>
              <w:top w:val="nil"/>
              <w:left w:val="single" w:sz="4" w:space="0" w:color="auto"/>
              <w:bottom w:val="single" w:sz="4" w:space="0" w:color="auto"/>
              <w:right w:val="single" w:sz="4" w:space="0" w:color="auto"/>
            </w:tcBorders>
            <w:vAlign w:val="center"/>
          </w:tcPr>
          <w:p w14:paraId="7E3EBB31"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58 / 65 (89%)</w:t>
            </w:r>
          </w:p>
        </w:tc>
        <w:tc>
          <w:tcPr>
            <w:tcW w:w="1891" w:type="dxa"/>
            <w:tcBorders>
              <w:top w:val="nil"/>
              <w:left w:val="single" w:sz="4" w:space="0" w:color="auto"/>
              <w:bottom w:val="single" w:sz="4" w:space="0" w:color="auto"/>
              <w:right w:val="single" w:sz="4" w:space="0" w:color="auto"/>
            </w:tcBorders>
            <w:vAlign w:val="center"/>
          </w:tcPr>
          <w:p w14:paraId="47A03A57" w14:textId="77777777" w:rsidR="00CD5CAE" w:rsidRPr="004535D6" w:rsidRDefault="00CD5CAE" w:rsidP="002156DB">
            <w:pPr>
              <w:keepNext/>
              <w:keepLines/>
              <w:spacing w:after="0"/>
              <w:jc w:val="center"/>
              <w:rPr>
                <w:rFonts w:ascii="Arial Narrow" w:hAnsi="Arial Narrow" w:cs="Arial Narrow"/>
                <w:szCs w:val="24"/>
              </w:rPr>
            </w:pPr>
            <w:r w:rsidRPr="004535D6">
              <w:rPr>
                <w:rFonts w:ascii="Arial Narrow" w:hAnsi="Arial Narrow" w:cs="Arial Narrow"/>
                <w:szCs w:val="24"/>
              </w:rPr>
              <w:t>72 / 80 (90%)</w:t>
            </w:r>
          </w:p>
        </w:tc>
      </w:tr>
    </w:tbl>
    <w:p w14:paraId="38CF81CA" w14:textId="77777777" w:rsidR="009F0579" w:rsidRPr="007A584E" w:rsidRDefault="009F0579" w:rsidP="009F0579">
      <w:pPr>
        <w:widowControl w:val="0"/>
        <w:spacing w:after="0"/>
        <w:rPr>
          <w:rFonts w:ascii="Arial Narrow" w:hAnsi="Arial Narrow" w:cs="Arial Narrow"/>
          <w:sz w:val="18"/>
          <w:szCs w:val="18"/>
        </w:rPr>
      </w:pPr>
      <w:r>
        <w:rPr>
          <w:rFonts w:ascii="Arial Narrow" w:hAnsi="Arial Narrow" w:cs="Arial Narrow"/>
          <w:sz w:val="20"/>
          <w:szCs w:val="24"/>
        </w:rPr>
        <w:t>*</w:t>
      </w:r>
      <w:r w:rsidRPr="007A584E">
        <w:rPr>
          <w:rFonts w:ascii="Arial Narrow" w:hAnsi="Arial Narrow" w:cs="Arial Narrow"/>
          <w:sz w:val="18"/>
          <w:szCs w:val="18"/>
        </w:rPr>
        <w:t>The results of the pooled analysis are in line with those of the individual studies, for which the primary endpoint (difference in proportion &lt;50 copies/mL plasma HIV-1 RNA at Week 48 based on the Snapshot algorithm for dolutegravir plus lamivudine versus dolutegravir plus tenofovir/emtricitabine FDC) was met. The adjusted difference was -2.6 (95% CI: -6.7; 1.5) for GEMINI-1 and -0.7 (95% CI: -4.3; 2.9) for GEMINI-2 with a prespecified non-inferiority margin of 10%.</w:t>
      </w:r>
    </w:p>
    <w:p w14:paraId="0BB2F316" w14:textId="77777777" w:rsidR="009F0579" w:rsidRPr="007A584E" w:rsidRDefault="009F0579" w:rsidP="009F0579">
      <w:pPr>
        <w:widowControl w:val="0"/>
        <w:spacing w:after="0"/>
        <w:rPr>
          <w:rFonts w:ascii="Arial Narrow" w:hAnsi="Arial Narrow" w:cs="Arial Narrow"/>
          <w:sz w:val="18"/>
          <w:szCs w:val="18"/>
        </w:rPr>
      </w:pPr>
      <w:r w:rsidRPr="007A584E">
        <w:rPr>
          <w:rFonts w:ascii="Arial Narrow" w:hAnsi="Arial Narrow" w:cs="Arial Narrow"/>
          <w:sz w:val="18"/>
          <w:szCs w:val="18"/>
        </w:rPr>
        <w:t>†Based on CMH-stratified analysis adjusting for the following baseline stratification factors: Plasma HIV-1 RNA (≤100,000 c/mL vs. &gt;100,000 c/mL) and CD4+ cell count (≤200 cells/mm3 vs. &gt;200◦cells/mm3).  Pooled analysis also stratified by study. Assessed using a non-inferiority margin of 10%.</w:t>
      </w:r>
    </w:p>
    <w:p w14:paraId="5FF495FC" w14:textId="77777777" w:rsidR="009F0579" w:rsidRDefault="009F0579" w:rsidP="002156DB">
      <w:pPr>
        <w:widowControl w:val="0"/>
        <w:spacing w:after="0"/>
        <w:rPr>
          <w:rFonts w:ascii="Arial Narrow" w:hAnsi="Arial Narrow" w:cs="Arial Narrow"/>
          <w:sz w:val="18"/>
          <w:szCs w:val="18"/>
        </w:rPr>
      </w:pPr>
      <w:r w:rsidRPr="007A584E">
        <w:rPr>
          <w:rFonts w:ascii="Arial Narrow" w:hAnsi="Arial Narrow" w:cs="Arial Narrow"/>
          <w:sz w:val="18"/>
          <w:szCs w:val="18"/>
        </w:rPr>
        <w:t xml:space="preserve">N = Number of subjects in each treatment group, DTG = Dolutegravir, LAM = Lamivudine, </w:t>
      </w:r>
    </w:p>
    <w:p w14:paraId="5A07B14B" w14:textId="3C7D6962" w:rsidR="009F0579" w:rsidRDefault="009F0579" w:rsidP="002156DB">
      <w:pPr>
        <w:widowControl w:val="0"/>
        <w:spacing w:after="0"/>
      </w:pPr>
      <w:r w:rsidRPr="007A584E">
        <w:rPr>
          <w:rFonts w:ascii="Arial Narrow" w:hAnsi="Arial Narrow" w:cs="Arial Narrow"/>
          <w:sz w:val="18"/>
          <w:szCs w:val="18"/>
        </w:rPr>
        <w:t>TDF/FTC = Tenofovir disoproxil fumarate /Emtricitabine</w:t>
      </w:r>
    </w:p>
    <w:p w14:paraId="4CE31F24" w14:textId="1C5CCCF6" w:rsidR="007A6635" w:rsidRPr="00EA5330" w:rsidRDefault="007A6635" w:rsidP="00EA5330">
      <w:pPr>
        <w:keepNext/>
        <w:spacing w:after="0"/>
        <w:rPr>
          <w:b/>
        </w:rPr>
      </w:pPr>
      <w:r w:rsidRPr="00EA5330">
        <w:rPr>
          <w:b/>
        </w:rPr>
        <w:lastRenderedPageBreak/>
        <w:t>Children</w:t>
      </w:r>
    </w:p>
    <w:p w14:paraId="4A365DCE" w14:textId="77777777" w:rsidR="003E19B5" w:rsidRDefault="004A09A2" w:rsidP="00EA5330">
      <w:pPr>
        <w:keepNext/>
      </w:pPr>
      <w:r w:rsidRPr="00AF2C08">
        <w:t xml:space="preserve">There are no clinical study data with </w:t>
      </w:r>
      <w:r w:rsidR="004223CA">
        <w:t>DOVATO</w:t>
      </w:r>
      <w:r w:rsidRPr="00AF2C08">
        <w:t xml:space="preserve"> in the paediatric population.</w:t>
      </w:r>
      <w:r w:rsidR="003E19B5" w:rsidRPr="003E19B5">
        <w:t xml:space="preserve"> </w:t>
      </w:r>
    </w:p>
    <w:p w14:paraId="36C564E8" w14:textId="2204E2B0" w:rsidR="000B3CC6" w:rsidRDefault="009B6508" w:rsidP="009260AC">
      <w:pPr>
        <w:keepNext/>
      </w:pPr>
      <w:r w:rsidRPr="000B3CC6">
        <w:t xml:space="preserve">Although adolescents were not included in the pivotal GEMINI studies evaluating treatment with DOVATO, both dolutegravir and lamivudine are </w:t>
      </w:r>
      <w:r w:rsidR="00F969E2">
        <w:t>indicated</w:t>
      </w:r>
      <w:r w:rsidRPr="000B3CC6">
        <w:t xml:space="preserve"> in combination with other antiretroviral agents for the treatment of HIV-1 infection in adults and adolescents. DOVATO consists of 50 mg dolutegravir and 300 mg lamivudine which are approved doses for adolescents ≥12 years of age weighing ≥40 kg</w:t>
      </w:r>
      <w:r w:rsidRPr="008004B4">
        <w:t xml:space="preserve">. Prior studies have shown that </w:t>
      </w:r>
      <w:r w:rsidR="00277597" w:rsidRPr="008004B4">
        <w:t>dolutegravir</w:t>
      </w:r>
      <w:r w:rsidRPr="008004B4">
        <w:t xml:space="preserve"> and </w:t>
      </w:r>
      <w:r w:rsidR="00277597" w:rsidRPr="008004B4">
        <w:t>lamivudine</w:t>
      </w:r>
      <w:r w:rsidRPr="008004B4">
        <w:t xml:space="preserve"> </w:t>
      </w:r>
      <w:r w:rsidR="00277597" w:rsidRPr="008004B4">
        <w:t>pharmacokinetic (</w:t>
      </w:r>
      <w:r w:rsidRPr="008004B4">
        <w:t>PK</w:t>
      </w:r>
      <w:r w:rsidR="00277597" w:rsidRPr="008004B4">
        <w:t>)</w:t>
      </w:r>
      <w:r w:rsidRPr="008004B4">
        <w:t xml:space="preserve"> exposures in adolescents are sufficiently similar to those in adults</w:t>
      </w:r>
      <w:r w:rsidR="00F969E2">
        <w:t>.</w:t>
      </w:r>
    </w:p>
    <w:p w14:paraId="51CDD677" w14:textId="3A555709" w:rsidR="003D316B" w:rsidRPr="00AF2C08" w:rsidRDefault="004A09A2" w:rsidP="00192B58">
      <w:pPr>
        <w:pStyle w:val="Heading2"/>
        <w:rPr>
          <w:lang w:val="en-US"/>
        </w:rPr>
      </w:pPr>
      <w:r w:rsidRPr="00AF2C08">
        <w:rPr>
          <w:lang w:val="en-US"/>
        </w:rPr>
        <w:t xml:space="preserve">Pharmacokinetic properties </w:t>
      </w:r>
    </w:p>
    <w:p w14:paraId="32CC825E" w14:textId="062D736F" w:rsidR="00D66960" w:rsidRDefault="00D66960" w:rsidP="00D66960">
      <w:r>
        <w:t xml:space="preserve">When administered in fasted state, bioequivalence was achieved for dolutegravir, when comparing the DOVATO tablet to dolutegravir 50 mg co-administered with lamivudine 300 mg, for AUC and </w:t>
      </w:r>
      <w:proofErr w:type="spellStart"/>
      <w:r>
        <w:t>C</w:t>
      </w:r>
      <w:r w:rsidRPr="00D66960">
        <w:rPr>
          <w:vertAlign w:val="subscript"/>
        </w:rPr>
        <w:t>max</w:t>
      </w:r>
      <w:proofErr w:type="spellEnd"/>
      <w:r>
        <w:t xml:space="preserve">. </w:t>
      </w:r>
    </w:p>
    <w:p w14:paraId="2DA714B1" w14:textId="75BEC736" w:rsidR="003D316B" w:rsidRPr="00AF2C08" w:rsidRDefault="00D66960" w:rsidP="00D66960">
      <w:r>
        <w:t xml:space="preserve">When administered in fasted state, bioequivalence was achieved for lamivudine AUC, when comparing the DOVATO tablet to lamivudine 300 mg co-administered with dolutegravir 50 mg. Lamivudine </w:t>
      </w:r>
      <w:proofErr w:type="spellStart"/>
      <w:r>
        <w:t>C</w:t>
      </w:r>
      <w:r w:rsidRPr="00D66960">
        <w:rPr>
          <w:vertAlign w:val="subscript"/>
        </w:rPr>
        <w:t>max</w:t>
      </w:r>
      <w:proofErr w:type="spellEnd"/>
      <w:r>
        <w:t xml:space="preserve"> for the DOVATO tablet was 32% higher than lamivudine 300 mg co-administered with dolutegravir 50 mg. The higher lamivudine </w:t>
      </w:r>
      <w:proofErr w:type="spellStart"/>
      <w:r>
        <w:t>C</w:t>
      </w:r>
      <w:r w:rsidRPr="00D66960">
        <w:rPr>
          <w:vertAlign w:val="subscript"/>
        </w:rPr>
        <w:t>max</w:t>
      </w:r>
      <w:proofErr w:type="spellEnd"/>
      <w:r>
        <w:t>, which reflects differences in the rate of absorption but not extent of absorption, does not significantly affect patient safety or antiviral efficacy based on historical clinical efficacy and safety data at higher lamivudine doses/exposures</w:t>
      </w:r>
      <w:r w:rsidR="004A09A2" w:rsidRPr="00AF2C08">
        <w:t>.</w:t>
      </w:r>
    </w:p>
    <w:p w14:paraId="7DD19E71" w14:textId="77777777" w:rsidR="003D316B" w:rsidRPr="0075725E" w:rsidRDefault="004A09A2" w:rsidP="00192B58">
      <w:pPr>
        <w:pStyle w:val="Heading3"/>
      </w:pPr>
      <w:r w:rsidRPr="0075725E">
        <w:t>Absorption</w:t>
      </w:r>
    </w:p>
    <w:p w14:paraId="7F90A5BC" w14:textId="51DC6CA1" w:rsidR="00C16696" w:rsidRDefault="00C16696" w:rsidP="00C16696">
      <w:pPr>
        <w:spacing w:after="0"/>
      </w:pPr>
      <w:r>
        <w:t>Dolutegravir and lamivudine are rapidly absorbed following oral administration. The absolute bioavailability of dolutegravir has not been established. The absolute bioavailability of oral lamivudine in adults is 80 to 85%. For DOVATO, the median time to maximal plasma concentrations (</w:t>
      </w:r>
      <w:proofErr w:type="spellStart"/>
      <w:r>
        <w:t>t</w:t>
      </w:r>
      <w:r w:rsidRPr="00C16696">
        <w:rPr>
          <w:vertAlign w:val="subscript"/>
        </w:rPr>
        <w:t>max</w:t>
      </w:r>
      <w:proofErr w:type="spellEnd"/>
      <w:r>
        <w:t>) is 2.5 hours for dolutegravir and 1.0 hour for lamivudine, when dosed under fasted conditions.</w:t>
      </w:r>
    </w:p>
    <w:p w14:paraId="53919199" w14:textId="6B877D62" w:rsidR="0051006F" w:rsidRPr="00C16696" w:rsidRDefault="00C16696" w:rsidP="00C16696">
      <w:pPr>
        <w:spacing w:before="200" w:after="0"/>
        <w:rPr>
          <w:i/>
          <w:iCs/>
          <w:vanish/>
          <w:u w:val="single"/>
          <w:specVanish/>
        </w:rPr>
      </w:pPr>
      <w:r>
        <w:t xml:space="preserve">Following multiple oral doses of dolutegravir 50 mg once daily, the geometric mean steady state pharmacokinetic parameter estimates are 53.6 </w:t>
      </w:r>
      <w:proofErr w:type="spellStart"/>
      <w:r>
        <w:t>micrograms.h</w:t>
      </w:r>
      <w:proofErr w:type="spellEnd"/>
      <w:r>
        <w:t>/mL for AUC</w:t>
      </w:r>
      <w:r w:rsidRPr="00C16696">
        <w:rPr>
          <w:vertAlign w:val="subscript"/>
        </w:rPr>
        <w:t>24</w:t>
      </w:r>
      <w:r>
        <w:t>, 3.67</w:t>
      </w:r>
      <w:r w:rsidRPr="009F60FD">
        <w:rPr>
          <w:lang w:val="en-US"/>
        </w:rPr>
        <w:t> </w:t>
      </w:r>
      <w:r>
        <w:t xml:space="preserve"> micrograms/mL for </w:t>
      </w:r>
      <w:proofErr w:type="spellStart"/>
      <w:r>
        <w:t>C</w:t>
      </w:r>
      <w:r w:rsidRPr="00C16696">
        <w:rPr>
          <w:vertAlign w:val="subscript"/>
        </w:rPr>
        <w:t>max</w:t>
      </w:r>
      <w:proofErr w:type="spellEnd"/>
      <w:r>
        <w:t>, and 1.11 microgram/mL for C</w:t>
      </w:r>
      <w:r w:rsidRPr="00C16696">
        <w:rPr>
          <w:vertAlign w:val="subscript"/>
        </w:rPr>
        <w:t>24</w:t>
      </w:r>
      <w:r>
        <w:t xml:space="preserve">. Following multiple-dose oral administration of lamivudine 300 mg once daily for seven days the mean steady-state </w:t>
      </w:r>
      <w:proofErr w:type="spellStart"/>
      <w:r>
        <w:t>C</w:t>
      </w:r>
      <w:r w:rsidRPr="00C16696">
        <w:rPr>
          <w:vertAlign w:val="subscript"/>
        </w:rPr>
        <w:t>max</w:t>
      </w:r>
      <w:proofErr w:type="spellEnd"/>
      <w:r>
        <w:t xml:space="preserve"> is 2.04 micrograms/mL and the mean AUC</w:t>
      </w:r>
      <w:r w:rsidRPr="00C16696">
        <w:rPr>
          <w:vertAlign w:val="subscript"/>
        </w:rPr>
        <w:t>24</w:t>
      </w:r>
      <w:r>
        <w:t xml:space="preserve"> is 8.87 </w:t>
      </w:r>
      <w:proofErr w:type="spellStart"/>
      <w:r>
        <w:t>micrograms.h</w:t>
      </w:r>
      <w:proofErr w:type="spellEnd"/>
      <w:r>
        <w:t>/</w:t>
      </w:r>
      <w:proofErr w:type="spellStart"/>
      <w:r>
        <w:t>mL.</w:t>
      </w:r>
      <w:proofErr w:type="spellEnd"/>
      <w:r w:rsidR="004A09A2" w:rsidRPr="00AF2C08">
        <w:br/>
      </w:r>
      <w:r w:rsidR="004A09A2" w:rsidRPr="00AF2C08">
        <w:br/>
      </w:r>
      <w:r w:rsidR="00496801" w:rsidRPr="00AF2C08">
        <w:rPr>
          <w:iCs/>
          <w:u w:val="single"/>
        </w:rPr>
        <w:t xml:space="preserve">Effect of </w:t>
      </w:r>
      <w:r w:rsidR="0075725E">
        <w:rPr>
          <w:iCs/>
          <w:u w:val="single"/>
        </w:rPr>
        <w:t>f</w:t>
      </w:r>
      <w:r w:rsidR="0051006F" w:rsidRPr="00AF2C08">
        <w:rPr>
          <w:iCs/>
          <w:u w:val="single"/>
        </w:rPr>
        <w:t>ood</w:t>
      </w:r>
    </w:p>
    <w:p w14:paraId="77F687BD" w14:textId="7057E6BD" w:rsidR="003D316B" w:rsidRPr="00AF2C08" w:rsidRDefault="00C16696" w:rsidP="00C16696">
      <w:r>
        <w:t xml:space="preserve"> </w:t>
      </w:r>
      <w:r w:rsidRPr="00C16696">
        <w:t xml:space="preserve">Administration of </w:t>
      </w:r>
      <w:r>
        <w:t>DOVATO</w:t>
      </w:r>
      <w:r w:rsidRPr="00C16696">
        <w:t xml:space="preserve"> with a high fat meal increased </w:t>
      </w:r>
      <w:proofErr w:type="spellStart"/>
      <w:r w:rsidRPr="00C16696">
        <w:t>dolutegravir</w:t>
      </w:r>
      <w:proofErr w:type="spellEnd"/>
      <w:r w:rsidRPr="00C16696">
        <w:t xml:space="preserve"> AUC and </w:t>
      </w:r>
      <w:proofErr w:type="spellStart"/>
      <w:r w:rsidRPr="00C16696">
        <w:t>C</w:t>
      </w:r>
      <w:r w:rsidRPr="00C16696">
        <w:rPr>
          <w:vertAlign w:val="subscript"/>
        </w:rPr>
        <w:t>max</w:t>
      </w:r>
      <w:proofErr w:type="spellEnd"/>
      <w:r>
        <w:t xml:space="preserve"> by </w:t>
      </w:r>
      <w:r w:rsidRPr="00C16696">
        <w:t xml:space="preserve">33% and 21%, respectively, and decreased the lamivudine </w:t>
      </w:r>
      <w:proofErr w:type="spellStart"/>
      <w:r w:rsidRPr="00C16696">
        <w:t>C</w:t>
      </w:r>
      <w:r w:rsidRPr="00C16696">
        <w:rPr>
          <w:vertAlign w:val="subscript"/>
        </w:rPr>
        <w:t>max</w:t>
      </w:r>
      <w:proofErr w:type="spellEnd"/>
      <w:r w:rsidRPr="00C16696">
        <w:t xml:space="preserve"> by 30% compared to fasted conditions. The lamivudine AUC was not affected by a high fat meal. These changes are not clinically significant. </w:t>
      </w:r>
      <w:r>
        <w:t>DOVATO</w:t>
      </w:r>
      <w:r w:rsidRPr="00C16696">
        <w:t xml:space="preserve"> may be administered with or without food.</w:t>
      </w:r>
    </w:p>
    <w:p w14:paraId="47C242F7" w14:textId="77777777" w:rsidR="003D316B" w:rsidRPr="00AF2C08" w:rsidRDefault="004A09A2" w:rsidP="00192B58">
      <w:pPr>
        <w:pStyle w:val="Heading3"/>
      </w:pPr>
      <w:r w:rsidRPr="00AF2C08">
        <w:t>Distribution</w:t>
      </w:r>
    </w:p>
    <w:p w14:paraId="05EBB948" w14:textId="77777777" w:rsidR="007E7891" w:rsidRDefault="007E7891" w:rsidP="00192B58">
      <w:r w:rsidRPr="007E7891">
        <w:t xml:space="preserve">The apparent volume of distribution of dolutegravir (following oral administration of suspension formulation, </w:t>
      </w:r>
      <w:proofErr w:type="spellStart"/>
      <w:r w:rsidRPr="007E7891">
        <w:t>Vd</w:t>
      </w:r>
      <w:proofErr w:type="spellEnd"/>
      <w:r w:rsidRPr="007E7891">
        <w:t>/F) is estimated at 12.5 L. Intravenous studies with lamivudine showed that the mean apparent volume of distribution is 1.3 L/kg.</w:t>
      </w:r>
    </w:p>
    <w:p w14:paraId="028FC764" w14:textId="1BCCA1DC" w:rsidR="007A6635" w:rsidRPr="00AF2C08" w:rsidRDefault="004A09A2" w:rsidP="00192B58">
      <w:r w:rsidRPr="00AF2C08">
        <w:lastRenderedPageBreak/>
        <w:t xml:space="preserve">Dolutegravir is highly bound (approximately 99.3%) to human plasma proteins based on </w:t>
      </w:r>
      <w:r w:rsidRPr="00AF2C08">
        <w:rPr>
          <w:i/>
          <w:iCs/>
        </w:rPr>
        <w:t>in vitro</w:t>
      </w:r>
      <w:r w:rsidRPr="00AF2C08">
        <w:t xml:space="preserve"> data. Binding of dolutegravir to plasma proteins was independent of concentration. Total blood and plasma drug-related radioactivity concentration ratios averaged between 0.441 to 0.535, indicating minimal association of radioactivity with blood cellular components. Free fraction of dolutegravir in plasma is estimated at approximately 0.2 to 1.1% in healthy subjects, approximately 0.4 to 0.5% in subjects with moderate hepatic impairment, and 0.8 to 1.0% in subjects with severe renal impairment and 0.</w:t>
      </w:r>
      <w:r w:rsidR="007A6635" w:rsidRPr="00AF2C08">
        <w:t>5% in HIV-1 infected patients.</w:t>
      </w:r>
      <w:r w:rsidR="007E7891" w:rsidRPr="007E7891">
        <w:t xml:space="preserve"> Lamivudine exhibits linear pharmacokinetics over the therapeutic dose range and displays low plasma protein binding (less than 36%).</w:t>
      </w:r>
    </w:p>
    <w:p w14:paraId="60E0E9A5" w14:textId="2FBEA11F" w:rsidR="007A6635" w:rsidRPr="00AF2C08" w:rsidRDefault="007E7891" w:rsidP="00192B58">
      <w:r w:rsidRPr="007E7891">
        <w:t xml:space="preserve">Dolutegravir and lamivudine are present in cerebrospinal fluid (CSF). </w:t>
      </w:r>
      <w:r w:rsidR="004A09A2" w:rsidRPr="00AF2C08">
        <w:t xml:space="preserve">In 12 treatment-naïve subjects receiving a regimen of dolutegravir plus abacavir/lamivudine for 16 weeks, dolutegravir concentration in CSF averaged 16.2 </w:t>
      </w:r>
      <w:r w:rsidR="00E55733">
        <w:t>ng</w:t>
      </w:r>
      <w:r w:rsidR="004A09A2" w:rsidRPr="00AF2C08">
        <w:t xml:space="preserve">/mL at Week 2 and 12.6 </w:t>
      </w:r>
      <w:r w:rsidR="00E55733">
        <w:t>ng</w:t>
      </w:r>
      <w:r w:rsidR="004A09A2" w:rsidRPr="00AF2C08">
        <w:t xml:space="preserve">/mL at Week 16, ranging from 3.7 to 23.2 </w:t>
      </w:r>
      <w:r w:rsidR="00E55733">
        <w:t>ng</w:t>
      </w:r>
      <w:r w:rsidR="004A09A2" w:rsidRPr="00AF2C08">
        <w:t xml:space="preserve">/mL (comparable to unbound plasma concentration). </w:t>
      </w:r>
      <w:proofErr w:type="spellStart"/>
      <w:r w:rsidR="004A09A2" w:rsidRPr="00AF2C08">
        <w:t>CSF:plasma</w:t>
      </w:r>
      <w:proofErr w:type="spellEnd"/>
      <w:r w:rsidR="004A09A2" w:rsidRPr="00AF2C08">
        <w:t xml:space="preserve"> concentration ratio of dolutegravir ranged from 0.11 to 2.04%. Dolutegravir concentrations in CSF exceeded the IC</w:t>
      </w:r>
      <w:r w:rsidR="004A09A2" w:rsidRPr="00AF2C08">
        <w:rPr>
          <w:vertAlign w:val="subscript"/>
        </w:rPr>
        <w:t>50</w:t>
      </w:r>
      <w:r>
        <w:t>,</w:t>
      </w:r>
      <w:r w:rsidR="004A09A2" w:rsidRPr="00AF2C08">
        <w:t xml:space="preserve"> supporting the median reduction from baseline in CSF HIV-1 RNA of 2.2 log after 2 weeks and 3.4</w:t>
      </w:r>
      <w:r w:rsidR="007A6635" w:rsidRPr="00AF2C08">
        <w:t xml:space="preserve"> log after 16 weeks of therapy</w:t>
      </w:r>
      <w:r>
        <w:t xml:space="preserve"> (see Section 5.1 PHARMACODYNAMIC PROPERTIES)</w:t>
      </w:r>
      <w:r w:rsidR="007A6635" w:rsidRPr="00AF2C08">
        <w:t>.</w:t>
      </w:r>
      <w:r w:rsidR="00D64DCF">
        <w:t xml:space="preserve"> </w:t>
      </w:r>
      <w:r w:rsidR="00D64DCF" w:rsidRPr="00D64DCF">
        <w:t>The mean ratio of CSF/serum lamivudine concentrations 2 to 4 h after oral administration was approximately 12%. The true extent of CNS penetration of lamivudine and its relationship with any clinical efficacy is unknown.</w:t>
      </w:r>
    </w:p>
    <w:p w14:paraId="2F704021" w14:textId="77777777" w:rsidR="007A6635" w:rsidRPr="00AF2C08" w:rsidRDefault="004A09A2" w:rsidP="00192B58">
      <w:r w:rsidRPr="00AF2C08">
        <w:t>Dolutegravir is present in the female and male genital tract. AUC in cervicovaginal fluid, cervical tissue, and vaginal tissue were 6 to 10% of that in corresponding plasma at steady-state. AUC was 7% in semen and 17% in rectal tissue, of those in corresp</w:t>
      </w:r>
      <w:r w:rsidR="007A6635" w:rsidRPr="00AF2C08">
        <w:t>onding plasma at steady-state.</w:t>
      </w:r>
    </w:p>
    <w:p w14:paraId="6E7BCB7C" w14:textId="77777777" w:rsidR="003D316B" w:rsidRPr="00AF2C08" w:rsidRDefault="004A09A2" w:rsidP="00192B58">
      <w:pPr>
        <w:pStyle w:val="Heading3"/>
      </w:pPr>
      <w:r w:rsidRPr="00AF2C08">
        <w:t>Metabolism</w:t>
      </w:r>
    </w:p>
    <w:p w14:paraId="2FFB1C3C" w14:textId="77777777" w:rsidR="00FB7B6C" w:rsidRPr="00FB7B6C" w:rsidRDefault="00FB7B6C" w:rsidP="00671073">
      <w:r w:rsidRPr="00FB7B6C">
        <w:t xml:space="preserve">Dolutegravir is primarily metabolized via UGT1A1 with a minor CYP3A component (9.7% of total dose administered in a human mass balance study). Dolutegravir is the predominant circulating compound in plasma; renal elimination of unchanged drug is low (&lt;1% of the dose).  Fifty-three percent of total oral dose is excreted unchanged in the faeces. It is unknown if all or part of this is due to unabsorbed drug or biliary excretion of the </w:t>
      </w:r>
      <w:proofErr w:type="spellStart"/>
      <w:r w:rsidRPr="00FB7B6C">
        <w:t>glucuronidate</w:t>
      </w:r>
      <w:proofErr w:type="spellEnd"/>
      <w:r w:rsidRPr="00FB7B6C">
        <w:t xml:space="preserve"> conjugate, which can be further degraded to form the parent compound in the gut lumen.  Thirty-one percent of the total oral dose is excreted in the urine, represented by ether glucuronide of dolutegravir (18.9% of total dose), N-dealkylation metabolite (3.6% of total dose), and a metabolite formed by oxidation at the benzylic carbon (3.0% of total dose).</w:t>
      </w:r>
    </w:p>
    <w:p w14:paraId="428BD4AB" w14:textId="77777777" w:rsidR="00FB7B6C" w:rsidRDefault="00FB7B6C" w:rsidP="00671073">
      <w:r w:rsidRPr="00FB7B6C">
        <w:t>Metabolism of lamivudine is a minor route of elimination. Lamivudine is predominately cleared unchanged by renal excretion. The likelihood of metabolic interactions with lamivudine is low due to the small extent of hepatic metabolism (less than 10%).</w:t>
      </w:r>
    </w:p>
    <w:p w14:paraId="3E161050" w14:textId="594EE3F3" w:rsidR="003D316B" w:rsidRPr="00AF2C08" w:rsidRDefault="004A09A2" w:rsidP="00FB7B6C">
      <w:pPr>
        <w:pStyle w:val="Heading3"/>
      </w:pPr>
      <w:r w:rsidRPr="00AF2C08">
        <w:t>Excretion</w:t>
      </w:r>
    </w:p>
    <w:p w14:paraId="1E15A6D5" w14:textId="1596213D" w:rsidR="003D316B" w:rsidRDefault="004A09A2" w:rsidP="00FB7B6C">
      <w:r w:rsidRPr="00AF2C08">
        <w:t xml:space="preserve">Dolutegravir has a terminal half-life of ~14 hours and an apparent clearance (CL/F) of 0.56 L/hr. </w:t>
      </w:r>
    </w:p>
    <w:p w14:paraId="3B85DD1A" w14:textId="5080C799" w:rsidR="00FB7B6C" w:rsidRPr="00AF2C08" w:rsidRDefault="00FB7B6C" w:rsidP="00FB7B6C">
      <w:r w:rsidRPr="00FB7B6C">
        <w:t xml:space="preserve">The observed half-life of elimination for lamivudine is 18 to 19 hours. For patients receiving lamivudine 300 mg once daily, the terminal intracellular half-life of lamivudine-TP was 16 to 19 hours. The mean systemic clearance of lamivudine is approximately 0.32 L/h/kg, </w:t>
      </w:r>
      <w:r w:rsidRPr="00FB7B6C">
        <w:lastRenderedPageBreak/>
        <w:t>predominantly by renal clearance (greater than 70%) via the organic cationic transport system.</w:t>
      </w:r>
    </w:p>
    <w:p w14:paraId="3FADF027" w14:textId="77777777" w:rsidR="003D316B" w:rsidRPr="00AF2C08" w:rsidRDefault="004A09A2" w:rsidP="00AF2C08">
      <w:pPr>
        <w:pStyle w:val="Heading3"/>
      </w:pPr>
      <w:r w:rsidRPr="00AF2C08">
        <w:t>Special patient populations</w:t>
      </w:r>
    </w:p>
    <w:p w14:paraId="0EE2D98B" w14:textId="77777777" w:rsidR="007A6635" w:rsidRPr="00AF2C08" w:rsidRDefault="007A6635" w:rsidP="00AF2C08">
      <w:pPr>
        <w:spacing w:before="200" w:after="0"/>
        <w:rPr>
          <w:b/>
          <w:i/>
          <w:iCs/>
        </w:rPr>
      </w:pPr>
      <w:r w:rsidRPr="00AF2C08">
        <w:rPr>
          <w:b/>
          <w:i/>
          <w:iCs/>
        </w:rPr>
        <w:t>Paediatric population</w:t>
      </w:r>
    </w:p>
    <w:p w14:paraId="2FC06703" w14:textId="654E346B" w:rsidR="00AF2C08" w:rsidRPr="00AF2C08" w:rsidRDefault="004223CA" w:rsidP="00AF2C08">
      <w:r>
        <w:t>DOVATO</w:t>
      </w:r>
      <w:r w:rsidR="004A09A2" w:rsidRPr="00AF2C08">
        <w:t xml:space="preserve"> has not been studied in the paediatr</w:t>
      </w:r>
      <w:r w:rsidR="00AF2C08" w:rsidRPr="00AF2C08">
        <w:t>ic population.</w:t>
      </w:r>
    </w:p>
    <w:p w14:paraId="6D1F336D" w14:textId="6EBF66C3" w:rsidR="00192C18" w:rsidRDefault="00FB7B6C" w:rsidP="00FB7B6C">
      <w:r w:rsidRPr="00FB7B6C">
        <w:t>In a paediatric study including 23 antiretroviral treatment-experienced HIV-1 infected adolescents aged 12 to 18 years of age, the pharmacokinetics of dolutegravir was evaluated in 10 adolescents and showed that dolutegravir 50 mg once daily dosage resulted in dolutegravir exposure in paediatric subjects comparable to that observed in adults who received dolute</w:t>
      </w:r>
      <w:r>
        <w:t>gravi</w:t>
      </w:r>
      <w:r w:rsidR="004226A0">
        <w:t xml:space="preserve">r 50 mg once daily (Table </w:t>
      </w:r>
      <w:r w:rsidR="002F0E7F">
        <w:t>9</w:t>
      </w:r>
      <w:r w:rsidRPr="00FB7B6C">
        <w:t>).</w:t>
      </w:r>
    </w:p>
    <w:p w14:paraId="45F7C373" w14:textId="3FD63463" w:rsidR="00FB7B6C" w:rsidRPr="00FB7B6C" w:rsidRDefault="004226A0" w:rsidP="00FB7B6C">
      <w:pPr>
        <w:pStyle w:val="captiontable"/>
      </w:pPr>
      <w:r>
        <w:t xml:space="preserve">Table </w:t>
      </w:r>
      <w:r w:rsidR="002F0E7F">
        <w:t>9</w:t>
      </w:r>
      <w:r w:rsidR="009260AC">
        <w:t>:</w:t>
      </w:r>
      <w:r w:rsidR="00FB7B6C">
        <w:tab/>
      </w:r>
      <w:r w:rsidR="00FB7B6C" w:rsidRPr="00FB7B6C">
        <w:t>Paediatric pharmacokinetic parameters (n=10)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996"/>
        <w:gridCol w:w="1701"/>
        <w:gridCol w:w="1605"/>
        <w:gridCol w:w="1605"/>
      </w:tblGrid>
      <w:tr w:rsidR="00FB7B6C" w:rsidRPr="00197795" w14:paraId="22218417" w14:textId="77777777" w:rsidTr="00E0041F">
        <w:tc>
          <w:tcPr>
            <w:tcW w:w="1952" w:type="dxa"/>
            <w:vMerge w:val="restart"/>
          </w:tcPr>
          <w:p w14:paraId="4D11F741" w14:textId="77777777" w:rsidR="00FB7B6C" w:rsidRPr="00197795" w:rsidRDefault="00FB7B6C" w:rsidP="00FB7B6C">
            <w:pPr>
              <w:keepNext/>
              <w:spacing w:line="240" w:lineRule="auto"/>
              <w:rPr>
                <w:rFonts w:ascii="Arial Narrow" w:eastAsia="MS Mincho" w:hAnsi="Arial Narrow"/>
                <w:b/>
                <w:sz w:val="20"/>
                <w:szCs w:val="20"/>
              </w:rPr>
            </w:pPr>
            <w:r w:rsidRPr="00197795">
              <w:rPr>
                <w:rFonts w:ascii="Arial Narrow" w:eastAsia="MS Mincho" w:hAnsi="Arial Narrow"/>
                <w:b/>
                <w:sz w:val="20"/>
                <w:szCs w:val="20"/>
              </w:rPr>
              <w:t>Age/weight</w:t>
            </w:r>
          </w:p>
        </w:tc>
        <w:tc>
          <w:tcPr>
            <w:tcW w:w="1996" w:type="dxa"/>
            <w:vMerge w:val="restart"/>
          </w:tcPr>
          <w:p w14:paraId="454768B5" w14:textId="77777777" w:rsidR="00FB7B6C" w:rsidRPr="00197795" w:rsidRDefault="00FB7B6C" w:rsidP="00FB7B6C">
            <w:pPr>
              <w:keepNext/>
              <w:spacing w:line="240" w:lineRule="auto"/>
              <w:jc w:val="center"/>
              <w:rPr>
                <w:rFonts w:ascii="Arial Narrow" w:eastAsia="MS Mincho" w:hAnsi="Arial Narrow"/>
                <w:b/>
                <w:sz w:val="20"/>
                <w:szCs w:val="20"/>
              </w:rPr>
            </w:pPr>
            <w:r w:rsidRPr="00197795">
              <w:rPr>
                <w:rFonts w:ascii="Arial Narrow" w:eastAsia="MS Mincho" w:hAnsi="Arial Narrow"/>
                <w:b/>
                <w:sz w:val="20"/>
                <w:szCs w:val="20"/>
              </w:rPr>
              <w:t>Dolutegravir</w:t>
            </w:r>
          </w:p>
          <w:p w14:paraId="5F88B767" w14:textId="77777777" w:rsidR="00FB7B6C" w:rsidRPr="00197795" w:rsidRDefault="00FB7B6C" w:rsidP="00FB7B6C">
            <w:pPr>
              <w:keepNext/>
              <w:spacing w:line="240" w:lineRule="auto"/>
              <w:jc w:val="center"/>
              <w:rPr>
                <w:rFonts w:ascii="Arial Narrow" w:eastAsia="MS Mincho" w:hAnsi="Arial Narrow"/>
                <w:b/>
                <w:sz w:val="20"/>
                <w:szCs w:val="20"/>
              </w:rPr>
            </w:pPr>
            <w:r w:rsidRPr="00197795">
              <w:rPr>
                <w:rFonts w:ascii="Arial Narrow" w:eastAsia="MS Mincho" w:hAnsi="Arial Narrow"/>
                <w:b/>
                <w:sz w:val="20"/>
                <w:szCs w:val="20"/>
              </w:rPr>
              <w:t>Dose</w:t>
            </w:r>
          </w:p>
        </w:tc>
        <w:tc>
          <w:tcPr>
            <w:tcW w:w="4911" w:type="dxa"/>
            <w:gridSpan w:val="3"/>
          </w:tcPr>
          <w:p w14:paraId="1AF0C77B" w14:textId="77777777" w:rsidR="00FB7B6C" w:rsidRPr="00197795" w:rsidRDefault="00FB7B6C" w:rsidP="00FB7B6C">
            <w:pPr>
              <w:keepNext/>
              <w:spacing w:line="240" w:lineRule="auto"/>
              <w:jc w:val="center"/>
              <w:rPr>
                <w:rFonts w:ascii="Arial Narrow" w:eastAsia="MS Mincho" w:hAnsi="Arial Narrow"/>
                <w:b/>
                <w:sz w:val="20"/>
                <w:szCs w:val="20"/>
              </w:rPr>
            </w:pPr>
            <w:r w:rsidRPr="00197795">
              <w:rPr>
                <w:rFonts w:ascii="Arial Narrow" w:eastAsia="MS Mincho" w:hAnsi="Arial Narrow"/>
                <w:b/>
                <w:sz w:val="20"/>
                <w:szCs w:val="20"/>
              </w:rPr>
              <w:t>Dolutegravir Pharmacokinetic Parameter Estimates</w:t>
            </w:r>
            <w:r w:rsidRPr="00197795">
              <w:rPr>
                <w:rFonts w:ascii="Arial Narrow" w:eastAsia="MS Mincho" w:hAnsi="Arial Narrow"/>
                <w:b/>
                <w:sz w:val="20"/>
                <w:szCs w:val="20"/>
              </w:rPr>
              <w:br/>
              <w:t>Geometric Mean (CV%)</w:t>
            </w:r>
          </w:p>
        </w:tc>
      </w:tr>
      <w:tr w:rsidR="00FB7B6C" w:rsidRPr="00197795" w14:paraId="2E34C089" w14:textId="77777777" w:rsidTr="00E0041F">
        <w:tc>
          <w:tcPr>
            <w:tcW w:w="1952" w:type="dxa"/>
            <w:vMerge/>
          </w:tcPr>
          <w:p w14:paraId="7AD527FD" w14:textId="77777777" w:rsidR="00FB7B6C" w:rsidRPr="00197795" w:rsidRDefault="00FB7B6C" w:rsidP="00FB7B6C">
            <w:pPr>
              <w:keepNext/>
              <w:spacing w:line="240" w:lineRule="auto"/>
              <w:rPr>
                <w:rFonts w:ascii="Arial Narrow" w:eastAsia="MS Mincho" w:hAnsi="Arial Narrow"/>
                <w:b/>
                <w:sz w:val="20"/>
                <w:szCs w:val="20"/>
              </w:rPr>
            </w:pPr>
          </w:p>
        </w:tc>
        <w:tc>
          <w:tcPr>
            <w:tcW w:w="1996" w:type="dxa"/>
            <w:vMerge/>
          </w:tcPr>
          <w:p w14:paraId="5E6C199B" w14:textId="77777777" w:rsidR="00FB7B6C" w:rsidRPr="00197795" w:rsidRDefault="00FB7B6C" w:rsidP="00FB7B6C">
            <w:pPr>
              <w:keepNext/>
              <w:spacing w:line="240" w:lineRule="auto"/>
              <w:rPr>
                <w:rFonts w:ascii="Arial Narrow" w:eastAsia="MS Mincho" w:hAnsi="Arial Narrow"/>
                <w:b/>
                <w:sz w:val="20"/>
                <w:szCs w:val="20"/>
              </w:rPr>
            </w:pPr>
          </w:p>
        </w:tc>
        <w:tc>
          <w:tcPr>
            <w:tcW w:w="1701" w:type="dxa"/>
          </w:tcPr>
          <w:p w14:paraId="741F4385" w14:textId="77777777" w:rsidR="00FB7B6C" w:rsidRPr="00197795" w:rsidRDefault="00FB7B6C" w:rsidP="00FB7B6C">
            <w:pPr>
              <w:keepNext/>
              <w:spacing w:line="240" w:lineRule="auto"/>
              <w:rPr>
                <w:rFonts w:ascii="Arial Narrow" w:eastAsia="MS Mincho" w:hAnsi="Arial Narrow"/>
                <w:b/>
                <w:sz w:val="20"/>
                <w:szCs w:val="20"/>
              </w:rPr>
            </w:pPr>
            <w:r w:rsidRPr="00197795">
              <w:rPr>
                <w:rFonts w:ascii="Arial Narrow" w:eastAsia="MS Mincho" w:hAnsi="Arial Narrow"/>
                <w:b/>
                <w:sz w:val="20"/>
                <w:szCs w:val="20"/>
              </w:rPr>
              <w:t>AUC</w:t>
            </w:r>
            <w:r w:rsidRPr="00197795">
              <w:rPr>
                <w:rFonts w:ascii="Arial Narrow" w:eastAsia="MS Mincho" w:hAnsi="Arial Narrow"/>
                <w:b/>
                <w:sz w:val="20"/>
                <w:szCs w:val="20"/>
                <w:vertAlign w:val="subscript"/>
              </w:rPr>
              <w:t>(0-24)</w:t>
            </w:r>
            <w:r w:rsidRPr="00197795">
              <w:rPr>
                <w:rFonts w:ascii="Arial Narrow" w:eastAsia="MS Mincho" w:hAnsi="Arial Narrow"/>
                <w:b/>
                <w:sz w:val="20"/>
                <w:szCs w:val="20"/>
              </w:rPr>
              <w:br/>
            </w:r>
            <w:r w:rsidRPr="00197795">
              <w:rPr>
                <w:rFonts w:ascii="Arial Narrow" w:eastAsia="MS Mincho" w:hAnsi="Arial Narrow" w:cs="Cambria"/>
                <w:b/>
                <w:sz w:val="20"/>
                <w:szCs w:val="20"/>
              </w:rPr>
              <w:t>µg</w:t>
            </w:r>
            <w:r w:rsidRPr="00197795">
              <w:rPr>
                <w:rFonts w:ascii="Arial Narrow" w:eastAsia="MS Mincho" w:hAnsi="Arial Narrow"/>
                <w:b/>
                <w:sz w:val="20"/>
                <w:szCs w:val="20"/>
              </w:rPr>
              <w:t>.hr/mL</w:t>
            </w:r>
          </w:p>
        </w:tc>
        <w:tc>
          <w:tcPr>
            <w:tcW w:w="1605" w:type="dxa"/>
          </w:tcPr>
          <w:p w14:paraId="6E6E3AF4" w14:textId="77777777" w:rsidR="00FB7B6C" w:rsidRPr="00197795" w:rsidRDefault="00FB7B6C" w:rsidP="00FB7B6C">
            <w:pPr>
              <w:keepNext/>
              <w:spacing w:line="240" w:lineRule="auto"/>
              <w:rPr>
                <w:rFonts w:ascii="Arial Narrow" w:eastAsia="MS Mincho" w:hAnsi="Arial Narrow"/>
                <w:b/>
                <w:sz w:val="20"/>
                <w:szCs w:val="20"/>
              </w:rPr>
            </w:pPr>
            <w:proofErr w:type="spellStart"/>
            <w:r w:rsidRPr="00197795">
              <w:rPr>
                <w:rFonts w:ascii="Arial Narrow" w:eastAsia="MS Mincho" w:hAnsi="Arial Narrow"/>
                <w:b/>
                <w:sz w:val="20"/>
                <w:szCs w:val="20"/>
              </w:rPr>
              <w:t>C</w:t>
            </w:r>
            <w:r w:rsidRPr="00197795">
              <w:rPr>
                <w:rFonts w:ascii="Arial Narrow" w:eastAsia="MS Mincho" w:hAnsi="Arial Narrow"/>
                <w:b/>
                <w:sz w:val="20"/>
                <w:szCs w:val="20"/>
                <w:vertAlign w:val="subscript"/>
              </w:rPr>
              <w:t>max</w:t>
            </w:r>
            <w:proofErr w:type="spellEnd"/>
            <w:r w:rsidRPr="00197795">
              <w:rPr>
                <w:rFonts w:ascii="Arial Narrow" w:eastAsia="MS Mincho" w:hAnsi="Arial Narrow"/>
                <w:b/>
                <w:sz w:val="20"/>
                <w:szCs w:val="20"/>
              </w:rPr>
              <w:br/>
            </w:r>
            <w:r w:rsidRPr="00197795">
              <w:rPr>
                <w:rFonts w:ascii="Arial Narrow" w:eastAsia="MS Mincho" w:hAnsi="Arial Narrow" w:cs="Cambria"/>
                <w:b/>
                <w:sz w:val="20"/>
                <w:szCs w:val="20"/>
              </w:rPr>
              <w:t>µg</w:t>
            </w:r>
            <w:r w:rsidRPr="00197795">
              <w:rPr>
                <w:rFonts w:ascii="Arial Narrow" w:eastAsia="MS Mincho" w:hAnsi="Arial Narrow"/>
                <w:b/>
                <w:sz w:val="20"/>
                <w:szCs w:val="20"/>
              </w:rPr>
              <w:t>/mL</w:t>
            </w:r>
          </w:p>
        </w:tc>
        <w:tc>
          <w:tcPr>
            <w:tcW w:w="1605" w:type="dxa"/>
          </w:tcPr>
          <w:p w14:paraId="15D88360" w14:textId="77777777" w:rsidR="00FB7B6C" w:rsidRPr="00197795" w:rsidRDefault="00FB7B6C" w:rsidP="00FB7B6C">
            <w:pPr>
              <w:keepNext/>
              <w:spacing w:line="240" w:lineRule="auto"/>
              <w:rPr>
                <w:rFonts w:ascii="Arial Narrow" w:eastAsia="MS Mincho" w:hAnsi="Arial Narrow"/>
                <w:b/>
                <w:sz w:val="20"/>
                <w:szCs w:val="20"/>
              </w:rPr>
            </w:pPr>
            <w:r w:rsidRPr="00197795">
              <w:rPr>
                <w:rFonts w:ascii="Arial Narrow" w:eastAsia="MS Mincho" w:hAnsi="Arial Narrow"/>
                <w:b/>
                <w:sz w:val="20"/>
                <w:szCs w:val="20"/>
              </w:rPr>
              <w:t>C</w:t>
            </w:r>
            <w:r w:rsidRPr="00197795">
              <w:rPr>
                <w:rFonts w:ascii="Arial Narrow" w:eastAsia="MS Mincho" w:hAnsi="Arial Narrow"/>
                <w:b/>
                <w:sz w:val="20"/>
                <w:szCs w:val="20"/>
                <w:vertAlign w:val="subscript"/>
              </w:rPr>
              <w:t>24</w:t>
            </w:r>
            <w:r w:rsidRPr="00197795">
              <w:rPr>
                <w:rFonts w:ascii="Arial Narrow" w:eastAsia="MS Mincho" w:hAnsi="Arial Narrow"/>
                <w:b/>
                <w:sz w:val="20"/>
                <w:szCs w:val="20"/>
              </w:rPr>
              <w:br/>
            </w:r>
            <w:r w:rsidRPr="00197795">
              <w:rPr>
                <w:rFonts w:ascii="Arial Narrow" w:eastAsia="MS Mincho" w:hAnsi="Arial Narrow" w:cs="Cambria"/>
                <w:b/>
                <w:sz w:val="20"/>
                <w:szCs w:val="20"/>
              </w:rPr>
              <w:t>µg</w:t>
            </w:r>
            <w:r w:rsidRPr="00197795">
              <w:rPr>
                <w:rFonts w:ascii="Arial Narrow" w:eastAsia="MS Mincho" w:hAnsi="Arial Narrow"/>
                <w:b/>
                <w:sz w:val="20"/>
                <w:szCs w:val="20"/>
              </w:rPr>
              <w:t>/mL</w:t>
            </w:r>
          </w:p>
        </w:tc>
      </w:tr>
      <w:tr w:rsidR="00FB7B6C" w:rsidRPr="00FB7B6C" w14:paraId="58533DB9" w14:textId="77777777" w:rsidTr="00E0041F">
        <w:tc>
          <w:tcPr>
            <w:tcW w:w="1952" w:type="dxa"/>
          </w:tcPr>
          <w:p w14:paraId="38CB0643" w14:textId="77777777" w:rsidR="00FB7B6C" w:rsidRPr="00FB7B6C" w:rsidRDefault="00FB7B6C" w:rsidP="00FB7B6C">
            <w:pPr>
              <w:keepNext/>
              <w:spacing w:line="240" w:lineRule="auto"/>
              <w:rPr>
                <w:rFonts w:ascii="Arial Narrow" w:eastAsia="MS Mincho" w:hAnsi="Arial Narrow"/>
                <w:sz w:val="20"/>
                <w:szCs w:val="20"/>
              </w:rPr>
            </w:pPr>
            <w:r w:rsidRPr="00FB7B6C">
              <w:rPr>
                <w:rFonts w:ascii="Arial Narrow" w:eastAsia="MS Mincho" w:hAnsi="Arial Narrow"/>
                <w:sz w:val="20"/>
                <w:szCs w:val="20"/>
              </w:rPr>
              <w:t>12 to &lt; 18 years</w:t>
            </w:r>
            <w:r w:rsidRPr="00FB7B6C">
              <w:rPr>
                <w:rFonts w:ascii="Arial Narrow" w:eastAsia="MS Mincho" w:hAnsi="Arial Narrow"/>
                <w:sz w:val="20"/>
                <w:szCs w:val="20"/>
              </w:rPr>
              <w:br/>
            </w:r>
            <w:r w:rsidRPr="00FB7B6C">
              <w:rPr>
                <w:rFonts w:ascii="Arial Narrow" w:eastAsia="MS Mincho" w:hAnsi="Arial Narrow"/>
                <w:sz w:val="20"/>
                <w:szCs w:val="20"/>
              </w:rPr>
              <w:sym w:font="Symbol" w:char="F0B3"/>
            </w:r>
            <w:r w:rsidRPr="00FB7B6C">
              <w:rPr>
                <w:rFonts w:ascii="Arial Narrow" w:eastAsia="MS Mincho" w:hAnsi="Arial Narrow"/>
                <w:sz w:val="20"/>
                <w:szCs w:val="20"/>
              </w:rPr>
              <w:t xml:space="preserve"> 40 kg</w:t>
            </w:r>
            <w:r w:rsidRPr="00FB7B6C">
              <w:rPr>
                <w:rFonts w:ascii="Arial Narrow" w:hAnsi="Arial Narrow"/>
                <w:sz w:val="20"/>
                <w:szCs w:val="20"/>
                <w:vertAlign w:val="superscript"/>
              </w:rPr>
              <w:t xml:space="preserve"> a</w:t>
            </w:r>
          </w:p>
        </w:tc>
        <w:tc>
          <w:tcPr>
            <w:tcW w:w="1996" w:type="dxa"/>
          </w:tcPr>
          <w:p w14:paraId="5FBBFE8C" w14:textId="77777777" w:rsidR="00FB7B6C" w:rsidRPr="00FB7B6C" w:rsidRDefault="00FB7B6C" w:rsidP="00FB7B6C">
            <w:pPr>
              <w:keepNext/>
              <w:spacing w:line="240" w:lineRule="auto"/>
              <w:rPr>
                <w:rFonts w:ascii="Arial Narrow" w:eastAsia="MS Mincho" w:hAnsi="Arial Narrow"/>
                <w:sz w:val="20"/>
                <w:szCs w:val="20"/>
              </w:rPr>
            </w:pPr>
            <w:r w:rsidRPr="00FB7B6C">
              <w:rPr>
                <w:rFonts w:ascii="Arial Narrow" w:eastAsia="MS Mincho" w:hAnsi="Arial Narrow"/>
                <w:sz w:val="20"/>
                <w:szCs w:val="20"/>
              </w:rPr>
              <w:t>50 mg once daily</w:t>
            </w:r>
            <w:r w:rsidRPr="00FB7B6C">
              <w:rPr>
                <w:rFonts w:ascii="Arial Narrow" w:hAnsi="Arial Narrow"/>
                <w:sz w:val="20"/>
                <w:szCs w:val="20"/>
                <w:vertAlign w:val="superscript"/>
              </w:rPr>
              <w:t xml:space="preserve"> a</w:t>
            </w:r>
          </w:p>
        </w:tc>
        <w:tc>
          <w:tcPr>
            <w:tcW w:w="1701" w:type="dxa"/>
          </w:tcPr>
          <w:p w14:paraId="4A212244" w14:textId="77777777" w:rsidR="00FB7B6C" w:rsidRPr="00FB7B6C" w:rsidRDefault="00FB7B6C" w:rsidP="00FB7B6C">
            <w:pPr>
              <w:keepNext/>
              <w:spacing w:line="240" w:lineRule="auto"/>
              <w:rPr>
                <w:rFonts w:ascii="Arial Narrow" w:eastAsia="MS Mincho" w:hAnsi="Arial Narrow"/>
                <w:sz w:val="20"/>
                <w:szCs w:val="20"/>
              </w:rPr>
            </w:pPr>
            <w:r w:rsidRPr="00FB7B6C">
              <w:rPr>
                <w:rFonts w:ascii="Arial Narrow" w:hAnsi="Arial Narrow"/>
                <w:sz w:val="20"/>
                <w:szCs w:val="20"/>
              </w:rPr>
              <w:t>46 (43)</w:t>
            </w:r>
          </w:p>
        </w:tc>
        <w:tc>
          <w:tcPr>
            <w:tcW w:w="1605" w:type="dxa"/>
          </w:tcPr>
          <w:p w14:paraId="742C69A2" w14:textId="77777777" w:rsidR="00FB7B6C" w:rsidRPr="00FB7B6C" w:rsidRDefault="00FB7B6C" w:rsidP="00FB7B6C">
            <w:pPr>
              <w:keepNext/>
              <w:spacing w:line="240" w:lineRule="auto"/>
              <w:rPr>
                <w:rFonts w:ascii="Arial Narrow" w:eastAsia="MS Mincho" w:hAnsi="Arial Narrow"/>
                <w:sz w:val="20"/>
                <w:szCs w:val="20"/>
              </w:rPr>
            </w:pPr>
            <w:r w:rsidRPr="00FB7B6C">
              <w:rPr>
                <w:rFonts w:ascii="Arial Narrow" w:hAnsi="Arial Narrow"/>
                <w:sz w:val="20"/>
                <w:szCs w:val="20"/>
              </w:rPr>
              <w:t>3.49 (38)</w:t>
            </w:r>
          </w:p>
        </w:tc>
        <w:tc>
          <w:tcPr>
            <w:tcW w:w="1605" w:type="dxa"/>
          </w:tcPr>
          <w:p w14:paraId="66DD715F" w14:textId="77777777" w:rsidR="00FB7B6C" w:rsidRPr="00FB7B6C" w:rsidRDefault="00FB7B6C" w:rsidP="00FB7B6C">
            <w:pPr>
              <w:keepNext/>
              <w:spacing w:line="240" w:lineRule="auto"/>
              <w:rPr>
                <w:rFonts w:ascii="Arial Narrow" w:eastAsia="MS Mincho" w:hAnsi="Arial Narrow"/>
                <w:sz w:val="20"/>
                <w:szCs w:val="20"/>
              </w:rPr>
            </w:pPr>
            <w:r w:rsidRPr="00FB7B6C">
              <w:rPr>
                <w:rFonts w:ascii="Arial Narrow" w:hAnsi="Arial Narrow"/>
                <w:sz w:val="20"/>
                <w:szCs w:val="20"/>
              </w:rPr>
              <w:t>0.90 (59)</w:t>
            </w:r>
          </w:p>
        </w:tc>
      </w:tr>
    </w:tbl>
    <w:p w14:paraId="0C73D7D9" w14:textId="77777777" w:rsidR="00FB7B6C" w:rsidRPr="00FB7B6C" w:rsidRDefault="00FB7B6C" w:rsidP="00FB7B6C">
      <w:pPr>
        <w:tabs>
          <w:tab w:val="left" w:pos="3780"/>
        </w:tabs>
        <w:spacing w:after="120" w:line="240" w:lineRule="atLeast"/>
        <w:jc w:val="both"/>
        <w:rPr>
          <w:rFonts w:ascii="Arial Narrow" w:eastAsia="Times New Roman" w:hAnsi="Arial Narrow"/>
          <w:sz w:val="20"/>
          <w:szCs w:val="20"/>
          <w:lang w:val="en-GB" w:eastAsia="en-GB"/>
        </w:rPr>
      </w:pPr>
      <w:r w:rsidRPr="00FB7B6C">
        <w:rPr>
          <w:rFonts w:ascii="Arial Narrow" w:eastAsia="Times New Roman" w:hAnsi="Arial Narrow"/>
          <w:b/>
          <w:sz w:val="20"/>
          <w:szCs w:val="20"/>
          <w:vertAlign w:val="superscript"/>
          <w:lang w:val="en-GB" w:eastAsia="en-GB"/>
        </w:rPr>
        <w:t xml:space="preserve">a </w:t>
      </w:r>
      <w:r w:rsidRPr="00FB7B6C">
        <w:rPr>
          <w:rFonts w:ascii="Arial Narrow" w:eastAsia="Times New Roman" w:hAnsi="Arial Narrow"/>
          <w:sz w:val="20"/>
          <w:szCs w:val="20"/>
          <w:lang w:val="en-GB" w:eastAsia="en-GB"/>
        </w:rPr>
        <w:t>One patient weighing 37 kg received 35 mg once daily.</w:t>
      </w:r>
    </w:p>
    <w:p w14:paraId="13AC06DA" w14:textId="05DF3170" w:rsidR="00192C18" w:rsidRDefault="00FB7B6C" w:rsidP="00FB7B6C">
      <w:pPr>
        <w:spacing w:before="200" w:after="0"/>
        <w:rPr>
          <w:b/>
          <w:i/>
          <w:iCs/>
        </w:rPr>
      </w:pPr>
      <w:r w:rsidRPr="00FB7B6C">
        <w:t>Limited data are available in adolescents receiving a daily dose of 300 mg of lamivudine. Pharmacokinetic parameters are comparable to those reported in adults.</w:t>
      </w:r>
    </w:p>
    <w:p w14:paraId="033CBCCE" w14:textId="445F361E" w:rsidR="00AF2C08" w:rsidRPr="00AF2C08" w:rsidRDefault="00AF2C08" w:rsidP="00AF2C08">
      <w:pPr>
        <w:spacing w:before="200" w:after="0"/>
        <w:rPr>
          <w:b/>
          <w:i/>
          <w:iCs/>
        </w:rPr>
      </w:pPr>
      <w:r w:rsidRPr="00AF2C08">
        <w:rPr>
          <w:b/>
          <w:i/>
          <w:iCs/>
        </w:rPr>
        <w:t>E</w:t>
      </w:r>
      <w:r w:rsidR="0051006F" w:rsidRPr="00AF2C08">
        <w:rPr>
          <w:b/>
          <w:i/>
          <w:iCs/>
        </w:rPr>
        <w:t>lderly</w:t>
      </w:r>
    </w:p>
    <w:p w14:paraId="2536C52F" w14:textId="77777777" w:rsidR="00F94EC0" w:rsidRDefault="004A09A2" w:rsidP="00192B58">
      <w:r w:rsidRPr="00AF2C08">
        <w:t xml:space="preserve">Population pharmacokinetic analysis using data in HIV-1 infected adults showed that there was no clinically relevant effect of age on dolutegravir exposures. </w:t>
      </w:r>
    </w:p>
    <w:p w14:paraId="4C23CEBA" w14:textId="3DB14A63" w:rsidR="00AF2C08" w:rsidRPr="00AF2C08" w:rsidRDefault="004A09A2" w:rsidP="00192B58">
      <w:pPr>
        <w:rPr>
          <w:b/>
          <w:i/>
          <w:iCs/>
        </w:rPr>
      </w:pPr>
      <w:r w:rsidRPr="00AF2C08">
        <w:t>Pharmacokinetic data</w:t>
      </w:r>
      <w:r w:rsidR="00F94EC0">
        <w:t xml:space="preserve"> for dolutegravir and lamivudine</w:t>
      </w:r>
      <w:r w:rsidRPr="00AF2C08">
        <w:t xml:space="preserve"> in subjec</w:t>
      </w:r>
      <w:r w:rsidR="007A6635" w:rsidRPr="00AF2C08">
        <w:t>ts &gt; 65 years old are limited.</w:t>
      </w:r>
    </w:p>
    <w:p w14:paraId="14BE8FA4" w14:textId="77777777" w:rsidR="0051006F" w:rsidRPr="00AF2C08" w:rsidRDefault="0051006F" w:rsidP="00AF2C08">
      <w:pPr>
        <w:spacing w:before="200" w:after="0"/>
        <w:rPr>
          <w:b/>
          <w:i/>
          <w:iCs/>
        </w:rPr>
      </w:pPr>
      <w:r w:rsidRPr="00AF2C08">
        <w:rPr>
          <w:b/>
          <w:i/>
          <w:iCs/>
        </w:rPr>
        <w:t>Renal impairment</w:t>
      </w:r>
    </w:p>
    <w:p w14:paraId="4900ED5D" w14:textId="5ABBBF2E" w:rsidR="00F6488F" w:rsidRDefault="00F6488F" w:rsidP="00F6488F">
      <w:r>
        <w:t xml:space="preserve">Pharmacokinetic data have been obtained for dolutegravir and lamivudine alone. DOVATO should not be used in patients with creatinine clearance of less than 50 mL/min because, whilst no dosage adjustment of dolutegravir is necessary in patients with renal impairment, dose reduction is required for the lamivudine component. </w:t>
      </w:r>
    </w:p>
    <w:p w14:paraId="65BE3060" w14:textId="77777777" w:rsidR="00F6488F" w:rsidRDefault="00F6488F" w:rsidP="00F6488F">
      <w:r>
        <w:t xml:space="preserve">Studies with lamivudine show that plasma concentrations (AUC) are increased in patients with renal dysfunction due to decreased clearance. </w:t>
      </w:r>
    </w:p>
    <w:p w14:paraId="29F06149" w14:textId="73A42C6A" w:rsidR="007A6635" w:rsidRPr="00AF2C08" w:rsidRDefault="004A09A2" w:rsidP="00F6488F">
      <w:r w:rsidRPr="00AF2C08">
        <w:t>Renal clearance of unchanged drug is a minor pathway of elimination for dolutegravir. A study of the pharmacokinetics of dolutegravir was performed in subjects with severe renal impairment (</w:t>
      </w:r>
      <w:proofErr w:type="spellStart"/>
      <w:r w:rsidRPr="00AF2C08">
        <w:t>CrCl</w:t>
      </w:r>
      <w:proofErr w:type="spellEnd"/>
      <w:r w:rsidRPr="00AF2C08">
        <w:t xml:space="preserve"> &lt; 30 mL/min). No clinically important pharmacokinetic differences between subjects with severe renal impairment (</w:t>
      </w:r>
      <w:proofErr w:type="spellStart"/>
      <w:r w:rsidRPr="00AF2C08">
        <w:t>CrCl</w:t>
      </w:r>
      <w:proofErr w:type="spellEnd"/>
      <w:r w:rsidRPr="00AF2C08">
        <w:t xml:space="preserve"> &lt; 30 mL/min) and matching healthy subjects were observed. </w:t>
      </w:r>
    </w:p>
    <w:p w14:paraId="3DA436A6" w14:textId="77777777" w:rsidR="007A6635" w:rsidRPr="00AF2C08" w:rsidRDefault="0051006F" w:rsidP="00FB7D66">
      <w:pPr>
        <w:keepNext/>
        <w:spacing w:before="200" w:after="0"/>
        <w:rPr>
          <w:b/>
          <w:i/>
          <w:iCs/>
        </w:rPr>
      </w:pPr>
      <w:r w:rsidRPr="00AF2C08">
        <w:rPr>
          <w:b/>
          <w:i/>
          <w:iCs/>
        </w:rPr>
        <w:lastRenderedPageBreak/>
        <w:t>Hepatic impairment</w:t>
      </w:r>
    </w:p>
    <w:p w14:paraId="10C5CCE0" w14:textId="77777777" w:rsidR="00F6488F" w:rsidRDefault="00F6488F" w:rsidP="00FB7D66">
      <w:pPr>
        <w:keepNext/>
      </w:pPr>
      <w:r>
        <w:t xml:space="preserve">Pharmacokinetic data has been obtained for dolutegravir and lamivudine individually. </w:t>
      </w:r>
    </w:p>
    <w:p w14:paraId="1256F7ED" w14:textId="77777777" w:rsidR="00F6488F" w:rsidRDefault="00F6488F" w:rsidP="00F6488F">
      <w:r>
        <w:t xml:space="preserve">Data obtained for lamivudine in patients with moderate to severe hepatic impairment and for dolutegravir in patients with moderate hepatic impairment show that the pharmacokinetics are not significantly affected by hepatic dysfunction. </w:t>
      </w:r>
    </w:p>
    <w:p w14:paraId="4287C4C4" w14:textId="17A48306" w:rsidR="00F6488F" w:rsidRDefault="00F6488F" w:rsidP="00F6488F">
      <w:r>
        <w:t>Dolutegravir is primarily metaboli</w:t>
      </w:r>
      <w:r w:rsidR="009260AC">
        <w:t>s</w:t>
      </w:r>
      <w:r>
        <w:t xml:space="preserve">ed and eliminated by the liver. In a study comparing 8 subjects with moderate hepatic impairment (Child-Pugh category B) to 8 matched healthy adult controls, the single 50 mg dose exposure of dolutegravir was similar between the two groups. The effect of severe hepatic </w:t>
      </w:r>
      <w:r w:rsidR="00D77CEE" w:rsidRPr="00D77CEE">
        <w:t xml:space="preserve">impairment (Child-Pugh score C) on </w:t>
      </w:r>
      <w:r>
        <w:t>the pharmacokinetics of dolutegravir has not been studied</w:t>
      </w:r>
      <w:r w:rsidR="00E0041F">
        <w:t>.</w:t>
      </w:r>
    </w:p>
    <w:p w14:paraId="2BA64C55" w14:textId="77777777" w:rsidR="0051006F" w:rsidRPr="00AF2C08" w:rsidRDefault="002E386C" w:rsidP="00AF2C08">
      <w:pPr>
        <w:spacing w:before="200" w:after="0"/>
        <w:rPr>
          <w:b/>
          <w:i/>
          <w:iCs/>
        </w:rPr>
      </w:pPr>
      <w:r w:rsidRPr="00AF2C08">
        <w:rPr>
          <w:b/>
          <w:i/>
          <w:iCs/>
        </w:rPr>
        <w:t xml:space="preserve">Polymorphisms in </w:t>
      </w:r>
      <w:r w:rsidR="0075725E">
        <w:rPr>
          <w:b/>
          <w:i/>
          <w:iCs/>
        </w:rPr>
        <w:t>d</w:t>
      </w:r>
      <w:r w:rsidRPr="00AF2C08">
        <w:rPr>
          <w:b/>
          <w:i/>
          <w:iCs/>
        </w:rPr>
        <w:t xml:space="preserve">rug </w:t>
      </w:r>
      <w:r w:rsidR="0075725E">
        <w:rPr>
          <w:b/>
          <w:i/>
          <w:iCs/>
        </w:rPr>
        <w:t>m</w:t>
      </w:r>
      <w:r w:rsidR="004A09A2" w:rsidRPr="00AF2C08">
        <w:rPr>
          <w:b/>
          <w:i/>
          <w:iCs/>
        </w:rPr>
        <w:t>e</w:t>
      </w:r>
      <w:r w:rsidRPr="00AF2C08">
        <w:rPr>
          <w:b/>
          <w:i/>
          <w:iCs/>
        </w:rPr>
        <w:t xml:space="preserve">tabolising </w:t>
      </w:r>
      <w:r w:rsidR="0075725E">
        <w:rPr>
          <w:b/>
          <w:i/>
          <w:iCs/>
        </w:rPr>
        <w:t>e</w:t>
      </w:r>
      <w:r w:rsidR="0051006F" w:rsidRPr="00AF2C08">
        <w:rPr>
          <w:b/>
          <w:i/>
          <w:iCs/>
        </w:rPr>
        <w:t>nzymes</w:t>
      </w:r>
    </w:p>
    <w:p w14:paraId="25CB1FB0" w14:textId="1D43347B" w:rsidR="007A6635" w:rsidRPr="00AF2C08" w:rsidRDefault="004A09A2" w:rsidP="00192B58">
      <w:r w:rsidRPr="00AF2C08">
        <w:t xml:space="preserve">There is no evidence that common polymorphisms in drug metabolising enzymes alter dolutegravir pharmacokinetics to a clinically meaningful extent. In a meta-analysis using pharmacogenomics samples collected in clinical </w:t>
      </w:r>
      <w:r w:rsidR="003666B4">
        <w:t>trials</w:t>
      </w:r>
      <w:r w:rsidR="003666B4" w:rsidRPr="00AF2C08">
        <w:t xml:space="preserve"> </w:t>
      </w:r>
      <w:r w:rsidRPr="00AF2C08">
        <w:t>in healthy subjects, subjects with UGT1A1 (n=7) genotypes conferring poor dolutegravir metabolism had a 32% lower clearance of dolutegravir and 46% higher AUC compared with subjects with genotypes associated with normal metabolism via UGT1A1 (n=41). Polymorphisms in CYP3A4, CYP3A5, and NR1I2 were not associated with differences in the pha</w:t>
      </w:r>
      <w:r w:rsidR="007A6635" w:rsidRPr="00AF2C08">
        <w:t>rmacokinetics of dolutegravir.</w:t>
      </w:r>
    </w:p>
    <w:p w14:paraId="7C8B6F5C" w14:textId="77777777" w:rsidR="007A6635" w:rsidRPr="00AF2C08" w:rsidRDefault="007A6635" w:rsidP="00AF2C08">
      <w:pPr>
        <w:spacing w:before="200" w:after="0"/>
        <w:rPr>
          <w:b/>
          <w:i/>
          <w:iCs/>
        </w:rPr>
      </w:pPr>
      <w:r w:rsidRPr="00AF2C08">
        <w:rPr>
          <w:b/>
          <w:i/>
          <w:iCs/>
        </w:rPr>
        <w:t>Gender</w:t>
      </w:r>
    </w:p>
    <w:p w14:paraId="4AF35CEA" w14:textId="77777777" w:rsidR="0018510B" w:rsidRPr="0018510B" w:rsidRDefault="0018510B" w:rsidP="0018510B">
      <w:r w:rsidRPr="0018510B">
        <w:t>The dolutegravir exposure in healthy subjects appears to be slightly higher (~20%) in women than men based on data obtained in a healthy subject study (males n=17, females n=24). Population pharmacokinetic analyses using pooled pharmacokinetic data from Phase IIb and Phase III adult trials revealed no clinically relevant effect of gender on the exposure of dolutegravir.</w:t>
      </w:r>
    </w:p>
    <w:p w14:paraId="7AB565C3" w14:textId="7DE0C907" w:rsidR="007A6635" w:rsidRPr="00AF2C08" w:rsidRDefault="004A09A2" w:rsidP="00192B58">
      <w:r w:rsidRPr="00AF2C08">
        <w:t xml:space="preserve">No clinically relevant differences in the pharmacokinetics of </w:t>
      </w:r>
      <w:r w:rsidR="00E0041F">
        <w:t>lamivudine</w:t>
      </w:r>
      <w:r w:rsidRPr="00AF2C08">
        <w:t xml:space="preserve"> have been ob</w:t>
      </w:r>
      <w:r w:rsidR="007A6635" w:rsidRPr="00AF2C08">
        <w:t>served between men and women.</w:t>
      </w:r>
    </w:p>
    <w:p w14:paraId="1C0DEF11" w14:textId="77777777" w:rsidR="007A6635" w:rsidRPr="00AF2C08" w:rsidRDefault="0051006F" w:rsidP="00AF2C08">
      <w:pPr>
        <w:spacing w:before="200" w:after="0"/>
        <w:rPr>
          <w:b/>
          <w:i/>
          <w:iCs/>
        </w:rPr>
      </w:pPr>
      <w:r w:rsidRPr="00AF2C08">
        <w:rPr>
          <w:b/>
          <w:i/>
          <w:iCs/>
        </w:rPr>
        <w:t>Race</w:t>
      </w:r>
    </w:p>
    <w:p w14:paraId="3B9D2A83" w14:textId="77777777" w:rsidR="00E0041F" w:rsidRDefault="00E0041F" w:rsidP="00192B58">
      <w:r w:rsidRPr="00E0041F">
        <w:t>Population pharmacokinetic analyses using pooled pharmacokinetic data from Phase IIb and Phase III adult trials for dolutegravir revealed no clinically relevant effect of race on the exposure of dolutegravir. The pharmacokinetics of dolutegravir following single dose oral administration to Japanese subjects appear similar to observed parameters in Western (US) subjects.</w:t>
      </w:r>
    </w:p>
    <w:p w14:paraId="5433E4ED" w14:textId="6B74FA1F" w:rsidR="007A6635" w:rsidRPr="00AF2C08" w:rsidRDefault="00E0041F" w:rsidP="00192B58">
      <w:r w:rsidRPr="00E0041F">
        <w:t>There is no evidence that a dose adjustment of dolutegravir or lamivudine would be required based on the effects of race on PK parameters</w:t>
      </w:r>
      <w:r w:rsidR="007A6635" w:rsidRPr="00AF2C08">
        <w:t>.</w:t>
      </w:r>
    </w:p>
    <w:p w14:paraId="65E2372E" w14:textId="77777777" w:rsidR="007A6635" w:rsidRPr="00AF2C08" w:rsidRDefault="002E386C" w:rsidP="00AF2C08">
      <w:pPr>
        <w:spacing w:before="200" w:after="0"/>
        <w:rPr>
          <w:b/>
          <w:i/>
          <w:iCs/>
        </w:rPr>
      </w:pPr>
      <w:r w:rsidRPr="00AF2C08">
        <w:rPr>
          <w:b/>
          <w:i/>
          <w:iCs/>
        </w:rPr>
        <w:t xml:space="preserve">Co-infection with </w:t>
      </w:r>
      <w:r w:rsidR="0075725E">
        <w:rPr>
          <w:b/>
          <w:i/>
          <w:iCs/>
        </w:rPr>
        <w:t>h</w:t>
      </w:r>
      <w:r w:rsidR="004A09A2" w:rsidRPr="00AF2C08">
        <w:rPr>
          <w:b/>
          <w:i/>
          <w:iCs/>
        </w:rPr>
        <w:t>epatit</w:t>
      </w:r>
      <w:r w:rsidR="0051006F" w:rsidRPr="00AF2C08">
        <w:rPr>
          <w:b/>
          <w:i/>
          <w:iCs/>
        </w:rPr>
        <w:t>is B or</w:t>
      </w:r>
      <w:r w:rsidR="007A6635" w:rsidRPr="00AF2C08">
        <w:rPr>
          <w:b/>
          <w:i/>
          <w:iCs/>
        </w:rPr>
        <w:t xml:space="preserve"> C</w:t>
      </w:r>
    </w:p>
    <w:p w14:paraId="326BCCCF" w14:textId="3C3C38CA" w:rsidR="007A6635" w:rsidRPr="00AF2C08" w:rsidRDefault="004A09A2" w:rsidP="00192B58">
      <w:r w:rsidRPr="00AF2C08">
        <w:t xml:space="preserve">Population </w:t>
      </w:r>
      <w:r w:rsidR="007B6E30">
        <w:t>PK</w:t>
      </w:r>
      <w:r w:rsidRPr="00AF2C08">
        <w:t xml:space="preserve"> analysis indicated that hepatitis C virus co-infection had no clinically relevant effect on the exposur</w:t>
      </w:r>
      <w:r w:rsidR="00E0041F">
        <w:t>e to dolute</w:t>
      </w:r>
      <w:r w:rsidR="007B6E30">
        <w:t>gravir</w:t>
      </w:r>
      <w:r w:rsidRPr="00AF2C08">
        <w:t xml:space="preserve">. </w:t>
      </w:r>
      <w:r w:rsidR="007B6E30" w:rsidRPr="007B6E30">
        <w:t>There are limited pharmacokinetic data on subjects with hepatitis B co-infection</w:t>
      </w:r>
      <w:r w:rsidR="007B6E30">
        <w:t xml:space="preserve"> (see Section 4.4 SPECIAL WARNINGS AND PRECAUTIONS FOR USE. Patients co-infected with hepatitis B virus (HBV))</w:t>
      </w:r>
      <w:r w:rsidR="006A3B4A">
        <w:t>.</w:t>
      </w:r>
    </w:p>
    <w:p w14:paraId="5A49A37B" w14:textId="6FC8DC95" w:rsidR="007A6635" w:rsidRPr="00AF2C08" w:rsidRDefault="002E386C" w:rsidP="00FB7D66">
      <w:pPr>
        <w:keepNext/>
        <w:spacing w:before="200" w:after="0"/>
      </w:pPr>
      <w:r w:rsidRPr="00AF2C08">
        <w:rPr>
          <w:b/>
          <w:i/>
          <w:iCs/>
        </w:rPr>
        <w:lastRenderedPageBreak/>
        <w:t xml:space="preserve">Pregnancy </w:t>
      </w:r>
    </w:p>
    <w:p w14:paraId="5611879D" w14:textId="7A3DFB63" w:rsidR="007A6635" w:rsidRPr="00AF2C08" w:rsidRDefault="007B6E30" w:rsidP="00FB7D66">
      <w:pPr>
        <w:keepNext/>
      </w:pPr>
      <w:r w:rsidRPr="009F60FD">
        <w:rPr>
          <w:bCs/>
          <w:szCs w:val="24"/>
        </w:rPr>
        <w:t>The pharmacokinetics of lamivudine during pregnancy are similar to that of non-pregnant adults. In humans, consistent with passive transmission of lamivudine across the placenta, lamivudine concentrations in infant serum at birth were similar to those in maternal and cord serum at delivery</w:t>
      </w:r>
      <w:r w:rsidR="007A6635" w:rsidRPr="00AF2C08">
        <w:t>.</w:t>
      </w:r>
    </w:p>
    <w:p w14:paraId="798C7B62" w14:textId="77777777" w:rsidR="003D316B" w:rsidRPr="00AF2C08" w:rsidRDefault="004A09A2" w:rsidP="00192B58">
      <w:pPr>
        <w:rPr>
          <w:b/>
          <w:i/>
          <w:iCs/>
        </w:rPr>
      </w:pPr>
      <w:r w:rsidRPr="00AF2C08">
        <w:t>There are no pharmacokinetic data on the use of dolutegravir in pregnancy.</w:t>
      </w:r>
    </w:p>
    <w:p w14:paraId="1D664747" w14:textId="77777777" w:rsidR="003D316B" w:rsidRPr="00AF2C08" w:rsidRDefault="004A09A2" w:rsidP="00406A63">
      <w:pPr>
        <w:pStyle w:val="Heading2"/>
        <w:keepNext/>
        <w:rPr>
          <w:lang w:val="en-US"/>
        </w:rPr>
      </w:pPr>
      <w:r w:rsidRPr="00AF2C08">
        <w:rPr>
          <w:lang w:val="en-US"/>
        </w:rPr>
        <w:t>Preclinical safety data</w:t>
      </w:r>
    </w:p>
    <w:p w14:paraId="77C93F30" w14:textId="77777777" w:rsidR="003D316B" w:rsidRPr="00AF2C08" w:rsidRDefault="004A09A2" w:rsidP="00A53834">
      <w:pPr>
        <w:pStyle w:val="Heading3"/>
      </w:pPr>
      <w:r w:rsidRPr="00AF2C08">
        <w:t>Genotoxicity</w:t>
      </w:r>
    </w:p>
    <w:p w14:paraId="5C581E15" w14:textId="100CEDDB" w:rsidR="00810F39" w:rsidRDefault="00810F39" w:rsidP="00406A63">
      <w:pPr>
        <w:keepNext/>
      </w:pPr>
      <w:r>
        <w:t>No genotoxicity studies have been conducted with the combination of dolutegravir and lamivudine.</w:t>
      </w:r>
    </w:p>
    <w:p w14:paraId="7E8A10D1" w14:textId="6DB1E2D6" w:rsidR="007A6635" w:rsidRPr="00AF2C08" w:rsidRDefault="004A09A2" w:rsidP="00406A63">
      <w:pPr>
        <w:keepNext/>
      </w:pPr>
      <w:r w:rsidRPr="00AF2C08">
        <w:t xml:space="preserve">Dolutegravir was not mutagenic or clastogenic using </w:t>
      </w:r>
      <w:r w:rsidRPr="00AF2C08">
        <w:rPr>
          <w:i/>
          <w:iCs/>
        </w:rPr>
        <w:t>in vitro</w:t>
      </w:r>
      <w:r w:rsidRPr="00AF2C08">
        <w:t xml:space="preserve"> tests in bacteria and cultured mammalian cells, and an </w:t>
      </w:r>
      <w:r w:rsidRPr="00AF2C08">
        <w:rPr>
          <w:i/>
          <w:iCs/>
        </w:rPr>
        <w:t xml:space="preserve">in vivo </w:t>
      </w:r>
      <w:r w:rsidRPr="00AF2C08">
        <w:t>rodent micronucleus assay.</w:t>
      </w:r>
    </w:p>
    <w:p w14:paraId="11B40FD9" w14:textId="566C5EB2" w:rsidR="003D316B" w:rsidRPr="00AF2C08" w:rsidRDefault="00094CC9" w:rsidP="00192B58">
      <w:r>
        <w:t>Lamivudine was not</w:t>
      </w:r>
      <w:r w:rsidRPr="00094CC9">
        <w:t xml:space="preserve"> muta</w:t>
      </w:r>
      <w:r>
        <w:t xml:space="preserve">genic in bacterial tests, but </w:t>
      </w:r>
      <w:r w:rsidRPr="00094CC9">
        <w:t>induced mutations in</w:t>
      </w:r>
      <w:r>
        <w:t xml:space="preserve"> a mouse lymphoma assay and was</w:t>
      </w:r>
      <w:r w:rsidRPr="00094CC9">
        <w:t xml:space="preserve"> clastogenic in human peripheral lymphocytes </w:t>
      </w:r>
      <w:r w:rsidRPr="00BC2DEE">
        <w:rPr>
          <w:i/>
        </w:rPr>
        <w:t>in vitro</w:t>
      </w:r>
      <w:r w:rsidRPr="00094CC9">
        <w:t xml:space="preserve">. In rats, lamivudine did not cause chromosomal damage in bone marrow cells </w:t>
      </w:r>
      <w:r w:rsidRPr="00094CC9">
        <w:rPr>
          <w:i/>
        </w:rPr>
        <w:t>in vivo</w:t>
      </w:r>
      <w:r w:rsidRPr="00094CC9">
        <w:t xml:space="preserve"> or cause DNA damage in primary hepatocytes. </w:t>
      </w:r>
    </w:p>
    <w:p w14:paraId="43D0BD4A" w14:textId="77777777" w:rsidR="003D316B" w:rsidRPr="00AF2C08" w:rsidRDefault="004A09A2" w:rsidP="00CD4739">
      <w:pPr>
        <w:pStyle w:val="Heading3"/>
      </w:pPr>
      <w:r w:rsidRPr="00AF2C08">
        <w:t>Carcinogenicity</w:t>
      </w:r>
    </w:p>
    <w:p w14:paraId="57A3F5A7" w14:textId="5C167523" w:rsidR="00810F39" w:rsidRDefault="00810F39" w:rsidP="00192B58">
      <w:r>
        <w:t>No carcinogenicity studies have been conducted with the combination of dolutegravir and lamivudine.</w:t>
      </w:r>
    </w:p>
    <w:p w14:paraId="7A3C454A" w14:textId="4BBE1E79" w:rsidR="00DD67E9" w:rsidRDefault="004A09A2" w:rsidP="00192B58">
      <w:r w:rsidRPr="00AF2C08">
        <w:t>In long-term oral carcinogenicity studies conducted with dolutegravir no drug-related increases in tumour incidence were found in mice at doses up to 500 mg/kg/day (</w:t>
      </w:r>
      <w:r w:rsidR="00400DDC">
        <w:t>20</w:t>
      </w:r>
      <w:r w:rsidR="00400DDC" w:rsidRPr="00AF2C08">
        <w:t xml:space="preserve"> </w:t>
      </w:r>
      <w:r w:rsidRPr="00AF2C08">
        <w:t xml:space="preserve">times the human systemic exposure based on AUC at the maximum recommended dose of 50 mg </w:t>
      </w:r>
      <w:r w:rsidR="00CD619C">
        <w:t>Q</w:t>
      </w:r>
      <w:r w:rsidR="00CD619C" w:rsidRPr="00AF2C08">
        <w:t>D</w:t>
      </w:r>
      <w:r w:rsidRPr="00AF2C08">
        <w:t>) or in rats at doses up to 50 mg/kg/day (</w:t>
      </w:r>
      <w:r w:rsidR="00ED2DF8" w:rsidRPr="00AF2C08">
        <w:t>1</w:t>
      </w:r>
      <w:r w:rsidR="00ED2DF8">
        <w:t>7</w:t>
      </w:r>
      <w:r w:rsidR="00ED2DF8" w:rsidRPr="00AF2C08">
        <w:t xml:space="preserve"> </w:t>
      </w:r>
      <w:r w:rsidRPr="00AF2C08">
        <w:t xml:space="preserve">times the human systemic exposure based on AUC at the maximum recommended dose). </w:t>
      </w:r>
    </w:p>
    <w:p w14:paraId="1EAB9C9A" w14:textId="2FE2C68B" w:rsidR="003E562E" w:rsidRDefault="003E562E" w:rsidP="00192B58">
      <w:r w:rsidRPr="003E562E">
        <w:t xml:space="preserve">When lamivudine was administered orally </w:t>
      </w:r>
      <w:r w:rsidR="00810F39">
        <w:t xml:space="preserve">in the diet </w:t>
      </w:r>
      <w:r w:rsidRPr="003E562E">
        <w:t xml:space="preserve">to separate groups of rodents at doses up to 2000 (mice and male rats) and 3000 (female rats) mg/kg/day, there was no evidence of a carcinogenic effect due to lamivudine in the mouse study. In the rat study there was an increased incidence of endometrial tumours at the highest dose (approximately 70 times the estimated human exposure at the recommended therapeutic dose of </w:t>
      </w:r>
      <w:r w:rsidR="00810F39">
        <w:t>300 mg</w:t>
      </w:r>
      <w:r w:rsidRPr="003E562E">
        <w:t xml:space="preserve"> daily, based on AUC). However, </w:t>
      </w:r>
      <w:r w:rsidR="00810F39">
        <w:t>the relationship of this increase to treatment is uncertain.</w:t>
      </w:r>
    </w:p>
    <w:p w14:paraId="6018A6A9" w14:textId="77777777" w:rsidR="003D316B" w:rsidRPr="00AF2C08" w:rsidRDefault="004A09A2" w:rsidP="00192B58">
      <w:pPr>
        <w:pStyle w:val="Heading1"/>
        <w:rPr>
          <w:lang w:val="en-US"/>
        </w:rPr>
      </w:pPr>
      <w:r w:rsidRPr="00AF2C08">
        <w:rPr>
          <w:lang w:val="en-US"/>
        </w:rPr>
        <w:t>Pharmaceutical particulars</w:t>
      </w:r>
    </w:p>
    <w:p w14:paraId="2CBE7CCF" w14:textId="77777777" w:rsidR="003D316B" w:rsidRPr="00AF2C08" w:rsidRDefault="004A09A2" w:rsidP="00192B58">
      <w:pPr>
        <w:pStyle w:val="Heading2"/>
        <w:rPr>
          <w:lang w:val="en-US"/>
        </w:rPr>
      </w:pPr>
      <w:r w:rsidRPr="00AF2C08">
        <w:rPr>
          <w:lang w:val="en-US"/>
        </w:rPr>
        <w:t xml:space="preserve">List of excipients </w:t>
      </w:r>
    </w:p>
    <w:p w14:paraId="6AB73BF7" w14:textId="77777777" w:rsidR="00406A63" w:rsidRPr="00330935" w:rsidRDefault="00406A63" w:rsidP="00406A63">
      <w:pPr>
        <w:spacing w:after="0"/>
      </w:pPr>
      <w:r w:rsidRPr="00330935">
        <w:t>M</w:t>
      </w:r>
      <w:r w:rsidR="004A09A2" w:rsidRPr="00330935">
        <w:t xml:space="preserve">annitol </w:t>
      </w:r>
    </w:p>
    <w:p w14:paraId="4643ACB7" w14:textId="77777777" w:rsidR="00406A63" w:rsidRPr="00330935" w:rsidRDefault="00406A63" w:rsidP="00406A63">
      <w:pPr>
        <w:spacing w:after="0"/>
      </w:pPr>
      <w:r w:rsidRPr="00330935">
        <w:t>M</w:t>
      </w:r>
      <w:r w:rsidR="004A09A2" w:rsidRPr="00330935">
        <w:t xml:space="preserve">agnesium stearate </w:t>
      </w:r>
    </w:p>
    <w:p w14:paraId="30622FBF" w14:textId="1EC54C3A" w:rsidR="00406A63" w:rsidRPr="00330935" w:rsidRDefault="00406A63" w:rsidP="00406A63">
      <w:pPr>
        <w:spacing w:after="0"/>
      </w:pPr>
      <w:r w:rsidRPr="00330935">
        <w:t>Microcrystalline cellulose</w:t>
      </w:r>
      <w:r w:rsidR="004A09A2" w:rsidRPr="00330935">
        <w:t xml:space="preserve"> </w:t>
      </w:r>
    </w:p>
    <w:p w14:paraId="55D217F6" w14:textId="7D81EB26" w:rsidR="00406A63" w:rsidRPr="00330935" w:rsidRDefault="00406A63" w:rsidP="00406A63">
      <w:pPr>
        <w:spacing w:after="0"/>
      </w:pPr>
      <w:r w:rsidRPr="00330935">
        <w:t>Povidone</w:t>
      </w:r>
      <w:r w:rsidR="004A09A2" w:rsidRPr="00330935">
        <w:t xml:space="preserve"> </w:t>
      </w:r>
    </w:p>
    <w:p w14:paraId="52C6027E" w14:textId="6277C009" w:rsidR="00406A63" w:rsidRPr="00330935" w:rsidRDefault="00406A63" w:rsidP="00406A63">
      <w:pPr>
        <w:spacing w:after="0"/>
      </w:pPr>
      <w:r w:rsidRPr="00330935">
        <w:t>S</w:t>
      </w:r>
      <w:r w:rsidR="004A09A2" w:rsidRPr="00330935">
        <w:t xml:space="preserve">odium starch glycollate Type A, </w:t>
      </w:r>
    </w:p>
    <w:p w14:paraId="02FFF34B" w14:textId="4629A82A" w:rsidR="00406A63" w:rsidRDefault="00406A63" w:rsidP="00406A63">
      <w:pPr>
        <w:spacing w:after="0"/>
      </w:pPr>
      <w:r w:rsidRPr="00330935">
        <w:t xml:space="preserve">Sodium </w:t>
      </w:r>
      <w:proofErr w:type="spellStart"/>
      <w:r w:rsidRPr="00330935">
        <w:t>stearylfumarate</w:t>
      </w:r>
      <w:proofErr w:type="spellEnd"/>
      <w:r w:rsidR="004A09A2" w:rsidRPr="00AF2C08">
        <w:t xml:space="preserve"> </w:t>
      </w:r>
    </w:p>
    <w:p w14:paraId="0DCEC22D" w14:textId="06045E23" w:rsidR="00406A63" w:rsidRDefault="00C7761B" w:rsidP="00406A63">
      <w:pPr>
        <w:spacing w:after="0"/>
      </w:pPr>
      <w:r>
        <w:t>Hypromellose</w:t>
      </w:r>
    </w:p>
    <w:p w14:paraId="709C08E7" w14:textId="4FA3B730" w:rsidR="00C7761B" w:rsidRDefault="0045671F" w:rsidP="00406A63">
      <w:pPr>
        <w:spacing w:after="0"/>
      </w:pPr>
      <w:r>
        <w:lastRenderedPageBreak/>
        <w:t>Macrogol 400</w:t>
      </w:r>
    </w:p>
    <w:p w14:paraId="26BDEE86" w14:textId="7C83F4EB" w:rsidR="00406A63" w:rsidRDefault="00406A63" w:rsidP="00406A63">
      <w:pPr>
        <w:spacing w:after="0"/>
      </w:pPr>
      <w:r>
        <w:t>Titanium dioxide</w:t>
      </w:r>
      <w:r w:rsidR="004A09A2" w:rsidRPr="00AF2C08">
        <w:t xml:space="preserve"> </w:t>
      </w:r>
    </w:p>
    <w:p w14:paraId="41E94AB0" w14:textId="77777777" w:rsidR="003D316B" w:rsidRPr="00AF2C08" w:rsidRDefault="004A09A2" w:rsidP="00192B58">
      <w:pPr>
        <w:pStyle w:val="Heading2"/>
        <w:rPr>
          <w:lang w:val="en-US"/>
        </w:rPr>
      </w:pPr>
      <w:r w:rsidRPr="00AF2C08">
        <w:rPr>
          <w:lang w:val="en-US"/>
        </w:rPr>
        <w:t xml:space="preserve">Incompatibilities </w:t>
      </w:r>
    </w:p>
    <w:p w14:paraId="2DE31808" w14:textId="0382BEE0" w:rsidR="003D316B" w:rsidRPr="00AF2C08" w:rsidRDefault="00A53834" w:rsidP="00192B58">
      <w:r>
        <w:t>No i</w:t>
      </w:r>
      <w:r w:rsidR="002E386C" w:rsidRPr="00AF2C08">
        <w:t xml:space="preserve">ncompatibilities </w:t>
      </w:r>
      <w:r>
        <w:t>have been</w:t>
      </w:r>
      <w:r w:rsidR="002E386C" w:rsidRPr="00AF2C08">
        <w:t xml:space="preserve"> identified.</w:t>
      </w:r>
    </w:p>
    <w:p w14:paraId="7C1DB96E" w14:textId="77777777" w:rsidR="003D316B" w:rsidRPr="00AF2C08" w:rsidRDefault="004A09A2" w:rsidP="00192B58">
      <w:pPr>
        <w:pStyle w:val="Heading2"/>
        <w:rPr>
          <w:lang w:val="en-US"/>
        </w:rPr>
      </w:pPr>
      <w:r w:rsidRPr="00AF2C08">
        <w:rPr>
          <w:lang w:val="en-US"/>
        </w:rPr>
        <w:t xml:space="preserve">Shelf life </w:t>
      </w:r>
    </w:p>
    <w:p w14:paraId="1B5F9897" w14:textId="77777777" w:rsidR="003D316B" w:rsidRPr="00AF2C08" w:rsidRDefault="002E386C" w:rsidP="00192B58">
      <w:r w:rsidRPr="00AF2C08">
        <w:t>In Australia, information on the shelf life can be found on the public summary of the ARTG. The expiry date can be found on the packaging.</w:t>
      </w:r>
    </w:p>
    <w:p w14:paraId="3D6D946D" w14:textId="77777777" w:rsidR="003D316B" w:rsidRPr="00AF2C08" w:rsidRDefault="004A09A2" w:rsidP="00ED582D">
      <w:pPr>
        <w:pStyle w:val="Heading2"/>
        <w:rPr>
          <w:lang w:val="en-US"/>
        </w:rPr>
      </w:pPr>
      <w:r w:rsidRPr="00AF2C08">
        <w:rPr>
          <w:lang w:val="en-US"/>
        </w:rPr>
        <w:t xml:space="preserve">Special precautions for storage </w:t>
      </w:r>
    </w:p>
    <w:p w14:paraId="2FE3DC96" w14:textId="6DBD8369" w:rsidR="003D316B" w:rsidRPr="00AF2C08" w:rsidRDefault="004A09A2" w:rsidP="00192B58">
      <w:r w:rsidRPr="00AF2C08">
        <w:t xml:space="preserve">Store below 30°C. Store in the original package. </w:t>
      </w:r>
    </w:p>
    <w:p w14:paraId="539228CE" w14:textId="77777777" w:rsidR="003D316B" w:rsidRPr="00AF2C08" w:rsidRDefault="004A09A2" w:rsidP="00192B58">
      <w:pPr>
        <w:pStyle w:val="Heading2"/>
        <w:rPr>
          <w:lang w:val="en-US"/>
        </w:rPr>
      </w:pPr>
      <w:r w:rsidRPr="00AF2C08">
        <w:rPr>
          <w:lang w:val="en-US"/>
        </w:rPr>
        <w:t xml:space="preserve">Nature and contents of container </w:t>
      </w:r>
    </w:p>
    <w:p w14:paraId="29343729" w14:textId="1A674B1B" w:rsidR="003D316B" w:rsidRDefault="004223CA" w:rsidP="00192B58">
      <w:r>
        <w:t>DOVATO</w:t>
      </w:r>
      <w:r w:rsidR="004A09A2" w:rsidRPr="00AF2C08">
        <w:t xml:space="preserve"> tablets are supplied in </w:t>
      </w:r>
      <w:r w:rsidR="003E562E">
        <w:t xml:space="preserve">opaque, </w:t>
      </w:r>
      <w:r w:rsidR="004A09A2" w:rsidRPr="00AF2C08">
        <w:t>white HDPE (high density polyethylene) bottles closed with polypropylene child-resistant closures. Each bottle contains 30 film-coated tablets.</w:t>
      </w:r>
    </w:p>
    <w:p w14:paraId="5334EEF1" w14:textId="77777777" w:rsidR="003D316B" w:rsidRPr="00AF2C08" w:rsidRDefault="004A09A2" w:rsidP="00192B58">
      <w:pPr>
        <w:pStyle w:val="Heading2"/>
        <w:rPr>
          <w:lang w:val="en-US"/>
        </w:rPr>
      </w:pPr>
      <w:r w:rsidRPr="00AF2C08">
        <w:rPr>
          <w:lang w:val="en-US"/>
        </w:rPr>
        <w:t xml:space="preserve">Special precautions for disposal </w:t>
      </w:r>
    </w:p>
    <w:p w14:paraId="3E74DD3A" w14:textId="1FEA2733" w:rsidR="006E438B" w:rsidRPr="00AF2C08" w:rsidRDefault="002E386C" w:rsidP="00192B58">
      <w:r w:rsidRPr="00AF2C08">
        <w:t>In Australia, any unused medicine or waste material should be disposed of by taking to your local pharmacy.</w:t>
      </w:r>
    </w:p>
    <w:p w14:paraId="2457DF13" w14:textId="77777777" w:rsidR="003D316B" w:rsidRPr="00AF2C08" w:rsidRDefault="004A09A2" w:rsidP="009A4D2F">
      <w:pPr>
        <w:pStyle w:val="Heading2"/>
        <w:rPr>
          <w:lang w:val="en-US"/>
        </w:rPr>
      </w:pPr>
      <w:r w:rsidRPr="00AF2C08">
        <w:rPr>
          <w:lang w:val="en-US"/>
        </w:rPr>
        <w:t>Physicochemical properties</w:t>
      </w:r>
    </w:p>
    <w:p w14:paraId="5A15B00C" w14:textId="77777777" w:rsidR="00C434B8" w:rsidRPr="008D643C" w:rsidRDefault="00C434B8" w:rsidP="009A4D2F">
      <w:pPr>
        <w:spacing w:before="200" w:after="0"/>
        <w:rPr>
          <w:b/>
          <w:i/>
        </w:rPr>
      </w:pPr>
      <w:r w:rsidRPr="008D643C">
        <w:rPr>
          <w:b/>
          <w:i/>
        </w:rPr>
        <w:t>Dolutegravir:</w:t>
      </w:r>
    </w:p>
    <w:p w14:paraId="0D0F9587" w14:textId="489DF607" w:rsidR="00C434B8" w:rsidRDefault="00C434B8" w:rsidP="00192B58">
      <w:r w:rsidRPr="00AF2C08">
        <w:t>The chemical (IUPAC) name for dolutegravir sodium is Sodium (4R,12aS)-9-{[(2,4-difluorophenyl)methyl]carbamoyl}-4-methyl-6,8-dioxo-3,4,6,8,12,12a-hexahydro-2H-pyrido[1',2':4,5]pyrazino[2,1-b][1,3]oxazin-7-olate.</w:t>
      </w:r>
      <w:r w:rsidR="008D643C">
        <w:br/>
      </w:r>
      <w:r w:rsidR="008D643C">
        <w:br/>
      </w:r>
      <w:r w:rsidRPr="00AF2C08">
        <w:t>Molecular formula: C</w:t>
      </w:r>
      <w:r w:rsidRPr="00AF2C08">
        <w:rPr>
          <w:vertAlign w:val="subscript"/>
        </w:rPr>
        <w:t>20</w:t>
      </w:r>
      <w:r w:rsidRPr="00AF2C08">
        <w:t>H</w:t>
      </w:r>
      <w:r w:rsidRPr="00AF2C08">
        <w:rPr>
          <w:vertAlign w:val="subscript"/>
        </w:rPr>
        <w:t>18</w:t>
      </w:r>
      <w:r w:rsidRPr="00AF2C08">
        <w:t>F</w:t>
      </w:r>
      <w:r w:rsidRPr="00AF2C08">
        <w:rPr>
          <w:vertAlign w:val="subscript"/>
        </w:rPr>
        <w:t>2</w:t>
      </w:r>
      <w:r w:rsidRPr="00AF2C08">
        <w:t>N</w:t>
      </w:r>
      <w:r w:rsidRPr="00AF2C08">
        <w:rPr>
          <w:vertAlign w:val="subscript"/>
        </w:rPr>
        <w:t>3</w:t>
      </w:r>
      <w:r w:rsidRPr="00AF2C08">
        <w:t>NaO</w:t>
      </w:r>
      <w:r w:rsidRPr="00AF2C08">
        <w:rPr>
          <w:vertAlign w:val="subscript"/>
        </w:rPr>
        <w:t>5</w:t>
      </w:r>
      <w:r w:rsidR="008D643C">
        <w:br/>
      </w:r>
      <w:r w:rsidR="008D643C">
        <w:br/>
        <w:t>M</w:t>
      </w:r>
      <w:r w:rsidRPr="00AF2C08">
        <w:t>olecular weight of 441.36 g/mol</w:t>
      </w:r>
      <w:r w:rsidR="008D643C">
        <w:t>.</w:t>
      </w:r>
    </w:p>
    <w:p w14:paraId="6EF44C3F" w14:textId="012D4E73" w:rsidR="00ED582D" w:rsidRDefault="00ED582D" w:rsidP="00192B58">
      <w:r w:rsidRPr="00AF2C08">
        <w:t xml:space="preserve">The partition coefficient (log P) for dolutegravir sodium is 2.2 and the </w:t>
      </w:r>
      <w:proofErr w:type="spellStart"/>
      <w:r w:rsidRPr="00AF2C08">
        <w:t>pKa</w:t>
      </w:r>
      <w:proofErr w:type="spellEnd"/>
      <w:r w:rsidRPr="00AF2C08">
        <w:t xml:space="preserve"> is 8.2</w:t>
      </w:r>
      <w:r w:rsidR="00170C29">
        <w:t>.</w:t>
      </w:r>
    </w:p>
    <w:p w14:paraId="4227330C" w14:textId="16C7BAC4" w:rsidR="00170C29" w:rsidRPr="00AF2C08" w:rsidRDefault="00170C29" w:rsidP="00192B58">
      <w:r>
        <w:t>Dolutegravir</w:t>
      </w:r>
      <w:r w:rsidR="00FE2F34">
        <w:t xml:space="preserve"> sodium is slightly soluble in water.</w:t>
      </w:r>
    </w:p>
    <w:p w14:paraId="29E8155D" w14:textId="74DBD250" w:rsidR="00C434B8" w:rsidRPr="008D643C" w:rsidRDefault="003E562E" w:rsidP="009A4D2F">
      <w:pPr>
        <w:spacing w:before="200" w:after="0"/>
        <w:rPr>
          <w:b/>
          <w:i/>
        </w:rPr>
      </w:pPr>
      <w:r>
        <w:rPr>
          <w:b/>
          <w:i/>
        </w:rPr>
        <w:t>Lamivudine</w:t>
      </w:r>
      <w:r w:rsidR="00C434B8" w:rsidRPr="008D643C">
        <w:rPr>
          <w:b/>
          <w:i/>
        </w:rPr>
        <w:t>:</w:t>
      </w:r>
    </w:p>
    <w:p w14:paraId="748FDD52" w14:textId="77777777" w:rsidR="003E562E" w:rsidRDefault="003E562E" w:rsidP="00192B58">
      <w:r w:rsidRPr="009C7BAC">
        <w:t xml:space="preserve">The chemical name of lamivudine is (2R,cis)-4-amino-1-[2- (hydroxymethyl)-1,3-oxathiolan-5-yl]-2(1H)-pyrimidinone. Lamivudine is the (-)enantiomer of a dideoxy analogue of cytidine. Lamivudine has also been referred to as (-)2',3'-dideoxy, 3'-thiacytidine. </w:t>
      </w:r>
    </w:p>
    <w:p w14:paraId="429F569A" w14:textId="77777777" w:rsidR="003E562E" w:rsidRDefault="003E562E" w:rsidP="00192B58">
      <w:r>
        <w:t>M</w:t>
      </w:r>
      <w:r w:rsidRPr="009C7BAC">
        <w:t>olecular formula</w:t>
      </w:r>
      <w:r>
        <w:t xml:space="preserve">: </w:t>
      </w:r>
      <w:r w:rsidRPr="009C7BAC">
        <w:t>C</w:t>
      </w:r>
      <w:r w:rsidRPr="009C7BAC">
        <w:rPr>
          <w:vertAlign w:val="subscript"/>
        </w:rPr>
        <w:t>8</w:t>
      </w:r>
      <w:r w:rsidRPr="009C7BAC">
        <w:t>H</w:t>
      </w:r>
      <w:r w:rsidRPr="009C7BAC">
        <w:rPr>
          <w:vertAlign w:val="subscript"/>
        </w:rPr>
        <w:t>11</w:t>
      </w:r>
      <w:r w:rsidRPr="009C7BAC">
        <w:t>N</w:t>
      </w:r>
      <w:r w:rsidRPr="009C7BAC">
        <w:rPr>
          <w:vertAlign w:val="subscript"/>
        </w:rPr>
        <w:t>3</w:t>
      </w:r>
      <w:r w:rsidRPr="009C7BAC">
        <w:t>O</w:t>
      </w:r>
      <w:r w:rsidRPr="009C7BAC">
        <w:rPr>
          <w:vertAlign w:val="subscript"/>
        </w:rPr>
        <w:t>3</w:t>
      </w:r>
      <w:r w:rsidRPr="009C7BAC">
        <w:t xml:space="preserve">S </w:t>
      </w:r>
    </w:p>
    <w:p w14:paraId="262E4CB2" w14:textId="1DD89F4E" w:rsidR="00C7761B" w:rsidRDefault="003E562E">
      <w:pPr>
        <w:rPr>
          <w:rStyle w:val="Heading3Char"/>
        </w:rPr>
      </w:pPr>
      <w:r>
        <w:t>M</w:t>
      </w:r>
      <w:r w:rsidRPr="009C7BAC">
        <w:t>olecular weight of 229.3 g/mol</w:t>
      </w:r>
      <w:r w:rsidR="008D643C">
        <w:br/>
      </w:r>
      <w:r w:rsidR="008D643C">
        <w:br/>
      </w:r>
      <w:r w:rsidR="00FE2F34" w:rsidRPr="00FE2F34">
        <w:rPr>
          <w:bCs/>
        </w:rPr>
        <w:t>Lamivudine</w:t>
      </w:r>
      <w:r w:rsidR="00FE2F34">
        <w:rPr>
          <w:bCs/>
        </w:rPr>
        <w:t xml:space="preserve"> is highly soluble in water.</w:t>
      </w:r>
    </w:p>
    <w:p w14:paraId="46DACBC8" w14:textId="77777777" w:rsidR="00FE2F34" w:rsidRDefault="00FE2F34">
      <w:pPr>
        <w:rPr>
          <w:rStyle w:val="Heading3Char"/>
        </w:rPr>
      </w:pPr>
      <w:r>
        <w:rPr>
          <w:rStyle w:val="Heading3Char"/>
        </w:rPr>
        <w:lastRenderedPageBreak/>
        <w:br w:type="page"/>
      </w:r>
    </w:p>
    <w:p w14:paraId="572D30C5" w14:textId="6F666919" w:rsidR="003D316B" w:rsidRPr="003E562E" w:rsidRDefault="004A09A2" w:rsidP="003E562E">
      <w:pPr>
        <w:rPr>
          <w:rStyle w:val="Heading3Char"/>
        </w:rPr>
      </w:pPr>
      <w:r w:rsidRPr="003E562E">
        <w:rPr>
          <w:rStyle w:val="Heading3Char"/>
        </w:rPr>
        <w:lastRenderedPageBreak/>
        <w:t>Chemical structure</w:t>
      </w:r>
    </w:p>
    <w:p w14:paraId="65291C0F" w14:textId="79ABCCC7" w:rsidR="00293B3E" w:rsidRPr="00AF2C08" w:rsidRDefault="00293B3E" w:rsidP="00406A63">
      <w:pPr>
        <w:keepNext/>
        <w:keepLines/>
      </w:pPr>
      <w:r w:rsidRPr="00AF2C08">
        <w:t xml:space="preserve">The structural </w:t>
      </w:r>
      <w:r w:rsidR="0028153E" w:rsidRPr="00AF2C08">
        <w:t>formula of dolutegravir sodium is:</w:t>
      </w:r>
    </w:p>
    <w:p w14:paraId="752661E8" w14:textId="77777777" w:rsidR="00293B3E" w:rsidRPr="00AF2C08" w:rsidRDefault="00293B3E" w:rsidP="003E562E">
      <w:pPr>
        <w:keepNext/>
        <w:keepLines/>
        <w:ind w:left="720"/>
      </w:pPr>
      <w:r w:rsidRPr="00AF2C08">
        <w:rPr>
          <w:noProof/>
          <w:lang w:eastAsia="en-AU"/>
        </w:rPr>
        <w:drawing>
          <wp:inline distT="0" distB="0" distL="0" distR="0" wp14:anchorId="44387D56" wp14:editId="462D2016">
            <wp:extent cx="2179955" cy="8921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9955" cy="892175"/>
                    </a:xfrm>
                    <a:prstGeom prst="rect">
                      <a:avLst/>
                    </a:prstGeom>
                    <a:noFill/>
                    <a:ln>
                      <a:noFill/>
                    </a:ln>
                  </pic:spPr>
                </pic:pic>
              </a:graphicData>
            </a:graphic>
          </wp:inline>
        </w:drawing>
      </w:r>
    </w:p>
    <w:p w14:paraId="43509835" w14:textId="1E620E62" w:rsidR="0028153E" w:rsidRPr="00AF2C08" w:rsidRDefault="0028153E" w:rsidP="00C7761B">
      <w:pPr>
        <w:keepNext/>
      </w:pPr>
      <w:r w:rsidRPr="00AF2C08">
        <w:t xml:space="preserve">The structural formula of </w:t>
      </w:r>
      <w:r w:rsidR="003E562E">
        <w:t>lamivudine</w:t>
      </w:r>
      <w:r w:rsidRPr="00AF2C08">
        <w:t xml:space="preserve"> is:</w:t>
      </w:r>
    </w:p>
    <w:p w14:paraId="05EC1382" w14:textId="6748B000" w:rsidR="003D316B" w:rsidRDefault="003E562E" w:rsidP="00C7761B">
      <w:pPr>
        <w:keepNext/>
        <w:ind w:left="720"/>
      </w:pPr>
      <w:r>
        <w:rPr>
          <w:noProof/>
          <w:lang w:eastAsia="en-AU"/>
        </w:rPr>
        <w:drawing>
          <wp:inline distT="0" distB="0" distL="0" distR="0" wp14:anchorId="1DEDC244" wp14:editId="169B84F7">
            <wp:extent cx="1444625" cy="118300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4625" cy="1183005"/>
                    </a:xfrm>
                    <a:prstGeom prst="rect">
                      <a:avLst/>
                    </a:prstGeom>
                    <a:noFill/>
                  </pic:spPr>
                </pic:pic>
              </a:graphicData>
            </a:graphic>
          </wp:inline>
        </w:drawing>
      </w:r>
    </w:p>
    <w:p w14:paraId="4CB50511" w14:textId="49EAB07B" w:rsidR="003D316B" w:rsidRPr="00AF2C08" w:rsidRDefault="004A09A2" w:rsidP="002E22E9">
      <w:pPr>
        <w:pStyle w:val="Heading3"/>
      </w:pPr>
      <w:r w:rsidRPr="00AF2C08">
        <w:t>CAS number</w:t>
      </w:r>
    </w:p>
    <w:p w14:paraId="579048C6" w14:textId="3F0A59B9" w:rsidR="003D316B" w:rsidRPr="00AF2C08" w:rsidRDefault="004A09A2" w:rsidP="00192B58">
      <w:r w:rsidRPr="00AF2C08">
        <w:t>1051375-19-9 (dolutegravir</w:t>
      </w:r>
      <w:r w:rsidR="009E0760">
        <w:t xml:space="preserve"> sodium</w:t>
      </w:r>
      <w:r w:rsidRPr="00AF2C08">
        <w:t xml:space="preserve">); </w:t>
      </w:r>
      <w:r w:rsidR="00C7761B" w:rsidRPr="007B6030">
        <w:t>134678-17-4 (lamivudine).</w:t>
      </w:r>
    </w:p>
    <w:p w14:paraId="5544A779" w14:textId="77777777" w:rsidR="003D316B" w:rsidRPr="00AF2C08" w:rsidRDefault="004A09A2" w:rsidP="00192B58">
      <w:pPr>
        <w:pStyle w:val="Heading1"/>
        <w:rPr>
          <w:lang w:val="en-US"/>
        </w:rPr>
      </w:pPr>
      <w:r w:rsidRPr="00AF2C08">
        <w:rPr>
          <w:lang w:val="en-US"/>
        </w:rPr>
        <w:t>Medicine schedule (Poisons Standard)</w:t>
      </w:r>
    </w:p>
    <w:p w14:paraId="45D9BB1A" w14:textId="77777777" w:rsidR="003D316B" w:rsidRPr="00AF2C08" w:rsidRDefault="004A09A2" w:rsidP="00192B58">
      <w:r w:rsidRPr="00AF2C08">
        <w:t>S</w:t>
      </w:r>
      <w:r w:rsidR="002E386C" w:rsidRPr="00AF2C08">
        <w:t>chedule</w:t>
      </w:r>
      <w:r w:rsidR="004068AA" w:rsidRPr="00AF2C08">
        <w:t xml:space="preserve"> 4 - Prescription Only Medicine</w:t>
      </w:r>
    </w:p>
    <w:p w14:paraId="4CEBAEBC" w14:textId="77777777" w:rsidR="003D316B" w:rsidRPr="00AF2C08" w:rsidRDefault="004A09A2" w:rsidP="00192B58">
      <w:pPr>
        <w:pStyle w:val="Heading1"/>
        <w:rPr>
          <w:lang w:val="en-US"/>
        </w:rPr>
      </w:pPr>
      <w:r w:rsidRPr="00AF2C08">
        <w:rPr>
          <w:lang w:val="en-US"/>
        </w:rPr>
        <w:t xml:space="preserve">Sponsor </w:t>
      </w:r>
    </w:p>
    <w:p w14:paraId="089B376B" w14:textId="7842E342" w:rsidR="003D316B" w:rsidRPr="00AF2C08" w:rsidRDefault="004A09A2" w:rsidP="0041064A">
      <w:r w:rsidRPr="00AF2C08">
        <w:t>ViiV Healthcare Pty Ltd</w:t>
      </w:r>
      <w:r w:rsidRPr="00AF2C08">
        <w:br/>
        <w:t>Level 4</w:t>
      </w:r>
      <w:r w:rsidR="002E386C" w:rsidRPr="00AF2C08">
        <w:t>, 436 Johnston Street</w:t>
      </w:r>
      <w:r w:rsidRPr="00AF2C08">
        <w:br/>
        <w:t>Abbotsford</w:t>
      </w:r>
      <w:r w:rsidR="002E386C" w:rsidRPr="00AF2C08">
        <w:t>, Victoria, 3067</w:t>
      </w:r>
    </w:p>
    <w:p w14:paraId="45A9C489" w14:textId="77777777" w:rsidR="003D316B" w:rsidRPr="00AF2C08" w:rsidRDefault="004A09A2" w:rsidP="00192B58">
      <w:pPr>
        <w:pStyle w:val="Heading1"/>
        <w:rPr>
          <w:lang w:val="en-US"/>
        </w:rPr>
      </w:pPr>
      <w:r w:rsidRPr="00AF2C08">
        <w:rPr>
          <w:lang w:val="en-US"/>
        </w:rPr>
        <w:t xml:space="preserve">Date of first approval  </w:t>
      </w:r>
    </w:p>
    <w:p w14:paraId="1CE58C3F" w14:textId="6851430D" w:rsidR="003D316B" w:rsidRPr="00AF2C08" w:rsidRDefault="00197795" w:rsidP="00192B58">
      <w:r>
        <w:t>12 September 2019</w:t>
      </w:r>
    </w:p>
    <w:p w14:paraId="2D420383" w14:textId="77777777" w:rsidR="004068AA" w:rsidRPr="00AF2C08" w:rsidRDefault="004068AA" w:rsidP="00E80B25">
      <w:pPr>
        <w:pStyle w:val="Heading1"/>
        <w:rPr>
          <w:lang w:val="en-US"/>
        </w:rPr>
      </w:pPr>
      <w:r w:rsidRPr="00AF2C08">
        <w:rPr>
          <w:lang w:val="en-US"/>
        </w:rPr>
        <w:t>Date of revision</w:t>
      </w:r>
    </w:p>
    <w:p w14:paraId="7D84483F" w14:textId="27F1BD75" w:rsidR="008A1289" w:rsidRPr="00AF2C08" w:rsidRDefault="005A6E01" w:rsidP="00C7761B">
      <w:pPr>
        <w:rPr>
          <w:lang w:val="en-US"/>
        </w:rPr>
      </w:pPr>
      <w:r>
        <w:rPr>
          <w:lang w:val="en-US"/>
        </w:rPr>
        <w:t>Not</w:t>
      </w:r>
      <w:r w:rsidR="00C7761B">
        <w:rPr>
          <w:lang w:val="en-US"/>
        </w:rPr>
        <w:t xml:space="preserve"> Applicable</w:t>
      </w:r>
    </w:p>
    <w:p w14:paraId="155F687D" w14:textId="77777777" w:rsidR="00FE2F34" w:rsidRPr="00071855" w:rsidRDefault="00FE2F34" w:rsidP="00FE2F34">
      <w:pPr>
        <w:pStyle w:val="Heading2"/>
        <w:numPr>
          <w:ilvl w:val="0"/>
          <w:numId w:val="0"/>
        </w:numPr>
        <w:spacing w:before="0"/>
        <w:rPr>
          <w:smallCaps/>
          <w:lang w:val="en-US"/>
        </w:rPr>
      </w:pPr>
      <w:r w:rsidRPr="00071855">
        <w:rPr>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6"/>
        <w:gridCol w:w="7630"/>
      </w:tblGrid>
      <w:tr w:rsidR="00FE2F34" w:rsidRPr="00071855" w14:paraId="4486B89E" w14:textId="77777777" w:rsidTr="005454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6" w:type="dxa"/>
            <w:shd w:val="clear" w:color="auto" w:fill="F2F2F2" w:themeFill="background1" w:themeFillShade="F2"/>
            <w:vAlign w:val="center"/>
          </w:tcPr>
          <w:p w14:paraId="0838352B" w14:textId="77777777" w:rsidR="00FE2F34" w:rsidRPr="00071855" w:rsidRDefault="00FE2F34" w:rsidP="0054548A">
            <w:pPr>
              <w:rPr>
                <w:lang w:val="en-US"/>
              </w:rPr>
            </w:pPr>
            <w:r w:rsidRPr="00071855">
              <w:rPr>
                <w:lang w:val="en-US"/>
              </w:rPr>
              <w:t>Section Changed</w:t>
            </w:r>
          </w:p>
        </w:tc>
        <w:tc>
          <w:tcPr>
            <w:tcW w:w="7630" w:type="dxa"/>
            <w:shd w:val="clear" w:color="auto" w:fill="F2F2F2" w:themeFill="background1" w:themeFillShade="F2"/>
            <w:vAlign w:val="center"/>
          </w:tcPr>
          <w:p w14:paraId="6F5C571C" w14:textId="77777777" w:rsidR="00FE2F34" w:rsidRPr="00071855" w:rsidRDefault="00FE2F34" w:rsidP="0054548A">
            <w:pPr>
              <w:cnfStyle w:val="100000000000" w:firstRow="1" w:lastRow="0" w:firstColumn="0" w:lastColumn="0" w:oddVBand="0" w:evenVBand="0" w:oddHBand="0" w:evenHBand="0" w:firstRowFirstColumn="0" w:firstRowLastColumn="0" w:lastRowFirstColumn="0" w:lastRowLastColumn="0"/>
              <w:rPr>
                <w:lang w:val="en-US"/>
              </w:rPr>
            </w:pPr>
            <w:r w:rsidRPr="00071855">
              <w:rPr>
                <w:lang w:val="en-US"/>
              </w:rPr>
              <w:t>Summary of new information</w:t>
            </w:r>
          </w:p>
        </w:tc>
      </w:tr>
      <w:tr w:rsidR="00FE2F34" w:rsidRPr="00071855" w14:paraId="0E5C4A3E" w14:textId="77777777" w:rsidTr="0054548A">
        <w:tc>
          <w:tcPr>
            <w:cnfStyle w:val="001000000000" w:firstRow="0" w:lastRow="0" w:firstColumn="1" w:lastColumn="0" w:oddVBand="0" w:evenVBand="0" w:oddHBand="0" w:evenHBand="0" w:firstRowFirstColumn="0" w:firstRowLastColumn="0" w:lastRowFirstColumn="0" w:lastRowLastColumn="0"/>
            <w:tcW w:w="1376" w:type="dxa"/>
            <w:vAlign w:val="center"/>
          </w:tcPr>
          <w:p w14:paraId="7F657184" w14:textId="2C37A811" w:rsidR="00FE2F34" w:rsidRPr="00071855" w:rsidRDefault="00FE2F34" w:rsidP="0054548A">
            <w:pPr>
              <w:rPr>
                <w:lang w:val="en-US"/>
              </w:rPr>
            </w:pPr>
          </w:p>
        </w:tc>
        <w:tc>
          <w:tcPr>
            <w:tcW w:w="7630" w:type="dxa"/>
            <w:vAlign w:val="center"/>
          </w:tcPr>
          <w:p w14:paraId="71C0D946" w14:textId="255992E2" w:rsidR="00FE2F34" w:rsidRPr="00D029A8" w:rsidRDefault="00FE2F34" w:rsidP="0054548A">
            <w:pPr>
              <w:cnfStyle w:val="000000000000" w:firstRow="0" w:lastRow="0" w:firstColumn="0" w:lastColumn="0" w:oddVBand="0" w:evenVBand="0" w:oddHBand="0" w:evenHBand="0" w:firstRowFirstColumn="0" w:firstRowLastColumn="0" w:lastRowFirstColumn="0" w:lastRowLastColumn="0"/>
            </w:pPr>
            <w:r w:rsidRPr="0054548A">
              <w:t>Not appli</w:t>
            </w:r>
            <w:r w:rsidRPr="00522F2E">
              <w:t>cable – First version</w:t>
            </w:r>
          </w:p>
        </w:tc>
      </w:tr>
    </w:tbl>
    <w:p w14:paraId="5765942F" w14:textId="77777777" w:rsidR="00FE2F34" w:rsidRDefault="00FE2F34" w:rsidP="00192B58">
      <w:pPr>
        <w:rPr>
          <w:lang w:eastAsia="en-AU"/>
        </w:rPr>
      </w:pPr>
    </w:p>
    <w:p w14:paraId="7A2F4296" w14:textId="0598F116" w:rsidR="002E386C" w:rsidRPr="00AF2C08" w:rsidRDefault="002E386C" w:rsidP="00192B58">
      <w:pPr>
        <w:rPr>
          <w:lang w:eastAsia="en-AU"/>
        </w:rPr>
      </w:pPr>
      <w:r w:rsidRPr="00AF2C08">
        <w:rPr>
          <w:lang w:eastAsia="en-AU"/>
        </w:rPr>
        <w:t>Trademarks are owned by or licensed to the ViiV Healthcare group of companies.</w:t>
      </w:r>
    </w:p>
    <w:p w14:paraId="021A64BD" w14:textId="07B91D4F" w:rsidR="002E386C" w:rsidRPr="00AF2C08" w:rsidRDefault="00406A63" w:rsidP="00192B58">
      <w:pPr>
        <w:rPr>
          <w:lang w:eastAsia="en-AU"/>
        </w:rPr>
      </w:pPr>
      <w:r>
        <w:rPr>
          <w:lang w:eastAsia="en-AU"/>
        </w:rPr>
        <w:t>© 201</w:t>
      </w:r>
      <w:r w:rsidR="00B47382">
        <w:rPr>
          <w:lang w:eastAsia="en-AU"/>
        </w:rPr>
        <w:t>9</w:t>
      </w:r>
      <w:r w:rsidR="002E386C" w:rsidRPr="00AF2C08">
        <w:rPr>
          <w:lang w:eastAsia="en-AU"/>
        </w:rPr>
        <w:t xml:space="preserve"> ViiV Healthcare group</w:t>
      </w:r>
      <w:r w:rsidR="005B7E4D">
        <w:rPr>
          <w:lang w:eastAsia="en-AU"/>
        </w:rPr>
        <w:t xml:space="preserve"> of companies or its licensor. </w:t>
      </w:r>
      <w:r w:rsidR="002E386C" w:rsidRPr="00AF2C08">
        <w:rPr>
          <w:lang w:eastAsia="en-AU"/>
        </w:rPr>
        <w:t>All rights reserved.</w:t>
      </w:r>
    </w:p>
    <w:p w14:paraId="49975E08" w14:textId="058074C0" w:rsidR="002E386C" w:rsidRPr="00AF2C08" w:rsidRDefault="002E386C" w:rsidP="00192B58">
      <w:pPr>
        <w:rPr>
          <w:lang w:eastAsia="en-AU"/>
        </w:rPr>
      </w:pPr>
      <w:r w:rsidRPr="00AF2C08">
        <w:rPr>
          <w:lang w:eastAsia="en-AU"/>
        </w:rPr>
        <w:t>Version 1.0</w:t>
      </w:r>
    </w:p>
    <w:sectPr w:rsidR="002E386C" w:rsidRPr="00AF2C08" w:rsidSect="007B3FA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A8B62" w14:textId="77777777" w:rsidR="0054548A" w:rsidRDefault="0054548A" w:rsidP="00192B58">
      <w:r>
        <w:separator/>
      </w:r>
    </w:p>
    <w:p w14:paraId="28520991" w14:textId="77777777" w:rsidR="0054548A" w:rsidRDefault="0054548A" w:rsidP="00192B58"/>
  </w:endnote>
  <w:endnote w:type="continuationSeparator" w:id="0">
    <w:p w14:paraId="05E7CEF6" w14:textId="77777777" w:rsidR="0054548A" w:rsidRDefault="0054548A" w:rsidP="00192B58">
      <w:r>
        <w:continuationSeparator/>
      </w:r>
    </w:p>
    <w:p w14:paraId="28FB60DA" w14:textId="77777777" w:rsidR="0054548A" w:rsidRDefault="0054548A" w:rsidP="00192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34DCA" w14:textId="77777777" w:rsidR="00816B61" w:rsidRDefault="00816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090535"/>
      <w:docPartObj>
        <w:docPartGallery w:val="Page Numbers (Bottom of Page)"/>
        <w:docPartUnique/>
      </w:docPartObj>
    </w:sdtPr>
    <w:sdtEndPr>
      <w:rPr>
        <w:noProof/>
      </w:rPr>
    </w:sdtEndPr>
    <w:sdtContent>
      <w:p w14:paraId="36173261" w14:textId="75B82D1E" w:rsidR="0054548A" w:rsidRDefault="0054548A" w:rsidP="00ED692A">
        <w:pPr>
          <w:pStyle w:val="Footer"/>
          <w:jc w:val="center"/>
        </w:pPr>
        <w:r>
          <w:fldChar w:fldCharType="begin"/>
        </w:r>
        <w:r>
          <w:instrText xml:space="preserve"> PAGE   \* MERGEFORMAT </w:instrText>
        </w:r>
        <w:r>
          <w:fldChar w:fldCharType="separate"/>
        </w:r>
        <w:r w:rsidR="00AB54AF">
          <w:rPr>
            <w:noProof/>
          </w:rPr>
          <w:t>1</w:t>
        </w:r>
        <w:r>
          <w:fldChar w:fldCharType="end"/>
        </w:r>
      </w:p>
    </w:sdtContent>
  </w:sdt>
  <w:p w14:paraId="32F474BA" w14:textId="77777777" w:rsidR="0054548A" w:rsidRDefault="0054548A" w:rsidP="00192B5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C7161" w14:textId="77777777" w:rsidR="00816B61" w:rsidRDefault="00816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D0825" w14:textId="77777777" w:rsidR="0054548A" w:rsidRDefault="0054548A" w:rsidP="00192B58">
      <w:r>
        <w:separator/>
      </w:r>
    </w:p>
    <w:p w14:paraId="4C7E6721" w14:textId="77777777" w:rsidR="0054548A" w:rsidRDefault="0054548A" w:rsidP="00192B58"/>
  </w:footnote>
  <w:footnote w:type="continuationSeparator" w:id="0">
    <w:p w14:paraId="51AA16AF" w14:textId="77777777" w:rsidR="0054548A" w:rsidRDefault="0054548A" w:rsidP="00192B58">
      <w:r>
        <w:continuationSeparator/>
      </w:r>
    </w:p>
    <w:p w14:paraId="053513F7" w14:textId="77777777" w:rsidR="0054548A" w:rsidRDefault="0054548A" w:rsidP="00192B5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34FBF" w14:textId="77777777" w:rsidR="00816B61" w:rsidRDefault="00816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816B61" w:rsidRPr="001C184C" w14:paraId="291960BC" w14:textId="77777777" w:rsidTr="00613D95">
      <w:tc>
        <w:tcPr>
          <w:tcW w:w="8720" w:type="dxa"/>
          <w:shd w:val="clear" w:color="auto" w:fill="E4F2E0"/>
        </w:tcPr>
        <w:p w14:paraId="774EE7A3" w14:textId="77777777" w:rsidR="00816B61" w:rsidRPr="001C184C" w:rsidRDefault="00816B61" w:rsidP="00816B61">
          <w:pPr>
            <w:pStyle w:val="Footer"/>
            <w:rPr>
              <w:b/>
              <w:sz w:val="18"/>
              <w:szCs w:val="18"/>
            </w:rPr>
          </w:pPr>
          <w:r w:rsidRPr="001C184C">
            <w:rPr>
              <w:b/>
              <w:sz w:val="18"/>
              <w:szCs w:val="18"/>
            </w:rPr>
            <w:t xml:space="preserve">Attachment 1: Product </w:t>
          </w:r>
          <w:r w:rsidRPr="00A313C5">
            <w:rPr>
              <w:b/>
              <w:sz w:val="18"/>
              <w:szCs w:val="18"/>
            </w:rPr>
            <w:t xml:space="preserve">AusPAR - DOVATO - </w:t>
          </w:r>
          <w:proofErr w:type="spellStart"/>
          <w:r w:rsidRPr="00A313C5">
            <w:rPr>
              <w:b/>
              <w:sz w:val="18"/>
              <w:szCs w:val="18"/>
            </w:rPr>
            <w:t>Dolutegravir</w:t>
          </w:r>
          <w:proofErr w:type="spellEnd"/>
          <w:r w:rsidRPr="00A313C5">
            <w:rPr>
              <w:b/>
              <w:sz w:val="18"/>
              <w:szCs w:val="18"/>
            </w:rPr>
            <w:t xml:space="preserve"> and lamivudine - </w:t>
          </w:r>
          <w:proofErr w:type="spellStart"/>
          <w:r w:rsidRPr="00A313C5">
            <w:rPr>
              <w:b/>
              <w:sz w:val="18"/>
              <w:szCs w:val="18"/>
            </w:rPr>
            <w:t>ViiV</w:t>
          </w:r>
          <w:proofErr w:type="spellEnd"/>
          <w:r w:rsidRPr="00A313C5">
            <w:rPr>
              <w:b/>
              <w:sz w:val="18"/>
              <w:szCs w:val="18"/>
            </w:rPr>
            <w:t xml:space="preserve"> Healthcare Pty Ltd - PM-2018-04002-1-2</w:t>
          </w:r>
          <w:r>
            <w:rPr>
              <w:b/>
              <w:sz w:val="18"/>
              <w:szCs w:val="18"/>
            </w:rPr>
            <w:t xml:space="preserve"> </w:t>
          </w:r>
          <w:r w:rsidRPr="00A313C5">
            <w:rPr>
              <w:b/>
              <w:sz w:val="18"/>
              <w:szCs w:val="18"/>
            </w:rPr>
            <w:t>FINAL 4 December 2019</w:t>
          </w:r>
          <w:r w:rsidRPr="001C184C">
            <w:rPr>
              <w:b/>
              <w:sz w:val="18"/>
              <w:szCs w:val="18"/>
            </w:rPr>
            <w:t>. This Product information was approved at the time this AusPAR was published.</w:t>
          </w:r>
        </w:p>
      </w:tc>
    </w:tr>
  </w:tbl>
  <w:p w14:paraId="739960F1" w14:textId="77777777" w:rsidR="00816B61" w:rsidRDefault="00816B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C3168" w14:textId="77777777" w:rsidR="00816B61" w:rsidRDefault="00816B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DA47BA4"/>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1" w15:restartNumberingAfterBreak="0">
    <w:nsid w:val="00000002"/>
    <w:multiLevelType w:val="multilevel"/>
    <w:tmpl w:val="C7C69A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0000003"/>
    <w:multiLevelType w:val="multilevel"/>
    <w:tmpl w:val="6F407D8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0000004"/>
    <w:multiLevelType w:val="multilevel"/>
    <w:tmpl w:val="028AE05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0000005"/>
    <w:multiLevelType w:val="multilevel"/>
    <w:tmpl w:val="2536127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00000006"/>
    <w:multiLevelType w:val="multilevel"/>
    <w:tmpl w:val="00C84D44"/>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0000007"/>
    <w:multiLevelType w:val="multilevel"/>
    <w:tmpl w:val="BEE28A60"/>
    <w:lvl w:ilvl="0">
      <w:start w:val="1"/>
      <w:numFmt w:val="decimal"/>
      <w:lvlText w:val="Note %1:"/>
      <w:lvlJc w:val="left"/>
      <w:pPr>
        <w:ind w:left="1021" w:hanging="1021"/>
      </w:pPr>
      <w:rPr>
        <w:rFonts w:ascii="Cambria" w:eastAsia="Cambria" w:hAnsi="Cambria" w:cs="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000008"/>
    <w:multiLevelType w:val="multilevel"/>
    <w:tmpl w:val="26F6355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00000009"/>
    <w:multiLevelType w:val="multilevel"/>
    <w:tmpl w:val="BF72170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000000A"/>
    <w:multiLevelType w:val="multilevel"/>
    <w:tmpl w:val="01F807AA"/>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0000000B"/>
    <w:multiLevelType w:val="multilevel"/>
    <w:tmpl w:val="4F84FAC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0000000C"/>
    <w:multiLevelType w:val="multilevel"/>
    <w:tmpl w:val="6E70207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17B07557"/>
    <w:multiLevelType w:val="hybridMultilevel"/>
    <w:tmpl w:val="D6ECC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7E07A7"/>
    <w:multiLevelType w:val="hybridMultilevel"/>
    <w:tmpl w:val="8450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B34CF"/>
    <w:multiLevelType w:val="hybridMultilevel"/>
    <w:tmpl w:val="3FDC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717A2C"/>
    <w:multiLevelType w:val="hybridMultilevel"/>
    <w:tmpl w:val="3D68515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7CA51324"/>
    <w:multiLevelType w:val="hybridMultilevel"/>
    <w:tmpl w:val="E102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6"/>
  </w:num>
  <w:num w:numId="14">
    <w:abstractNumId w:val="13"/>
  </w:num>
  <w:num w:numId="15">
    <w:abstractNumId w:val="14"/>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16B"/>
    <w:rsid w:val="000012A5"/>
    <w:rsid w:val="00003533"/>
    <w:rsid w:val="000037DF"/>
    <w:rsid w:val="000052BF"/>
    <w:rsid w:val="000053DA"/>
    <w:rsid w:val="00005803"/>
    <w:rsid w:val="00005AB8"/>
    <w:rsid w:val="00007CB7"/>
    <w:rsid w:val="00010830"/>
    <w:rsid w:val="00020F64"/>
    <w:rsid w:val="00023A08"/>
    <w:rsid w:val="00024538"/>
    <w:rsid w:val="00024896"/>
    <w:rsid w:val="000248F0"/>
    <w:rsid w:val="00025973"/>
    <w:rsid w:val="0003378D"/>
    <w:rsid w:val="000343F2"/>
    <w:rsid w:val="00036009"/>
    <w:rsid w:val="0004112B"/>
    <w:rsid w:val="0004222B"/>
    <w:rsid w:val="0004285D"/>
    <w:rsid w:val="00043657"/>
    <w:rsid w:val="00051D04"/>
    <w:rsid w:val="00051DBE"/>
    <w:rsid w:val="000527DF"/>
    <w:rsid w:val="00061ABD"/>
    <w:rsid w:val="00061F6C"/>
    <w:rsid w:val="000635D4"/>
    <w:rsid w:val="00073082"/>
    <w:rsid w:val="000764BB"/>
    <w:rsid w:val="000825EE"/>
    <w:rsid w:val="00082D3B"/>
    <w:rsid w:val="00086151"/>
    <w:rsid w:val="00087F8F"/>
    <w:rsid w:val="000918DF"/>
    <w:rsid w:val="00094CC9"/>
    <w:rsid w:val="000968C1"/>
    <w:rsid w:val="00096CFC"/>
    <w:rsid w:val="000A11AB"/>
    <w:rsid w:val="000A3EF9"/>
    <w:rsid w:val="000A660D"/>
    <w:rsid w:val="000B0CAA"/>
    <w:rsid w:val="000B10F5"/>
    <w:rsid w:val="000B3CC6"/>
    <w:rsid w:val="000C00F4"/>
    <w:rsid w:val="000C3D10"/>
    <w:rsid w:val="000D4883"/>
    <w:rsid w:val="000E0B16"/>
    <w:rsid w:val="000E14D3"/>
    <w:rsid w:val="000E37A5"/>
    <w:rsid w:val="000E3F8A"/>
    <w:rsid w:val="000E4387"/>
    <w:rsid w:val="000E495A"/>
    <w:rsid w:val="000E564B"/>
    <w:rsid w:val="00104FCC"/>
    <w:rsid w:val="001079C2"/>
    <w:rsid w:val="001171D0"/>
    <w:rsid w:val="00121045"/>
    <w:rsid w:val="00122475"/>
    <w:rsid w:val="00126668"/>
    <w:rsid w:val="00137386"/>
    <w:rsid w:val="00140847"/>
    <w:rsid w:val="00143D34"/>
    <w:rsid w:val="001463B9"/>
    <w:rsid w:val="00146C02"/>
    <w:rsid w:val="00146E56"/>
    <w:rsid w:val="001478C2"/>
    <w:rsid w:val="0015163E"/>
    <w:rsid w:val="00151964"/>
    <w:rsid w:val="0015209F"/>
    <w:rsid w:val="001617E4"/>
    <w:rsid w:val="00167BAE"/>
    <w:rsid w:val="00170C29"/>
    <w:rsid w:val="00171CBC"/>
    <w:rsid w:val="00172E0A"/>
    <w:rsid w:val="00173CAE"/>
    <w:rsid w:val="00176731"/>
    <w:rsid w:val="0018182D"/>
    <w:rsid w:val="001824CE"/>
    <w:rsid w:val="0018510B"/>
    <w:rsid w:val="0019232A"/>
    <w:rsid w:val="00192B58"/>
    <w:rsid w:val="00192C18"/>
    <w:rsid w:val="00197795"/>
    <w:rsid w:val="001A2EBC"/>
    <w:rsid w:val="001A3658"/>
    <w:rsid w:val="001A76F0"/>
    <w:rsid w:val="001B06D2"/>
    <w:rsid w:val="001B2848"/>
    <w:rsid w:val="001B679F"/>
    <w:rsid w:val="001B6DE8"/>
    <w:rsid w:val="001D3B94"/>
    <w:rsid w:val="001E799A"/>
    <w:rsid w:val="001F0199"/>
    <w:rsid w:val="001F1F06"/>
    <w:rsid w:val="001F3C32"/>
    <w:rsid w:val="001F56FA"/>
    <w:rsid w:val="001F58E9"/>
    <w:rsid w:val="00201AF7"/>
    <w:rsid w:val="00203786"/>
    <w:rsid w:val="002048F8"/>
    <w:rsid w:val="0021079F"/>
    <w:rsid w:val="002156DB"/>
    <w:rsid w:val="002169FD"/>
    <w:rsid w:val="00217F3B"/>
    <w:rsid w:val="00221B3D"/>
    <w:rsid w:val="00222524"/>
    <w:rsid w:val="00222B7E"/>
    <w:rsid w:val="002237E9"/>
    <w:rsid w:val="00223876"/>
    <w:rsid w:val="002239D8"/>
    <w:rsid w:val="0022506A"/>
    <w:rsid w:val="00232D8B"/>
    <w:rsid w:val="00232F20"/>
    <w:rsid w:val="00234C27"/>
    <w:rsid w:val="00253D6C"/>
    <w:rsid w:val="0026169B"/>
    <w:rsid w:val="00261E73"/>
    <w:rsid w:val="00277597"/>
    <w:rsid w:val="0028153E"/>
    <w:rsid w:val="00283AE9"/>
    <w:rsid w:val="002861E2"/>
    <w:rsid w:val="002878A6"/>
    <w:rsid w:val="0029124B"/>
    <w:rsid w:val="00293B3E"/>
    <w:rsid w:val="00293B6A"/>
    <w:rsid w:val="002A0CF1"/>
    <w:rsid w:val="002A5185"/>
    <w:rsid w:val="002B248B"/>
    <w:rsid w:val="002B5743"/>
    <w:rsid w:val="002C0D7F"/>
    <w:rsid w:val="002C6616"/>
    <w:rsid w:val="002D0F38"/>
    <w:rsid w:val="002D37B9"/>
    <w:rsid w:val="002D560E"/>
    <w:rsid w:val="002D5AA2"/>
    <w:rsid w:val="002D78DE"/>
    <w:rsid w:val="002E13DF"/>
    <w:rsid w:val="002E22E9"/>
    <w:rsid w:val="002E3224"/>
    <w:rsid w:val="002E386C"/>
    <w:rsid w:val="002E769D"/>
    <w:rsid w:val="002F0E7F"/>
    <w:rsid w:val="002F1667"/>
    <w:rsid w:val="002F512E"/>
    <w:rsid w:val="00301199"/>
    <w:rsid w:val="00303EAD"/>
    <w:rsid w:val="003050EB"/>
    <w:rsid w:val="00306F31"/>
    <w:rsid w:val="0032294A"/>
    <w:rsid w:val="003235DF"/>
    <w:rsid w:val="00330935"/>
    <w:rsid w:val="00335212"/>
    <w:rsid w:val="0033599C"/>
    <w:rsid w:val="0034183B"/>
    <w:rsid w:val="00341A49"/>
    <w:rsid w:val="00351F35"/>
    <w:rsid w:val="0035572E"/>
    <w:rsid w:val="0036091F"/>
    <w:rsid w:val="00364EDE"/>
    <w:rsid w:val="00365966"/>
    <w:rsid w:val="003666B4"/>
    <w:rsid w:val="003750A2"/>
    <w:rsid w:val="00377BE3"/>
    <w:rsid w:val="00380521"/>
    <w:rsid w:val="00380DC7"/>
    <w:rsid w:val="00383790"/>
    <w:rsid w:val="00385394"/>
    <w:rsid w:val="00386F41"/>
    <w:rsid w:val="003872B5"/>
    <w:rsid w:val="003A096D"/>
    <w:rsid w:val="003B29EE"/>
    <w:rsid w:val="003B33AF"/>
    <w:rsid w:val="003B40E7"/>
    <w:rsid w:val="003C14B0"/>
    <w:rsid w:val="003C4315"/>
    <w:rsid w:val="003D01B0"/>
    <w:rsid w:val="003D316B"/>
    <w:rsid w:val="003D485F"/>
    <w:rsid w:val="003E0209"/>
    <w:rsid w:val="003E0439"/>
    <w:rsid w:val="003E19B5"/>
    <w:rsid w:val="003E241C"/>
    <w:rsid w:val="003E562E"/>
    <w:rsid w:val="003E5D1A"/>
    <w:rsid w:val="003E6745"/>
    <w:rsid w:val="003F22CA"/>
    <w:rsid w:val="003F4BF6"/>
    <w:rsid w:val="003F6F52"/>
    <w:rsid w:val="003F7694"/>
    <w:rsid w:val="003F792E"/>
    <w:rsid w:val="004004E5"/>
    <w:rsid w:val="00400DDC"/>
    <w:rsid w:val="0040352D"/>
    <w:rsid w:val="00403F89"/>
    <w:rsid w:val="004068AA"/>
    <w:rsid w:val="00406A63"/>
    <w:rsid w:val="0041064A"/>
    <w:rsid w:val="004109F2"/>
    <w:rsid w:val="00410EF5"/>
    <w:rsid w:val="00411F55"/>
    <w:rsid w:val="004143A7"/>
    <w:rsid w:val="00416616"/>
    <w:rsid w:val="004223CA"/>
    <w:rsid w:val="004226A0"/>
    <w:rsid w:val="00422AC3"/>
    <w:rsid w:val="004240F1"/>
    <w:rsid w:val="00427C68"/>
    <w:rsid w:val="00431227"/>
    <w:rsid w:val="00436E9A"/>
    <w:rsid w:val="0043711F"/>
    <w:rsid w:val="00441030"/>
    <w:rsid w:val="00441BAC"/>
    <w:rsid w:val="00445D66"/>
    <w:rsid w:val="00447467"/>
    <w:rsid w:val="004476B1"/>
    <w:rsid w:val="00452326"/>
    <w:rsid w:val="00455A4B"/>
    <w:rsid w:val="0045671F"/>
    <w:rsid w:val="00460184"/>
    <w:rsid w:val="00461D0D"/>
    <w:rsid w:val="00462342"/>
    <w:rsid w:val="0046502A"/>
    <w:rsid w:val="00466C86"/>
    <w:rsid w:val="00467186"/>
    <w:rsid w:val="00467909"/>
    <w:rsid w:val="00467C54"/>
    <w:rsid w:val="00475036"/>
    <w:rsid w:val="00475ECD"/>
    <w:rsid w:val="0048002D"/>
    <w:rsid w:val="00481845"/>
    <w:rsid w:val="00481A7C"/>
    <w:rsid w:val="00484FDD"/>
    <w:rsid w:val="004857BD"/>
    <w:rsid w:val="004870A3"/>
    <w:rsid w:val="0049247C"/>
    <w:rsid w:val="00496801"/>
    <w:rsid w:val="004A09A2"/>
    <w:rsid w:val="004A0ABA"/>
    <w:rsid w:val="004A4ECF"/>
    <w:rsid w:val="004A7F9F"/>
    <w:rsid w:val="004B0071"/>
    <w:rsid w:val="004B488D"/>
    <w:rsid w:val="004B7D6D"/>
    <w:rsid w:val="004B7E54"/>
    <w:rsid w:val="004D1C91"/>
    <w:rsid w:val="004D5974"/>
    <w:rsid w:val="004D5F3A"/>
    <w:rsid w:val="004D6038"/>
    <w:rsid w:val="004D6DD2"/>
    <w:rsid w:val="004E21F1"/>
    <w:rsid w:val="004E25E7"/>
    <w:rsid w:val="004E3172"/>
    <w:rsid w:val="004E5B0A"/>
    <w:rsid w:val="004F167E"/>
    <w:rsid w:val="004F46AB"/>
    <w:rsid w:val="00500608"/>
    <w:rsid w:val="0050608C"/>
    <w:rsid w:val="00506A2F"/>
    <w:rsid w:val="0051006F"/>
    <w:rsid w:val="00520054"/>
    <w:rsid w:val="00522EAB"/>
    <w:rsid w:val="00522F2E"/>
    <w:rsid w:val="005318C6"/>
    <w:rsid w:val="00535A44"/>
    <w:rsid w:val="005376B4"/>
    <w:rsid w:val="00537D02"/>
    <w:rsid w:val="005406E3"/>
    <w:rsid w:val="00540776"/>
    <w:rsid w:val="00542B2C"/>
    <w:rsid w:val="0054348C"/>
    <w:rsid w:val="0054548A"/>
    <w:rsid w:val="00552C24"/>
    <w:rsid w:val="00553EAB"/>
    <w:rsid w:val="00557F4C"/>
    <w:rsid w:val="005663F4"/>
    <w:rsid w:val="00577674"/>
    <w:rsid w:val="0058061B"/>
    <w:rsid w:val="00586E0B"/>
    <w:rsid w:val="00596EF9"/>
    <w:rsid w:val="005A527F"/>
    <w:rsid w:val="005A6D8A"/>
    <w:rsid w:val="005A6E01"/>
    <w:rsid w:val="005B2C85"/>
    <w:rsid w:val="005B5661"/>
    <w:rsid w:val="005B607C"/>
    <w:rsid w:val="005B70BC"/>
    <w:rsid w:val="005B7E4D"/>
    <w:rsid w:val="005C173F"/>
    <w:rsid w:val="005C203B"/>
    <w:rsid w:val="005C4754"/>
    <w:rsid w:val="005C67E4"/>
    <w:rsid w:val="005D24A7"/>
    <w:rsid w:val="005D2E6D"/>
    <w:rsid w:val="005D48B0"/>
    <w:rsid w:val="005E0A0A"/>
    <w:rsid w:val="005F3307"/>
    <w:rsid w:val="005F401E"/>
    <w:rsid w:val="005F48D7"/>
    <w:rsid w:val="005F5D07"/>
    <w:rsid w:val="005F7A3C"/>
    <w:rsid w:val="006030EB"/>
    <w:rsid w:val="00607258"/>
    <w:rsid w:val="006150B5"/>
    <w:rsid w:val="00627285"/>
    <w:rsid w:val="00633675"/>
    <w:rsid w:val="00634AC7"/>
    <w:rsid w:val="00645722"/>
    <w:rsid w:val="00652869"/>
    <w:rsid w:val="006555CA"/>
    <w:rsid w:val="00656BF1"/>
    <w:rsid w:val="006645D1"/>
    <w:rsid w:val="006664C0"/>
    <w:rsid w:val="00671073"/>
    <w:rsid w:val="00674F69"/>
    <w:rsid w:val="00676643"/>
    <w:rsid w:val="00677D05"/>
    <w:rsid w:val="00683D35"/>
    <w:rsid w:val="00687AB5"/>
    <w:rsid w:val="00692528"/>
    <w:rsid w:val="00692966"/>
    <w:rsid w:val="006A00AC"/>
    <w:rsid w:val="006A3188"/>
    <w:rsid w:val="006A3690"/>
    <w:rsid w:val="006A37AF"/>
    <w:rsid w:val="006A3B4A"/>
    <w:rsid w:val="006A4D3D"/>
    <w:rsid w:val="006A58B6"/>
    <w:rsid w:val="006A756F"/>
    <w:rsid w:val="006B665A"/>
    <w:rsid w:val="006C1668"/>
    <w:rsid w:val="006C475C"/>
    <w:rsid w:val="006C6D94"/>
    <w:rsid w:val="006D3A5E"/>
    <w:rsid w:val="006D6008"/>
    <w:rsid w:val="006E1870"/>
    <w:rsid w:val="006E29E7"/>
    <w:rsid w:val="006E438B"/>
    <w:rsid w:val="007022BB"/>
    <w:rsid w:val="00711A15"/>
    <w:rsid w:val="00723AFB"/>
    <w:rsid w:val="00726952"/>
    <w:rsid w:val="007271A4"/>
    <w:rsid w:val="00746595"/>
    <w:rsid w:val="0075157C"/>
    <w:rsid w:val="0075330D"/>
    <w:rsid w:val="007541BE"/>
    <w:rsid w:val="00754ABB"/>
    <w:rsid w:val="007568A0"/>
    <w:rsid w:val="0075725E"/>
    <w:rsid w:val="0075769B"/>
    <w:rsid w:val="00765EED"/>
    <w:rsid w:val="007678F9"/>
    <w:rsid w:val="007716AB"/>
    <w:rsid w:val="00771EEE"/>
    <w:rsid w:val="00773070"/>
    <w:rsid w:val="007760E3"/>
    <w:rsid w:val="00776140"/>
    <w:rsid w:val="00776CE8"/>
    <w:rsid w:val="00785DC2"/>
    <w:rsid w:val="007921D5"/>
    <w:rsid w:val="00792499"/>
    <w:rsid w:val="00792AF8"/>
    <w:rsid w:val="00793505"/>
    <w:rsid w:val="00795C0E"/>
    <w:rsid w:val="00797F68"/>
    <w:rsid w:val="007A2647"/>
    <w:rsid w:val="007A41C8"/>
    <w:rsid w:val="007A52F2"/>
    <w:rsid w:val="007A6635"/>
    <w:rsid w:val="007B0F9A"/>
    <w:rsid w:val="007B2D9A"/>
    <w:rsid w:val="007B3FA0"/>
    <w:rsid w:val="007B4BA1"/>
    <w:rsid w:val="007B59AE"/>
    <w:rsid w:val="007B63F7"/>
    <w:rsid w:val="007B6E30"/>
    <w:rsid w:val="007C6294"/>
    <w:rsid w:val="007D0226"/>
    <w:rsid w:val="007D0369"/>
    <w:rsid w:val="007D303A"/>
    <w:rsid w:val="007D5638"/>
    <w:rsid w:val="007D6220"/>
    <w:rsid w:val="007E3DAA"/>
    <w:rsid w:val="007E4446"/>
    <w:rsid w:val="007E7891"/>
    <w:rsid w:val="007F2549"/>
    <w:rsid w:val="007F2F73"/>
    <w:rsid w:val="007F5E3C"/>
    <w:rsid w:val="007F6C68"/>
    <w:rsid w:val="008004B4"/>
    <w:rsid w:val="008030CA"/>
    <w:rsid w:val="008035DC"/>
    <w:rsid w:val="0080556D"/>
    <w:rsid w:val="0080762A"/>
    <w:rsid w:val="00810F39"/>
    <w:rsid w:val="00815BD2"/>
    <w:rsid w:val="00816B61"/>
    <w:rsid w:val="0082617E"/>
    <w:rsid w:val="00831982"/>
    <w:rsid w:val="008327C7"/>
    <w:rsid w:val="0083511F"/>
    <w:rsid w:val="00843E19"/>
    <w:rsid w:val="008474E2"/>
    <w:rsid w:val="00855037"/>
    <w:rsid w:val="008662F1"/>
    <w:rsid w:val="0086772F"/>
    <w:rsid w:val="00872A9A"/>
    <w:rsid w:val="008738F3"/>
    <w:rsid w:val="008774FC"/>
    <w:rsid w:val="008807D3"/>
    <w:rsid w:val="00882D1B"/>
    <w:rsid w:val="008A1289"/>
    <w:rsid w:val="008A379A"/>
    <w:rsid w:val="008A5F5C"/>
    <w:rsid w:val="008A75D9"/>
    <w:rsid w:val="008B2F1E"/>
    <w:rsid w:val="008B5220"/>
    <w:rsid w:val="008B53ED"/>
    <w:rsid w:val="008B5415"/>
    <w:rsid w:val="008B5B06"/>
    <w:rsid w:val="008C17FC"/>
    <w:rsid w:val="008C1F3D"/>
    <w:rsid w:val="008C2CE0"/>
    <w:rsid w:val="008C2EDE"/>
    <w:rsid w:val="008C4AEC"/>
    <w:rsid w:val="008C4F80"/>
    <w:rsid w:val="008C5BDB"/>
    <w:rsid w:val="008D643C"/>
    <w:rsid w:val="008D742A"/>
    <w:rsid w:val="008D7A27"/>
    <w:rsid w:val="008E0C81"/>
    <w:rsid w:val="008E233C"/>
    <w:rsid w:val="008F283F"/>
    <w:rsid w:val="008F3193"/>
    <w:rsid w:val="008F3A2B"/>
    <w:rsid w:val="008F738F"/>
    <w:rsid w:val="009010CD"/>
    <w:rsid w:val="00911E1B"/>
    <w:rsid w:val="009136A4"/>
    <w:rsid w:val="0091630E"/>
    <w:rsid w:val="0092168E"/>
    <w:rsid w:val="009250BC"/>
    <w:rsid w:val="009260AC"/>
    <w:rsid w:val="00931903"/>
    <w:rsid w:val="00933ACB"/>
    <w:rsid w:val="00934495"/>
    <w:rsid w:val="00937F85"/>
    <w:rsid w:val="00937FDD"/>
    <w:rsid w:val="009412C0"/>
    <w:rsid w:val="00951147"/>
    <w:rsid w:val="009548D6"/>
    <w:rsid w:val="00960F59"/>
    <w:rsid w:val="009639EC"/>
    <w:rsid w:val="00974510"/>
    <w:rsid w:val="009771DD"/>
    <w:rsid w:val="009811D6"/>
    <w:rsid w:val="009867A4"/>
    <w:rsid w:val="00996512"/>
    <w:rsid w:val="009968EC"/>
    <w:rsid w:val="009A4D2F"/>
    <w:rsid w:val="009A7559"/>
    <w:rsid w:val="009A7CC5"/>
    <w:rsid w:val="009B0DA3"/>
    <w:rsid w:val="009B4F87"/>
    <w:rsid w:val="009B6508"/>
    <w:rsid w:val="009C264C"/>
    <w:rsid w:val="009C2695"/>
    <w:rsid w:val="009C2DD9"/>
    <w:rsid w:val="009C427B"/>
    <w:rsid w:val="009C4995"/>
    <w:rsid w:val="009C7661"/>
    <w:rsid w:val="009C78A6"/>
    <w:rsid w:val="009E0760"/>
    <w:rsid w:val="009F0579"/>
    <w:rsid w:val="009F2FB7"/>
    <w:rsid w:val="009F327A"/>
    <w:rsid w:val="009F5E58"/>
    <w:rsid w:val="00A07645"/>
    <w:rsid w:val="00A101BE"/>
    <w:rsid w:val="00A108E0"/>
    <w:rsid w:val="00A11015"/>
    <w:rsid w:val="00A135EF"/>
    <w:rsid w:val="00A22BCD"/>
    <w:rsid w:val="00A26C69"/>
    <w:rsid w:val="00A27888"/>
    <w:rsid w:val="00A35061"/>
    <w:rsid w:val="00A40356"/>
    <w:rsid w:val="00A4331B"/>
    <w:rsid w:val="00A45F64"/>
    <w:rsid w:val="00A53834"/>
    <w:rsid w:val="00A55FF2"/>
    <w:rsid w:val="00A6640E"/>
    <w:rsid w:val="00A6658A"/>
    <w:rsid w:val="00A6660C"/>
    <w:rsid w:val="00A75A2D"/>
    <w:rsid w:val="00A76CA3"/>
    <w:rsid w:val="00A77D98"/>
    <w:rsid w:val="00A8073E"/>
    <w:rsid w:val="00A81540"/>
    <w:rsid w:val="00A871CB"/>
    <w:rsid w:val="00A9158F"/>
    <w:rsid w:val="00A916E1"/>
    <w:rsid w:val="00A93C3A"/>
    <w:rsid w:val="00A947AD"/>
    <w:rsid w:val="00A94DDE"/>
    <w:rsid w:val="00A959DE"/>
    <w:rsid w:val="00AA0580"/>
    <w:rsid w:val="00AA1596"/>
    <w:rsid w:val="00AA2EA4"/>
    <w:rsid w:val="00AA3DC2"/>
    <w:rsid w:val="00AA5CC1"/>
    <w:rsid w:val="00AB54AF"/>
    <w:rsid w:val="00AB7197"/>
    <w:rsid w:val="00AC67C6"/>
    <w:rsid w:val="00AD2810"/>
    <w:rsid w:val="00AD35DB"/>
    <w:rsid w:val="00AD6108"/>
    <w:rsid w:val="00AD7AB5"/>
    <w:rsid w:val="00AE5CC9"/>
    <w:rsid w:val="00AF2C08"/>
    <w:rsid w:val="00AF2DFA"/>
    <w:rsid w:val="00AF3C64"/>
    <w:rsid w:val="00AF5708"/>
    <w:rsid w:val="00AF6D26"/>
    <w:rsid w:val="00AF7C9E"/>
    <w:rsid w:val="00B03301"/>
    <w:rsid w:val="00B07FBC"/>
    <w:rsid w:val="00B118B9"/>
    <w:rsid w:val="00B11DD6"/>
    <w:rsid w:val="00B131DC"/>
    <w:rsid w:val="00B15E32"/>
    <w:rsid w:val="00B20715"/>
    <w:rsid w:val="00B21C33"/>
    <w:rsid w:val="00B259CA"/>
    <w:rsid w:val="00B32C7C"/>
    <w:rsid w:val="00B40081"/>
    <w:rsid w:val="00B40576"/>
    <w:rsid w:val="00B44260"/>
    <w:rsid w:val="00B45B8B"/>
    <w:rsid w:val="00B47382"/>
    <w:rsid w:val="00B501EF"/>
    <w:rsid w:val="00B54634"/>
    <w:rsid w:val="00B55E3B"/>
    <w:rsid w:val="00B624DA"/>
    <w:rsid w:val="00B64546"/>
    <w:rsid w:val="00B77BE2"/>
    <w:rsid w:val="00B84A56"/>
    <w:rsid w:val="00B861BE"/>
    <w:rsid w:val="00B86972"/>
    <w:rsid w:val="00B91D9C"/>
    <w:rsid w:val="00B92376"/>
    <w:rsid w:val="00B9280D"/>
    <w:rsid w:val="00BA0E0F"/>
    <w:rsid w:val="00BA0F52"/>
    <w:rsid w:val="00BB04EE"/>
    <w:rsid w:val="00BB0A27"/>
    <w:rsid w:val="00BB19AA"/>
    <w:rsid w:val="00BB1F88"/>
    <w:rsid w:val="00BB2089"/>
    <w:rsid w:val="00BB2A75"/>
    <w:rsid w:val="00BB37D7"/>
    <w:rsid w:val="00BC2DEE"/>
    <w:rsid w:val="00BD04E0"/>
    <w:rsid w:val="00BD1C29"/>
    <w:rsid w:val="00BD41C6"/>
    <w:rsid w:val="00BD46E2"/>
    <w:rsid w:val="00BD7A5F"/>
    <w:rsid w:val="00BE163C"/>
    <w:rsid w:val="00BE2A7D"/>
    <w:rsid w:val="00BE6FAB"/>
    <w:rsid w:val="00BE7D0C"/>
    <w:rsid w:val="00BF1480"/>
    <w:rsid w:val="00BF2B7A"/>
    <w:rsid w:val="00C019BD"/>
    <w:rsid w:val="00C031FF"/>
    <w:rsid w:val="00C03510"/>
    <w:rsid w:val="00C11F14"/>
    <w:rsid w:val="00C161D9"/>
    <w:rsid w:val="00C16696"/>
    <w:rsid w:val="00C21AB0"/>
    <w:rsid w:val="00C240FC"/>
    <w:rsid w:val="00C241C1"/>
    <w:rsid w:val="00C32E98"/>
    <w:rsid w:val="00C3594D"/>
    <w:rsid w:val="00C3764B"/>
    <w:rsid w:val="00C37E01"/>
    <w:rsid w:val="00C434B8"/>
    <w:rsid w:val="00C43669"/>
    <w:rsid w:val="00C43B43"/>
    <w:rsid w:val="00C5009F"/>
    <w:rsid w:val="00C52D6D"/>
    <w:rsid w:val="00C5726B"/>
    <w:rsid w:val="00C5794D"/>
    <w:rsid w:val="00C75F9C"/>
    <w:rsid w:val="00C767F7"/>
    <w:rsid w:val="00C7761B"/>
    <w:rsid w:val="00C806B7"/>
    <w:rsid w:val="00C80F1B"/>
    <w:rsid w:val="00C8308C"/>
    <w:rsid w:val="00C85609"/>
    <w:rsid w:val="00C85BFB"/>
    <w:rsid w:val="00C861A4"/>
    <w:rsid w:val="00C91780"/>
    <w:rsid w:val="00C95CCC"/>
    <w:rsid w:val="00C97964"/>
    <w:rsid w:val="00CB0908"/>
    <w:rsid w:val="00CC007F"/>
    <w:rsid w:val="00CC080A"/>
    <w:rsid w:val="00CC1903"/>
    <w:rsid w:val="00CC50FA"/>
    <w:rsid w:val="00CC599B"/>
    <w:rsid w:val="00CD24CA"/>
    <w:rsid w:val="00CD4739"/>
    <w:rsid w:val="00CD5CAE"/>
    <w:rsid w:val="00CD619C"/>
    <w:rsid w:val="00CD676A"/>
    <w:rsid w:val="00CD706C"/>
    <w:rsid w:val="00CE27F7"/>
    <w:rsid w:val="00CE3588"/>
    <w:rsid w:val="00CE431C"/>
    <w:rsid w:val="00CF0475"/>
    <w:rsid w:val="00CF4536"/>
    <w:rsid w:val="00CF6CAE"/>
    <w:rsid w:val="00D00468"/>
    <w:rsid w:val="00D0049E"/>
    <w:rsid w:val="00D00543"/>
    <w:rsid w:val="00D029A8"/>
    <w:rsid w:val="00D104A0"/>
    <w:rsid w:val="00D10926"/>
    <w:rsid w:val="00D12618"/>
    <w:rsid w:val="00D150E1"/>
    <w:rsid w:val="00D17EB5"/>
    <w:rsid w:val="00D20D17"/>
    <w:rsid w:val="00D21761"/>
    <w:rsid w:val="00D37F24"/>
    <w:rsid w:val="00D43BD2"/>
    <w:rsid w:val="00D47784"/>
    <w:rsid w:val="00D47B31"/>
    <w:rsid w:val="00D502F2"/>
    <w:rsid w:val="00D62862"/>
    <w:rsid w:val="00D64DCF"/>
    <w:rsid w:val="00D6537C"/>
    <w:rsid w:val="00D66960"/>
    <w:rsid w:val="00D67277"/>
    <w:rsid w:val="00D72570"/>
    <w:rsid w:val="00D73240"/>
    <w:rsid w:val="00D77CEE"/>
    <w:rsid w:val="00D80DEA"/>
    <w:rsid w:val="00D851FC"/>
    <w:rsid w:val="00D85564"/>
    <w:rsid w:val="00D86E6F"/>
    <w:rsid w:val="00D91A2D"/>
    <w:rsid w:val="00D94736"/>
    <w:rsid w:val="00DA1E99"/>
    <w:rsid w:val="00DA313D"/>
    <w:rsid w:val="00DA526F"/>
    <w:rsid w:val="00DB24C3"/>
    <w:rsid w:val="00DB6F22"/>
    <w:rsid w:val="00DC07C2"/>
    <w:rsid w:val="00DC26DE"/>
    <w:rsid w:val="00DC4612"/>
    <w:rsid w:val="00DC5CE9"/>
    <w:rsid w:val="00DC74E3"/>
    <w:rsid w:val="00DD67E9"/>
    <w:rsid w:val="00DE2E66"/>
    <w:rsid w:val="00DE45D0"/>
    <w:rsid w:val="00DF0BE9"/>
    <w:rsid w:val="00DF28F7"/>
    <w:rsid w:val="00DF2CB4"/>
    <w:rsid w:val="00DF7ACB"/>
    <w:rsid w:val="00E0041F"/>
    <w:rsid w:val="00E008DC"/>
    <w:rsid w:val="00E06551"/>
    <w:rsid w:val="00E06717"/>
    <w:rsid w:val="00E12955"/>
    <w:rsid w:val="00E13C46"/>
    <w:rsid w:val="00E14B8C"/>
    <w:rsid w:val="00E16CCB"/>
    <w:rsid w:val="00E20049"/>
    <w:rsid w:val="00E271DE"/>
    <w:rsid w:val="00E3044B"/>
    <w:rsid w:val="00E32023"/>
    <w:rsid w:val="00E40FBB"/>
    <w:rsid w:val="00E4121A"/>
    <w:rsid w:val="00E5034E"/>
    <w:rsid w:val="00E52B68"/>
    <w:rsid w:val="00E55733"/>
    <w:rsid w:val="00E56096"/>
    <w:rsid w:val="00E5710C"/>
    <w:rsid w:val="00E659D8"/>
    <w:rsid w:val="00E72358"/>
    <w:rsid w:val="00E770CB"/>
    <w:rsid w:val="00E80B25"/>
    <w:rsid w:val="00E816C3"/>
    <w:rsid w:val="00E825E3"/>
    <w:rsid w:val="00E82D5D"/>
    <w:rsid w:val="00E83038"/>
    <w:rsid w:val="00E84E5F"/>
    <w:rsid w:val="00E9067F"/>
    <w:rsid w:val="00E93F83"/>
    <w:rsid w:val="00E95193"/>
    <w:rsid w:val="00EA238F"/>
    <w:rsid w:val="00EA5330"/>
    <w:rsid w:val="00EA5995"/>
    <w:rsid w:val="00EA67AA"/>
    <w:rsid w:val="00EB0533"/>
    <w:rsid w:val="00EB6CF3"/>
    <w:rsid w:val="00EC2C94"/>
    <w:rsid w:val="00EC5F8D"/>
    <w:rsid w:val="00EC7C81"/>
    <w:rsid w:val="00ED0A45"/>
    <w:rsid w:val="00ED2DF8"/>
    <w:rsid w:val="00ED368F"/>
    <w:rsid w:val="00ED582D"/>
    <w:rsid w:val="00ED692A"/>
    <w:rsid w:val="00ED7224"/>
    <w:rsid w:val="00ED7288"/>
    <w:rsid w:val="00EF7BAB"/>
    <w:rsid w:val="00EF7BC9"/>
    <w:rsid w:val="00EF7CB7"/>
    <w:rsid w:val="00F01FE9"/>
    <w:rsid w:val="00F04370"/>
    <w:rsid w:val="00F07104"/>
    <w:rsid w:val="00F07511"/>
    <w:rsid w:val="00F10457"/>
    <w:rsid w:val="00F109A9"/>
    <w:rsid w:val="00F145CA"/>
    <w:rsid w:val="00F14D3B"/>
    <w:rsid w:val="00F172D1"/>
    <w:rsid w:val="00F22A76"/>
    <w:rsid w:val="00F26159"/>
    <w:rsid w:val="00F276E3"/>
    <w:rsid w:val="00F33DAC"/>
    <w:rsid w:val="00F34FB4"/>
    <w:rsid w:val="00F36937"/>
    <w:rsid w:val="00F40774"/>
    <w:rsid w:val="00F41336"/>
    <w:rsid w:val="00F44383"/>
    <w:rsid w:val="00F44A5D"/>
    <w:rsid w:val="00F631B8"/>
    <w:rsid w:val="00F6488F"/>
    <w:rsid w:val="00F67956"/>
    <w:rsid w:val="00F73344"/>
    <w:rsid w:val="00F74216"/>
    <w:rsid w:val="00F77AD3"/>
    <w:rsid w:val="00F80A39"/>
    <w:rsid w:val="00F82677"/>
    <w:rsid w:val="00F85BB5"/>
    <w:rsid w:val="00F869DD"/>
    <w:rsid w:val="00F86A87"/>
    <w:rsid w:val="00F94EC0"/>
    <w:rsid w:val="00F954C3"/>
    <w:rsid w:val="00F967BD"/>
    <w:rsid w:val="00F969E2"/>
    <w:rsid w:val="00FA0A4C"/>
    <w:rsid w:val="00FA17E9"/>
    <w:rsid w:val="00FA3705"/>
    <w:rsid w:val="00FA4FA8"/>
    <w:rsid w:val="00FA5CB1"/>
    <w:rsid w:val="00FB0232"/>
    <w:rsid w:val="00FB27A9"/>
    <w:rsid w:val="00FB35DD"/>
    <w:rsid w:val="00FB7B6C"/>
    <w:rsid w:val="00FB7D66"/>
    <w:rsid w:val="00FC1687"/>
    <w:rsid w:val="00FC1C09"/>
    <w:rsid w:val="00FC715A"/>
    <w:rsid w:val="00FD3CC8"/>
    <w:rsid w:val="00FD7CAF"/>
    <w:rsid w:val="00FE2F34"/>
    <w:rsid w:val="00FE4235"/>
    <w:rsid w:val="00FE5E3E"/>
    <w:rsid w:val="00FF6023"/>
    <w:rsid w:val="00FF6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B427770"/>
  <w15:docId w15:val="{2F4F6E85-A03A-4CE3-94F3-594BD857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B58"/>
    <w:rPr>
      <w:rFonts w:ascii="Arial" w:eastAsia="Cambria" w:hAnsi="Arial" w:cs="Arial"/>
    </w:rPr>
  </w:style>
  <w:style w:type="paragraph" w:styleId="Heading1">
    <w:name w:val="heading 1"/>
    <w:basedOn w:val="Normal"/>
    <w:link w:val="Heading1Char"/>
    <w:qFormat/>
    <w:rsid w:val="00E4121A"/>
    <w:pPr>
      <w:keepNext/>
      <w:keepLines/>
      <w:numPr>
        <w:numId w:val="9"/>
      </w:numPr>
      <w:spacing w:after="120"/>
      <w:ind w:left="0" w:firstLine="0"/>
      <w:outlineLvl w:val="0"/>
    </w:pPr>
    <w:rPr>
      <w:b/>
      <w:bCs/>
      <w:caps/>
      <w:sz w:val="28"/>
      <w:szCs w:val="28"/>
    </w:rPr>
  </w:style>
  <w:style w:type="paragraph" w:styleId="Heading2">
    <w:name w:val="heading 2"/>
    <w:basedOn w:val="Normal"/>
    <w:link w:val="Heading2Char"/>
    <w:unhideWhenUsed/>
    <w:qFormat/>
    <w:rsid w:val="00E4121A"/>
    <w:pPr>
      <w:numPr>
        <w:ilvl w:val="1"/>
        <w:numId w:val="9"/>
      </w:numPr>
      <w:spacing w:before="240" w:after="120"/>
      <w:ind w:left="0" w:firstLine="0"/>
      <w:outlineLvl w:val="1"/>
    </w:pPr>
    <w:rPr>
      <w:b/>
      <w:caps/>
      <w:sz w:val="24"/>
    </w:rPr>
  </w:style>
  <w:style w:type="paragraph" w:styleId="Heading3">
    <w:name w:val="heading 3"/>
    <w:basedOn w:val="Normal"/>
    <w:link w:val="Heading3Char"/>
    <w:unhideWhenUsed/>
    <w:qFormat/>
    <w:rsid w:val="00E4121A"/>
    <w:pPr>
      <w:keepNext/>
      <w:keepLines/>
      <w:spacing w:before="200" w:after="0"/>
      <w:outlineLvl w:val="2"/>
    </w:pPr>
    <w:rPr>
      <w:b/>
      <w:bCs/>
    </w:rPr>
  </w:style>
  <w:style w:type="paragraph" w:styleId="Heading4">
    <w:name w:val="heading 4"/>
    <w:basedOn w:val="Normal"/>
    <w:link w:val="Heading4Char"/>
    <w:semiHidden/>
    <w:unhideWhenUsed/>
    <w:qFormat/>
    <w:pPr>
      <w:keepNext/>
      <w:keepLines/>
      <w:numPr>
        <w:ilvl w:val="3"/>
        <w:numId w:val="9"/>
      </w:numPr>
      <w:spacing w:before="200" w:after="0"/>
      <w:outlineLvl w:val="3"/>
    </w:pPr>
    <w:rPr>
      <w:b/>
      <w:bCs/>
      <w:i/>
      <w:iCs/>
      <w:color w:val="4F81BD"/>
    </w:rPr>
  </w:style>
  <w:style w:type="paragraph" w:styleId="Heading5">
    <w:name w:val="heading 5"/>
    <w:basedOn w:val="Normal"/>
    <w:link w:val="Heading5Char"/>
    <w:semiHidden/>
    <w:unhideWhenUsed/>
    <w:qFormat/>
    <w:pPr>
      <w:keepNext/>
      <w:keepLines/>
      <w:numPr>
        <w:ilvl w:val="4"/>
        <w:numId w:val="9"/>
      </w:numPr>
      <w:spacing w:before="200" w:after="0"/>
      <w:outlineLvl w:val="4"/>
    </w:pPr>
    <w:rPr>
      <w:color w:val="243F60"/>
    </w:rPr>
  </w:style>
  <w:style w:type="paragraph" w:styleId="Heading6">
    <w:name w:val="heading 6"/>
    <w:basedOn w:val="Normal"/>
    <w:link w:val="Heading6Char"/>
    <w:semiHidden/>
    <w:unhideWhenUsed/>
    <w:qFormat/>
    <w:pPr>
      <w:keepNext/>
      <w:keepLines/>
      <w:numPr>
        <w:ilvl w:val="5"/>
        <w:numId w:val="9"/>
      </w:numPr>
      <w:spacing w:before="200" w:after="0"/>
      <w:outlineLvl w:val="5"/>
    </w:pPr>
    <w:rPr>
      <w:i/>
      <w:iCs/>
      <w:color w:val="243F60"/>
    </w:rPr>
  </w:style>
  <w:style w:type="paragraph" w:styleId="Heading7">
    <w:name w:val="heading 7"/>
    <w:basedOn w:val="Normal"/>
    <w:link w:val="Heading7Char"/>
    <w:semiHidden/>
    <w:unhideWhenUsed/>
    <w:qFormat/>
    <w:pPr>
      <w:keepNext/>
      <w:keepLines/>
      <w:numPr>
        <w:ilvl w:val="6"/>
        <w:numId w:val="9"/>
      </w:numPr>
      <w:spacing w:before="200" w:after="0"/>
      <w:outlineLvl w:val="6"/>
    </w:pPr>
    <w:rPr>
      <w:i/>
      <w:iCs/>
      <w:color w:val="404040"/>
    </w:rPr>
  </w:style>
  <w:style w:type="paragraph" w:styleId="Heading8">
    <w:name w:val="heading 8"/>
    <w:basedOn w:val="Normal"/>
    <w:link w:val="Heading8Char"/>
    <w:semiHidden/>
    <w:unhideWhenUsed/>
    <w:qFormat/>
    <w:pPr>
      <w:keepNext/>
      <w:keepLines/>
      <w:numPr>
        <w:ilvl w:val="7"/>
        <w:numId w:val="9"/>
      </w:numPr>
      <w:spacing w:before="200" w:after="0"/>
      <w:outlineLvl w:val="7"/>
    </w:pPr>
    <w:rPr>
      <w:color w:val="404040"/>
      <w:sz w:val="20"/>
      <w:szCs w:val="20"/>
    </w:rPr>
  </w:style>
  <w:style w:type="paragraph" w:styleId="Heading9">
    <w:name w:val="heading 9"/>
    <w:basedOn w:val="Normal"/>
    <w:link w:val="Heading9Char"/>
    <w:semiHidden/>
    <w:unhideWhenUsed/>
    <w:qFormat/>
    <w:pPr>
      <w:keepNext/>
      <w:keepLines/>
      <w:numPr>
        <w:ilvl w:val="8"/>
        <w:numId w:val="9"/>
      </w:numPr>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List1">
    <w:name w:val="No List1"/>
    <w:semiHidden/>
    <w:unhideWhenUsed/>
  </w:style>
  <w:style w:type="character" w:customStyle="1" w:styleId="Heading1Char">
    <w:name w:val="Heading 1 Char"/>
    <w:basedOn w:val="DefaultParagraphFont"/>
    <w:link w:val="Heading1"/>
    <w:rsid w:val="00E4121A"/>
    <w:rPr>
      <w:rFonts w:ascii="Arial" w:eastAsia="Cambria" w:hAnsi="Arial" w:cs="Arial"/>
      <w:b/>
      <w:bCs/>
      <w:caps/>
      <w:sz w:val="28"/>
      <w:szCs w:val="28"/>
    </w:rPr>
  </w:style>
  <w:style w:type="character" w:customStyle="1" w:styleId="Heading2Char">
    <w:name w:val="Heading 2 Char"/>
    <w:basedOn w:val="DefaultParagraphFont"/>
    <w:link w:val="Heading2"/>
    <w:rsid w:val="00E4121A"/>
    <w:rPr>
      <w:rFonts w:ascii="Arial" w:eastAsia="Cambria" w:hAnsi="Arial" w:cs="Arial"/>
      <w:b/>
      <w:caps/>
      <w:sz w:val="24"/>
    </w:rPr>
  </w:style>
  <w:style w:type="character" w:customStyle="1" w:styleId="Heading3Char">
    <w:name w:val="Heading 3 Char"/>
    <w:basedOn w:val="DefaultParagraphFont"/>
    <w:link w:val="Heading3"/>
    <w:rsid w:val="00E4121A"/>
    <w:rPr>
      <w:rFonts w:ascii="Arial" w:eastAsia="Cambria" w:hAnsi="Arial" w:cs="Arial"/>
      <w:b/>
      <w:bCs/>
    </w:rPr>
  </w:style>
  <w:style w:type="character" w:customStyle="1" w:styleId="Heading4Char">
    <w:name w:val="Heading 4 Char"/>
    <w:basedOn w:val="DefaultParagraphFont"/>
    <w:link w:val="Heading4"/>
    <w:semiHidden/>
    <w:rPr>
      <w:rFonts w:ascii="Cambria" w:eastAsia="Cambria" w:hAnsi="Cambria" w:cs="Cambria"/>
      <w:b/>
      <w:bCs/>
      <w:i/>
      <w:iCs/>
      <w:color w:val="4F81BD"/>
    </w:rPr>
  </w:style>
  <w:style w:type="character" w:customStyle="1" w:styleId="Heading5Char">
    <w:name w:val="Heading 5 Char"/>
    <w:basedOn w:val="DefaultParagraphFont"/>
    <w:link w:val="Heading5"/>
    <w:semiHidden/>
    <w:rPr>
      <w:rFonts w:ascii="Cambria" w:eastAsia="Cambria" w:hAnsi="Cambria" w:cs="Cambria"/>
      <w:color w:val="243F60"/>
    </w:rPr>
  </w:style>
  <w:style w:type="character" w:customStyle="1" w:styleId="Heading6Char">
    <w:name w:val="Heading 6 Char"/>
    <w:basedOn w:val="DefaultParagraphFont"/>
    <w:link w:val="Heading6"/>
    <w:semiHidden/>
    <w:rPr>
      <w:rFonts w:ascii="Cambria" w:eastAsia="Cambria" w:hAnsi="Cambria" w:cs="Cambria"/>
      <w:i/>
      <w:iCs/>
      <w:color w:val="243F60"/>
    </w:rPr>
  </w:style>
  <w:style w:type="character" w:customStyle="1" w:styleId="Heading7Char">
    <w:name w:val="Heading 7 Char"/>
    <w:basedOn w:val="DefaultParagraphFont"/>
    <w:link w:val="Heading7"/>
    <w:semiHidden/>
    <w:rPr>
      <w:rFonts w:ascii="Cambria" w:eastAsia="Cambria" w:hAnsi="Cambria" w:cs="Cambria"/>
      <w:i/>
      <w:iCs/>
      <w:color w:val="404040"/>
    </w:rPr>
  </w:style>
  <w:style w:type="character" w:customStyle="1" w:styleId="Heading8Char">
    <w:name w:val="Heading 8 Char"/>
    <w:basedOn w:val="DefaultParagraphFont"/>
    <w:link w:val="Heading8"/>
    <w:semiHidden/>
    <w:rPr>
      <w:rFonts w:ascii="Cambria" w:eastAsia="Cambria" w:hAnsi="Cambria" w:cs="Cambria"/>
      <w:color w:val="404040"/>
      <w:sz w:val="20"/>
      <w:szCs w:val="20"/>
    </w:rPr>
  </w:style>
  <w:style w:type="character" w:customStyle="1" w:styleId="Heading9Char">
    <w:name w:val="Heading 9 Char"/>
    <w:basedOn w:val="DefaultParagraphFont"/>
    <w:link w:val="Heading9"/>
    <w:semiHidden/>
    <w:rPr>
      <w:rFonts w:ascii="Cambria" w:eastAsia="Cambria" w:hAnsi="Cambria" w:cs="Cambria"/>
      <w:i/>
      <w:iCs/>
      <w:color w:val="404040"/>
      <w:sz w:val="20"/>
      <w:szCs w:val="20"/>
    </w:rPr>
  </w:style>
  <w:style w:type="paragraph" w:styleId="ListParagraph">
    <w:name w:val="List Paragraph"/>
    <w:basedOn w:val="Normal"/>
    <w:qFormat/>
    <w:pPr>
      <w:ind w:left="720"/>
      <w:contextualSpacing/>
    </w:pPr>
  </w:style>
  <w:style w:type="character" w:customStyle="1" w:styleId="CommentReference1">
    <w:name w:val="Comment Reference1"/>
    <w:basedOn w:val="DefaultParagraphFont"/>
    <w:semiHidden/>
    <w:unhideWhenUsed/>
    <w:rPr>
      <w:sz w:val="16"/>
      <w:szCs w:val="16"/>
    </w:rPr>
  </w:style>
  <w:style w:type="paragraph" w:customStyle="1" w:styleId="CommentText1">
    <w:name w:val="Comment Text1"/>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1"/>
    <w:uiPriority w:val="99"/>
    <w:semiHidden/>
    <w:rPr>
      <w:rFonts w:ascii="Cambria" w:eastAsia="Cambria" w:hAnsi="Cambria" w:cs="Cambria"/>
      <w:sz w:val="20"/>
      <w:szCs w:val="20"/>
    </w:rPr>
  </w:style>
  <w:style w:type="paragraph" w:styleId="FootnoteText">
    <w:name w:val="footnote text"/>
    <w:basedOn w:val="Normal"/>
    <w:link w:val="FootnoteTextChar"/>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rPr>
      <w:rFonts w:ascii="Calibri" w:eastAsia="Calibri" w:hAnsi="Calibri" w:cs="Times New Roman"/>
      <w:sz w:val="20"/>
    </w:rPr>
  </w:style>
  <w:style w:type="character" w:styleId="FootnoteReference">
    <w:name w:val="footnote reference"/>
    <w:basedOn w:val="DefaultParagraphFont"/>
    <w:unhideWhenUsed/>
    <w:rPr>
      <w:vertAlign w:val="superscript"/>
    </w:rPr>
  </w:style>
  <w:style w:type="paragraph" w:styleId="ListBullet">
    <w:name w:val="List Bullet"/>
    <w:basedOn w:val="Normal"/>
    <w:unhideWhenUsed/>
    <w:pPr>
      <w:ind w:left="425" w:hanging="425"/>
      <w:contextualSpacing/>
    </w:pPr>
  </w:style>
  <w:style w:type="character" w:styleId="Hyperlink">
    <w:name w:val="Hyperlink"/>
    <w:basedOn w:val="DefaultParagraphFont"/>
    <w:unhideWhenUsed/>
    <w:rPr>
      <w:color w:val="0000FF"/>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Cambria" w:hAnsi="Cambria" w:cs="Cambr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vAlign w:val="top"/>
      </w:tcPr>
    </w:tblStylePr>
    <w:tblStylePr w:type="lastRow">
      <w:pPr>
        <w:spacing w:before="0" w:after="0" w:line="240" w:lineRule="auto"/>
      </w:pPr>
      <w:rPr>
        <w:rFonts w:ascii="Cambria" w:eastAsia="Cambria" w:hAnsi="Cambria" w:cs="Cambr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vAlign w:val="top"/>
      </w:tcPr>
    </w:tblStylePr>
    <w:tblStylePr w:type="firstCol">
      <w:rPr>
        <w:rFonts w:ascii="Cambria" w:eastAsia="Cambria" w:hAnsi="Cambria" w:cs="Cambria"/>
        <w:b/>
        <w:bCs/>
      </w:rPr>
    </w:tblStylePr>
    <w:tblStylePr w:type="lastCol">
      <w:rPr>
        <w:rFonts w:ascii="Cambria" w:eastAsia="Cambria" w:hAnsi="Cambria" w:cs="Cambria"/>
        <w:b/>
        <w:bCs/>
      </w:rPr>
      <w:tblPr/>
      <w:tcPr>
        <w:tcBorders>
          <w:top w:val="single" w:sz="8" w:space="0" w:color="000000"/>
          <w:left w:val="single" w:sz="8" w:space="0" w:color="000000"/>
          <w:bottom w:val="single" w:sz="8" w:space="0" w:color="000000"/>
          <w:right w:val="single" w:sz="8" w:space="0" w:color="000000"/>
        </w:tcBorders>
        <w:vAlign w:val="top"/>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vAlign w:val="top"/>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vAlign w:val="top"/>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vAlign w:val="top"/>
      </w:tcPr>
    </w:tblStyleP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rPr>
      <w:rFonts w:ascii="Cambria" w:eastAsia="Cambria" w:hAnsi="Cambria" w:cs="Cambria"/>
    </w:rPr>
  </w:style>
  <w:style w:type="paragraph" w:styleId="BalloonText">
    <w:name w:val="Balloon Text"/>
    <w:basedOn w:val="Normal"/>
    <w:link w:val="BalloonTextChar"/>
    <w:semiHidden/>
    <w:unhideWhenUsed/>
    <w:pPr>
      <w:spacing w:after="0" w:line="240" w:lineRule="auto"/>
    </w:pPr>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ahoma" w:hAnsi="Tahoma" w:cs="Tahoma"/>
      <w:sz w:val="16"/>
      <w:szCs w:val="16"/>
    </w:rPr>
  </w:style>
  <w:style w:type="paragraph" w:customStyle="1" w:styleId="BoxWarning">
    <w:name w:val="BoxWarning"/>
    <w:basedOn w:val="Normal"/>
    <w:link w:val="BoxWarningChar"/>
    <w:qFormat/>
    <w:pPr>
      <w:pBdr>
        <w:top w:val="single" w:sz="4" w:space="1" w:color="auto"/>
        <w:left w:val="single" w:sz="4" w:space="4" w:color="auto"/>
        <w:bottom w:val="single" w:sz="4" w:space="1" w:color="auto"/>
        <w:right w:val="single" w:sz="4" w:space="4" w:color="auto"/>
      </w:pBdr>
    </w:pPr>
    <w:rPr>
      <w:b/>
      <w:snapToGrid w:val="0"/>
      <w:color w:val="000000"/>
    </w:rPr>
  </w:style>
  <w:style w:type="character" w:customStyle="1" w:styleId="BoxWarningChar">
    <w:name w:val="BoxWarning Char"/>
    <w:basedOn w:val="DefaultParagraphFont"/>
    <w:link w:val="BoxWarning"/>
    <w:rPr>
      <w:b/>
      <w:snapToGrid w:val="0"/>
      <w:color w:val="000000"/>
    </w:rPr>
  </w:style>
  <w:style w:type="paragraph" w:styleId="Header">
    <w:name w:val="header"/>
    <w:basedOn w:val="Normal"/>
    <w:link w:val="HeaderChar"/>
    <w:uiPriority w:val="99"/>
    <w:unhideWhenUsed/>
    <w:rsid w:val="00E50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34E"/>
    <w:rPr>
      <w:rFonts w:ascii="Cambria" w:eastAsia="Cambria" w:hAnsi="Cambria" w:cs="Cambria"/>
    </w:rPr>
  </w:style>
  <w:style w:type="paragraph" w:styleId="NoSpacing">
    <w:name w:val="No Spacing"/>
    <w:uiPriority w:val="1"/>
    <w:qFormat/>
    <w:rsid w:val="00192B58"/>
    <w:pPr>
      <w:spacing w:after="0" w:line="240" w:lineRule="auto"/>
    </w:pPr>
    <w:rPr>
      <w:rFonts w:ascii="Arial" w:eastAsia="Cambria" w:hAnsi="Arial" w:cs="Arial"/>
    </w:rPr>
  </w:style>
  <w:style w:type="character" w:customStyle="1" w:styleId="CSI">
    <w:name w:val="CSI"/>
    <w:uiPriority w:val="1"/>
    <w:qFormat/>
    <w:rsid w:val="00EF7BAB"/>
    <w:rPr>
      <w:bdr w:val="none" w:sz="0" w:space="0" w:color="auto"/>
      <w:shd w:val="clear" w:color="auto" w:fill="auto"/>
    </w:rPr>
  </w:style>
  <w:style w:type="paragraph" w:customStyle="1" w:styleId="captiontable">
    <w:name w:val="caption:table"/>
    <w:basedOn w:val="Normal"/>
    <w:next w:val="Normal"/>
    <w:link w:val="captiontableChar"/>
    <w:qFormat/>
    <w:rsid w:val="00843E19"/>
    <w:pPr>
      <w:keepNext/>
      <w:spacing w:after="240" w:line="240" w:lineRule="auto"/>
      <w:ind w:left="1440" w:hanging="1440"/>
    </w:pPr>
    <w:rPr>
      <w:rFonts w:eastAsia="SimSun" w:cs="Times New Roman"/>
      <w:b/>
      <w:bCs/>
      <w:lang w:val="en-GB" w:eastAsia="en-GB"/>
    </w:rPr>
  </w:style>
  <w:style w:type="character" w:customStyle="1" w:styleId="captiontableChar">
    <w:name w:val="caption:table Char"/>
    <w:link w:val="captiontable"/>
    <w:rsid w:val="00843E19"/>
    <w:rPr>
      <w:rFonts w:ascii="Arial" w:eastAsia="SimSun" w:hAnsi="Arial" w:cs="Times New Roman"/>
      <w:b/>
      <w:bCs/>
      <w:lang w:val="en-GB" w:eastAsia="en-GB"/>
    </w:rPr>
  </w:style>
  <w:style w:type="paragraph" w:customStyle="1" w:styleId="tabletextNS">
    <w:name w:val="table:textNS"/>
    <w:basedOn w:val="Normal"/>
    <w:link w:val="tabletextNSChar"/>
    <w:qFormat/>
    <w:rsid w:val="007D303A"/>
    <w:pPr>
      <w:spacing w:after="0" w:line="240" w:lineRule="auto"/>
    </w:pPr>
    <w:rPr>
      <w:rFonts w:ascii="Arial Narrow" w:eastAsia="SimSun" w:hAnsi="Arial Narrow" w:cs="Times New Roman"/>
      <w:sz w:val="24"/>
      <w:szCs w:val="20"/>
      <w:lang w:val="en-GB" w:eastAsia="en-GB"/>
    </w:rPr>
  </w:style>
  <w:style w:type="character" w:customStyle="1" w:styleId="tabletextNSChar">
    <w:name w:val="table:textNS Char"/>
    <w:link w:val="tabletextNS"/>
    <w:rsid w:val="007D303A"/>
    <w:rPr>
      <w:rFonts w:ascii="Arial Narrow" w:eastAsia="SimSun" w:hAnsi="Arial Narrow" w:cs="Times New Roman"/>
      <w:sz w:val="24"/>
      <w:szCs w:val="20"/>
      <w:lang w:val="en-GB" w:eastAsia="en-GB"/>
    </w:rPr>
  </w:style>
  <w:style w:type="character" w:styleId="CommentReference">
    <w:name w:val="annotation reference"/>
    <w:basedOn w:val="DefaultParagraphFont"/>
    <w:uiPriority w:val="99"/>
    <w:unhideWhenUsed/>
    <w:rsid w:val="00024896"/>
    <w:rPr>
      <w:sz w:val="16"/>
      <w:szCs w:val="16"/>
    </w:rPr>
  </w:style>
  <w:style w:type="paragraph" w:styleId="CommentText">
    <w:name w:val="annotation text"/>
    <w:basedOn w:val="Normal"/>
    <w:link w:val="CommentTextChar1"/>
    <w:uiPriority w:val="99"/>
    <w:unhideWhenUsed/>
    <w:rsid w:val="00024896"/>
    <w:pPr>
      <w:spacing w:line="240" w:lineRule="auto"/>
    </w:pPr>
    <w:rPr>
      <w:sz w:val="20"/>
      <w:szCs w:val="20"/>
    </w:rPr>
  </w:style>
  <w:style w:type="character" w:customStyle="1" w:styleId="CommentTextChar1">
    <w:name w:val="Comment Text Char1"/>
    <w:basedOn w:val="DefaultParagraphFont"/>
    <w:link w:val="CommentText"/>
    <w:uiPriority w:val="99"/>
    <w:rsid w:val="00024896"/>
    <w:rPr>
      <w:rFonts w:ascii="Arial" w:eastAsia="Cambria" w:hAnsi="Arial" w:cs="Arial"/>
      <w:sz w:val="20"/>
      <w:szCs w:val="20"/>
    </w:rPr>
  </w:style>
  <w:style w:type="paragraph" w:styleId="CommentSubject">
    <w:name w:val="annotation subject"/>
    <w:basedOn w:val="CommentText"/>
    <w:next w:val="CommentText"/>
    <w:link w:val="CommentSubjectChar"/>
    <w:uiPriority w:val="99"/>
    <w:semiHidden/>
    <w:unhideWhenUsed/>
    <w:rsid w:val="00024896"/>
    <w:rPr>
      <w:b/>
      <w:bCs/>
    </w:rPr>
  </w:style>
  <w:style w:type="character" w:customStyle="1" w:styleId="CommentSubjectChar">
    <w:name w:val="Comment Subject Char"/>
    <w:basedOn w:val="CommentTextChar1"/>
    <w:link w:val="CommentSubject"/>
    <w:uiPriority w:val="99"/>
    <w:semiHidden/>
    <w:rsid w:val="00024896"/>
    <w:rPr>
      <w:rFonts w:ascii="Arial" w:eastAsia="Cambria" w:hAnsi="Arial" w:cs="Arial"/>
      <w:b/>
      <w:bCs/>
      <w:sz w:val="20"/>
      <w:szCs w:val="20"/>
    </w:rPr>
  </w:style>
  <w:style w:type="paragraph" w:styleId="Revision">
    <w:name w:val="Revision"/>
    <w:hidden/>
    <w:uiPriority w:val="99"/>
    <w:semiHidden/>
    <w:rsid w:val="00024896"/>
    <w:pPr>
      <w:spacing w:after="0" w:line="240" w:lineRule="auto"/>
    </w:pPr>
    <w:rPr>
      <w:rFonts w:ascii="Arial" w:eastAsia="Cambria" w:hAnsi="Arial" w:cs="Arial"/>
    </w:rPr>
  </w:style>
  <w:style w:type="character" w:customStyle="1" w:styleId="CSIchar">
    <w:name w:val="CSIchar"/>
    <w:basedOn w:val="DefaultParagraphFont"/>
    <w:qFormat/>
    <w:rsid w:val="00A27888"/>
    <w:rPr>
      <w:bdr w:val="none" w:sz="0" w:space="0" w:color="auto"/>
      <w:shd w:val="clear" w:color="auto" w:fill="CCCCCC"/>
    </w:rPr>
  </w:style>
  <w:style w:type="paragraph" w:customStyle="1" w:styleId="Default">
    <w:name w:val="Default"/>
    <w:rsid w:val="00ED368F"/>
    <w:pPr>
      <w:autoSpaceDE w:val="0"/>
      <w:autoSpaceDN w:val="0"/>
      <w:adjustRightInd w:val="0"/>
      <w:spacing w:after="0" w:line="240" w:lineRule="auto"/>
    </w:pPr>
    <w:rPr>
      <w:rFonts w:ascii="Cambria" w:hAnsi="Cambria" w:cs="Cambria"/>
      <w:color w:val="000000"/>
      <w:sz w:val="24"/>
      <w:szCs w:val="24"/>
      <w:lang w:val="en-US"/>
    </w:rPr>
  </w:style>
  <w:style w:type="paragraph" w:customStyle="1" w:styleId="TableParagraph">
    <w:name w:val="Table Paragraph"/>
    <w:basedOn w:val="Normal"/>
    <w:uiPriority w:val="1"/>
    <w:qFormat/>
    <w:rsid w:val="00BF1480"/>
    <w:pPr>
      <w:widowControl w:val="0"/>
      <w:autoSpaceDE w:val="0"/>
      <w:autoSpaceDN w:val="0"/>
      <w:spacing w:after="0" w:line="213" w:lineRule="exact"/>
      <w:ind w:right="58"/>
      <w:jc w:val="right"/>
    </w:pPr>
    <w:rPr>
      <w:rFonts w:ascii="Courier New" w:eastAsia="Courier New" w:hAnsi="Courier New" w:cs="Courier Ne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396561">
      <w:bodyDiv w:val="1"/>
      <w:marLeft w:val="0"/>
      <w:marRight w:val="0"/>
      <w:marTop w:val="0"/>
      <w:marBottom w:val="0"/>
      <w:divBdr>
        <w:top w:val="none" w:sz="0" w:space="0" w:color="auto"/>
        <w:left w:val="none" w:sz="0" w:space="0" w:color="auto"/>
        <w:bottom w:val="none" w:sz="0" w:space="0" w:color="auto"/>
        <w:right w:val="none" w:sz="0" w:space="0" w:color="auto"/>
      </w:divBdr>
    </w:div>
    <w:div w:id="1509519944">
      <w:bodyDiv w:val="1"/>
      <w:marLeft w:val="0"/>
      <w:marRight w:val="0"/>
      <w:marTop w:val="0"/>
      <w:marBottom w:val="0"/>
      <w:divBdr>
        <w:top w:val="none" w:sz="0" w:space="0" w:color="auto"/>
        <w:left w:val="none" w:sz="0" w:space="0" w:color="auto"/>
        <w:bottom w:val="none" w:sz="0" w:space="0" w:color="auto"/>
        <w:right w:val="none" w:sz="0" w:space="0" w:color="auto"/>
      </w:divBdr>
    </w:div>
    <w:div w:id="1557202180">
      <w:bodyDiv w:val="1"/>
      <w:marLeft w:val="0"/>
      <w:marRight w:val="0"/>
      <w:marTop w:val="0"/>
      <w:marBottom w:val="0"/>
      <w:divBdr>
        <w:top w:val="none" w:sz="0" w:space="0" w:color="auto"/>
        <w:left w:val="none" w:sz="0" w:space="0" w:color="auto"/>
        <w:bottom w:val="none" w:sz="0" w:space="0" w:color="auto"/>
        <w:right w:val="none" w:sz="0" w:space="0" w:color="auto"/>
      </w:divBdr>
    </w:div>
    <w:div w:id="1588726769">
      <w:bodyDiv w:val="1"/>
      <w:marLeft w:val="0"/>
      <w:marRight w:val="0"/>
      <w:marTop w:val="0"/>
      <w:marBottom w:val="0"/>
      <w:divBdr>
        <w:top w:val="none" w:sz="0" w:space="0" w:color="auto"/>
        <w:left w:val="none" w:sz="0" w:space="0" w:color="auto"/>
        <w:bottom w:val="none" w:sz="0" w:space="0" w:color="auto"/>
        <w:right w:val="none" w:sz="0" w:space="0" w:color="auto"/>
      </w:divBdr>
    </w:div>
    <w:div w:id="1904218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78B81AE596514F817D1F9194C6236E" ma:contentTypeVersion="10" ma:contentTypeDescription="Create a new document." ma:contentTypeScope="" ma:versionID="e04fd44f8eae9c66dd230556d00011c7">
  <xsd:schema xmlns:xsd="http://www.w3.org/2001/XMLSchema" xmlns:xs="http://www.w3.org/2001/XMLSchema" xmlns:p="http://schemas.microsoft.com/office/2006/metadata/properties" xmlns:ns3="50f2f5e2-4ff4-4b09-868e-f261324e3bcd" targetNamespace="http://schemas.microsoft.com/office/2006/metadata/properties" ma:root="true" ma:fieldsID="89938a428eefbc410379a3746c7a850e" ns3:_="">
    <xsd:import namespace="50f2f5e2-4ff4-4b09-868e-f261324e3b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2f5e2-4ff4-4b09-868e-f261324e3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ECBC1-7E77-4C22-8CED-CC8B882B2AD5}">
  <ds:schemaRefs>
    <ds:schemaRef ds:uri="http://purl.org/dc/terms/"/>
    <ds:schemaRef ds:uri="50f2f5e2-4ff4-4b09-868e-f261324e3bcd"/>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58D73A9-0DB4-47AE-B1E5-8C6EF84A2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2f5e2-4ff4-4b09-868e-f261324e3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A8F56-A410-4083-BF02-79CC6ED5A90A}">
  <ds:schemaRefs>
    <ds:schemaRef ds:uri="http://schemas.microsoft.com/sharepoint/v3/contenttype/forms"/>
  </ds:schemaRefs>
</ds:datastoreItem>
</file>

<file path=customXml/itemProps4.xml><?xml version="1.0" encoding="utf-8"?>
<ds:datastoreItem xmlns:ds="http://schemas.openxmlformats.org/officeDocument/2006/customXml" ds:itemID="{B5A948F8-3313-4EBC-8E65-B1E9DB11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11386</Words>
  <Characters>66953</Characters>
  <Application>Microsoft Office Word</Application>
  <DocSecurity>0</DocSecurity>
  <Lines>1859</Lines>
  <Paragraphs>943</Paragraphs>
  <ScaleCrop>false</ScaleCrop>
  <HeadingPairs>
    <vt:vector size="2" baseType="variant">
      <vt:variant>
        <vt:lpstr>Title</vt:lpstr>
      </vt:variant>
      <vt:variant>
        <vt:i4>1</vt:i4>
      </vt:variant>
    </vt:vector>
  </HeadingPairs>
  <TitlesOfParts>
    <vt:vector size="1" baseType="lpstr">
      <vt:lpstr>Attachment: Product Dolutegravir/Lamivudine</vt:lpstr>
    </vt:vector>
  </TitlesOfParts>
  <Company/>
  <LinksUpToDate>false</LinksUpToDate>
  <CharactersWithSpaces>77396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Dolutegravir/Lamivudine</dc:title>
  <dc:subject>prescription medicines</dc:subject>
  <dc:creator/>
  <cp:keywords>AusPARs</cp:keywords>
  <cp:lastPrinted>2019-08-30T02:50:00Z</cp:lastPrinted>
  <dcterms:created xsi:type="dcterms:W3CDTF">2019-12-24T01:22:00Z</dcterms:created>
  <dcterms:modified xsi:type="dcterms:W3CDTF">2019-12-24T01:27:00Z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0x0101008E78B81AE596514F817D1F9194C6236E</vt:lpwstr>
  </property>
</Properties>
</file>