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E1" w:rsidRPr="00E40993" w:rsidRDefault="004F22E1" w:rsidP="00FD7B19">
      <w:pPr>
        <w:pStyle w:val="Heading1"/>
        <w:jc w:val="center"/>
      </w:pPr>
      <w:bookmarkStart w:id="0" w:name="_GoBack"/>
      <w:bookmarkEnd w:id="0"/>
      <w:r w:rsidRPr="00E40993">
        <w:t>PRODUCT INFORMATION</w:t>
      </w:r>
    </w:p>
    <w:p w:rsidR="0077380F" w:rsidRPr="00E40993" w:rsidRDefault="00375168" w:rsidP="006E37C3">
      <w:pPr>
        <w:spacing w:before="120"/>
        <w:jc w:val="center"/>
        <w:rPr>
          <w:rFonts w:ascii="Arial Bold" w:hAnsi="Arial Bold" w:cs="Arial"/>
          <w:b/>
          <w:color w:val="000000" w:themeColor="text1"/>
          <w:szCs w:val="22"/>
        </w:rPr>
      </w:pPr>
      <w:r w:rsidRPr="00E40993">
        <w:rPr>
          <w:rFonts w:cs="Arial"/>
          <w:b/>
          <w:color w:val="000000" w:themeColor="text1"/>
          <w:szCs w:val="22"/>
        </w:rPr>
        <w:t>TRIUMEQ</w:t>
      </w:r>
      <w:r w:rsidR="00C556BA" w:rsidRPr="00E40993">
        <w:rPr>
          <w:rFonts w:ascii="Arial Bold" w:hAnsi="Arial Bold" w:cs="Arial"/>
          <w:b/>
          <w:color w:val="000000" w:themeColor="text1"/>
          <w:szCs w:val="22"/>
          <w:vertAlign w:val="superscript"/>
        </w:rPr>
        <w:sym w:font="Symbol" w:char="F0E2"/>
      </w:r>
      <w:r w:rsidR="00796D87" w:rsidRPr="00E40993">
        <w:rPr>
          <w:rFonts w:ascii="Arial Bold" w:hAnsi="Arial Bold" w:cs="Arial"/>
          <w:b/>
          <w:color w:val="000000" w:themeColor="text1"/>
          <w:szCs w:val="22"/>
          <w:vertAlign w:val="superscript"/>
        </w:rPr>
        <w:t xml:space="preserve"> </w:t>
      </w:r>
      <w:r w:rsidR="000812F1" w:rsidRPr="00E40993">
        <w:rPr>
          <w:rFonts w:ascii="Arial Bold" w:hAnsi="Arial Bold" w:cs="Arial"/>
          <w:b/>
          <w:color w:val="000000" w:themeColor="text1"/>
          <w:szCs w:val="22"/>
        </w:rPr>
        <w:t xml:space="preserve"> (</w:t>
      </w:r>
      <w:proofErr w:type="spellStart"/>
      <w:r w:rsidR="000812F1" w:rsidRPr="00E40993">
        <w:rPr>
          <w:rFonts w:ascii="Arial Bold" w:hAnsi="Arial Bold" w:cs="Arial"/>
          <w:b/>
          <w:color w:val="000000" w:themeColor="text1"/>
          <w:szCs w:val="22"/>
        </w:rPr>
        <w:t>dolutegravir</w:t>
      </w:r>
      <w:proofErr w:type="spellEnd"/>
      <w:r w:rsidRPr="00E40993">
        <w:rPr>
          <w:rFonts w:ascii="Arial Bold" w:hAnsi="Arial Bold" w:cs="Arial"/>
          <w:b/>
          <w:color w:val="000000" w:themeColor="text1"/>
          <w:szCs w:val="22"/>
        </w:rPr>
        <w:t xml:space="preserve">, </w:t>
      </w:r>
      <w:proofErr w:type="spellStart"/>
      <w:r w:rsidRPr="00E40993">
        <w:rPr>
          <w:rFonts w:ascii="Arial Bold" w:hAnsi="Arial Bold" w:cs="Arial"/>
          <w:b/>
          <w:color w:val="000000" w:themeColor="text1"/>
          <w:szCs w:val="22"/>
        </w:rPr>
        <w:t>abacavir</w:t>
      </w:r>
      <w:proofErr w:type="spellEnd"/>
      <w:r w:rsidRPr="00E40993">
        <w:rPr>
          <w:rFonts w:ascii="Arial Bold" w:hAnsi="Arial Bold" w:cs="Arial"/>
          <w:b/>
          <w:color w:val="000000" w:themeColor="text1"/>
          <w:szCs w:val="22"/>
        </w:rPr>
        <w:t xml:space="preserve"> and lamivudine</w:t>
      </w:r>
      <w:r w:rsidR="000812F1" w:rsidRPr="00E40993">
        <w:rPr>
          <w:rFonts w:ascii="Arial Bold" w:hAnsi="Arial Bold" w:cs="Arial"/>
          <w:b/>
          <w:color w:val="000000" w:themeColor="text1"/>
          <w:szCs w:val="22"/>
        </w:rPr>
        <w:t>) Tablets</w:t>
      </w:r>
    </w:p>
    <w:p w:rsidR="00D74D35" w:rsidRPr="00E40993" w:rsidRDefault="00D74D35" w:rsidP="006E37C3">
      <w:pPr>
        <w:spacing w:before="120"/>
        <w:jc w:val="center"/>
        <w:rPr>
          <w:rFonts w:cs="Arial"/>
          <w:b/>
          <w:color w:val="000000" w:themeColor="text1"/>
          <w:szCs w:val="22"/>
        </w:rPr>
      </w:pPr>
    </w:p>
    <w:p w:rsidR="005B259A" w:rsidRPr="00E40993" w:rsidRDefault="005B259A" w:rsidP="005B259A">
      <w:pPr>
        <w:pBdr>
          <w:top w:val="single" w:sz="4" w:space="0" w:color="auto"/>
          <w:left w:val="single" w:sz="4" w:space="4" w:color="auto"/>
          <w:bottom w:val="single" w:sz="4" w:space="1" w:color="auto"/>
          <w:right w:val="single" w:sz="4" w:space="4" w:color="auto"/>
        </w:pBdr>
        <w:rPr>
          <w:b/>
          <w:color w:val="000000"/>
        </w:rPr>
      </w:pPr>
      <w:r w:rsidRPr="00E40993">
        <w:rPr>
          <w:b/>
          <w:snapToGrid w:val="0"/>
          <w:color w:val="000000"/>
          <w:lang w:eastAsia="en-US"/>
        </w:rPr>
        <w:t xml:space="preserve">In clinical trials approximately 5% of </w:t>
      </w:r>
      <w:r w:rsidR="007C720C">
        <w:rPr>
          <w:b/>
          <w:snapToGrid w:val="0"/>
          <w:color w:val="000000"/>
          <w:lang w:eastAsia="en-US"/>
        </w:rPr>
        <w:t>patient</w:t>
      </w:r>
      <w:r w:rsidRPr="00E40993">
        <w:rPr>
          <w:b/>
          <w:snapToGrid w:val="0"/>
          <w:color w:val="000000"/>
          <w:lang w:eastAsia="en-US"/>
        </w:rPr>
        <w:t xml:space="preserve">s who received </w:t>
      </w:r>
      <w:proofErr w:type="spellStart"/>
      <w:r w:rsidRPr="00E40993">
        <w:rPr>
          <w:b/>
          <w:snapToGrid w:val="0"/>
          <w:color w:val="000000"/>
          <w:lang w:eastAsia="en-US"/>
        </w:rPr>
        <w:t>abacavir</w:t>
      </w:r>
      <w:proofErr w:type="spellEnd"/>
      <w:r w:rsidRPr="00E40993">
        <w:rPr>
          <w:b/>
          <w:snapToGrid w:val="0"/>
          <w:color w:val="000000"/>
          <w:lang w:eastAsia="en-US"/>
        </w:rPr>
        <w:t xml:space="preserve">, a component of </w:t>
      </w:r>
      <w:r w:rsidR="00AD6C01" w:rsidRPr="00E40993">
        <w:rPr>
          <w:b/>
          <w:snapToGrid w:val="0"/>
          <w:color w:val="000000"/>
          <w:lang w:eastAsia="en-US"/>
        </w:rPr>
        <w:t>TRIUMEQ</w:t>
      </w:r>
      <w:r w:rsidRPr="00E40993">
        <w:rPr>
          <w:b/>
          <w:snapToGrid w:val="0"/>
          <w:color w:val="000000"/>
          <w:lang w:eastAsia="en-US"/>
        </w:rPr>
        <w:t xml:space="preserve"> tablets, developed a hypersensitivity reaction, which in rare cases has proved fatal.  </w:t>
      </w:r>
      <w:r w:rsidR="00E27B3D" w:rsidRPr="00E40993">
        <w:rPr>
          <w:b/>
          <w:snapToGrid w:val="0"/>
          <w:color w:val="000000"/>
          <w:lang w:eastAsia="en-US"/>
        </w:rPr>
        <w:t xml:space="preserve">TRIUMEQ </w:t>
      </w:r>
      <w:r w:rsidRPr="00E40993">
        <w:rPr>
          <w:b/>
          <w:snapToGrid w:val="0"/>
          <w:color w:val="000000"/>
          <w:lang w:eastAsia="en-US"/>
        </w:rPr>
        <w:t xml:space="preserve">tablets, or any other medicinal </w:t>
      </w:r>
      <w:proofErr w:type="gramStart"/>
      <w:r w:rsidRPr="00E40993">
        <w:rPr>
          <w:b/>
          <w:snapToGrid w:val="0"/>
          <w:color w:val="000000"/>
          <w:lang w:eastAsia="en-US"/>
        </w:rPr>
        <w:t>product containing</w:t>
      </w:r>
      <w:proofErr w:type="gramEnd"/>
      <w:r w:rsidRPr="00E40993">
        <w:rPr>
          <w:b/>
          <w:snapToGrid w:val="0"/>
          <w:color w:val="000000"/>
          <w:lang w:eastAsia="en-US"/>
        </w:rPr>
        <w:t xml:space="preserve"> </w:t>
      </w:r>
      <w:proofErr w:type="spellStart"/>
      <w:r w:rsidRPr="00E40993">
        <w:rPr>
          <w:b/>
          <w:snapToGrid w:val="0"/>
          <w:color w:val="000000"/>
          <w:lang w:eastAsia="en-US"/>
        </w:rPr>
        <w:t>abacavir</w:t>
      </w:r>
      <w:proofErr w:type="spellEnd"/>
      <w:r w:rsidRPr="00E40993">
        <w:rPr>
          <w:b/>
          <w:snapToGrid w:val="0"/>
          <w:color w:val="000000"/>
          <w:lang w:eastAsia="en-US"/>
        </w:rPr>
        <w:t xml:space="preserve"> (</w:t>
      </w:r>
      <w:r w:rsidR="0015570B" w:rsidRPr="00E40993">
        <w:rPr>
          <w:b/>
          <w:snapToGrid w:val="0"/>
          <w:color w:val="000000"/>
          <w:lang w:eastAsia="en-US"/>
        </w:rPr>
        <w:t>KIVEXA</w:t>
      </w:r>
      <w:r w:rsidR="0015570B" w:rsidRPr="00E40993">
        <w:rPr>
          <w:rFonts w:cs="Arial"/>
          <w:b/>
          <w:snapToGrid w:val="0"/>
          <w:color w:val="000000"/>
          <w:vertAlign w:val="superscript"/>
          <w:lang w:eastAsia="en-US"/>
        </w:rPr>
        <w:t>®</w:t>
      </w:r>
      <w:r w:rsidR="00A05EF7">
        <w:rPr>
          <w:rFonts w:cs="Arial"/>
          <w:b/>
          <w:snapToGrid w:val="0"/>
          <w:color w:val="000000"/>
          <w:vertAlign w:val="superscript"/>
          <w:lang w:eastAsia="en-US"/>
        </w:rPr>
        <w:t xml:space="preserve"> </w:t>
      </w:r>
      <w:r w:rsidR="00A05EF7" w:rsidRPr="00A05EF7">
        <w:rPr>
          <w:rFonts w:cs="Arial"/>
          <w:b/>
          <w:snapToGrid w:val="0"/>
          <w:color w:val="000000"/>
          <w:lang w:eastAsia="en-US"/>
        </w:rPr>
        <w:t>[</w:t>
      </w:r>
      <w:proofErr w:type="spellStart"/>
      <w:r w:rsidR="00A05EF7">
        <w:rPr>
          <w:rFonts w:cs="Arial"/>
          <w:b/>
          <w:snapToGrid w:val="0"/>
          <w:color w:val="000000"/>
          <w:lang w:eastAsia="en-US"/>
        </w:rPr>
        <w:t>abacavir</w:t>
      </w:r>
      <w:proofErr w:type="spellEnd"/>
      <w:r w:rsidR="00A05EF7">
        <w:rPr>
          <w:rFonts w:cs="Arial"/>
          <w:b/>
          <w:snapToGrid w:val="0"/>
          <w:color w:val="000000"/>
          <w:lang w:eastAsia="en-US"/>
        </w:rPr>
        <w:t>/lamivudine]</w:t>
      </w:r>
      <w:r w:rsidR="0015570B" w:rsidRPr="00E40993">
        <w:rPr>
          <w:b/>
          <w:snapToGrid w:val="0"/>
          <w:color w:val="000000"/>
          <w:lang w:eastAsia="en-US"/>
        </w:rPr>
        <w:t xml:space="preserve">, </w:t>
      </w:r>
      <w:r w:rsidRPr="00E40993">
        <w:rPr>
          <w:b/>
          <w:snapToGrid w:val="0"/>
          <w:color w:val="000000"/>
          <w:lang w:eastAsia="en-US"/>
        </w:rPr>
        <w:t>TRIZIVIR</w:t>
      </w:r>
      <w:r w:rsidRPr="00E40993">
        <w:rPr>
          <w:rFonts w:cs="Arial"/>
          <w:b/>
          <w:snapToGrid w:val="0"/>
          <w:color w:val="000000"/>
          <w:vertAlign w:val="superscript"/>
          <w:lang w:eastAsia="en-US"/>
        </w:rPr>
        <w:t>®</w:t>
      </w:r>
      <w:r w:rsidRPr="00E40993">
        <w:rPr>
          <w:b/>
          <w:snapToGrid w:val="0"/>
          <w:color w:val="000000"/>
          <w:lang w:eastAsia="en-US"/>
        </w:rPr>
        <w:t xml:space="preserve"> </w:t>
      </w:r>
      <w:r w:rsidR="00A05EF7" w:rsidRPr="00A05EF7">
        <w:rPr>
          <w:rFonts w:cs="Arial"/>
          <w:b/>
          <w:snapToGrid w:val="0"/>
          <w:color w:val="000000"/>
          <w:lang w:eastAsia="en-US"/>
        </w:rPr>
        <w:t>[</w:t>
      </w:r>
      <w:proofErr w:type="spellStart"/>
      <w:r w:rsidR="00A05EF7">
        <w:rPr>
          <w:rFonts w:cs="Arial"/>
          <w:b/>
          <w:snapToGrid w:val="0"/>
          <w:color w:val="000000"/>
          <w:lang w:eastAsia="en-US"/>
        </w:rPr>
        <w:t>abacavir</w:t>
      </w:r>
      <w:proofErr w:type="spellEnd"/>
      <w:r w:rsidR="00A05EF7">
        <w:rPr>
          <w:rFonts w:cs="Arial"/>
          <w:b/>
          <w:snapToGrid w:val="0"/>
          <w:color w:val="000000"/>
          <w:lang w:eastAsia="en-US"/>
        </w:rPr>
        <w:t>/lamivudine/</w:t>
      </w:r>
      <w:proofErr w:type="spellStart"/>
      <w:r w:rsidR="00A05EF7">
        <w:rPr>
          <w:rFonts w:cs="Arial"/>
          <w:b/>
          <w:snapToGrid w:val="0"/>
          <w:color w:val="000000"/>
          <w:lang w:eastAsia="en-US"/>
        </w:rPr>
        <w:t>zidovudine</w:t>
      </w:r>
      <w:proofErr w:type="spellEnd"/>
      <w:r w:rsidR="00A05EF7">
        <w:rPr>
          <w:rFonts w:cs="Arial"/>
          <w:b/>
          <w:snapToGrid w:val="0"/>
          <w:color w:val="000000"/>
          <w:lang w:eastAsia="en-US"/>
        </w:rPr>
        <w:t xml:space="preserve">] </w:t>
      </w:r>
      <w:r w:rsidRPr="00E40993">
        <w:rPr>
          <w:b/>
          <w:snapToGrid w:val="0"/>
          <w:color w:val="000000"/>
          <w:lang w:eastAsia="en-US"/>
        </w:rPr>
        <w:t>and ZIA</w:t>
      </w:r>
      <w:smartTag w:uri="schemas-GSKSiteLocations-com/fourthcoffee" w:element="flavor">
        <w:r w:rsidRPr="00E40993">
          <w:rPr>
            <w:b/>
            <w:snapToGrid w:val="0"/>
            <w:color w:val="000000"/>
            <w:lang w:eastAsia="en-US"/>
          </w:rPr>
          <w:t>GEN</w:t>
        </w:r>
      </w:smartTag>
      <w:r w:rsidRPr="00E40993">
        <w:rPr>
          <w:rFonts w:cs="Arial"/>
          <w:b/>
          <w:snapToGrid w:val="0"/>
          <w:color w:val="000000"/>
          <w:vertAlign w:val="superscript"/>
          <w:lang w:eastAsia="en-US"/>
        </w:rPr>
        <w:t>®</w:t>
      </w:r>
      <w:r w:rsidR="00A05EF7">
        <w:rPr>
          <w:rFonts w:cs="Arial"/>
          <w:b/>
          <w:snapToGrid w:val="0"/>
          <w:color w:val="000000"/>
          <w:vertAlign w:val="superscript"/>
          <w:lang w:eastAsia="en-US"/>
        </w:rPr>
        <w:t xml:space="preserve"> </w:t>
      </w:r>
      <w:r w:rsidR="00A05EF7" w:rsidRPr="00A05EF7">
        <w:rPr>
          <w:rFonts w:cs="Arial"/>
          <w:b/>
          <w:snapToGrid w:val="0"/>
          <w:color w:val="000000"/>
          <w:lang w:eastAsia="en-US"/>
        </w:rPr>
        <w:t>[</w:t>
      </w:r>
      <w:proofErr w:type="spellStart"/>
      <w:r w:rsidR="00A05EF7">
        <w:rPr>
          <w:rFonts w:cs="Arial"/>
          <w:b/>
          <w:snapToGrid w:val="0"/>
          <w:color w:val="000000"/>
          <w:lang w:eastAsia="en-US"/>
        </w:rPr>
        <w:t>abacavir</w:t>
      </w:r>
      <w:proofErr w:type="spellEnd"/>
      <w:r w:rsidR="00A05EF7">
        <w:rPr>
          <w:rFonts w:cs="Arial"/>
          <w:b/>
          <w:snapToGrid w:val="0"/>
          <w:color w:val="000000"/>
          <w:lang w:eastAsia="en-US"/>
        </w:rPr>
        <w:t>]</w:t>
      </w:r>
      <w:r w:rsidRPr="00E40993">
        <w:rPr>
          <w:b/>
          <w:snapToGrid w:val="0"/>
          <w:color w:val="000000"/>
          <w:lang w:eastAsia="en-US"/>
        </w:rPr>
        <w:t xml:space="preserve">), </w:t>
      </w:r>
      <w:r w:rsidRPr="00E40993">
        <w:rPr>
          <w:b/>
          <w:snapToGrid w:val="0"/>
          <w:color w:val="000000"/>
          <w:u w:val="single"/>
          <w:lang w:eastAsia="en-US"/>
        </w:rPr>
        <w:t>MUST NE</w:t>
      </w:r>
      <w:smartTag w:uri="schemas-GSKSiteLocations-com/fourthcoffee" w:element="flavor">
        <w:r w:rsidRPr="00E40993">
          <w:rPr>
            <w:b/>
            <w:snapToGrid w:val="0"/>
            <w:color w:val="000000"/>
            <w:u w:val="single"/>
            <w:lang w:eastAsia="en-US"/>
          </w:rPr>
          <w:t>VER</w:t>
        </w:r>
      </w:smartTag>
      <w:r w:rsidRPr="00E40993">
        <w:rPr>
          <w:b/>
          <w:snapToGrid w:val="0"/>
          <w:color w:val="000000"/>
          <w:lang w:eastAsia="en-US"/>
        </w:rPr>
        <w:t xml:space="preserve"> be restarted following a hypersensitivity reaction. (</w:t>
      </w:r>
      <w:proofErr w:type="gramStart"/>
      <w:r w:rsidRPr="00E40993">
        <w:rPr>
          <w:b/>
          <w:snapToGrid w:val="0"/>
          <w:color w:val="000000"/>
          <w:lang w:eastAsia="en-US"/>
        </w:rPr>
        <w:t>see</w:t>
      </w:r>
      <w:proofErr w:type="gramEnd"/>
      <w:r w:rsidRPr="00E40993">
        <w:rPr>
          <w:b/>
          <w:snapToGrid w:val="0"/>
          <w:color w:val="000000"/>
          <w:lang w:eastAsia="en-US"/>
        </w:rPr>
        <w:t xml:space="preserve"> Precautions and Adverse Effects).</w:t>
      </w:r>
    </w:p>
    <w:p w:rsidR="007A0414" w:rsidRPr="00E40993" w:rsidRDefault="007A0414" w:rsidP="00197076">
      <w:pPr>
        <w:spacing w:before="120"/>
        <w:jc w:val="center"/>
        <w:rPr>
          <w:rFonts w:cs="Arial"/>
          <w:b/>
          <w:color w:val="000000" w:themeColor="text1"/>
          <w:szCs w:val="22"/>
        </w:rPr>
      </w:pPr>
    </w:p>
    <w:p w:rsidR="00E81E59" w:rsidRPr="00E40993" w:rsidRDefault="0077380F" w:rsidP="0045447B">
      <w:pPr>
        <w:pStyle w:val="Heading1"/>
      </w:pPr>
      <w:r w:rsidRPr="00E40993">
        <w:t>NAME OF THE MEDICINE</w:t>
      </w:r>
    </w:p>
    <w:p w:rsidR="0053235A" w:rsidRPr="00E40993" w:rsidRDefault="0012062E" w:rsidP="00BB2384">
      <w:pPr>
        <w:rPr>
          <w:rFonts w:eastAsia="MS Mincho"/>
          <w:lang w:eastAsia="en-US"/>
        </w:rPr>
      </w:pPr>
      <w:r w:rsidRPr="00E40993">
        <w:rPr>
          <w:rFonts w:cs="Arial"/>
          <w:color w:val="000000" w:themeColor="text1"/>
          <w:szCs w:val="22"/>
        </w:rPr>
        <w:t>TRIUMEQ</w:t>
      </w:r>
      <w:r w:rsidR="00D64EB0" w:rsidRPr="00E40993">
        <w:rPr>
          <w:rFonts w:ascii="Arial Bold" w:hAnsi="Arial Bold" w:cs="Arial"/>
          <w:color w:val="000000" w:themeColor="text1"/>
          <w:szCs w:val="22"/>
          <w:vertAlign w:val="superscript"/>
        </w:rPr>
        <w:sym w:font="Symbol" w:char="F0E2"/>
      </w:r>
      <w:r w:rsidR="00D64EB0" w:rsidRPr="00E40993">
        <w:rPr>
          <w:rFonts w:ascii="Arial Bold" w:hAnsi="Arial Bold" w:cs="Arial"/>
          <w:color w:val="000000" w:themeColor="text1"/>
          <w:szCs w:val="22"/>
          <w:vertAlign w:val="superscript"/>
        </w:rPr>
        <w:t xml:space="preserve"> </w:t>
      </w:r>
      <w:r w:rsidR="000812F1" w:rsidRPr="00E40993">
        <w:rPr>
          <w:rFonts w:cs="Arial"/>
          <w:color w:val="000000" w:themeColor="text1"/>
          <w:szCs w:val="22"/>
          <w:lang w:eastAsia="ja-JP"/>
        </w:rPr>
        <w:t xml:space="preserve"> </w:t>
      </w:r>
      <w:r w:rsidR="00D64EB0" w:rsidRPr="00E40993">
        <w:rPr>
          <w:rFonts w:cs="Arial"/>
          <w:color w:val="000000" w:themeColor="text1"/>
          <w:szCs w:val="22"/>
          <w:lang w:eastAsia="ja-JP"/>
        </w:rPr>
        <w:t xml:space="preserve">film-coated tablets contain </w:t>
      </w:r>
      <w:r w:rsidR="00A1284B" w:rsidRPr="00E40993">
        <w:rPr>
          <w:color w:val="000000" w:themeColor="text1"/>
        </w:rPr>
        <w:t xml:space="preserve">50 mg of </w:t>
      </w:r>
      <w:proofErr w:type="spellStart"/>
      <w:r w:rsidR="00A1284B" w:rsidRPr="00E40993">
        <w:rPr>
          <w:color w:val="000000" w:themeColor="text1"/>
        </w:rPr>
        <w:t>dolutegravir</w:t>
      </w:r>
      <w:proofErr w:type="spellEnd"/>
      <w:r w:rsidR="00A1284B" w:rsidRPr="00E40993">
        <w:rPr>
          <w:color w:val="000000" w:themeColor="text1"/>
        </w:rPr>
        <w:t xml:space="preserve"> </w:t>
      </w:r>
      <w:r w:rsidR="00D14157" w:rsidRPr="00E40993">
        <w:rPr>
          <w:color w:val="000000" w:themeColor="text1"/>
        </w:rPr>
        <w:t>(</w:t>
      </w:r>
      <w:r w:rsidR="00A1284B" w:rsidRPr="00E40993">
        <w:rPr>
          <w:color w:val="000000" w:themeColor="text1"/>
        </w:rPr>
        <w:t xml:space="preserve">as </w:t>
      </w:r>
      <w:proofErr w:type="spellStart"/>
      <w:r w:rsidR="00A1284B" w:rsidRPr="00E40993">
        <w:rPr>
          <w:color w:val="000000" w:themeColor="text1"/>
        </w:rPr>
        <w:t>dolutegravir</w:t>
      </w:r>
      <w:proofErr w:type="spellEnd"/>
      <w:r w:rsidR="00A1284B" w:rsidRPr="00E40993">
        <w:rPr>
          <w:color w:val="000000" w:themeColor="text1"/>
        </w:rPr>
        <w:t xml:space="preserve"> sodium</w:t>
      </w:r>
      <w:r w:rsidR="00D14157" w:rsidRPr="00E40993">
        <w:rPr>
          <w:color w:val="000000" w:themeColor="text1"/>
        </w:rPr>
        <w:t>)</w:t>
      </w:r>
      <w:r w:rsidR="00A1284B" w:rsidRPr="00E40993">
        <w:rPr>
          <w:color w:val="000000" w:themeColor="text1"/>
        </w:rPr>
        <w:t xml:space="preserve">, 600 mg of </w:t>
      </w:r>
      <w:proofErr w:type="spellStart"/>
      <w:r w:rsidR="00A1284B" w:rsidRPr="00E40993">
        <w:rPr>
          <w:color w:val="000000" w:themeColor="text1"/>
        </w:rPr>
        <w:t>abacavir</w:t>
      </w:r>
      <w:proofErr w:type="spellEnd"/>
      <w:r w:rsidR="00A1284B" w:rsidRPr="00E40993">
        <w:rPr>
          <w:color w:val="000000" w:themeColor="text1"/>
        </w:rPr>
        <w:t xml:space="preserve"> as </w:t>
      </w:r>
      <w:proofErr w:type="spellStart"/>
      <w:r w:rsidR="00A1284B" w:rsidRPr="00E40993">
        <w:rPr>
          <w:color w:val="000000" w:themeColor="text1"/>
        </w:rPr>
        <w:t>abacavir</w:t>
      </w:r>
      <w:proofErr w:type="spellEnd"/>
      <w:r w:rsidR="00A1284B" w:rsidRPr="00E40993">
        <w:rPr>
          <w:color w:val="000000" w:themeColor="text1"/>
        </w:rPr>
        <w:t xml:space="preserve"> </w:t>
      </w:r>
      <w:proofErr w:type="spellStart"/>
      <w:r w:rsidR="00A1284B" w:rsidRPr="00E40993">
        <w:rPr>
          <w:color w:val="000000" w:themeColor="text1"/>
        </w:rPr>
        <w:t>sulfate</w:t>
      </w:r>
      <w:proofErr w:type="spellEnd"/>
      <w:r w:rsidR="00A1284B" w:rsidRPr="00E40993">
        <w:rPr>
          <w:color w:val="000000" w:themeColor="text1"/>
        </w:rPr>
        <w:t xml:space="preserve"> and 300 mg of lamivudine.</w:t>
      </w:r>
      <w:r w:rsidR="00D578E8" w:rsidRPr="00E40993">
        <w:rPr>
          <w:color w:val="000000" w:themeColor="text1"/>
        </w:rPr>
        <w:t xml:space="preserve"> Product Information for </w:t>
      </w:r>
      <w:r w:rsidR="00BB2384" w:rsidRPr="00E40993">
        <w:rPr>
          <w:rFonts w:eastAsia="MS Mincho"/>
          <w:lang w:eastAsia="en-US"/>
        </w:rPr>
        <w:t>TIVICAY</w:t>
      </w:r>
      <w:r w:rsidR="00D578E8" w:rsidRPr="00E40993">
        <w:rPr>
          <w:rFonts w:ascii="Arial Bold" w:hAnsi="Arial Bold" w:cs="Arial"/>
          <w:color w:val="000000" w:themeColor="text1"/>
          <w:szCs w:val="22"/>
          <w:vertAlign w:val="superscript"/>
        </w:rPr>
        <w:sym w:font="Symbol" w:char="F0E2"/>
      </w:r>
      <w:r w:rsidR="00BB2384" w:rsidRPr="00E40993">
        <w:rPr>
          <w:rFonts w:ascii="Arial Bold" w:hAnsi="Arial Bold" w:cs="Arial"/>
          <w:color w:val="000000" w:themeColor="text1"/>
          <w:szCs w:val="22"/>
          <w:vertAlign w:val="superscript"/>
        </w:rPr>
        <w:t xml:space="preserve"> </w:t>
      </w:r>
      <w:r w:rsidR="00D578E8" w:rsidRPr="00E40993">
        <w:rPr>
          <w:rFonts w:eastAsia="MS Mincho"/>
          <w:lang w:eastAsia="en-US"/>
        </w:rPr>
        <w:t>(</w:t>
      </w:r>
      <w:proofErr w:type="spellStart"/>
      <w:r w:rsidR="00BB2384" w:rsidRPr="00E40993">
        <w:rPr>
          <w:rFonts w:eastAsia="MS Mincho"/>
          <w:lang w:eastAsia="en-US"/>
        </w:rPr>
        <w:t>dolutegravir</w:t>
      </w:r>
      <w:proofErr w:type="spellEnd"/>
      <w:r w:rsidR="00BB2384" w:rsidRPr="00E40993">
        <w:rPr>
          <w:rFonts w:eastAsia="MS Mincho"/>
          <w:lang w:eastAsia="en-US"/>
        </w:rPr>
        <w:t>), ZIAGEN</w:t>
      </w:r>
      <w:r w:rsidR="00D578E8" w:rsidRPr="00E40993">
        <w:rPr>
          <w:rFonts w:ascii="Arial Bold" w:hAnsi="Arial Bold" w:cs="Arial"/>
          <w:color w:val="000000" w:themeColor="text1"/>
          <w:szCs w:val="22"/>
          <w:vertAlign w:val="superscript"/>
        </w:rPr>
        <w:sym w:font="Symbol" w:char="F0E2"/>
      </w:r>
      <w:r w:rsidR="00BB2384" w:rsidRPr="00E40993">
        <w:rPr>
          <w:rFonts w:eastAsia="MS Mincho"/>
          <w:lang w:eastAsia="en-US"/>
        </w:rPr>
        <w:t xml:space="preserve"> </w:t>
      </w:r>
      <w:r w:rsidR="00D578E8" w:rsidRPr="00E40993">
        <w:rPr>
          <w:rFonts w:eastAsia="MS Mincho"/>
          <w:lang w:eastAsia="en-US"/>
        </w:rPr>
        <w:t>(</w:t>
      </w:r>
      <w:proofErr w:type="spellStart"/>
      <w:r w:rsidR="00D578E8" w:rsidRPr="00E40993">
        <w:rPr>
          <w:rFonts w:eastAsia="MS Mincho"/>
          <w:lang w:eastAsia="en-US"/>
        </w:rPr>
        <w:t>a</w:t>
      </w:r>
      <w:r w:rsidR="00BB2384" w:rsidRPr="00E40993">
        <w:rPr>
          <w:rFonts w:eastAsia="MS Mincho"/>
          <w:lang w:eastAsia="en-US"/>
        </w:rPr>
        <w:t>bacavir</w:t>
      </w:r>
      <w:proofErr w:type="spellEnd"/>
      <w:r w:rsidR="00D578E8" w:rsidRPr="00E40993">
        <w:rPr>
          <w:rFonts w:eastAsia="MS Mincho"/>
          <w:lang w:eastAsia="en-US"/>
        </w:rPr>
        <w:t xml:space="preserve">), </w:t>
      </w:r>
      <w:r w:rsidR="00BF4CC5" w:rsidRPr="00E40993">
        <w:rPr>
          <w:rFonts w:eastAsia="MS Mincho"/>
          <w:lang w:eastAsia="en-US"/>
        </w:rPr>
        <w:t>3TC</w:t>
      </w:r>
      <w:r w:rsidR="00BF4CC5" w:rsidRPr="00E40993">
        <w:rPr>
          <w:rFonts w:ascii="Arial Bold" w:hAnsi="Arial Bold" w:cs="Arial"/>
          <w:color w:val="000000" w:themeColor="text1"/>
          <w:szCs w:val="22"/>
          <w:vertAlign w:val="superscript"/>
        </w:rPr>
        <w:sym w:font="Symbol" w:char="F0E2"/>
      </w:r>
      <w:r w:rsidR="00BF4CC5" w:rsidRPr="00E40993">
        <w:rPr>
          <w:rFonts w:eastAsia="MS Mincho"/>
          <w:lang w:eastAsia="en-US"/>
        </w:rPr>
        <w:t xml:space="preserve"> </w:t>
      </w:r>
      <w:r w:rsidR="00D578E8" w:rsidRPr="00E40993">
        <w:rPr>
          <w:rFonts w:eastAsia="MS Mincho"/>
          <w:lang w:eastAsia="en-US"/>
        </w:rPr>
        <w:t>(</w:t>
      </w:r>
      <w:r w:rsidR="00BF4CC5" w:rsidRPr="00E40993">
        <w:rPr>
          <w:rFonts w:eastAsia="MS Mincho"/>
          <w:lang w:eastAsia="en-US"/>
        </w:rPr>
        <w:t>lamivudine)</w:t>
      </w:r>
      <w:r w:rsidR="00D578E8" w:rsidRPr="00E40993">
        <w:rPr>
          <w:rFonts w:eastAsia="MS Mincho"/>
          <w:lang w:eastAsia="en-US"/>
        </w:rPr>
        <w:t xml:space="preserve"> and KIVEXA</w:t>
      </w:r>
      <w:r w:rsidR="00D578E8" w:rsidRPr="00E40993">
        <w:rPr>
          <w:rFonts w:ascii="Arial Bold" w:hAnsi="Arial Bold" w:cs="Arial"/>
          <w:color w:val="000000" w:themeColor="text1"/>
          <w:szCs w:val="22"/>
          <w:vertAlign w:val="superscript"/>
        </w:rPr>
        <w:sym w:font="Symbol" w:char="F0E2"/>
      </w:r>
      <w:r w:rsidR="00D578E8" w:rsidRPr="00E40993">
        <w:rPr>
          <w:rFonts w:eastAsia="MS Mincho"/>
          <w:lang w:eastAsia="en-US"/>
        </w:rPr>
        <w:t xml:space="preserve"> (</w:t>
      </w:r>
      <w:proofErr w:type="spellStart"/>
      <w:r w:rsidR="00D578E8" w:rsidRPr="00E40993">
        <w:rPr>
          <w:rFonts w:eastAsia="MS Mincho"/>
          <w:lang w:eastAsia="en-US"/>
        </w:rPr>
        <w:t>a</w:t>
      </w:r>
      <w:r w:rsidR="0053235A" w:rsidRPr="00E40993">
        <w:rPr>
          <w:rFonts w:eastAsia="MS Mincho"/>
          <w:lang w:eastAsia="en-US"/>
        </w:rPr>
        <w:t>bacavir</w:t>
      </w:r>
      <w:proofErr w:type="spellEnd"/>
      <w:r w:rsidR="00D578E8" w:rsidRPr="00E40993">
        <w:rPr>
          <w:rFonts w:eastAsia="MS Mincho"/>
          <w:lang w:eastAsia="en-US"/>
        </w:rPr>
        <w:t xml:space="preserve"> and </w:t>
      </w:r>
      <w:r w:rsidR="0053235A" w:rsidRPr="00E40993">
        <w:rPr>
          <w:rFonts w:eastAsia="MS Mincho"/>
          <w:lang w:eastAsia="en-US"/>
        </w:rPr>
        <w:t>lamivudine</w:t>
      </w:r>
      <w:r w:rsidR="00D578E8" w:rsidRPr="00E40993">
        <w:rPr>
          <w:rFonts w:eastAsia="MS Mincho"/>
          <w:lang w:eastAsia="en-US"/>
        </w:rPr>
        <w:t>) contain additional information</w:t>
      </w:r>
      <w:r w:rsidR="0053235A" w:rsidRPr="00E40993">
        <w:rPr>
          <w:rFonts w:eastAsia="MS Mincho"/>
          <w:lang w:eastAsia="en-US"/>
        </w:rPr>
        <w:t>.</w:t>
      </w:r>
    </w:p>
    <w:p w:rsidR="00D14157" w:rsidRPr="00E40993" w:rsidRDefault="00503751" w:rsidP="00D14157">
      <w:pPr>
        <w:spacing w:line="240" w:lineRule="auto"/>
        <w:rPr>
          <w:bCs/>
          <w:color w:val="000000" w:themeColor="text1"/>
        </w:rPr>
      </w:pPr>
      <w:r w:rsidRPr="00E40993">
        <w:rPr>
          <w:bCs/>
          <w:color w:val="000000" w:themeColor="text1"/>
        </w:rPr>
        <w:t xml:space="preserve">The chemical (IUPAC) name for </w:t>
      </w:r>
      <w:proofErr w:type="spellStart"/>
      <w:r w:rsidRPr="00E40993">
        <w:rPr>
          <w:bCs/>
          <w:color w:val="000000" w:themeColor="text1"/>
        </w:rPr>
        <w:t>dolutegravir</w:t>
      </w:r>
      <w:proofErr w:type="spellEnd"/>
      <w:r w:rsidRPr="00E40993">
        <w:rPr>
          <w:bCs/>
          <w:color w:val="000000" w:themeColor="text1"/>
        </w:rPr>
        <w:t xml:space="preserve"> sodium is Sodium (4R,12aS)-9-{[(2,4-difluorophenyl)methyl]carbamoyl}-4-methyl-6,8-dioxo-3,4,6,8,12,12a-hexahydro-2H-pyrido[1',2':4,5]pyrazino[2,1-b][1,3]oxazin-7-olate</w:t>
      </w:r>
      <w:r w:rsidR="006A46FE" w:rsidRPr="00E40993">
        <w:rPr>
          <w:bCs/>
          <w:color w:val="000000" w:themeColor="text1"/>
        </w:rPr>
        <w:t>.</w:t>
      </w:r>
      <w:r w:rsidR="00D14157" w:rsidRPr="00E40993">
        <w:rPr>
          <w:bCs/>
          <w:color w:val="000000" w:themeColor="text1"/>
        </w:rPr>
        <w:t xml:space="preserve"> It has a molecular formula of </w:t>
      </w:r>
      <w:r w:rsidR="00D14157" w:rsidRPr="00E40993">
        <w:rPr>
          <w:rFonts w:cs="Arial"/>
          <w:color w:val="000000" w:themeColor="text1"/>
          <w:szCs w:val="22"/>
        </w:rPr>
        <w:t>C</w:t>
      </w:r>
      <w:r w:rsidR="00D14157" w:rsidRPr="00E40993">
        <w:rPr>
          <w:rFonts w:cs="Arial"/>
          <w:color w:val="000000" w:themeColor="text1"/>
          <w:szCs w:val="22"/>
          <w:vertAlign w:val="subscript"/>
        </w:rPr>
        <w:t>20</w:t>
      </w:r>
      <w:r w:rsidR="00D14157" w:rsidRPr="00E40993">
        <w:rPr>
          <w:rFonts w:cs="Arial"/>
          <w:color w:val="000000" w:themeColor="text1"/>
          <w:szCs w:val="22"/>
        </w:rPr>
        <w:t>H</w:t>
      </w:r>
      <w:r w:rsidR="00D14157" w:rsidRPr="00E40993">
        <w:rPr>
          <w:rFonts w:cs="Arial"/>
          <w:color w:val="000000" w:themeColor="text1"/>
          <w:szCs w:val="22"/>
          <w:vertAlign w:val="subscript"/>
        </w:rPr>
        <w:t>18</w:t>
      </w:r>
      <w:r w:rsidR="00D14157" w:rsidRPr="00E40993">
        <w:rPr>
          <w:rFonts w:cs="Arial"/>
          <w:color w:val="000000" w:themeColor="text1"/>
          <w:szCs w:val="22"/>
        </w:rPr>
        <w:t>F</w:t>
      </w:r>
      <w:r w:rsidR="00D14157" w:rsidRPr="00E40993">
        <w:rPr>
          <w:rFonts w:cs="Arial"/>
          <w:color w:val="000000" w:themeColor="text1"/>
          <w:szCs w:val="22"/>
          <w:vertAlign w:val="subscript"/>
        </w:rPr>
        <w:t>2</w:t>
      </w:r>
      <w:r w:rsidR="00D14157" w:rsidRPr="00E40993">
        <w:rPr>
          <w:rFonts w:cs="Arial"/>
          <w:color w:val="000000" w:themeColor="text1"/>
          <w:szCs w:val="22"/>
        </w:rPr>
        <w:t>N</w:t>
      </w:r>
      <w:r w:rsidR="00D14157" w:rsidRPr="00E40993">
        <w:rPr>
          <w:rFonts w:cs="Arial"/>
          <w:color w:val="000000" w:themeColor="text1"/>
          <w:szCs w:val="22"/>
          <w:vertAlign w:val="subscript"/>
        </w:rPr>
        <w:t>3</w:t>
      </w:r>
      <w:r w:rsidR="00D14157" w:rsidRPr="00E40993">
        <w:rPr>
          <w:rFonts w:cs="Arial"/>
          <w:color w:val="000000" w:themeColor="text1"/>
          <w:szCs w:val="22"/>
        </w:rPr>
        <w:t>NaO</w:t>
      </w:r>
      <w:r w:rsidR="00D14157" w:rsidRPr="00E40993">
        <w:rPr>
          <w:rFonts w:cs="Arial"/>
          <w:color w:val="000000" w:themeColor="text1"/>
          <w:szCs w:val="22"/>
          <w:vertAlign w:val="subscript"/>
        </w:rPr>
        <w:t>5</w:t>
      </w:r>
      <w:r w:rsidR="00D14157" w:rsidRPr="00E40993">
        <w:rPr>
          <w:rFonts w:cs="Arial"/>
          <w:color w:val="000000" w:themeColor="text1"/>
          <w:szCs w:val="22"/>
        </w:rPr>
        <w:t xml:space="preserve"> and a molecular weight of 441.36 g/mol.</w:t>
      </w:r>
    </w:p>
    <w:p w:rsidR="000812F1" w:rsidRPr="00E40993" w:rsidRDefault="00166919" w:rsidP="0018638E">
      <w:pPr>
        <w:rPr>
          <w:rFonts w:cs="Arial"/>
          <w:color w:val="000000" w:themeColor="text1"/>
          <w:szCs w:val="22"/>
          <w:lang w:eastAsia="ja-JP"/>
        </w:rPr>
      </w:pPr>
      <w:r w:rsidRPr="00E40993">
        <w:rPr>
          <w:rFonts w:cs="Arial"/>
          <w:color w:val="000000" w:themeColor="text1"/>
          <w:szCs w:val="22"/>
          <w:lang w:eastAsia="ja-JP"/>
        </w:rPr>
        <w:t>The structural formula is:</w:t>
      </w:r>
    </w:p>
    <w:p w:rsidR="00982469" w:rsidRPr="00E40993" w:rsidRDefault="000300DC" w:rsidP="00522701">
      <w:pPr>
        <w:rPr>
          <w:rFonts w:cs="Arial"/>
          <w:color w:val="000000" w:themeColor="text1"/>
          <w:szCs w:val="22"/>
        </w:rPr>
      </w:pPr>
      <w:r>
        <w:rPr>
          <w:rFonts w:cs="Arial"/>
          <w:noProof/>
          <w:color w:val="000000" w:themeColor="text1"/>
          <w:szCs w:val="22"/>
        </w:rPr>
        <w:drawing>
          <wp:inline distT="0" distB="0" distL="0" distR="0">
            <wp:extent cx="2181225" cy="77152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181225" cy="771525"/>
                    </a:xfrm>
                    <a:prstGeom prst="rect">
                      <a:avLst/>
                    </a:prstGeom>
                    <a:noFill/>
                    <a:ln w="9525">
                      <a:noFill/>
                      <a:miter lim="800000"/>
                      <a:headEnd/>
                      <a:tailEnd/>
                    </a:ln>
                  </pic:spPr>
                </pic:pic>
              </a:graphicData>
            </a:graphic>
          </wp:inline>
        </w:drawing>
      </w:r>
    </w:p>
    <w:p w:rsidR="00D14157" w:rsidRPr="00E40993" w:rsidRDefault="00D14157" w:rsidP="008D6904">
      <w:r w:rsidRPr="00E40993">
        <w:t xml:space="preserve">CAS Registry Number: </w:t>
      </w:r>
      <w:r w:rsidRPr="00E40993">
        <w:rPr>
          <w:bCs/>
        </w:rPr>
        <w:t>1051375-19-9</w:t>
      </w:r>
    </w:p>
    <w:p w:rsidR="00D14157" w:rsidRPr="00E40993" w:rsidRDefault="00D14157" w:rsidP="008D6904">
      <w:r w:rsidRPr="00E40993">
        <w:t xml:space="preserve">The chemical name of </w:t>
      </w:r>
      <w:proofErr w:type="spellStart"/>
      <w:r w:rsidRPr="00E40993">
        <w:t>abacavir</w:t>
      </w:r>
      <w:proofErr w:type="spellEnd"/>
      <w:r w:rsidRPr="00E40993">
        <w:t xml:space="preserve"> </w:t>
      </w:r>
      <w:proofErr w:type="spellStart"/>
      <w:r w:rsidRPr="00E40993">
        <w:t>sulfate</w:t>
      </w:r>
      <w:proofErr w:type="spellEnd"/>
      <w:r w:rsidRPr="00E40993">
        <w:t xml:space="preserve"> is </w:t>
      </w:r>
      <w:r w:rsidRPr="00E40993">
        <w:rPr>
          <w:i/>
        </w:rPr>
        <w:t>(</w:t>
      </w:r>
      <w:r w:rsidRPr="00E40993">
        <w:t>1</w:t>
      </w:r>
      <w:r w:rsidRPr="00E40993">
        <w:rPr>
          <w:i/>
        </w:rPr>
        <w:t>S,cis)-</w:t>
      </w:r>
      <w:r w:rsidRPr="00E40993">
        <w:t>4-[2-amino-6-(cyclopropylamino)-9</w:t>
      </w:r>
      <w:r w:rsidRPr="00E40993">
        <w:rPr>
          <w:i/>
        </w:rPr>
        <w:t>H</w:t>
      </w:r>
      <w:r w:rsidRPr="00E40993">
        <w:t xml:space="preserve">-purin-9-yl]-2-cyclopentene-1-methanol </w:t>
      </w:r>
      <w:proofErr w:type="spellStart"/>
      <w:r w:rsidRPr="00E40993">
        <w:t>sulfate</w:t>
      </w:r>
      <w:proofErr w:type="spellEnd"/>
      <w:r w:rsidRPr="00E40993">
        <w:t xml:space="preserve"> (salt) (2:1). </w:t>
      </w:r>
      <w:proofErr w:type="spellStart"/>
      <w:r w:rsidRPr="00E40993">
        <w:t>Abacavir</w:t>
      </w:r>
      <w:proofErr w:type="spellEnd"/>
      <w:r w:rsidRPr="00E40993">
        <w:t xml:space="preserve"> </w:t>
      </w:r>
      <w:proofErr w:type="spellStart"/>
      <w:r w:rsidRPr="00E40993">
        <w:t>sulfate</w:t>
      </w:r>
      <w:proofErr w:type="spellEnd"/>
      <w:r w:rsidRPr="00E40993">
        <w:t xml:space="preserve"> is the enantiomer with </w:t>
      </w:r>
      <w:r w:rsidRPr="00E40993">
        <w:rPr>
          <w:i/>
        </w:rPr>
        <w:t>1S</w:t>
      </w:r>
      <w:r w:rsidRPr="00E40993">
        <w:t xml:space="preserve">, </w:t>
      </w:r>
      <w:r w:rsidRPr="00E40993">
        <w:rPr>
          <w:i/>
        </w:rPr>
        <w:t>4R</w:t>
      </w:r>
      <w:r w:rsidRPr="00E40993">
        <w:t xml:space="preserve"> absolute configuration on the </w:t>
      </w:r>
      <w:proofErr w:type="spellStart"/>
      <w:r w:rsidRPr="00E40993">
        <w:t>cyclopentene</w:t>
      </w:r>
      <w:proofErr w:type="spellEnd"/>
      <w:r w:rsidRPr="00E40993">
        <w:t xml:space="preserve"> ring. It has a molecular formula of (C</w:t>
      </w:r>
      <w:r w:rsidRPr="00E40993">
        <w:rPr>
          <w:vertAlign w:val="subscript"/>
        </w:rPr>
        <w:t>14</w:t>
      </w:r>
      <w:r w:rsidRPr="00E40993">
        <w:t>H</w:t>
      </w:r>
      <w:r w:rsidRPr="00E40993">
        <w:rPr>
          <w:vertAlign w:val="subscript"/>
        </w:rPr>
        <w:t>18</w:t>
      </w:r>
      <w:r w:rsidRPr="00E40993">
        <w:t>N</w:t>
      </w:r>
      <w:r w:rsidRPr="00E40993">
        <w:rPr>
          <w:vertAlign w:val="subscript"/>
        </w:rPr>
        <w:t>6</w:t>
      </w:r>
      <w:r w:rsidRPr="00E40993">
        <w:t>O)</w:t>
      </w:r>
      <w:r w:rsidRPr="00E40993">
        <w:rPr>
          <w:vertAlign w:val="subscript"/>
        </w:rPr>
        <w:t>2</w:t>
      </w:r>
      <w:r w:rsidRPr="00E40993">
        <w:rPr>
          <w:position w:val="6"/>
          <w:vertAlign w:val="subscript"/>
        </w:rPr>
        <w:sym w:font="Symbol" w:char="F0B7"/>
      </w:r>
      <w:r w:rsidRPr="00E40993">
        <w:t>H</w:t>
      </w:r>
      <w:r w:rsidRPr="00E40993">
        <w:rPr>
          <w:vertAlign w:val="subscript"/>
        </w:rPr>
        <w:t>2</w:t>
      </w:r>
      <w:r w:rsidRPr="00E40993">
        <w:t>SO</w:t>
      </w:r>
      <w:r w:rsidRPr="00E40993">
        <w:rPr>
          <w:vertAlign w:val="subscript"/>
        </w:rPr>
        <w:t>4</w:t>
      </w:r>
      <w:r w:rsidRPr="00E40993">
        <w:t xml:space="preserve"> and a molecular weight of 670.76 </w:t>
      </w:r>
      <w:r w:rsidR="00F61B91">
        <w:t>g/mol</w:t>
      </w:r>
      <w:r w:rsidRPr="00E40993">
        <w:t xml:space="preserve">. </w:t>
      </w:r>
    </w:p>
    <w:p w:rsidR="00D14157" w:rsidRPr="00E40993" w:rsidRDefault="008D5772" w:rsidP="00C5438D">
      <w:pPr>
        <w:rPr>
          <w:rFonts w:cs="Arial"/>
          <w:color w:val="000000" w:themeColor="text1"/>
          <w:szCs w:val="22"/>
          <w:lang w:eastAsia="ja-JP"/>
        </w:rPr>
      </w:pPr>
      <w:r>
        <w:rPr>
          <w:b/>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5pt;margin-top:27.75pt;width:179.65pt;height:129.6pt;z-index:251660288" o:allowincell="f">
            <v:imagedata r:id="rId10" o:title=""/>
            <w10:wrap type="topAndBottom"/>
          </v:shape>
          <o:OLEObject Type="Embed" ProgID="ISISServer" ShapeID="_x0000_s1026" DrawAspect="Content" ObjectID="_1498460239" r:id="rId11"/>
        </w:pict>
      </w:r>
      <w:r w:rsidR="00D14157" w:rsidRPr="00E40993">
        <w:rPr>
          <w:rFonts w:cs="Arial"/>
          <w:color w:val="000000" w:themeColor="text1"/>
          <w:szCs w:val="22"/>
          <w:lang w:eastAsia="ja-JP"/>
        </w:rPr>
        <w:t>The structural formula is:</w:t>
      </w:r>
    </w:p>
    <w:p w:rsidR="00D14157" w:rsidRPr="00E40993" w:rsidRDefault="00D14157" w:rsidP="008D6904">
      <w:r w:rsidRPr="00E40993">
        <w:t xml:space="preserve">CAS Registry Number: 188062-50-2 </w:t>
      </w:r>
    </w:p>
    <w:p w:rsidR="0045447B" w:rsidRPr="00E40993" w:rsidRDefault="0045447B" w:rsidP="008D6904"/>
    <w:p w:rsidR="005141DC" w:rsidRPr="00E40993" w:rsidRDefault="00D14157" w:rsidP="008D6904">
      <w:r w:rsidRPr="00E40993">
        <w:lastRenderedPageBreak/>
        <w:t>The chemical name of lamivudine is (2R,cis)-4-amino-1-[2- (</w:t>
      </w:r>
      <w:proofErr w:type="spellStart"/>
      <w:r w:rsidRPr="00E40993">
        <w:t>hydroxymethyl</w:t>
      </w:r>
      <w:proofErr w:type="spellEnd"/>
      <w:r w:rsidRPr="00E40993">
        <w:t>)-1,3-oxathiolan-5-yl]-2(1H)-</w:t>
      </w:r>
      <w:proofErr w:type="spellStart"/>
      <w:r w:rsidRPr="00E40993">
        <w:t>pyrimidinone</w:t>
      </w:r>
      <w:proofErr w:type="spellEnd"/>
      <w:r w:rsidRPr="00E40993">
        <w:t>. Lamivudine is the (</w:t>
      </w:r>
      <w:r w:rsidRPr="00E40993">
        <w:noBreakHyphen/>
        <w:t xml:space="preserve">)enantiomer of a </w:t>
      </w:r>
      <w:proofErr w:type="spellStart"/>
      <w:r w:rsidRPr="00E40993">
        <w:t>dideoxy</w:t>
      </w:r>
      <w:proofErr w:type="spellEnd"/>
      <w:r w:rsidRPr="00E40993">
        <w:t xml:space="preserve"> analogue of cytidine. Lamivudine has also been referred to as (</w:t>
      </w:r>
      <w:r w:rsidRPr="00E40993">
        <w:noBreakHyphen/>
        <w:t>)2</w:t>
      </w:r>
      <w:r w:rsidRPr="00E40993">
        <w:sym w:font="Symbol" w:char="F0A2"/>
      </w:r>
      <w:r w:rsidRPr="00E40993">
        <w:t>,3</w:t>
      </w:r>
      <w:r w:rsidRPr="00E40993">
        <w:sym w:font="Symbol" w:char="F0A2"/>
      </w:r>
      <w:r w:rsidRPr="00E40993">
        <w:t>-</w:t>
      </w:r>
      <w:proofErr w:type="spellStart"/>
      <w:r w:rsidRPr="00E40993">
        <w:t>dideoxy</w:t>
      </w:r>
      <w:proofErr w:type="spellEnd"/>
      <w:r w:rsidRPr="00E40993">
        <w:t>, 3</w:t>
      </w:r>
      <w:r w:rsidRPr="00E40993">
        <w:sym w:font="Symbol" w:char="F0A2"/>
      </w:r>
      <w:r w:rsidRPr="00E40993">
        <w:t>-</w:t>
      </w:r>
      <w:proofErr w:type="spellStart"/>
      <w:r w:rsidRPr="00E40993">
        <w:t>thiacytidine</w:t>
      </w:r>
      <w:proofErr w:type="spellEnd"/>
      <w:r w:rsidRPr="00E40993">
        <w:t>. It has a molecular formula of C</w:t>
      </w:r>
      <w:r w:rsidRPr="00E40993">
        <w:rPr>
          <w:vertAlign w:val="subscript"/>
        </w:rPr>
        <w:t>8</w:t>
      </w:r>
      <w:r w:rsidRPr="00E40993">
        <w:t>H</w:t>
      </w:r>
      <w:r w:rsidRPr="00E40993">
        <w:rPr>
          <w:vertAlign w:val="subscript"/>
        </w:rPr>
        <w:t>11</w:t>
      </w:r>
      <w:r w:rsidRPr="00E40993">
        <w:t>N</w:t>
      </w:r>
      <w:r w:rsidRPr="00E40993">
        <w:rPr>
          <w:vertAlign w:val="subscript"/>
        </w:rPr>
        <w:t>3</w:t>
      </w:r>
      <w:r w:rsidRPr="00E40993">
        <w:t>O</w:t>
      </w:r>
      <w:r w:rsidRPr="00E40993">
        <w:rPr>
          <w:vertAlign w:val="subscript"/>
        </w:rPr>
        <w:t>3</w:t>
      </w:r>
      <w:r w:rsidRPr="00E40993">
        <w:t xml:space="preserve">S and a molecular weight of 229.3 </w:t>
      </w:r>
      <w:r w:rsidR="00F61B91">
        <w:t>g/mol</w:t>
      </w:r>
      <w:r w:rsidRPr="00E40993">
        <w:t xml:space="preserve">. </w:t>
      </w:r>
    </w:p>
    <w:p w:rsidR="005141DC" w:rsidRPr="00E40993" w:rsidRDefault="005141DC" w:rsidP="008D6904">
      <w:pPr>
        <w:rPr>
          <w:rFonts w:cs="Arial"/>
          <w:szCs w:val="22"/>
          <w:lang w:eastAsia="ja-JP"/>
        </w:rPr>
      </w:pPr>
      <w:r w:rsidRPr="00E40993">
        <w:rPr>
          <w:rFonts w:cs="Arial"/>
          <w:szCs w:val="22"/>
          <w:lang w:eastAsia="ja-JP"/>
        </w:rPr>
        <w:t>The structural formula is:</w:t>
      </w:r>
    </w:p>
    <w:p w:rsidR="00D14157" w:rsidRPr="00E40993" w:rsidRDefault="00D14157" w:rsidP="00D14157">
      <w:pPr>
        <w:tabs>
          <w:tab w:val="left" w:pos="2880"/>
        </w:tabs>
        <w:rPr>
          <w:color w:val="000000" w:themeColor="text1"/>
        </w:rPr>
      </w:pPr>
    </w:p>
    <w:p w:rsidR="00D14157" w:rsidRPr="00E40993" w:rsidRDefault="000300DC" w:rsidP="00D14157">
      <w:pPr>
        <w:tabs>
          <w:tab w:val="left" w:pos="2880"/>
        </w:tabs>
        <w:rPr>
          <w:color w:val="000000" w:themeColor="text1"/>
        </w:rPr>
      </w:pPr>
      <w:r>
        <w:rPr>
          <w:noProof/>
          <w:color w:val="000000" w:themeColor="text1"/>
        </w:rPr>
        <w:drawing>
          <wp:inline distT="0" distB="0" distL="0" distR="0">
            <wp:extent cx="1600200" cy="1276350"/>
            <wp:effectExtent l="19050" t="0" r="0" b="0"/>
            <wp:docPr id="3" name="Picture 1" descr="EPIV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VIR"/>
                    <pic:cNvPicPr>
                      <a:picLocks noChangeAspect="1" noChangeArrowheads="1"/>
                    </pic:cNvPicPr>
                  </pic:nvPicPr>
                  <pic:blipFill>
                    <a:blip r:embed="rId12" cstate="print"/>
                    <a:srcRect/>
                    <a:stretch>
                      <a:fillRect/>
                    </a:stretch>
                  </pic:blipFill>
                  <pic:spPr bwMode="auto">
                    <a:xfrm>
                      <a:off x="0" y="0"/>
                      <a:ext cx="1600200" cy="1276350"/>
                    </a:xfrm>
                    <a:prstGeom prst="rect">
                      <a:avLst/>
                    </a:prstGeom>
                    <a:noFill/>
                    <a:ln w="9525">
                      <a:noFill/>
                      <a:miter lim="800000"/>
                      <a:headEnd/>
                      <a:tailEnd/>
                    </a:ln>
                  </pic:spPr>
                </pic:pic>
              </a:graphicData>
            </a:graphic>
          </wp:inline>
        </w:drawing>
      </w:r>
    </w:p>
    <w:p w:rsidR="00D14157" w:rsidRPr="00E40993" w:rsidRDefault="00D14157" w:rsidP="00D14157">
      <w:pPr>
        <w:keepNext/>
        <w:jc w:val="center"/>
        <w:rPr>
          <w:color w:val="000000" w:themeColor="text1"/>
        </w:rPr>
      </w:pPr>
    </w:p>
    <w:p w:rsidR="00D45AB9" w:rsidRPr="00D45AB9" w:rsidRDefault="005141DC" w:rsidP="00D45AB9">
      <w:r w:rsidRPr="00E40993">
        <w:t xml:space="preserve">CAS Registry Number: 134678-17-4  </w:t>
      </w:r>
    </w:p>
    <w:p w:rsidR="00C556BA" w:rsidRPr="00E40993" w:rsidRDefault="00E81E59" w:rsidP="0045447B">
      <w:pPr>
        <w:pStyle w:val="Heading1"/>
      </w:pPr>
      <w:r w:rsidRPr="00E40993">
        <w:t>DESCRIPTION</w:t>
      </w:r>
    </w:p>
    <w:p w:rsidR="00666E34" w:rsidRPr="00E40993" w:rsidRDefault="00666E34" w:rsidP="00666E34">
      <w:proofErr w:type="spellStart"/>
      <w:r w:rsidRPr="00E40993">
        <w:t>Dolutegravir</w:t>
      </w:r>
      <w:proofErr w:type="spellEnd"/>
      <w:r w:rsidRPr="00E40993">
        <w:t xml:space="preserve"> sodium is a white to light yellow powder and is slightly soluble in water.</w:t>
      </w:r>
      <w:r w:rsidRPr="00E40993">
        <w:rPr>
          <w:rFonts w:ascii="Times New Roman" w:hAnsi="Times New Roman"/>
          <w:iCs/>
          <w:sz w:val="24"/>
          <w:lang w:val="en-GB" w:eastAsia="en-GB"/>
        </w:rPr>
        <w:t xml:space="preserve"> </w:t>
      </w:r>
      <w:r w:rsidRPr="00E40993">
        <w:rPr>
          <w:iCs/>
          <w:lang w:val="en-GB"/>
        </w:rPr>
        <w:t xml:space="preserve">The partition coefficient (log P) for </w:t>
      </w:r>
      <w:proofErr w:type="spellStart"/>
      <w:r w:rsidRPr="00E40993">
        <w:rPr>
          <w:iCs/>
          <w:lang w:val="en-GB"/>
        </w:rPr>
        <w:t>dolutegravir</w:t>
      </w:r>
      <w:proofErr w:type="spellEnd"/>
      <w:r w:rsidRPr="00E40993">
        <w:rPr>
          <w:iCs/>
          <w:lang w:val="en-GB"/>
        </w:rPr>
        <w:t xml:space="preserve"> sodium is 2.2 and the </w:t>
      </w:r>
      <w:proofErr w:type="spellStart"/>
      <w:r w:rsidRPr="00E40993">
        <w:rPr>
          <w:iCs/>
          <w:lang w:val="en-GB"/>
        </w:rPr>
        <w:t>pKa</w:t>
      </w:r>
      <w:proofErr w:type="spellEnd"/>
      <w:r w:rsidRPr="00E40993">
        <w:rPr>
          <w:iCs/>
          <w:lang w:val="en-GB"/>
        </w:rPr>
        <w:t xml:space="preserve"> is 8.2.</w:t>
      </w:r>
    </w:p>
    <w:p w:rsidR="00666E34" w:rsidRPr="00E40993" w:rsidRDefault="00666E34" w:rsidP="00666E34">
      <w:proofErr w:type="spellStart"/>
      <w:r w:rsidRPr="00E40993">
        <w:t>Abacavir</w:t>
      </w:r>
      <w:proofErr w:type="spellEnd"/>
      <w:r w:rsidRPr="00E40993">
        <w:t xml:space="preserve"> </w:t>
      </w:r>
      <w:proofErr w:type="spellStart"/>
      <w:r w:rsidRPr="00E40993">
        <w:t>sulfate</w:t>
      </w:r>
      <w:proofErr w:type="spellEnd"/>
      <w:r w:rsidRPr="00E40993">
        <w:t xml:space="preserve"> is a white to off-white crystalline powder with a solubility of approximately 77 mg/mL in water at 25</w:t>
      </w:r>
      <w:r w:rsidRPr="00E40993">
        <w:sym w:font="Symbol" w:char="F0B0"/>
      </w:r>
      <w:r w:rsidRPr="00E40993">
        <w:t xml:space="preserve">C.  </w:t>
      </w:r>
    </w:p>
    <w:p w:rsidR="00666E34" w:rsidRPr="00E40993" w:rsidRDefault="00666E34" w:rsidP="00666E34">
      <w:pPr>
        <w:rPr>
          <w:color w:val="000000"/>
        </w:rPr>
      </w:pPr>
      <w:r w:rsidRPr="00E40993">
        <w:t>La</w:t>
      </w:r>
      <w:r w:rsidRPr="00E40993">
        <w:rPr>
          <w:color w:val="000000"/>
        </w:rPr>
        <w:t>mivudine is a white to off-white crystalline solid which is highly soluble in water.</w:t>
      </w:r>
    </w:p>
    <w:p w:rsidR="00236E6E" w:rsidRPr="00E40993" w:rsidRDefault="00B127EF" w:rsidP="008D6904">
      <w:r w:rsidRPr="003D38CC">
        <w:t>TRIUMEQ</w:t>
      </w:r>
      <w:r w:rsidR="00287ECD" w:rsidRPr="003D38CC">
        <w:t xml:space="preserve"> is supp</w:t>
      </w:r>
      <w:r w:rsidR="00287ECD" w:rsidRPr="00E40993">
        <w:t>lied as film-coated tablets each</w:t>
      </w:r>
      <w:r w:rsidR="00C868D0" w:rsidRPr="00E40993">
        <w:t xml:space="preserve"> </w:t>
      </w:r>
      <w:r w:rsidR="00287ECD" w:rsidRPr="00E40993">
        <w:t>containing</w:t>
      </w:r>
      <w:r w:rsidR="00363313" w:rsidRPr="00E40993">
        <w:t xml:space="preserve"> </w:t>
      </w:r>
      <w:r w:rsidRPr="00E40993">
        <w:t xml:space="preserve">50 mg of </w:t>
      </w:r>
      <w:proofErr w:type="spellStart"/>
      <w:r w:rsidRPr="00E40993">
        <w:t>dolutegravir</w:t>
      </w:r>
      <w:proofErr w:type="spellEnd"/>
      <w:r w:rsidRPr="00E40993">
        <w:t xml:space="preserve"> </w:t>
      </w:r>
      <w:r w:rsidR="00D14157" w:rsidRPr="00E40993">
        <w:t>(</w:t>
      </w:r>
      <w:r w:rsidRPr="00E40993">
        <w:t xml:space="preserve">as </w:t>
      </w:r>
      <w:proofErr w:type="spellStart"/>
      <w:r w:rsidRPr="00E40993">
        <w:t>dolutegravir</w:t>
      </w:r>
      <w:proofErr w:type="spellEnd"/>
      <w:r w:rsidRPr="00E40993">
        <w:t xml:space="preserve"> sodium</w:t>
      </w:r>
      <w:r w:rsidR="00D14157" w:rsidRPr="00E40993">
        <w:t>)</w:t>
      </w:r>
      <w:r w:rsidRPr="00E40993">
        <w:t xml:space="preserve">, 600 mg of </w:t>
      </w:r>
      <w:proofErr w:type="spellStart"/>
      <w:r w:rsidRPr="00E40993">
        <w:t>abacavir</w:t>
      </w:r>
      <w:proofErr w:type="spellEnd"/>
      <w:r w:rsidRPr="00E40993">
        <w:t xml:space="preserve"> as </w:t>
      </w:r>
      <w:proofErr w:type="spellStart"/>
      <w:r w:rsidRPr="00E40993">
        <w:t>abacavir</w:t>
      </w:r>
      <w:proofErr w:type="spellEnd"/>
      <w:r w:rsidRPr="00E40993">
        <w:t xml:space="preserve"> </w:t>
      </w:r>
      <w:proofErr w:type="spellStart"/>
      <w:r w:rsidRPr="00E40993">
        <w:t>sulfate</w:t>
      </w:r>
      <w:proofErr w:type="spellEnd"/>
      <w:r w:rsidRPr="00E40993">
        <w:t xml:space="preserve"> and 300 mg of lamivudine</w:t>
      </w:r>
      <w:r w:rsidR="00236E6E" w:rsidRPr="00E40993">
        <w:t xml:space="preserve">. </w:t>
      </w:r>
      <w:r w:rsidRPr="00E40993">
        <w:t>TRIUMEQ</w:t>
      </w:r>
      <w:r w:rsidR="00785098" w:rsidRPr="00E40993">
        <w:t xml:space="preserve"> </w:t>
      </w:r>
      <w:r w:rsidR="00C868D0" w:rsidRPr="00E40993">
        <w:t>tablet</w:t>
      </w:r>
      <w:r w:rsidR="00287ECD" w:rsidRPr="00E40993">
        <w:t>s</w:t>
      </w:r>
      <w:r w:rsidR="00236E6E" w:rsidRPr="00E40993">
        <w:t xml:space="preserve"> also contain</w:t>
      </w:r>
      <w:r w:rsidR="00287ECD" w:rsidRPr="00E40993">
        <w:t>:</w:t>
      </w:r>
      <w:r w:rsidR="00236E6E" w:rsidRPr="00E40993">
        <w:t xml:space="preserve"> </w:t>
      </w:r>
      <w:r w:rsidR="001E4B71" w:rsidRPr="00E40993">
        <w:t>mannitol</w:t>
      </w:r>
      <w:r w:rsidR="00522701" w:rsidRPr="00E40993">
        <w:t xml:space="preserve">, </w:t>
      </w:r>
      <w:r w:rsidR="00DC536A" w:rsidRPr="00E40993">
        <w:rPr>
          <w:lang w:val="en-US"/>
        </w:rPr>
        <w:t>microcrystalline cellulose</w:t>
      </w:r>
      <w:r w:rsidR="00236E6E" w:rsidRPr="00E40993">
        <w:t xml:space="preserve">, </w:t>
      </w:r>
      <w:proofErr w:type="spellStart"/>
      <w:r w:rsidR="00522701" w:rsidRPr="00E40993">
        <w:t>povidone</w:t>
      </w:r>
      <w:proofErr w:type="spellEnd"/>
      <w:r w:rsidR="00522701" w:rsidRPr="00E40993">
        <w:t xml:space="preserve">, sodium starch </w:t>
      </w:r>
      <w:proofErr w:type="spellStart"/>
      <w:r w:rsidR="00522701" w:rsidRPr="00E40993">
        <w:t>glycolate</w:t>
      </w:r>
      <w:proofErr w:type="spellEnd"/>
      <w:r w:rsidR="009D0F70">
        <w:t>,</w:t>
      </w:r>
      <w:r w:rsidR="008D1231" w:rsidRPr="00E40993">
        <w:t xml:space="preserve"> </w:t>
      </w:r>
      <w:r w:rsidRPr="00E40993">
        <w:t xml:space="preserve">magnesium stearate, </w:t>
      </w:r>
      <w:r w:rsidR="00522701" w:rsidRPr="00E40993">
        <w:t>polyvinyl alc</w:t>
      </w:r>
      <w:r w:rsidR="00DC536A" w:rsidRPr="00E40993">
        <w:t>o</w:t>
      </w:r>
      <w:r w:rsidR="00522701" w:rsidRPr="00E40993">
        <w:t>hol</w:t>
      </w:r>
      <w:r w:rsidR="00DC536A" w:rsidRPr="00E40993">
        <w:t xml:space="preserve"> </w:t>
      </w:r>
      <w:r w:rsidR="00DC536A" w:rsidRPr="00E40993">
        <w:rPr>
          <w:lang w:val="en-US"/>
        </w:rPr>
        <w:t>– part hydrolyzed</w:t>
      </w:r>
      <w:r w:rsidR="00522701" w:rsidRPr="00E40993">
        <w:t xml:space="preserve">, titanium dioxide, </w:t>
      </w:r>
      <w:proofErr w:type="spellStart"/>
      <w:r w:rsidR="00522701" w:rsidRPr="00E40993">
        <w:t>macrogol</w:t>
      </w:r>
      <w:proofErr w:type="spellEnd"/>
      <w:r w:rsidR="009A368E" w:rsidRPr="00E40993">
        <w:t xml:space="preserve"> </w:t>
      </w:r>
      <w:r w:rsidR="002D548E" w:rsidRPr="00E40993">
        <w:t>3350</w:t>
      </w:r>
      <w:r w:rsidR="00522701" w:rsidRPr="00E40993">
        <w:t xml:space="preserve">, talc, iron oxide </w:t>
      </w:r>
      <w:r w:rsidR="00DF5489">
        <w:t>black</w:t>
      </w:r>
      <w:r w:rsidRPr="00E40993">
        <w:t>, and iron oxide red.</w:t>
      </w:r>
    </w:p>
    <w:p w:rsidR="005141DC" w:rsidRPr="00E40993" w:rsidRDefault="005141DC" w:rsidP="00E8156F">
      <w:pPr>
        <w:spacing w:before="120" w:after="240"/>
        <w:rPr>
          <w:rFonts w:cs="Arial"/>
          <w:b/>
          <w:color w:val="000000" w:themeColor="text1"/>
          <w:szCs w:val="22"/>
        </w:rPr>
      </w:pPr>
    </w:p>
    <w:p w:rsidR="0077380F" w:rsidRPr="00E40993" w:rsidRDefault="0077380F" w:rsidP="0045447B">
      <w:pPr>
        <w:pStyle w:val="Heading1"/>
      </w:pPr>
      <w:r w:rsidRPr="00E40993">
        <w:t>PHARMACOLOGY</w:t>
      </w:r>
    </w:p>
    <w:p w:rsidR="00785098" w:rsidRPr="00E40993" w:rsidRDefault="00785098" w:rsidP="006118C4">
      <w:pPr>
        <w:pStyle w:val="Heading2"/>
      </w:pPr>
      <w:r w:rsidRPr="00E40993">
        <w:t>Mechanism of Action</w:t>
      </w:r>
    </w:p>
    <w:p w:rsidR="005141DC" w:rsidRPr="00BF2F13" w:rsidRDefault="005141DC" w:rsidP="008D6904">
      <w:pPr>
        <w:rPr>
          <w:rFonts w:eastAsia="MS Mincho"/>
          <w:color w:val="000000" w:themeColor="text1"/>
          <w:lang w:eastAsia="en-US"/>
        </w:rPr>
      </w:pPr>
      <w:proofErr w:type="spellStart"/>
      <w:r w:rsidRPr="00E40993">
        <w:rPr>
          <w:rFonts w:eastAsia="MS Mincho"/>
          <w:lang w:eastAsia="en-US"/>
        </w:rPr>
        <w:t>Dolutegravir</w:t>
      </w:r>
      <w:proofErr w:type="spellEnd"/>
      <w:r w:rsidRPr="00E40993">
        <w:rPr>
          <w:rFonts w:eastAsia="MS Mincho"/>
          <w:lang w:eastAsia="en-US"/>
        </w:rPr>
        <w:t xml:space="preserve"> inhibits HIV integrase by binding to the integrase active site and blocking the strand transfer step of retroviral </w:t>
      </w:r>
      <w:r w:rsidR="003301B3">
        <w:rPr>
          <w:rFonts w:eastAsia="MS Mincho"/>
          <w:lang w:eastAsia="en-US"/>
        </w:rPr>
        <w:t>d</w:t>
      </w:r>
      <w:r w:rsidR="003301B3" w:rsidRPr="00E40993">
        <w:rPr>
          <w:rFonts w:eastAsia="MS Mincho"/>
          <w:lang w:eastAsia="en-US"/>
        </w:rPr>
        <w:t xml:space="preserve">eoxyribonucleic </w:t>
      </w:r>
      <w:r w:rsidRPr="00E40993">
        <w:rPr>
          <w:rFonts w:eastAsia="MS Mincho"/>
          <w:lang w:eastAsia="en-US"/>
        </w:rPr>
        <w:t>acid (DNA) integration which is essential for the HIV replication cycle. Strand transfer biochemical assays using purified HIV</w:t>
      </w:r>
      <w:r w:rsidR="008A4157">
        <w:rPr>
          <w:rFonts w:eastAsia="MS Mincho"/>
          <w:lang w:eastAsia="en-US"/>
        </w:rPr>
        <w:t>-</w:t>
      </w:r>
      <w:r w:rsidRPr="00E40993">
        <w:rPr>
          <w:rFonts w:eastAsia="MS Mincho"/>
          <w:lang w:eastAsia="en-US"/>
        </w:rPr>
        <w:t>1 integrase and p</w:t>
      </w:r>
      <w:r w:rsidRPr="00BF2F13">
        <w:rPr>
          <w:rFonts w:eastAsia="MS Mincho"/>
          <w:color w:val="000000" w:themeColor="text1"/>
          <w:lang w:eastAsia="en-US"/>
        </w:rPr>
        <w:t xml:space="preserve">re-processed substrate DNA resulted in IC50 values of 2.7 </w:t>
      </w:r>
      <w:proofErr w:type="spellStart"/>
      <w:r w:rsidRPr="00BF2F13">
        <w:rPr>
          <w:rFonts w:eastAsia="MS Mincho"/>
          <w:color w:val="000000" w:themeColor="text1"/>
          <w:lang w:eastAsia="en-US"/>
        </w:rPr>
        <w:t>nM</w:t>
      </w:r>
      <w:proofErr w:type="spellEnd"/>
      <w:r w:rsidRPr="00BF2F13">
        <w:rPr>
          <w:rFonts w:eastAsia="MS Mincho"/>
          <w:color w:val="000000" w:themeColor="text1"/>
          <w:lang w:eastAsia="en-US"/>
        </w:rPr>
        <w:t xml:space="preserve"> and 12.6 </w:t>
      </w:r>
      <w:proofErr w:type="spellStart"/>
      <w:r w:rsidRPr="00BF2F13">
        <w:rPr>
          <w:rFonts w:eastAsia="MS Mincho"/>
          <w:color w:val="000000" w:themeColor="text1"/>
          <w:lang w:eastAsia="en-US"/>
        </w:rPr>
        <w:t>nM</w:t>
      </w:r>
      <w:proofErr w:type="spellEnd"/>
      <w:r w:rsidR="003301B3" w:rsidRPr="00BF2F13">
        <w:rPr>
          <w:rFonts w:eastAsia="MS Mincho"/>
          <w:color w:val="000000" w:themeColor="text1"/>
          <w:lang w:eastAsia="en-US"/>
        </w:rPr>
        <w:t>.</w:t>
      </w:r>
      <w:r w:rsidRPr="00BF2F13">
        <w:rPr>
          <w:rFonts w:eastAsia="MS Mincho"/>
          <w:color w:val="000000" w:themeColor="text1"/>
          <w:lang w:eastAsia="en-US"/>
        </w:rPr>
        <w:t xml:space="preserve"> </w:t>
      </w:r>
      <w:r w:rsidR="00FD0B6C" w:rsidRPr="00BF2F13">
        <w:rPr>
          <w:rFonts w:eastAsia="MS Mincho"/>
          <w:i/>
          <w:color w:val="000000" w:themeColor="text1"/>
          <w:lang w:eastAsia="en-US"/>
        </w:rPr>
        <w:t>In vitro</w:t>
      </w:r>
      <w:r w:rsidRPr="00BF2F13">
        <w:rPr>
          <w:rFonts w:eastAsia="MS Mincho"/>
          <w:color w:val="000000" w:themeColor="text1"/>
          <w:lang w:eastAsia="en-US"/>
        </w:rPr>
        <w:t xml:space="preserve">, </w:t>
      </w:r>
      <w:proofErr w:type="spellStart"/>
      <w:r w:rsidRPr="00BF2F13">
        <w:rPr>
          <w:rFonts w:eastAsia="MS Mincho"/>
          <w:color w:val="000000" w:themeColor="text1"/>
          <w:lang w:eastAsia="en-US"/>
        </w:rPr>
        <w:t>dolutegravir</w:t>
      </w:r>
      <w:proofErr w:type="spellEnd"/>
      <w:r w:rsidRPr="00BF2F13">
        <w:rPr>
          <w:rFonts w:eastAsia="MS Mincho"/>
          <w:color w:val="000000" w:themeColor="text1"/>
          <w:lang w:eastAsia="en-US"/>
        </w:rPr>
        <w:t xml:space="preserve"> dissociates slowly from the active site of the wild type integrase-DNA complex (t ½ 71 hours).</w:t>
      </w:r>
    </w:p>
    <w:p w:rsidR="005141DC" w:rsidRPr="00E40993" w:rsidRDefault="005141DC" w:rsidP="008D6904">
      <w:pPr>
        <w:rPr>
          <w:rFonts w:eastAsia="MS Mincho"/>
          <w:lang w:eastAsia="en-US"/>
        </w:rPr>
      </w:pPr>
      <w:proofErr w:type="spellStart"/>
      <w:r w:rsidRPr="00BF2F13">
        <w:rPr>
          <w:rFonts w:eastAsia="MS Mincho"/>
          <w:color w:val="000000" w:themeColor="text1"/>
          <w:lang w:eastAsia="en-US"/>
        </w:rPr>
        <w:t>Abacavir</w:t>
      </w:r>
      <w:proofErr w:type="spellEnd"/>
      <w:r w:rsidRPr="00BF2F13">
        <w:rPr>
          <w:rFonts w:eastAsia="MS Mincho"/>
          <w:color w:val="000000" w:themeColor="text1"/>
          <w:lang w:eastAsia="en-US"/>
        </w:rPr>
        <w:t xml:space="preserve"> and lamivudine are </w:t>
      </w:r>
      <w:r w:rsidR="003301B3" w:rsidRPr="00BF2F13">
        <w:rPr>
          <w:rFonts w:cs="Arial"/>
          <w:color w:val="000000" w:themeColor="text1"/>
          <w:shd w:val="clear" w:color="auto" w:fill="FFFFFF"/>
        </w:rPr>
        <w:t>nucleoside reverse transcriptase inhibitors (</w:t>
      </w:r>
      <w:r w:rsidRPr="00BF2F13">
        <w:rPr>
          <w:rFonts w:eastAsia="MS Mincho"/>
          <w:color w:val="000000" w:themeColor="text1"/>
          <w:lang w:eastAsia="en-US"/>
        </w:rPr>
        <w:t>NRTIs</w:t>
      </w:r>
      <w:r w:rsidR="003301B3" w:rsidRPr="00BF2F13">
        <w:rPr>
          <w:rFonts w:eastAsia="MS Mincho"/>
          <w:color w:val="000000" w:themeColor="text1"/>
          <w:lang w:eastAsia="en-US"/>
        </w:rPr>
        <w:t>)</w:t>
      </w:r>
      <w:r w:rsidRPr="00BF2F13">
        <w:rPr>
          <w:rFonts w:eastAsia="MS Mincho"/>
          <w:color w:val="000000" w:themeColor="text1"/>
          <w:lang w:eastAsia="en-US"/>
        </w:rPr>
        <w:t>, and are potent, selective inhibitors of HIV-1 and HIV-2</w:t>
      </w:r>
      <w:r w:rsidR="003301B3" w:rsidRPr="00BF2F13">
        <w:rPr>
          <w:rFonts w:eastAsia="MS Mincho"/>
          <w:color w:val="000000" w:themeColor="text1"/>
          <w:lang w:eastAsia="en-US"/>
        </w:rPr>
        <w:t xml:space="preserve"> replication</w:t>
      </w:r>
      <w:r w:rsidRPr="00BF2F13">
        <w:rPr>
          <w:rFonts w:eastAsia="MS Mincho"/>
          <w:color w:val="000000" w:themeColor="text1"/>
          <w:lang w:eastAsia="en-US"/>
        </w:rPr>
        <w:t xml:space="preserve">.  Both </w:t>
      </w:r>
      <w:proofErr w:type="spellStart"/>
      <w:r w:rsidRPr="00BF2F13">
        <w:rPr>
          <w:rFonts w:eastAsia="MS Mincho"/>
          <w:color w:val="000000" w:themeColor="text1"/>
          <w:lang w:eastAsia="en-US"/>
        </w:rPr>
        <w:t>abacavir</w:t>
      </w:r>
      <w:proofErr w:type="spellEnd"/>
      <w:r w:rsidRPr="00BF2F13">
        <w:rPr>
          <w:rFonts w:eastAsia="MS Mincho"/>
          <w:color w:val="000000" w:themeColor="text1"/>
          <w:lang w:eastAsia="en-US"/>
        </w:rPr>
        <w:t xml:space="preserve"> and lamivudine are metabolised seque</w:t>
      </w:r>
      <w:r w:rsidRPr="00E40993">
        <w:rPr>
          <w:rFonts w:eastAsia="MS Mincho"/>
          <w:lang w:eastAsia="en-US"/>
        </w:rPr>
        <w:t>ntially by intracellular kinases to the respective triphosphate (TP) which are the active moieties with extended intracellular half-lives supporting once daily dosing (</w:t>
      </w:r>
      <w:r w:rsidR="00FA6AE3" w:rsidRPr="00E40993">
        <w:rPr>
          <w:rFonts w:eastAsia="MS Mincho"/>
          <w:i/>
          <w:lang w:eastAsia="en-US"/>
        </w:rPr>
        <w:t>see Pharmacokinetics -</w:t>
      </w:r>
      <w:r w:rsidRPr="00E40993">
        <w:rPr>
          <w:rFonts w:eastAsia="MS Mincho"/>
          <w:i/>
          <w:lang w:eastAsia="en-US"/>
        </w:rPr>
        <w:t xml:space="preserve"> E</w:t>
      </w:r>
      <w:r w:rsidR="00FA6AE3" w:rsidRPr="00E40993">
        <w:rPr>
          <w:rFonts w:eastAsia="MS Mincho"/>
          <w:i/>
          <w:lang w:eastAsia="en-US"/>
        </w:rPr>
        <w:t>xcretion</w:t>
      </w:r>
      <w:r w:rsidRPr="00E40993">
        <w:rPr>
          <w:rFonts w:eastAsia="MS Mincho"/>
          <w:lang w:eastAsia="en-US"/>
        </w:rPr>
        <w:t xml:space="preserve">). Lamivudine-TP and </w:t>
      </w:r>
      <w:proofErr w:type="spellStart"/>
      <w:r w:rsidRPr="00E40993">
        <w:rPr>
          <w:rFonts w:eastAsia="MS Mincho"/>
          <w:lang w:eastAsia="en-US"/>
        </w:rPr>
        <w:t>carbovir</w:t>
      </w:r>
      <w:proofErr w:type="spellEnd"/>
      <w:r w:rsidRPr="00E40993">
        <w:rPr>
          <w:rFonts w:eastAsia="MS Mincho"/>
          <w:lang w:eastAsia="en-US"/>
        </w:rPr>
        <w:t xml:space="preserve">-TP (the active triphosphate form of </w:t>
      </w:r>
      <w:proofErr w:type="spellStart"/>
      <w:r w:rsidRPr="00E40993">
        <w:rPr>
          <w:rFonts w:eastAsia="MS Mincho"/>
          <w:lang w:eastAsia="en-US"/>
        </w:rPr>
        <w:t>abacavir</w:t>
      </w:r>
      <w:proofErr w:type="spellEnd"/>
      <w:r w:rsidRPr="00E40993">
        <w:rPr>
          <w:rFonts w:eastAsia="MS Mincho"/>
          <w:lang w:eastAsia="en-US"/>
        </w:rPr>
        <w:t>) are substrates for and competitive inhibitors of HIV reverse transcriptase (RT)</w:t>
      </w:r>
      <w:r w:rsidR="00B42DA4">
        <w:rPr>
          <w:rFonts w:eastAsia="MS Mincho"/>
          <w:lang w:eastAsia="en-US"/>
        </w:rPr>
        <w:t>, h</w:t>
      </w:r>
      <w:r w:rsidRPr="00E40993">
        <w:rPr>
          <w:rFonts w:eastAsia="MS Mincho"/>
          <w:lang w:eastAsia="en-US"/>
        </w:rPr>
        <w:t xml:space="preserve">owever their main antiviral activity is through incorporation of the </w:t>
      </w:r>
      <w:r w:rsidRPr="00E40993">
        <w:rPr>
          <w:rFonts w:eastAsia="MS Mincho"/>
          <w:lang w:eastAsia="en-US"/>
        </w:rPr>
        <w:lastRenderedPageBreak/>
        <w:t xml:space="preserve">monophosphate form into the viral DNA chain, resulting in chain termination. </w:t>
      </w:r>
      <w:proofErr w:type="spellStart"/>
      <w:r w:rsidRPr="00E40993">
        <w:rPr>
          <w:rFonts w:eastAsia="MS Mincho"/>
          <w:lang w:eastAsia="en-US"/>
        </w:rPr>
        <w:t>Abacavir</w:t>
      </w:r>
      <w:proofErr w:type="spellEnd"/>
      <w:r w:rsidRPr="00E40993">
        <w:rPr>
          <w:rFonts w:eastAsia="MS Mincho"/>
          <w:lang w:eastAsia="en-US"/>
        </w:rPr>
        <w:t xml:space="preserve"> and lamivudine triphosphates show significantly less affinity for host cell DNA polymerases.</w:t>
      </w:r>
    </w:p>
    <w:p w:rsidR="00E54C3C" w:rsidRDefault="00236E6E">
      <w:pPr>
        <w:pStyle w:val="Heading2"/>
        <w:keepNext/>
      </w:pPr>
      <w:proofErr w:type="spellStart"/>
      <w:r w:rsidRPr="00E40993">
        <w:t>Pharmacodynamic</w:t>
      </w:r>
      <w:proofErr w:type="spellEnd"/>
      <w:r w:rsidRPr="00E40993">
        <w:t xml:space="preserve"> Effects</w:t>
      </w:r>
    </w:p>
    <w:p w:rsidR="00E54C3C" w:rsidRDefault="005141DC">
      <w:pPr>
        <w:keepNext/>
      </w:pPr>
      <w:r w:rsidRPr="00E40993">
        <w:t>In a randomized, dose-ranging trial, HIV</w:t>
      </w:r>
      <w:r w:rsidR="00B42DA4">
        <w:t>-</w:t>
      </w:r>
      <w:r w:rsidRPr="00E40993">
        <w:t>1</w:t>
      </w:r>
      <w:r w:rsidR="00B42DA4">
        <w:t xml:space="preserve"> </w:t>
      </w:r>
      <w:r w:rsidRPr="00E40993">
        <w:t xml:space="preserve">infected </w:t>
      </w:r>
      <w:r w:rsidR="007C720C">
        <w:t>patient</w:t>
      </w:r>
      <w:r w:rsidRPr="00E40993">
        <w:t xml:space="preserve">s treated with </w:t>
      </w:r>
      <w:proofErr w:type="spellStart"/>
      <w:r w:rsidRPr="00E40993">
        <w:rPr>
          <w:rFonts w:eastAsia="MS Mincho"/>
        </w:rPr>
        <w:t>dolutegravir</w:t>
      </w:r>
      <w:proofErr w:type="spellEnd"/>
      <w:r w:rsidRPr="00E40993">
        <w:rPr>
          <w:rFonts w:eastAsia="MS Mincho"/>
        </w:rPr>
        <w:t xml:space="preserve"> </w:t>
      </w:r>
      <w:r w:rsidRPr="00E40993">
        <w:t xml:space="preserve">monotherapy (ING111521) demonstrated rapid and dose-dependent antiviral activity, with mean declines from baseline to day 11 in HIV-1 RNA of 1.5, 2.0, and 2.5 log10 for </w:t>
      </w:r>
      <w:proofErr w:type="spellStart"/>
      <w:r w:rsidRPr="00E40993">
        <w:t>dolutegravir</w:t>
      </w:r>
      <w:proofErr w:type="spellEnd"/>
      <w:r w:rsidRPr="00E40993">
        <w:t xml:space="preserve"> 2 mg, 10 mg, and 50 mg once daily, respectively. This antiviral response was maintained for 3 to 4 days after the last dose in the 50 mg group. </w:t>
      </w:r>
    </w:p>
    <w:p w:rsidR="003D5E68" w:rsidRPr="00E40993" w:rsidRDefault="003D5E68" w:rsidP="006118C4">
      <w:pPr>
        <w:pStyle w:val="Head3"/>
        <w:rPr>
          <w:rStyle w:val="LBLLevel3"/>
          <w:u w:val="none"/>
        </w:rPr>
      </w:pPr>
      <w:r w:rsidRPr="00E40993">
        <w:rPr>
          <w:rStyle w:val="LBLLevel3"/>
          <w:u w:val="none"/>
        </w:rPr>
        <w:t xml:space="preserve">Antiviral Activity </w:t>
      </w:r>
      <w:r w:rsidR="00542B6F">
        <w:rPr>
          <w:rStyle w:val="LBLLevel3"/>
          <w:u w:val="none"/>
        </w:rPr>
        <w:t xml:space="preserve">of </w:t>
      </w:r>
      <w:proofErr w:type="spellStart"/>
      <w:r w:rsidR="00542B6F">
        <w:rPr>
          <w:rStyle w:val="LBLLevel3"/>
          <w:u w:val="none"/>
        </w:rPr>
        <w:t>Dolutegravir</w:t>
      </w:r>
      <w:proofErr w:type="spellEnd"/>
      <w:r w:rsidR="00542B6F">
        <w:rPr>
          <w:rStyle w:val="LBLLevel3"/>
          <w:u w:val="none"/>
        </w:rPr>
        <w:t xml:space="preserve"> </w:t>
      </w:r>
      <w:r w:rsidRPr="00E40993">
        <w:rPr>
          <w:rStyle w:val="LBLLevel3"/>
          <w:u w:val="none"/>
        </w:rPr>
        <w:t xml:space="preserve">in </w:t>
      </w:r>
      <w:r w:rsidR="00BC0276" w:rsidRPr="00E40993">
        <w:rPr>
          <w:rStyle w:val="LBLLevel3"/>
          <w:u w:val="none"/>
        </w:rPr>
        <w:t>C</w:t>
      </w:r>
      <w:r w:rsidRPr="00E40993">
        <w:rPr>
          <w:rStyle w:val="LBLLevel3"/>
          <w:u w:val="none"/>
        </w:rPr>
        <w:t xml:space="preserve">ell </w:t>
      </w:r>
      <w:r w:rsidR="00BC0276" w:rsidRPr="00E40993">
        <w:rPr>
          <w:rStyle w:val="LBLLevel3"/>
          <w:u w:val="none"/>
        </w:rPr>
        <w:t>C</w:t>
      </w:r>
      <w:r w:rsidRPr="00E40993">
        <w:rPr>
          <w:rStyle w:val="LBLLevel3"/>
          <w:u w:val="none"/>
        </w:rPr>
        <w:t xml:space="preserve">ulture </w:t>
      </w:r>
    </w:p>
    <w:p w:rsidR="00542B6F" w:rsidRDefault="00542B6F" w:rsidP="00542B6F">
      <w:proofErr w:type="spellStart"/>
      <w:r>
        <w:rPr>
          <w:szCs w:val="22"/>
        </w:rPr>
        <w:t>Dolutegravir</w:t>
      </w:r>
      <w:proofErr w:type="spellEnd"/>
      <w:r>
        <w:rPr>
          <w:szCs w:val="22"/>
        </w:rPr>
        <w:t xml:space="preserve"> exhibited antiviral activity against laboratory strains of wild type HIV-1 in p</w:t>
      </w:r>
      <w:r w:rsidRPr="0055143F">
        <w:rPr>
          <w:color w:val="000000"/>
        </w:rPr>
        <w:t xml:space="preserve">eripheral blood mononuclear cells </w:t>
      </w:r>
      <w:r>
        <w:rPr>
          <w:color w:val="000000"/>
        </w:rPr>
        <w:t xml:space="preserve">(PBMC) and MT4 cells with mean </w:t>
      </w:r>
      <w:r w:rsidRPr="0055143F">
        <w:rPr>
          <w:color w:val="000000"/>
        </w:rPr>
        <w:t>IC</w:t>
      </w:r>
      <w:r w:rsidRPr="00D90BF5">
        <w:rPr>
          <w:color w:val="000000"/>
          <w:vertAlign w:val="subscript"/>
        </w:rPr>
        <w:t>50</w:t>
      </w:r>
      <w:r>
        <w:rPr>
          <w:color w:val="000000"/>
        </w:rPr>
        <w:t xml:space="preserve">s </w:t>
      </w:r>
      <w:r w:rsidRPr="0055143F">
        <w:rPr>
          <w:color w:val="000000"/>
        </w:rPr>
        <w:t>of 0.5 </w:t>
      </w:r>
      <w:proofErr w:type="spellStart"/>
      <w:r w:rsidRPr="0055143F">
        <w:rPr>
          <w:color w:val="000000"/>
        </w:rPr>
        <w:t>nM</w:t>
      </w:r>
      <w:proofErr w:type="spellEnd"/>
      <w:r>
        <w:rPr>
          <w:color w:val="000000"/>
        </w:rPr>
        <w:t xml:space="preserve"> to</w:t>
      </w:r>
      <w:r w:rsidRPr="00366EDD">
        <w:t xml:space="preserve"> 2.1 </w:t>
      </w:r>
      <w:proofErr w:type="spellStart"/>
      <w:r w:rsidRPr="00366EDD">
        <w:t>nM</w:t>
      </w:r>
      <w:proofErr w:type="spellEnd"/>
      <w:r w:rsidRPr="00366EDD">
        <w:t>.</w:t>
      </w:r>
    </w:p>
    <w:p w:rsidR="00542B6F" w:rsidRDefault="00542B6F" w:rsidP="00542B6F">
      <w:r w:rsidRPr="00366EDD">
        <w:t xml:space="preserve">In a viral integrase susceptibility assay using the integrase coding region from 13 clinically diverse clade B isolates, </w:t>
      </w:r>
      <w:proofErr w:type="spellStart"/>
      <w:r w:rsidRPr="00366EDD">
        <w:t>dolutegravir</w:t>
      </w:r>
      <w:proofErr w:type="spellEnd"/>
      <w:r w:rsidRPr="00366EDD">
        <w:t xml:space="preserve"> demonstrated antiviral potency similar to laboratory strains, with a mean IC</w:t>
      </w:r>
      <w:r w:rsidRPr="00D90BF5">
        <w:rPr>
          <w:vertAlign w:val="subscript"/>
        </w:rPr>
        <w:t>50</w:t>
      </w:r>
      <w:r w:rsidRPr="00366EDD">
        <w:t xml:space="preserve"> of 0.52 </w:t>
      </w:r>
      <w:proofErr w:type="spellStart"/>
      <w:r w:rsidRPr="00366EDD">
        <w:t>nM</w:t>
      </w:r>
      <w:proofErr w:type="spellEnd"/>
      <w:r w:rsidRPr="00366EDD">
        <w:t xml:space="preserve">.  </w:t>
      </w:r>
    </w:p>
    <w:p w:rsidR="00542B6F" w:rsidRPr="00366EDD" w:rsidRDefault="00542B6F" w:rsidP="00542B6F">
      <w:r w:rsidRPr="00366EDD">
        <w:t>When tested in PBMC assays against a panel consisting of 24 HIV-1 clinical isolates [group M (clade A, B, C, D, E, F and G) and group O] and 3 HIV-2 clinical isolates, the geometric mean IC</w:t>
      </w:r>
      <w:r w:rsidRPr="00D90BF5">
        <w:rPr>
          <w:vertAlign w:val="subscript"/>
        </w:rPr>
        <w:t>50</w:t>
      </w:r>
      <w:r w:rsidRPr="00366EDD">
        <w:t xml:space="preserve"> was 0.20 </w:t>
      </w:r>
      <w:proofErr w:type="spellStart"/>
      <w:r w:rsidRPr="00366EDD">
        <w:t>nM</w:t>
      </w:r>
      <w:proofErr w:type="spellEnd"/>
      <w:r w:rsidRPr="00366EDD">
        <w:t xml:space="preserve"> and IC</w:t>
      </w:r>
      <w:r w:rsidRPr="00D90BF5">
        <w:rPr>
          <w:vertAlign w:val="subscript"/>
        </w:rPr>
        <w:t>50</w:t>
      </w:r>
      <w:r w:rsidRPr="00366EDD">
        <w:t xml:space="preserve"> values ranged from 0.02 to 2.14 </w:t>
      </w:r>
      <w:proofErr w:type="spellStart"/>
      <w:r w:rsidRPr="00366EDD">
        <w:t>nM</w:t>
      </w:r>
      <w:proofErr w:type="spellEnd"/>
      <w:r w:rsidRPr="00366EDD">
        <w:t xml:space="preserve"> for HIV-1, while the geometric mean IC</w:t>
      </w:r>
      <w:r w:rsidRPr="00D90BF5">
        <w:rPr>
          <w:vertAlign w:val="subscript"/>
        </w:rPr>
        <w:t>50</w:t>
      </w:r>
      <w:r w:rsidRPr="00366EDD">
        <w:t xml:space="preserve"> was 0.18 </w:t>
      </w:r>
      <w:proofErr w:type="spellStart"/>
      <w:r w:rsidRPr="00366EDD">
        <w:t>nM</w:t>
      </w:r>
      <w:proofErr w:type="spellEnd"/>
      <w:r w:rsidRPr="00366EDD">
        <w:t xml:space="preserve"> and IC</w:t>
      </w:r>
      <w:r w:rsidRPr="00D90BF5">
        <w:rPr>
          <w:vertAlign w:val="subscript"/>
        </w:rPr>
        <w:t>50</w:t>
      </w:r>
      <w:r w:rsidRPr="00366EDD">
        <w:t xml:space="preserve"> values ranged from 0.09 to 0.61 </w:t>
      </w:r>
      <w:proofErr w:type="spellStart"/>
      <w:r w:rsidRPr="00366EDD">
        <w:t>nM</w:t>
      </w:r>
      <w:proofErr w:type="spellEnd"/>
      <w:r w:rsidRPr="00366EDD">
        <w:t xml:space="preserve"> for HIV-2 isolates.</w:t>
      </w:r>
    </w:p>
    <w:p w:rsidR="003D5E68" w:rsidRPr="00E40993" w:rsidRDefault="003D5E68" w:rsidP="006118C4">
      <w:pPr>
        <w:pStyle w:val="Head3"/>
        <w:rPr>
          <w:rStyle w:val="LBLLevel3"/>
          <w:u w:val="none"/>
        </w:rPr>
      </w:pPr>
      <w:r w:rsidRPr="00E40993">
        <w:rPr>
          <w:rStyle w:val="LBLLevel3"/>
          <w:u w:val="none"/>
        </w:rPr>
        <w:t xml:space="preserve">Antiviral Activity </w:t>
      </w:r>
      <w:r w:rsidR="00542B6F">
        <w:rPr>
          <w:rStyle w:val="LBLLevel3"/>
          <w:u w:val="none"/>
        </w:rPr>
        <w:t xml:space="preserve">of </w:t>
      </w:r>
      <w:proofErr w:type="spellStart"/>
      <w:r w:rsidR="00542B6F">
        <w:rPr>
          <w:rStyle w:val="LBLLevel3"/>
          <w:u w:val="none"/>
        </w:rPr>
        <w:t>Dolutegravir</w:t>
      </w:r>
      <w:proofErr w:type="spellEnd"/>
      <w:r w:rsidR="00542B6F">
        <w:rPr>
          <w:rStyle w:val="LBLLevel3"/>
          <w:u w:val="none"/>
        </w:rPr>
        <w:t xml:space="preserve"> </w:t>
      </w:r>
      <w:r w:rsidRPr="00E40993">
        <w:rPr>
          <w:rStyle w:val="LBLLevel3"/>
          <w:u w:val="none"/>
        </w:rPr>
        <w:t xml:space="preserve">in </w:t>
      </w:r>
      <w:r w:rsidR="00BC0276" w:rsidRPr="00E40993">
        <w:rPr>
          <w:rStyle w:val="LBLLevel3"/>
          <w:u w:val="none"/>
        </w:rPr>
        <w:t>C</w:t>
      </w:r>
      <w:r w:rsidRPr="00E40993">
        <w:rPr>
          <w:rStyle w:val="LBLLevel3"/>
          <w:u w:val="none"/>
        </w:rPr>
        <w:t xml:space="preserve">ombination with </w:t>
      </w:r>
      <w:r w:rsidR="00BC0276" w:rsidRPr="00E40993">
        <w:rPr>
          <w:rStyle w:val="LBLLevel3"/>
          <w:u w:val="none"/>
        </w:rPr>
        <w:t>Other Antiviral A</w:t>
      </w:r>
      <w:r w:rsidRPr="00E40993">
        <w:rPr>
          <w:rStyle w:val="LBLLevel3"/>
          <w:u w:val="none"/>
        </w:rPr>
        <w:t xml:space="preserve">gents </w:t>
      </w:r>
    </w:p>
    <w:p w:rsidR="00542B6F" w:rsidRDefault="00542B6F" w:rsidP="00542B6F">
      <w:pPr>
        <w:pStyle w:val="NoNumHead5"/>
        <w:spacing w:after="120"/>
        <w:rPr>
          <w:b w:val="0"/>
          <w:i w:val="0"/>
          <w:szCs w:val="22"/>
        </w:rPr>
      </w:pPr>
      <w:r>
        <w:rPr>
          <w:b w:val="0"/>
          <w:i w:val="0"/>
          <w:szCs w:val="22"/>
        </w:rPr>
        <w:t xml:space="preserve">The antiviral activity of </w:t>
      </w:r>
      <w:proofErr w:type="spellStart"/>
      <w:r>
        <w:rPr>
          <w:b w:val="0"/>
          <w:i w:val="0"/>
          <w:szCs w:val="22"/>
        </w:rPr>
        <w:t>dolutegravir</w:t>
      </w:r>
      <w:proofErr w:type="spellEnd"/>
      <w:r>
        <w:rPr>
          <w:b w:val="0"/>
          <w:i w:val="0"/>
          <w:szCs w:val="22"/>
        </w:rPr>
        <w:t xml:space="preserve"> in vitro was not antagonistic with </w:t>
      </w:r>
      <w:proofErr w:type="spellStart"/>
      <w:r>
        <w:rPr>
          <w:b w:val="0"/>
          <w:i w:val="0"/>
          <w:szCs w:val="22"/>
        </w:rPr>
        <w:t>abacavir</w:t>
      </w:r>
      <w:proofErr w:type="spellEnd"/>
      <w:r>
        <w:rPr>
          <w:b w:val="0"/>
          <w:i w:val="0"/>
          <w:szCs w:val="22"/>
        </w:rPr>
        <w:t xml:space="preserve">. In vitro data with </w:t>
      </w:r>
      <w:proofErr w:type="spellStart"/>
      <w:r>
        <w:rPr>
          <w:b w:val="0"/>
          <w:i w:val="0"/>
          <w:szCs w:val="22"/>
        </w:rPr>
        <w:t>dolutegravir</w:t>
      </w:r>
      <w:proofErr w:type="spellEnd"/>
      <w:r>
        <w:rPr>
          <w:b w:val="0"/>
          <w:i w:val="0"/>
          <w:szCs w:val="22"/>
        </w:rPr>
        <w:t xml:space="preserve"> combined with lamivudine are not available.</w:t>
      </w:r>
    </w:p>
    <w:p w:rsidR="00542B6F" w:rsidRPr="00111E7F" w:rsidRDefault="00542B6F" w:rsidP="00542B6F">
      <w:pPr>
        <w:pStyle w:val="NoNumHead5"/>
        <w:spacing w:after="120"/>
        <w:rPr>
          <w:b w:val="0"/>
          <w:i w:val="0"/>
          <w:szCs w:val="22"/>
        </w:rPr>
      </w:pPr>
      <w:r w:rsidRPr="00111E7F">
        <w:rPr>
          <w:b w:val="0"/>
          <w:i w:val="0"/>
          <w:szCs w:val="22"/>
        </w:rPr>
        <w:t xml:space="preserve">The antiviral activity of </w:t>
      </w:r>
      <w:proofErr w:type="spellStart"/>
      <w:r w:rsidRPr="00111E7F">
        <w:rPr>
          <w:b w:val="0"/>
          <w:i w:val="0"/>
          <w:szCs w:val="22"/>
        </w:rPr>
        <w:t>dolutegravir</w:t>
      </w:r>
      <w:proofErr w:type="spellEnd"/>
      <w:r w:rsidRPr="00111E7F">
        <w:rPr>
          <w:b w:val="0"/>
          <w:i w:val="0"/>
          <w:szCs w:val="22"/>
        </w:rPr>
        <w:t xml:space="preserve"> </w:t>
      </w:r>
      <w:r w:rsidRPr="00111E7F">
        <w:rPr>
          <w:b w:val="0"/>
          <w:i w:val="0"/>
          <w:iCs/>
          <w:szCs w:val="22"/>
        </w:rPr>
        <w:t xml:space="preserve">in vitro </w:t>
      </w:r>
      <w:r w:rsidRPr="00111E7F">
        <w:rPr>
          <w:b w:val="0"/>
          <w:i w:val="0"/>
          <w:szCs w:val="22"/>
        </w:rPr>
        <w:t xml:space="preserve">was not antagonistic with the integrase inhibitor (INI) </w:t>
      </w:r>
      <w:proofErr w:type="spellStart"/>
      <w:r w:rsidRPr="00111E7F">
        <w:rPr>
          <w:b w:val="0"/>
          <w:i w:val="0"/>
          <w:szCs w:val="22"/>
        </w:rPr>
        <w:t>raltegravir</w:t>
      </w:r>
      <w:proofErr w:type="spellEnd"/>
      <w:r w:rsidRPr="00111E7F">
        <w:rPr>
          <w:b w:val="0"/>
          <w:i w:val="0"/>
          <w:szCs w:val="22"/>
        </w:rPr>
        <w:t xml:space="preserve">; the non-nucleoside reverse transcriptase inhibitors (NNRTIs) </w:t>
      </w:r>
      <w:proofErr w:type="spellStart"/>
      <w:r w:rsidRPr="00111E7F">
        <w:rPr>
          <w:b w:val="0"/>
          <w:i w:val="0"/>
          <w:szCs w:val="22"/>
        </w:rPr>
        <w:t>efavirenz</w:t>
      </w:r>
      <w:proofErr w:type="spellEnd"/>
      <w:r w:rsidRPr="00111E7F">
        <w:rPr>
          <w:b w:val="0"/>
          <w:i w:val="0"/>
          <w:szCs w:val="22"/>
        </w:rPr>
        <w:t xml:space="preserve"> or </w:t>
      </w:r>
      <w:proofErr w:type="spellStart"/>
      <w:r w:rsidRPr="00111E7F">
        <w:rPr>
          <w:b w:val="0"/>
          <w:i w:val="0"/>
          <w:szCs w:val="22"/>
        </w:rPr>
        <w:t>nevirapine</w:t>
      </w:r>
      <w:proofErr w:type="spellEnd"/>
      <w:r w:rsidRPr="00111E7F">
        <w:rPr>
          <w:b w:val="0"/>
          <w:i w:val="0"/>
          <w:szCs w:val="22"/>
        </w:rPr>
        <w:t xml:space="preserve">; the nucleoside reverse transcriptase inhibitor (NRTI) </w:t>
      </w:r>
      <w:proofErr w:type="spellStart"/>
      <w:r w:rsidRPr="00111E7F">
        <w:rPr>
          <w:b w:val="0"/>
          <w:i w:val="0"/>
          <w:szCs w:val="22"/>
        </w:rPr>
        <w:t>abacavir</w:t>
      </w:r>
      <w:proofErr w:type="spellEnd"/>
      <w:r>
        <w:rPr>
          <w:b w:val="0"/>
          <w:i w:val="0"/>
          <w:szCs w:val="22"/>
        </w:rPr>
        <w:t xml:space="preserve">, </w:t>
      </w:r>
      <w:r w:rsidRPr="00111E7F">
        <w:rPr>
          <w:b w:val="0"/>
          <w:i w:val="0"/>
          <w:szCs w:val="22"/>
        </w:rPr>
        <w:t xml:space="preserve">the protease inhibitors (PIs) </w:t>
      </w:r>
      <w:proofErr w:type="spellStart"/>
      <w:r w:rsidRPr="00111E7F">
        <w:rPr>
          <w:b w:val="0"/>
          <w:i w:val="0"/>
          <w:szCs w:val="22"/>
        </w:rPr>
        <w:t>amprenavir</w:t>
      </w:r>
      <w:proofErr w:type="spellEnd"/>
      <w:r w:rsidRPr="00111E7F">
        <w:rPr>
          <w:b w:val="0"/>
          <w:i w:val="0"/>
          <w:szCs w:val="22"/>
        </w:rPr>
        <w:t xml:space="preserve"> or </w:t>
      </w:r>
      <w:proofErr w:type="spellStart"/>
      <w:r w:rsidRPr="00111E7F">
        <w:rPr>
          <w:b w:val="0"/>
          <w:i w:val="0"/>
          <w:szCs w:val="22"/>
        </w:rPr>
        <w:t>lopinavir</w:t>
      </w:r>
      <w:proofErr w:type="spellEnd"/>
      <w:r w:rsidRPr="00111E7F">
        <w:rPr>
          <w:b w:val="0"/>
          <w:i w:val="0"/>
          <w:szCs w:val="22"/>
        </w:rPr>
        <w:t xml:space="preserve">; the CCR5 co-receptor antagonist </w:t>
      </w:r>
      <w:proofErr w:type="spellStart"/>
      <w:r w:rsidRPr="00111E7F">
        <w:rPr>
          <w:b w:val="0"/>
          <w:i w:val="0"/>
          <w:szCs w:val="22"/>
        </w:rPr>
        <w:t>maraviroc</w:t>
      </w:r>
      <w:proofErr w:type="spellEnd"/>
      <w:r>
        <w:rPr>
          <w:b w:val="0"/>
          <w:i w:val="0"/>
          <w:szCs w:val="22"/>
        </w:rPr>
        <w:t>,</w:t>
      </w:r>
      <w:r w:rsidRPr="00111E7F">
        <w:rPr>
          <w:b w:val="0"/>
          <w:i w:val="0"/>
          <w:szCs w:val="22"/>
        </w:rPr>
        <w:t xml:space="preserve"> or the fusion inhibitor </w:t>
      </w:r>
      <w:proofErr w:type="spellStart"/>
      <w:r w:rsidRPr="00111E7F">
        <w:rPr>
          <w:b w:val="0"/>
          <w:i w:val="0"/>
          <w:szCs w:val="22"/>
        </w:rPr>
        <w:t>enfuvirtide</w:t>
      </w:r>
      <w:proofErr w:type="spellEnd"/>
      <w:r w:rsidRPr="00111E7F">
        <w:rPr>
          <w:b w:val="0"/>
          <w:i w:val="0"/>
          <w:szCs w:val="22"/>
        </w:rPr>
        <w:t xml:space="preserve">. </w:t>
      </w:r>
      <w:proofErr w:type="spellStart"/>
      <w:r w:rsidRPr="00111E7F">
        <w:rPr>
          <w:b w:val="0"/>
          <w:i w:val="0"/>
          <w:szCs w:val="22"/>
        </w:rPr>
        <w:t>Dolutegravir</w:t>
      </w:r>
      <w:proofErr w:type="spellEnd"/>
      <w:r w:rsidRPr="00111E7F">
        <w:rPr>
          <w:b w:val="0"/>
          <w:i w:val="0"/>
          <w:szCs w:val="22"/>
        </w:rPr>
        <w:t xml:space="preserve"> antiviral activity was not antagonistic when combined with the HBV reverse transcriptase inhibitor </w:t>
      </w:r>
      <w:proofErr w:type="spellStart"/>
      <w:r w:rsidRPr="00111E7F">
        <w:rPr>
          <w:b w:val="0"/>
          <w:i w:val="0"/>
          <w:szCs w:val="22"/>
        </w:rPr>
        <w:t>adefovir</w:t>
      </w:r>
      <w:proofErr w:type="spellEnd"/>
      <w:r w:rsidRPr="00111E7F">
        <w:rPr>
          <w:b w:val="0"/>
          <w:i w:val="0"/>
          <w:szCs w:val="22"/>
        </w:rPr>
        <w:t>, or inhibited by the antiviral ribavirin.</w:t>
      </w:r>
    </w:p>
    <w:p w:rsidR="003D5E68" w:rsidRPr="00E40993" w:rsidRDefault="003D5E68" w:rsidP="006118C4">
      <w:pPr>
        <w:pStyle w:val="Head3"/>
      </w:pPr>
      <w:r w:rsidRPr="00E40993">
        <w:t xml:space="preserve">Effect of Human Serum and Serum Proteins </w:t>
      </w:r>
    </w:p>
    <w:p w:rsidR="00DE3D9E" w:rsidRDefault="00DE3D9E" w:rsidP="008D6904">
      <w:r w:rsidRPr="00E40993">
        <w:t xml:space="preserve">The protein adjusted IC90 (PA-IC90) in PBMCs for </w:t>
      </w:r>
      <w:proofErr w:type="spellStart"/>
      <w:r w:rsidRPr="00E40993">
        <w:t>dolutegravir</w:t>
      </w:r>
      <w:proofErr w:type="spellEnd"/>
      <w:r w:rsidRPr="00E40993">
        <w:t xml:space="preserve"> was estimated to be 64 ng/</w:t>
      </w:r>
      <w:proofErr w:type="spellStart"/>
      <w:r w:rsidRPr="00E40993">
        <w:t>mL.</w:t>
      </w:r>
      <w:proofErr w:type="spellEnd"/>
      <w:r w:rsidRPr="00E40993">
        <w:t xml:space="preserve"> </w:t>
      </w:r>
      <w:proofErr w:type="spellStart"/>
      <w:r w:rsidRPr="00E40993">
        <w:t>Dolutegravir</w:t>
      </w:r>
      <w:proofErr w:type="spellEnd"/>
      <w:r w:rsidRPr="00E40993">
        <w:t xml:space="preserve"> trough concentration for a single 50 mg dose in integrase inhibitor naïve subjects was 1.20 </w:t>
      </w:r>
      <w:r w:rsidRPr="00E40993">
        <w:sym w:font="Symbol" w:char="F06D"/>
      </w:r>
      <w:r w:rsidRPr="00E40993">
        <w:t xml:space="preserve">g/mL, 19 times higher than the estimated PA-IC90. </w:t>
      </w:r>
    </w:p>
    <w:p w:rsidR="004A0972" w:rsidRDefault="005141DC" w:rsidP="008D6904">
      <w:r w:rsidRPr="00E40993">
        <w:t xml:space="preserve">Plasma protein binding studies </w:t>
      </w:r>
      <w:r w:rsidR="00FD0B6C" w:rsidRPr="00FD0B6C">
        <w:rPr>
          <w:i/>
        </w:rPr>
        <w:t>in vi</w:t>
      </w:r>
      <w:r w:rsidR="00FD0B6C">
        <w:rPr>
          <w:i/>
        </w:rPr>
        <w:t>tr</w:t>
      </w:r>
      <w:r w:rsidR="00FD0B6C" w:rsidRPr="00FD0B6C">
        <w:rPr>
          <w:i/>
        </w:rPr>
        <w:t>o</w:t>
      </w:r>
      <w:r w:rsidRPr="00E40993">
        <w:t xml:space="preserve"> indicate that </w:t>
      </w:r>
      <w:proofErr w:type="spellStart"/>
      <w:r w:rsidRPr="00E40993">
        <w:t>abacavir</w:t>
      </w:r>
      <w:proofErr w:type="spellEnd"/>
      <w:r w:rsidRPr="00E40993">
        <w:t xml:space="preserve"> binds only low to moderately (~49%) to human plasma proteins at therapeutic concentrations.  </w:t>
      </w:r>
    </w:p>
    <w:p w:rsidR="00DE3D9E" w:rsidRPr="00E40993" w:rsidRDefault="005141DC" w:rsidP="008D6904">
      <w:r w:rsidRPr="00E40993">
        <w:t xml:space="preserve">Lamivudine exhibits linear pharmacokinetics over the therapeutic dose range and displays low plasma protein binding (less than 36%). </w:t>
      </w:r>
    </w:p>
    <w:p w:rsidR="003D5E68" w:rsidRPr="00E40993" w:rsidRDefault="00BC0276" w:rsidP="006118C4">
      <w:pPr>
        <w:pStyle w:val="Head3"/>
        <w:rPr>
          <w:rStyle w:val="LBLLevel3"/>
          <w:u w:val="none"/>
        </w:rPr>
      </w:pPr>
      <w:r w:rsidRPr="00E40993">
        <w:rPr>
          <w:rStyle w:val="LBLLevel3"/>
          <w:u w:val="none"/>
        </w:rPr>
        <w:t>Resistance</w:t>
      </w:r>
      <w:r w:rsidRPr="00ED1D25">
        <w:rPr>
          <w:rStyle w:val="LBLLevel3"/>
          <w:u w:val="none"/>
        </w:rPr>
        <w:t xml:space="preserve"> </w:t>
      </w:r>
      <w:r w:rsidR="00A64032">
        <w:rPr>
          <w:rStyle w:val="LBLLevel3"/>
          <w:u w:val="none"/>
        </w:rPr>
        <w:t>i</w:t>
      </w:r>
      <w:r w:rsidR="00FD0B6C" w:rsidRPr="00FD0B6C">
        <w:rPr>
          <w:rStyle w:val="LBLLevel3"/>
          <w:u w:val="none"/>
        </w:rPr>
        <w:t xml:space="preserve">n </w:t>
      </w:r>
      <w:r w:rsidR="00837A7D">
        <w:rPr>
          <w:rStyle w:val="LBLLevel3"/>
          <w:u w:val="none"/>
        </w:rPr>
        <w:t>v</w:t>
      </w:r>
      <w:r w:rsidR="00FD0B6C" w:rsidRPr="00FD0B6C">
        <w:rPr>
          <w:rStyle w:val="LBLLevel3"/>
          <w:u w:val="none"/>
        </w:rPr>
        <w:t>i</w:t>
      </w:r>
      <w:r w:rsidR="00FD0B6C">
        <w:rPr>
          <w:rStyle w:val="LBLLevel3"/>
          <w:u w:val="none"/>
        </w:rPr>
        <w:t>tr</w:t>
      </w:r>
      <w:r w:rsidR="00FD0B6C" w:rsidRPr="00FD0B6C">
        <w:rPr>
          <w:rStyle w:val="LBLLevel3"/>
          <w:u w:val="none"/>
        </w:rPr>
        <w:t>o</w:t>
      </w:r>
      <w:r w:rsidR="005141DC" w:rsidRPr="00E40993">
        <w:rPr>
          <w:rStyle w:val="LBLLevel3"/>
          <w:u w:val="none"/>
        </w:rPr>
        <w:t xml:space="preserve"> (</w:t>
      </w:r>
      <w:proofErr w:type="spellStart"/>
      <w:r w:rsidR="00A64032">
        <w:rPr>
          <w:rStyle w:val="LBLLevel3"/>
          <w:u w:val="none"/>
        </w:rPr>
        <w:t>D</w:t>
      </w:r>
      <w:r w:rsidR="005141DC" w:rsidRPr="00E40993">
        <w:rPr>
          <w:rStyle w:val="LBLLevel3"/>
          <w:u w:val="none"/>
        </w:rPr>
        <w:t>olutegravir</w:t>
      </w:r>
      <w:proofErr w:type="spellEnd"/>
      <w:r w:rsidR="005141DC" w:rsidRPr="00E40993">
        <w:rPr>
          <w:rStyle w:val="LBLLevel3"/>
          <w:u w:val="none"/>
        </w:rPr>
        <w:t>)</w:t>
      </w:r>
    </w:p>
    <w:p w:rsidR="002464FE" w:rsidRPr="00B47CEF" w:rsidRDefault="002464FE" w:rsidP="002464FE">
      <w:pPr>
        <w:autoSpaceDE w:val="0"/>
        <w:autoSpaceDN w:val="0"/>
        <w:adjustRightInd w:val="0"/>
        <w:rPr>
          <w:bCs/>
        </w:rPr>
      </w:pPr>
      <w:proofErr w:type="spellStart"/>
      <w:r w:rsidRPr="00683CA6">
        <w:rPr>
          <w:bCs/>
        </w:rPr>
        <w:t>Dolutegravir</w:t>
      </w:r>
      <w:proofErr w:type="spellEnd"/>
      <w:r w:rsidRPr="00683CA6">
        <w:rPr>
          <w:bCs/>
        </w:rPr>
        <w:t xml:space="preserve">-resistant viruses were selected in studies of potential resistance using different wild </w:t>
      </w:r>
      <w:r w:rsidRPr="00B47CEF">
        <w:rPr>
          <w:bCs/>
        </w:rPr>
        <w:t xml:space="preserve">type strains and clades of HIV-1. Amino acid substitutions that emerged during passaging included E92Q, G193E, G118R, S153F or Y, and R263K, and were associated with decreased susceptibility to </w:t>
      </w:r>
      <w:proofErr w:type="spellStart"/>
      <w:r w:rsidRPr="00B47CEF">
        <w:rPr>
          <w:bCs/>
        </w:rPr>
        <w:t>dolutegravir</w:t>
      </w:r>
      <w:proofErr w:type="spellEnd"/>
      <w:r w:rsidRPr="00B47CEF">
        <w:rPr>
          <w:bCs/>
        </w:rPr>
        <w:t xml:space="preserve"> of up to 11-fold. </w:t>
      </w:r>
    </w:p>
    <w:p w:rsidR="002464FE" w:rsidRPr="00460FA2" w:rsidRDefault="002464FE" w:rsidP="002464FE">
      <w:pPr>
        <w:autoSpaceDE w:val="0"/>
        <w:autoSpaceDN w:val="0"/>
        <w:adjustRightInd w:val="0"/>
      </w:pPr>
      <w:r w:rsidRPr="00B47CEF">
        <w:rPr>
          <w:bCs/>
        </w:rPr>
        <w:t xml:space="preserve">In resistance development studies starting with the single </w:t>
      </w:r>
      <w:proofErr w:type="spellStart"/>
      <w:r w:rsidRPr="00B47CEF">
        <w:rPr>
          <w:bCs/>
        </w:rPr>
        <w:t>raltegravir</w:t>
      </w:r>
      <w:proofErr w:type="spellEnd"/>
      <w:r w:rsidRPr="00B47CEF">
        <w:rPr>
          <w:bCs/>
        </w:rPr>
        <w:t xml:space="preserve"> resistance mutants Q148H, Q148K or Q148R, additional mutations detected during passage with </w:t>
      </w:r>
      <w:proofErr w:type="spellStart"/>
      <w:r w:rsidRPr="00B47CEF">
        <w:rPr>
          <w:bCs/>
        </w:rPr>
        <w:t>dolutegravir</w:t>
      </w:r>
      <w:proofErr w:type="spellEnd"/>
      <w:r w:rsidRPr="00B47CEF">
        <w:rPr>
          <w:bCs/>
        </w:rPr>
        <w:t xml:space="preserve"> included E138K/Q148K, E138K/Q148R, Q140S/Q148R and G140S/Q148R, which all exhibited greater than ten-fold reductions </w:t>
      </w:r>
      <w:r>
        <w:rPr>
          <w:bCs/>
        </w:rPr>
        <w:t xml:space="preserve">in sensitivity to </w:t>
      </w:r>
      <w:proofErr w:type="spellStart"/>
      <w:r>
        <w:rPr>
          <w:bCs/>
        </w:rPr>
        <w:t>dolutegravir</w:t>
      </w:r>
      <w:proofErr w:type="spellEnd"/>
      <w:r>
        <w:rPr>
          <w:bCs/>
        </w:rPr>
        <w:t>.</w:t>
      </w:r>
    </w:p>
    <w:p w:rsidR="005D4367" w:rsidRDefault="005141DC">
      <w:pPr>
        <w:pStyle w:val="Head3"/>
        <w:keepNext/>
      </w:pPr>
      <w:r w:rsidRPr="00E40993">
        <w:t xml:space="preserve">Resistance </w:t>
      </w:r>
      <w:r w:rsidR="00A64032">
        <w:t>i</w:t>
      </w:r>
      <w:r w:rsidR="00542F1F" w:rsidRPr="00542F1F">
        <w:t xml:space="preserve">n </w:t>
      </w:r>
      <w:r w:rsidR="00837A7D">
        <w:t>v</w:t>
      </w:r>
      <w:r w:rsidR="00FD0B6C" w:rsidRPr="00542F1F">
        <w:t>ivo</w:t>
      </w:r>
      <w:r w:rsidR="00FD0B6C" w:rsidRPr="00E40993">
        <w:t xml:space="preserve"> </w:t>
      </w:r>
      <w:r w:rsidRPr="00E40993">
        <w:t>(</w:t>
      </w:r>
      <w:proofErr w:type="spellStart"/>
      <w:r w:rsidR="00A64032">
        <w:t>D</w:t>
      </w:r>
      <w:r w:rsidRPr="00E40993">
        <w:t>olutegravir</w:t>
      </w:r>
      <w:proofErr w:type="spellEnd"/>
      <w:r w:rsidRPr="00E40993">
        <w:t xml:space="preserve">): Integrase Inhibitor Naïve </w:t>
      </w:r>
      <w:r w:rsidR="007C720C">
        <w:t>Patient</w:t>
      </w:r>
      <w:r w:rsidRPr="00E40993">
        <w:t>s</w:t>
      </w:r>
    </w:p>
    <w:p w:rsidR="005D4367" w:rsidRDefault="005141DC">
      <w:pPr>
        <w:keepNext/>
        <w:rPr>
          <w:rFonts w:eastAsia="MS Mincho"/>
        </w:rPr>
      </w:pPr>
      <w:r w:rsidRPr="00E40993">
        <w:rPr>
          <w:rFonts w:eastAsia="MS Mincho"/>
          <w:color w:val="000000" w:themeColor="text1"/>
          <w:lang w:eastAsia="ja-JP"/>
        </w:rPr>
        <w:t xml:space="preserve">No INI-resistant mutations or treatment emergent resistance to the NRTI backbone therapy were isolated with </w:t>
      </w:r>
      <w:proofErr w:type="spellStart"/>
      <w:r w:rsidRPr="00E40993">
        <w:rPr>
          <w:rFonts w:eastAsia="MS Mincho"/>
          <w:color w:val="000000" w:themeColor="text1"/>
          <w:lang w:eastAsia="ja-JP"/>
        </w:rPr>
        <w:t>dolutegravir</w:t>
      </w:r>
      <w:proofErr w:type="spellEnd"/>
      <w:r w:rsidRPr="00E40993">
        <w:rPr>
          <w:rFonts w:eastAsia="MS Mincho"/>
          <w:color w:val="000000" w:themeColor="text1"/>
          <w:lang w:eastAsia="ja-JP"/>
        </w:rPr>
        <w:t xml:space="preserve"> 50 m</w:t>
      </w:r>
      <w:r w:rsidRPr="00E40993">
        <w:rPr>
          <w:rFonts w:eastAsia="MS Mincho"/>
          <w:lang w:eastAsia="ja-JP"/>
        </w:rPr>
        <w:t>g once daily in treatment–</w:t>
      </w:r>
      <w:r w:rsidR="00CA7B00" w:rsidRPr="00E40993">
        <w:rPr>
          <w:rFonts w:cs="Arial"/>
          <w:noProof/>
          <w:color w:val="000000" w:themeColor="text1"/>
          <w:szCs w:val="22"/>
          <w:lang w:val="en-GB"/>
        </w:rPr>
        <w:t xml:space="preserve">naïve </w:t>
      </w:r>
      <w:r w:rsidRPr="00E40993">
        <w:rPr>
          <w:rFonts w:eastAsia="MS Mincho"/>
          <w:lang w:eastAsia="ja-JP"/>
        </w:rPr>
        <w:t xml:space="preserve">studies </w:t>
      </w:r>
      <w:r w:rsidR="003B116C" w:rsidRPr="00E40993">
        <w:rPr>
          <w:rFonts w:eastAsia="MS Mincho"/>
          <w:lang w:eastAsia="ja-JP"/>
        </w:rPr>
        <w:t>[</w:t>
      </w:r>
      <w:r w:rsidRPr="00E40993">
        <w:rPr>
          <w:rFonts w:eastAsia="MS Mincho"/>
          <w:lang w:eastAsia="ja-JP"/>
        </w:rPr>
        <w:t>SPRING-1</w:t>
      </w:r>
      <w:r w:rsidR="003B116C" w:rsidRPr="00E40993">
        <w:rPr>
          <w:rFonts w:eastAsia="MS Mincho"/>
          <w:lang w:eastAsia="ja-JP"/>
        </w:rPr>
        <w:t xml:space="preserve"> (</w:t>
      </w:r>
      <w:r w:rsidR="00C050A1" w:rsidRPr="00E40993">
        <w:rPr>
          <w:rFonts w:eastAsia="MS Mincho"/>
          <w:lang w:eastAsia="ja-JP"/>
        </w:rPr>
        <w:t>ING112276</w:t>
      </w:r>
      <w:r w:rsidR="003B116C" w:rsidRPr="00E40993">
        <w:rPr>
          <w:rFonts w:eastAsia="MS Mincho"/>
          <w:lang w:eastAsia="ja-JP"/>
        </w:rPr>
        <w:t>)</w:t>
      </w:r>
      <w:r w:rsidRPr="00E40993">
        <w:rPr>
          <w:rFonts w:eastAsia="MS Mincho"/>
          <w:lang w:eastAsia="ja-JP"/>
        </w:rPr>
        <w:t xml:space="preserve">, </w:t>
      </w:r>
      <w:r w:rsidR="003B116C" w:rsidRPr="00E40993">
        <w:rPr>
          <w:rFonts w:eastAsia="MS Mincho"/>
        </w:rPr>
        <w:t>SPRING-2 (ING113086)</w:t>
      </w:r>
      <w:r w:rsidRPr="00E40993">
        <w:rPr>
          <w:rFonts w:eastAsia="MS Mincho"/>
          <w:lang w:eastAsia="ja-JP"/>
        </w:rPr>
        <w:t xml:space="preserve">, </w:t>
      </w:r>
      <w:r w:rsidR="003B116C" w:rsidRPr="00E40993">
        <w:rPr>
          <w:rFonts w:eastAsia="MS Mincho"/>
        </w:rPr>
        <w:t>SINGLE (ING114467)</w:t>
      </w:r>
      <w:r w:rsidRPr="00E40993">
        <w:rPr>
          <w:rFonts w:eastAsia="MS Mincho"/>
          <w:lang w:eastAsia="ja-JP"/>
        </w:rPr>
        <w:t xml:space="preserve"> and </w:t>
      </w:r>
      <w:r w:rsidR="003B116C" w:rsidRPr="00E40993">
        <w:rPr>
          <w:rFonts w:eastAsia="MS Mincho"/>
        </w:rPr>
        <w:t>FLAMINGO (ING114915)</w:t>
      </w:r>
      <w:r w:rsidRPr="00E40993">
        <w:rPr>
          <w:rFonts w:eastAsia="MS Mincho"/>
          <w:lang w:eastAsia="ja-JP"/>
        </w:rPr>
        <w:t xml:space="preserve"> studies</w:t>
      </w:r>
      <w:r w:rsidR="003B116C" w:rsidRPr="00E40993">
        <w:rPr>
          <w:rFonts w:eastAsia="MS Mincho"/>
          <w:lang w:eastAsia="ja-JP"/>
        </w:rPr>
        <w:t>]</w:t>
      </w:r>
      <w:r w:rsidRPr="00E40993">
        <w:rPr>
          <w:rFonts w:eastAsia="MS Mincho"/>
          <w:lang w:eastAsia="ja-JP"/>
        </w:rPr>
        <w:t xml:space="preserve">.  In the SAILING study for treatment experienced (and integrase naïve) </w:t>
      </w:r>
      <w:r w:rsidR="007C720C">
        <w:rPr>
          <w:rFonts w:eastAsia="MS Mincho"/>
          <w:lang w:eastAsia="ja-JP"/>
        </w:rPr>
        <w:t>patient</w:t>
      </w:r>
      <w:r w:rsidRPr="00E40993">
        <w:rPr>
          <w:rFonts w:eastAsia="MS Mincho"/>
          <w:lang w:eastAsia="ja-JP"/>
        </w:rPr>
        <w:t xml:space="preserve">s (n=354 in the </w:t>
      </w:r>
      <w:proofErr w:type="spellStart"/>
      <w:r w:rsidRPr="00E40993">
        <w:rPr>
          <w:rFonts w:eastAsia="MS Mincho"/>
          <w:lang w:eastAsia="ja-JP"/>
        </w:rPr>
        <w:t>dolutegravir</w:t>
      </w:r>
      <w:proofErr w:type="spellEnd"/>
      <w:r w:rsidRPr="00E40993">
        <w:rPr>
          <w:rFonts w:eastAsia="MS Mincho"/>
          <w:lang w:eastAsia="ja-JP"/>
        </w:rPr>
        <w:t xml:space="preserve"> arm), treatment emergent integrase </w:t>
      </w:r>
      <w:r w:rsidR="00F92BE6">
        <w:rPr>
          <w:rFonts w:eastAsia="MS Mincho"/>
          <w:lang w:eastAsia="ja-JP"/>
        </w:rPr>
        <w:t>substitutions</w:t>
      </w:r>
      <w:r w:rsidR="00F92BE6" w:rsidRPr="00E40993">
        <w:rPr>
          <w:rFonts w:eastAsia="MS Mincho"/>
          <w:lang w:eastAsia="ja-JP"/>
        </w:rPr>
        <w:t xml:space="preserve"> </w:t>
      </w:r>
      <w:r w:rsidRPr="00E40993">
        <w:rPr>
          <w:rFonts w:eastAsia="MS Mincho"/>
          <w:lang w:eastAsia="ja-JP"/>
        </w:rPr>
        <w:t xml:space="preserve">were observed at Week 48 in 4 of 17 </w:t>
      </w:r>
      <w:r w:rsidR="007C720C">
        <w:rPr>
          <w:rFonts w:eastAsia="MS Mincho"/>
          <w:lang w:eastAsia="ja-JP"/>
        </w:rPr>
        <w:t>patient</w:t>
      </w:r>
      <w:r w:rsidRPr="00E40993">
        <w:rPr>
          <w:rFonts w:eastAsia="MS Mincho"/>
          <w:lang w:eastAsia="ja-JP"/>
        </w:rPr>
        <w:t xml:space="preserve">s with </w:t>
      </w:r>
      <w:proofErr w:type="spellStart"/>
      <w:r w:rsidRPr="00E40993">
        <w:rPr>
          <w:rFonts w:eastAsia="MS Mincho"/>
          <w:lang w:eastAsia="ja-JP"/>
        </w:rPr>
        <w:t>virologic</w:t>
      </w:r>
      <w:proofErr w:type="spellEnd"/>
      <w:r w:rsidRPr="00E40993">
        <w:rPr>
          <w:rFonts w:eastAsia="MS Mincho"/>
          <w:lang w:eastAsia="ja-JP"/>
        </w:rPr>
        <w:t xml:space="preserve"> failure in the </w:t>
      </w:r>
      <w:proofErr w:type="spellStart"/>
      <w:r w:rsidRPr="00E40993">
        <w:rPr>
          <w:rFonts w:eastAsia="MS Mincho"/>
          <w:lang w:eastAsia="ja-JP"/>
        </w:rPr>
        <w:t>dolutegravir</w:t>
      </w:r>
      <w:proofErr w:type="spellEnd"/>
      <w:r w:rsidRPr="00E40993">
        <w:rPr>
          <w:rFonts w:eastAsia="MS Mincho"/>
          <w:lang w:eastAsia="ja-JP"/>
        </w:rPr>
        <w:t xml:space="preserve"> arm.  Of these four, 2 </w:t>
      </w:r>
      <w:r w:rsidR="007C720C">
        <w:rPr>
          <w:rFonts w:eastAsia="MS Mincho"/>
          <w:lang w:eastAsia="ja-JP"/>
        </w:rPr>
        <w:t>patient</w:t>
      </w:r>
      <w:r w:rsidRPr="00E40993">
        <w:rPr>
          <w:rFonts w:eastAsia="MS Mincho"/>
          <w:lang w:eastAsia="ja-JP"/>
        </w:rPr>
        <w:t xml:space="preserve">s had a unique R263K integrase substitution, with a maximum FC of 1.93, 1 </w:t>
      </w:r>
      <w:r w:rsidR="007C720C">
        <w:rPr>
          <w:rFonts w:eastAsia="MS Mincho"/>
          <w:lang w:eastAsia="ja-JP"/>
        </w:rPr>
        <w:t>patient</w:t>
      </w:r>
      <w:r w:rsidRPr="00E40993">
        <w:rPr>
          <w:rFonts w:eastAsia="MS Mincho"/>
          <w:lang w:eastAsia="ja-JP"/>
        </w:rPr>
        <w:t xml:space="preserve"> had a polymorphic V151V/I integrase substitution, with maximum FC of 0.92, and 1 </w:t>
      </w:r>
      <w:r w:rsidR="007C720C">
        <w:rPr>
          <w:rFonts w:eastAsia="MS Mincho"/>
          <w:lang w:eastAsia="ja-JP"/>
        </w:rPr>
        <w:t>patient</w:t>
      </w:r>
      <w:r w:rsidRPr="00E40993">
        <w:rPr>
          <w:rFonts w:eastAsia="MS Mincho"/>
          <w:lang w:eastAsia="ja-JP"/>
        </w:rPr>
        <w:t xml:space="preserve"> had pre-existing integrase mutations and is assumed to have been integrase experienced or infected with integrase resistant virus by transmission (</w:t>
      </w:r>
      <w:r w:rsidRPr="00E40993">
        <w:rPr>
          <w:rFonts w:eastAsia="MS Mincho"/>
          <w:i/>
          <w:lang w:eastAsia="ja-JP"/>
        </w:rPr>
        <w:t xml:space="preserve">see Clinical </w:t>
      </w:r>
      <w:r w:rsidR="00B31FC7" w:rsidRPr="00E40993">
        <w:rPr>
          <w:rFonts w:eastAsia="MS Mincho"/>
          <w:i/>
          <w:lang w:eastAsia="ja-JP"/>
        </w:rPr>
        <w:t>Trials</w:t>
      </w:r>
      <w:r w:rsidRPr="00E40993">
        <w:rPr>
          <w:rFonts w:eastAsia="MS Mincho"/>
          <w:lang w:eastAsia="ja-JP"/>
        </w:rPr>
        <w:t>).</w:t>
      </w:r>
    </w:p>
    <w:p w:rsidR="005141DC" w:rsidRPr="00E40993" w:rsidRDefault="005141DC" w:rsidP="006118C4">
      <w:pPr>
        <w:pStyle w:val="Head3"/>
        <w:rPr>
          <w:rStyle w:val="LBLLevel3"/>
          <w:u w:val="none"/>
        </w:rPr>
      </w:pPr>
      <w:r w:rsidRPr="00E40993">
        <w:rPr>
          <w:rStyle w:val="LBLLevel3"/>
          <w:u w:val="none"/>
        </w:rPr>
        <w:t xml:space="preserve">Resistance </w:t>
      </w:r>
      <w:r w:rsidR="00A64032">
        <w:rPr>
          <w:rStyle w:val="LBLLevel3"/>
          <w:u w:val="none"/>
        </w:rPr>
        <w:t>i</w:t>
      </w:r>
      <w:r w:rsidR="00FD0B6C" w:rsidRPr="00FD0B6C">
        <w:rPr>
          <w:rStyle w:val="LBLLevel3"/>
          <w:u w:val="none"/>
        </w:rPr>
        <w:t xml:space="preserve">n </w:t>
      </w:r>
      <w:r w:rsidR="008423FC">
        <w:rPr>
          <w:rStyle w:val="LBLLevel3"/>
          <w:u w:val="none"/>
        </w:rPr>
        <w:t>v</w:t>
      </w:r>
      <w:r w:rsidR="00FD0B6C" w:rsidRPr="00FD0B6C">
        <w:rPr>
          <w:rStyle w:val="LBLLevel3"/>
          <w:u w:val="none"/>
        </w:rPr>
        <w:t>i</w:t>
      </w:r>
      <w:r w:rsidR="00FD0B6C">
        <w:rPr>
          <w:rStyle w:val="LBLLevel3"/>
          <w:u w:val="none"/>
        </w:rPr>
        <w:t>tr</w:t>
      </w:r>
      <w:r w:rsidR="00FD0B6C" w:rsidRPr="00FD0B6C">
        <w:rPr>
          <w:rStyle w:val="LBLLevel3"/>
          <w:u w:val="none"/>
        </w:rPr>
        <w:t>o</w:t>
      </w:r>
      <w:r w:rsidRPr="00E40993">
        <w:rPr>
          <w:rStyle w:val="LBLLevel3"/>
          <w:u w:val="none"/>
        </w:rPr>
        <w:t xml:space="preserve"> and </w:t>
      </w:r>
      <w:r w:rsidR="00A64032">
        <w:rPr>
          <w:rStyle w:val="LBLLevel3"/>
          <w:u w:val="none"/>
        </w:rPr>
        <w:t>i</w:t>
      </w:r>
      <w:r w:rsidR="00542F1F" w:rsidRPr="00542F1F">
        <w:rPr>
          <w:rStyle w:val="LBLLevel3"/>
          <w:u w:val="none"/>
        </w:rPr>
        <w:t xml:space="preserve">n </w:t>
      </w:r>
      <w:r w:rsidR="008423FC">
        <w:rPr>
          <w:rStyle w:val="LBLLevel3"/>
          <w:u w:val="none"/>
        </w:rPr>
        <w:t>v</w:t>
      </w:r>
      <w:r w:rsidR="00542F1F" w:rsidRPr="00542F1F">
        <w:rPr>
          <w:rStyle w:val="LBLLevel3"/>
          <w:u w:val="none"/>
        </w:rPr>
        <w:t>ivo</w:t>
      </w:r>
      <w:r w:rsidRPr="00E40993">
        <w:rPr>
          <w:rStyle w:val="LBLLevel3"/>
          <w:u w:val="none"/>
        </w:rPr>
        <w:t xml:space="preserve"> (</w:t>
      </w:r>
      <w:proofErr w:type="spellStart"/>
      <w:r w:rsidR="00A64032">
        <w:rPr>
          <w:rStyle w:val="LBLLevel3"/>
          <w:u w:val="none"/>
        </w:rPr>
        <w:t>A</w:t>
      </w:r>
      <w:r w:rsidRPr="00E40993">
        <w:rPr>
          <w:rStyle w:val="LBLLevel3"/>
          <w:u w:val="none"/>
        </w:rPr>
        <w:t>bacavir</w:t>
      </w:r>
      <w:proofErr w:type="spellEnd"/>
      <w:r w:rsidRPr="00E40993">
        <w:rPr>
          <w:rStyle w:val="LBLLevel3"/>
          <w:u w:val="none"/>
        </w:rPr>
        <w:t xml:space="preserve"> and </w:t>
      </w:r>
      <w:r w:rsidR="00A64032">
        <w:rPr>
          <w:rStyle w:val="LBLLevel3"/>
          <w:u w:val="none"/>
        </w:rPr>
        <w:t>L</w:t>
      </w:r>
      <w:r w:rsidRPr="00E40993">
        <w:rPr>
          <w:rStyle w:val="LBLLevel3"/>
          <w:u w:val="none"/>
        </w:rPr>
        <w:t>amivudine)</w:t>
      </w:r>
    </w:p>
    <w:p w:rsidR="002227E6" w:rsidRDefault="002227E6" w:rsidP="002227E6">
      <w:pPr>
        <w:rPr>
          <w:color w:val="000000"/>
        </w:rPr>
      </w:pPr>
      <w:r>
        <w:rPr>
          <w:color w:val="000000"/>
        </w:rPr>
        <w:t xml:space="preserve">HIV-1 resistance to lamivudine involves the development of a M184V amino acid change close to the active site of the viral RT. This variant arises both </w:t>
      </w:r>
      <w:r>
        <w:rPr>
          <w:i/>
          <w:color w:val="000000"/>
        </w:rPr>
        <w:t>in vitro</w:t>
      </w:r>
      <w:r>
        <w:rPr>
          <w:color w:val="000000"/>
        </w:rPr>
        <w:t xml:space="preserve"> and in HIV-1 infected patients treated with lamivudine-containing antiretroviral therapy.  M184V mutants display greatly reduced susceptibility to lamivudine and show diminished viral replicative capacity </w:t>
      </w:r>
      <w:r>
        <w:rPr>
          <w:i/>
          <w:color w:val="000000"/>
        </w:rPr>
        <w:t>in vitro</w:t>
      </w:r>
      <w:r>
        <w:rPr>
          <w:color w:val="000000"/>
        </w:rPr>
        <w:t>.</w:t>
      </w:r>
      <w:r>
        <w:rPr>
          <w:i/>
          <w:color w:val="000000"/>
        </w:rPr>
        <w:t xml:space="preserve"> </w:t>
      </w:r>
      <w:r>
        <w:rPr>
          <w:color w:val="000000"/>
        </w:rPr>
        <w:t xml:space="preserve">Studies </w:t>
      </w:r>
      <w:r>
        <w:rPr>
          <w:i/>
          <w:color w:val="000000"/>
        </w:rPr>
        <w:t>in vitro</w:t>
      </w:r>
      <w:r>
        <w:rPr>
          <w:color w:val="000000"/>
        </w:rPr>
        <w:t xml:space="preserve"> indicate that </w:t>
      </w:r>
      <w:proofErr w:type="spellStart"/>
      <w:r>
        <w:rPr>
          <w:color w:val="000000"/>
        </w:rPr>
        <w:t>zidovudine</w:t>
      </w:r>
      <w:proofErr w:type="spellEnd"/>
      <w:r>
        <w:rPr>
          <w:color w:val="000000"/>
        </w:rPr>
        <w:t xml:space="preserve">-resistant virus isolates can become </w:t>
      </w:r>
      <w:proofErr w:type="spellStart"/>
      <w:r>
        <w:rPr>
          <w:color w:val="000000"/>
        </w:rPr>
        <w:t>zidovudine</w:t>
      </w:r>
      <w:proofErr w:type="spellEnd"/>
      <w:r>
        <w:rPr>
          <w:color w:val="000000"/>
        </w:rPr>
        <w:t xml:space="preserve"> sensitive when they simultaneously acquire resistance to lamivudine.  The clinical relevance of such findings remains, however, not well defined.</w:t>
      </w:r>
    </w:p>
    <w:p w:rsidR="002227E6" w:rsidRDefault="002227E6" w:rsidP="002227E6">
      <w:pPr>
        <w:rPr>
          <w:color w:val="000000"/>
        </w:rPr>
      </w:pPr>
      <w:r w:rsidRPr="0082743B">
        <w:t xml:space="preserve">Genetic analysis of isolates from patients failing an </w:t>
      </w:r>
      <w:proofErr w:type="spellStart"/>
      <w:r w:rsidRPr="0082743B">
        <w:t>abacavir</w:t>
      </w:r>
      <w:proofErr w:type="spellEnd"/>
      <w:r w:rsidRPr="0082743B">
        <w:noBreakHyphen/>
        <w:t>containing regimen demonstrated that r</w:t>
      </w:r>
      <w:proofErr w:type="spellStart"/>
      <w:r w:rsidRPr="0082743B">
        <w:rPr>
          <w:snapToGrid w:val="0"/>
          <w:lang w:val="en-US" w:eastAsia="en-US"/>
        </w:rPr>
        <w:t>everse</w:t>
      </w:r>
      <w:proofErr w:type="spellEnd"/>
      <w:r w:rsidRPr="0082743B">
        <w:rPr>
          <w:snapToGrid w:val="0"/>
          <w:lang w:val="en-US" w:eastAsia="en-US"/>
        </w:rPr>
        <w:t xml:space="preserve"> transcriptase amino acid residue 184 was consistently the most frequent position for NRTI resistance-associated mutations (M184V or M184I). </w:t>
      </w:r>
      <w:r w:rsidRPr="0082743B">
        <w:t xml:space="preserve">The second most frequent mutation was L74V. Mutations Y115F and K65R were uncommon. </w:t>
      </w:r>
      <w:r>
        <w:rPr>
          <w:color w:val="000000"/>
        </w:rPr>
        <w:t xml:space="preserve">Viral resistance to </w:t>
      </w:r>
      <w:proofErr w:type="spellStart"/>
      <w:r>
        <w:rPr>
          <w:color w:val="000000"/>
        </w:rPr>
        <w:t>abacavir</w:t>
      </w:r>
      <w:proofErr w:type="spellEnd"/>
      <w:r>
        <w:rPr>
          <w:color w:val="000000"/>
        </w:rPr>
        <w:t xml:space="preserve"> develops relatively slowly </w:t>
      </w:r>
      <w:r>
        <w:rPr>
          <w:i/>
          <w:color w:val="000000"/>
        </w:rPr>
        <w:t>in vitro</w:t>
      </w:r>
      <w:r>
        <w:rPr>
          <w:color w:val="000000"/>
        </w:rPr>
        <w:t xml:space="preserve"> and </w:t>
      </w:r>
      <w:r>
        <w:rPr>
          <w:i/>
          <w:color w:val="000000"/>
        </w:rPr>
        <w:t xml:space="preserve">in vivo, </w:t>
      </w:r>
      <w:r>
        <w:rPr>
          <w:color w:val="000000"/>
        </w:rPr>
        <w:t>requiring multiple mutations to reach an eight-fold increase in IC</w:t>
      </w:r>
      <w:r>
        <w:rPr>
          <w:color w:val="000000"/>
          <w:vertAlign w:val="subscript"/>
        </w:rPr>
        <w:t>50</w:t>
      </w:r>
      <w:r>
        <w:rPr>
          <w:color w:val="000000"/>
        </w:rPr>
        <w:t xml:space="preserve"> over wild-type virus, which may be a clinically relevant level. </w:t>
      </w:r>
    </w:p>
    <w:p w:rsidR="002227E6" w:rsidRPr="00D01820" w:rsidRDefault="00D01820" w:rsidP="002227E6">
      <w:pPr>
        <w:tabs>
          <w:tab w:val="left" w:pos="720"/>
          <w:tab w:val="right" w:pos="8784"/>
        </w:tabs>
        <w:rPr>
          <w:rStyle w:val="LBLLevel3"/>
          <w:b/>
          <w:bCs/>
          <w:i/>
          <w:szCs w:val="36"/>
        </w:rPr>
      </w:pPr>
      <w:r>
        <w:rPr>
          <w:color w:val="000000" w:themeColor="text1"/>
          <w:u w:val="single"/>
        </w:rPr>
        <w:t>Cross-Resistance</w:t>
      </w:r>
    </w:p>
    <w:p w:rsidR="002227E6" w:rsidRPr="00E40993" w:rsidRDefault="002227E6" w:rsidP="002227E6">
      <w:pPr>
        <w:tabs>
          <w:tab w:val="left" w:pos="720"/>
          <w:tab w:val="right" w:pos="8784"/>
        </w:tabs>
        <w:rPr>
          <w:color w:val="000000" w:themeColor="text1"/>
        </w:rPr>
      </w:pPr>
      <w:r w:rsidRPr="0082743B">
        <w:t>Cross</w:t>
      </w:r>
      <w:r w:rsidRPr="0082743B">
        <w:noBreakHyphen/>
        <w:t xml:space="preserve">resistance has been observed among nucleoside reverse transcriptase inhibitors. Viruses containing </w:t>
      </w:r>
      <w:proofErr w:type="spellStart"/>
      <w:r w:rsidRPr="0082743B">
        <w:t>abacavir</w:t>
      </w:r>
      <w:proofErr w:type="spellEnd"/>
      <w:r w:rsidRPr="0082743B">
        <w:t xml:space="preserve"> and lamivudine resistance</w:t>
      </w:r>
      <w:r w:rsidRPr="0082743B">
        <w:noBreakHyphen/>
        <w:t>associated mutations, namely, M184V, L74V, Y115F and K65R, exhibit cross</w:t>
      </w:r>
      <w:r w:rsidRPr="0082743B">
        <w:noBreakHyphen/>
        <w:t xml:space="preserve">resistance to </w:t>
      </w:r>
      <w:proofErr w:type="spellStart"/>
      <w:r w:rsidRPr="0082743B">
        <w:t>didanosine</w:t>
      </w:r>
      <w:proofErr w:type="spellEnd"/>
      <w:r w:rsidRPr="0082743B">
        <w:t xml:space="preserve">, </w:t>
      </w:r>
      <w:proofErr w:type="spellStart"/>
      <w:r w:rsidRPr="0082743B">
        <w:t>emtricitabine</w:t>
      </w:r>
      <w:proofErr w:type="spellEnd"/>
      <w:r w:rsidRPr="0082743B">
        <w:t xml:space="preserve">, lamivudine, </w:t>
      </w:r>
      <w:proofErr w:type="spellStart"/>
      <w:r w:rsidRPr="0082743B">
        <w:t>tenofovir</w:t>
      </w:r>
      <w:proofErr w:type="spellEnd"/>
      <w:r w:rsidRPr="0082743B">
        <w:t xml:space="preserve">, and </w:t>
      </w:r>
      <w:proofErr w:type="spellStart"/>
      <w:r w:rsidRPr="0082743B">
        <w:t>zalcitabine</w:t>
      </w:r>
      <w:proofErr w:type="spellEnd"/>
      <w:r w:rsidRPr="0082743B">
        <w:t xml:space="preserve"> in vitro and in patients.  The M184V mutation can confer resistance to </w:t>
      </w:r>
      <w:proofErr w:type="spellStart"/>
      <w:r w:rsidRPr="0082743B">
        <w:t>abacavir</w:t>
      </w:r>
      <w:proofErr w:type="spellEnd"/>
      <w:r w:rsidRPr="0082743B">
        <w:t xml:space="preserve">, </w:t>
      </w:r>
      <w:proofErr w:type="spellStart"/>
      <w:r w:rsidRPr="0082743B">
        <w:t>didanosine</w:t>
      </w:r>
      <w:proofErr w:type="spellEnd"/>
      <w:r w:rsidRPr="0082743B">
        <w:t xml:space="preserve">, </w:t>
      </w:r>
      <w:proofErr w:type="spellStart"/>
      <w:r w:rsidRPr="0082743B">
        <w:t>emtricitabine</w:t>
      </w:r>
      <w:proofErr w:type="spellEnd"/>
      <w:r w:rsidRPr="0082743B">
        <w:t xml:space="preserve">, lamivudine, and </w:t>
      </w:r>
      <w:proofErr w:type="spellStart"/>
      <w:r w:rsidRPr="0082743B">
        <w:t>zalcitabine</w:t>
      </w:r>
      <w:proofErr w:type="spellEnd"/>
      <w:r w:rsidRPr="0082743B">
        <w:t xml:space="preserve">; the L74V mutation can confer resistance to </w:t>
      </w:r>
      <w:proofErr w:type="spellStart"/>
      <w:r w:rsidRPr="0082743B">
        <w:t>abacavir</w:t>
      </w:r>
      <w:proofErr w:type="spellEnd"/>
      <w:r w:rsidRPr="0082743B">
        <w:t xml:space="preserve">, </w:t>
      </w:r>
      <w:proofErr w:type="spellStart"/>
      <w:r w:rsidRPr="0082743B">
        <w:t>didanosine</w:t>
      </w:r>
      <w:proofErr w:type="spellEnd"/>
      <w:r w:rsidRPr="0082743B">
        <w:t xml:space="preserve">, and </w:t>
      </w:r>
      <w:proofErr w:type="spellStart"/>
      <w:r w:rsidRPr="0082743B">
        <w:t>zalcitabine</w:t>
      </w:r>
      <w:proofErr w:type="spellEnd"/>
      <w:r w:rsidRPr="0082743B">
        <w:t xml:space="preserve"> and the K65R mutation can confer resistance to </w:t>
      </w:r>
      <w:proofErr w:type="spellStart"/>
      <w:r w:rsidRPr="0082743B">
        <w:t>abacavir</w:t>
      </w:r>
      <w:proofErr w:type="spellEnd"/>
      <w:r w:rsidRPr="0082743B">
        <w:t xml:space="preserve">, </w:t>
      </w:r>
      <w:proofErr w:type="spellStart"/>
      <w:r w:rsidRPr="0082743B">
        <w:t>didanosine</w:t>
      </w:r>
      <w:proofErr w:type="spellEnd"/>
      <w:r w:rsidRPr="0082743B">
        <w:t xml:space="preserve">, </w:t>
      </w:r>
      <w:proofErr w:type="spellStart"/>
      <w:r w:rsidRPr="0082743B">
        <w:t>emtricitabine</w:t>
      </w:r>
      <w:proofErr w:type="spellEnd"/>
      <w:r w:rsidRPr="0082743B">
        <w:t xml:space="preserve">, lamivudine, </w:t>
      </w:r>
      <w:proofErr w:type="spellStart"/>
      <w:r w:rsidRPr="0082743B">
        <w:t>stavudine</w:t>
      </w:r>
      <w:proofErr w:type="spellEnd"/>
      <w:r w:rsidRPr="0082743B">
        <w:t xml:space="preserve">, </w:t>
      </w:r>
      <w:proofErr w:type="spellStart"/>
      <w:r w:rsidRPr="0082743B">
        <w:t>tenofovir</w:t>
      </w:r>
      <w:proofErr w:type="spellEnd"/>
      <w:r w:rsidRPr="0082743B">
        <w:t xml:space="preserve">, and </w:t>
      </w:r>
      <w:proofErr w:type="spellStart"/>
      <w:r w:rsidRPr="0082743B">
        <w:t>zalcitabine</w:t>
      </w:r>
      <w:proofErr w:type="spellEnd"/>
      <w:r w:rsidRPr="0082743B">
        <w:t xml:space="preserve">. The combination of </w:t>
      </w:r>
      <w:proofErr w:type="spellStart"/>
      <w:r w:rsidRPr="0082743B">
        <w:t>abacavir</w:t>
      </w:r>
      <w:proofErr w:type="spellEnd"/>
      <w:r w:rsidRPr="0082743B">
        <w:t xml:space="preserve">/lamivudine has demonstrated decreased susceptibility to viruses with the L74V plus the M184V/I mutation, viruses with K65R with or without the M184V/I mutation, and viruses with thymidine </w:t>
      </w:r>
      <w:proofErr w:type="spellStart"/>
      <w:r w:rsidRPr="0082743B">
        <w:t>analog</w:t>
      </w:r>
      <w:proofErr w:type="spellEnd"/>
      <w:r w:rsidRPr="0082743B">
        <w:t xml:space="preserve"> mutations (TAMs: M41L, D67N, K70R, L210W, T215Y/F, K219 E/R/H/Q/N) plus M184V. An increasing number of TAMs is associated with a progressive reduction in </w:t>
      </w:r>
      <w:proofErr w:type="spellStart"/>
      <w:r w:rsidRPr="0082743B">
        <w:t>abacavir</w:t>
      </w:r>
      <w:proofErr w:type="spellEnd"/>
      <w:r w:rsidRPr="0082743B">
        <w:t xml:space="preserve"> susceptibility.</w:t>
      </w:r>
    </w:p>
    <w:p w:rsidR="00744001" w:rsidRPr="00E40993" w:rsidRDefault="00744001" w:rsidP="006118C4">
      <w:pPr>
        <w:pStyle w:val="Head3"/>
        <w:rPr>
          <w:rFonts w:eastAsia="MS Mincho"/>
          <w:lang w:eastAsia="en-US"/>
        </w:rPr>
      </w:pPr>
      <w:r w:rsidRPr="00E40993">
        <w:rPr>
          <w:rFonts w:eastAsia="MS Mincho"/>
          <w:lang w:eastAsia="en-US"/>
        </w:rPr>
        <w:t>Effects on Electrocardiogram</w:t>
      </w:r>
    </w:p>
    <w:p w:rsidR="00744001" w:rsidRPr="00E40993" w:rsidRDefault="00744001" w:rsidP="008D6904">
      <w:pPr>
        <w:rPr>
          <w:rFonts w:eastAsia="MS Mincho"/>
        </w:rPr>
      </w:pPr>
      <w:r w:rsidRPr="00E40993">
        <w:rPr>
          <w:rFonts w:eastAsia="MS Mincho"/>
        </w:rPr>
        <w:t xml:space="preserve">In a randomized, placebo-controlled, cross-over trial, 42 healthy </w:t>
      </w:r>
      <w:r w:rsidR="007C720C">
        <w:rPr>
          <w:rFonts w:eastAsia="MS Mincho"/>
        </w:rPr>
        <w:t>patient</w:t>
      </w:r>
      <w:r w:rsidRPr="00E40993">
        <w:rPr>
          <w:rFonts w:eastAsia="MS Mincho"/>
        </w:rPr>
        <w:t xml:space="preserve">s received single dose oral administrations of placebo, </w:t>
      </w:r>
      <w:proofErr w:type="spellStart"/>
      <w:r w:rsidRPr="00E40993">
        <w:rPr>
          <w:rFonts w:eastAsia="MS Mincho"/>
        </w:rPr>
        <w:t>dolutegravir</w:t>
      </w:r>
      <w:proofErr w:type="spellEnd"/>
      <w:r w:rsidRPr="00E40993">
        <w:t xml:space="preserve"> </w:t>
      </w:r>
      <w:r w:rsidRPr="00E40993">
        <w:rPr>
          <w:rFonts w:eastAsia="MS Mincho"/>
        </w:rPr>
        <w:t xml:space="preserve">250 mg suspension </w:t>
      </w:r>
      <w:r w:rsidRPr="00E40993">
        <w:t>(exposures approximately 3-fold of the 50 mg once-daily dose at steady state</w:t>
      </w:r>
      <w:r w:rsidRPr="00E40993">
        <w:rPr>
          <w:rFonts w:eastAsia="MS Mincho"/>
        </w:rPr>
        <w:t xml:space="preserve">), and </w:t>
      </w:r>
      <w:proofErr w:type="spellStart"/>
      <w:r w:rsidRPr="00E40993">
        <w:rPr>
          <w:rFonts w:eastAsia="MS Mincho"/>
        </w:rPr>
        <w:t>moxifloxacin</w:t>
      </w:r>
      <w:proofErr w:type="spellEnd"/>
      <w:r w:rsidRPr="00E40993">
        <w:rPr>
          <w:rFonts w:eastAsia="MS Mincho"/>
        </w:rPr>
        <w:t xml:space="preserve"> (400 mg, active control) in random sequence.  </w:t>
      </w:r>
      <w:proofErr w:type="spellStart"/>
      <w:r w:rsidRPr="00E40993">
        <w:t>Dolutegravir</w:t>
      </w:r>
      <w:proofErr w:type="spellEnd"/>
      <w:r w:rsidRPr="00E40993">
        <w:t xml:space="preserve"> </w:t>
      </w:r>
      <w:r w:rsidRPr="00E40993">
        <w:rPr>
          <w:rFonts w:eastAsia="MS Mincho"/>
        </w:rPr>
        <w:t xml:space="preserve">did not prolong the </w:t>
      </w:r>
      <w:proofErr w:type="spellStart"/>
      <w:r w:rsidRPr="00E40993">
        <w:rPr>
          <w:rFonts w:eastAsia="MS Mincho"/>
        </w:rPr>
        <w:t>QTc</w:t>
      </w:r>
      <w:proofErr w:type="spellEnd"/>
      <w:r w:rsidRPr="00E40993">
        <w:rPr>
          <w:rFonts w:eastAsia="MS Mincho"/>
        </w:rPr>
        <w:t xml:space="preserve"> interval for 24 hours post dose. After baseline and placebo adjustment, the maximum mean </w:t>
      </w:r>
      <w:proofErr w:type="spellStart"/>
      <w:r w:rsidRPr="00E40993">
        <w:rPr>
          <w:rFonts w:eastAsia="MS Mincho"/>
        </w:rPr>
        <w:t>QTc</w:t>
      </w:r>
      <w:proofErr w:type="spellEnd"/>
      <w:r w:rsidRPr="00E40993">
        <w:rPr>
          <w:rFonts w:eastAsia="MS Mincho"/>
        </w:rPr>
        <w:t xml:space="preserve"> change based on </w:t>
      </w:r>
      <w:proofErr w:type="spellStart"/>
      <w:r w:rsidRPr="00E40993">
        <w:rPr>
          <w:rFonts w:eastAsia="MS Mincho"/>
        </w:rPr>
        <w:t>Fridericia</w:t>
      </w:r>
      <w:proofErr w:type="spellEnd"/>
      <w:r w:rsidRPr="00E40993">
        <w:rPr>
          <w:rFonts w:eastAsia="MS Mincho"/>
        </w:rPr>
        <w:t xml:space="preserve"> correction method (</w:t>
      </w:r>
      <w:proofErr w:type="spellStart"/>
      <w:r w:rsidRPr="00E40993">
        <w:rPr>
          <w:rFonts w:eastAsia="MS Mincho"/>
        </w:rPr>
        <w:t>QTcF</w:t>
      </w:r>
      <w:proofErr w:type="spellEnd"/>
      <w:r w:rsidRPr="00E40993">
        <w:rPr>
          <w:rFonts w:eastAsia="MS Mincho"/>
        </w:rPr>
        <w:t>) was 1.99 </w:t>
      </w:r>
      <w:proofErr w:type="spellStart"/>
      <w:r w:rsidRPr="00E40993">
        <w:rPr>
          <w:rFonts w:eastAsia="MS Mincho"/>
        </w:rPr>
        <w:t>msec</w:t>
      </w:r>
      <w:proofErr w:type="spellEnd"/>
      <w:r w:rsidRPr="00E40993">
        <w:rPr>
          <w:rFonts w:eastAsia="MS Mincho"/>
        </w:rPr>
        <w:t xml:space="preserve"> (1-sided 95% upper CI: 4.53 </w:t>
      </w:r>
      <w:proofErr w:type="spellStart"/>
      <w:r w:rsidRPr="00E40993">
        <w:rPr>
          <w:rFonts w:eastAsia="MS Mincho"/>
        </w:rPr>
        <w:t>msec</w:t>
      </w:r>
      <w:proofErr w:type="spellEnd"/>
      <w:r w:rsidRPr="00E40993">
        <w:rPr>
          <w:rFonts w:eastAsia="MS Mincho"/>
        </w:rPr>
        <w:t>).</w:t>
      </w:r>
    </w:p>
    <w:p w:rsidR="00744001" w:rsidRPr="00E40993" w:rsidRDefault="00744001" w:rsidP="008D6904">
      <w:pPr>
        <w:rPr>
          <w:rFonts w:eastAsia="MS Mincho"/>
        </w:rPr>
      </w:pPr>
      <w:r w:rsidRPr="00E40993">
        <w:rPr>
          <w:rFonts w:eastAsia="MS Mincho"/>
        </w:rPr>
        <w:t xml:space="preserve">Similar studies were not conducted with either </w:t>
      </w:r>
      <w:proofErr w:type="spellStart"/>
      <w:r w:rsidRPr="00E40993">
        <w:rPr>
          <w:rFonts w:eastAsia="MS Mincho"/>
        </w:rPr>
        <w:t>abacavir</w:t>
      </w:r>
      <w:proofErr w:type="spellEnd"/>
      <w:r w:rsidRPr="00E40993">
        <w:rPr>
          <w:rFonts w:eastAsia="MS Mincho"/>
        </w:rPr>
        <w:t xml:space="preserve"> or lamivudine.</w:t>
      </w:r>
    </w:p>
    <w:p w:rsidR="00744001" w:rsidRPr="00E40993" w:rsidRDefault="00744001" w:rsidP="006118C4">
      <w:pPr>
        <w:pStyle w:val="Head3"/>
        <w:rPr>
          <w:rFonts w:eastAsia="MS Mincho"/>
          <w:lang w:eastAsia="en-US"/>
        </w:rPr>
      </w:pPr>
      <w:r w:rsidRPr="00E40993">
        <w:rPr>
          <w:rFonts w:eastAsia="MS Mincho"/>
          <w:lang w:eastAsia="en-US"/>
        </w:rPr>
        <w:t>Effects on Renal Function</w:t>
      </w:r>
    </w:p>
    <w:p w:rsidR="00744001" w:rsidRPr="00E40993" w:rsidRDefault="00744001" w:rsidP="008D6904">
      <w:r w:rsidRPr="00E40993">
        <w:rPr>
          <w:rFonts w:eastAsia="MS Mincho"/>
        </w:rPr>
        <w:t xml:space="preserve">The effect of </w:t>
      </w:r>
      <w:proofErr w:type="spellStart"/>
      <w:r w:rsidRPr="00E40993">
        <w:rPr>
          <w:rFonts w:eastAsia="MS Mincho"/>
        </w:rPr>
        <w:t>dolutegravir</w:t>
      </w:r>
      <w:proofErr w:type="spellEnd"/>
      <w:r w:rsidRPr="00E40993">
        <w:rPr>
          <w:rFonts w:eastAsia="MS Mincho"/>
        </w:rPr>
        <w:t xml:space="preserve"> on serum creatinine clearance (</w:t>
      </w:r>
      <w:proofErr w:type="spellStart"/>
      <w:r w:rsidRPr="00E40993">
        <w:rPr>
          <w:rFonts w:eastAsia="MS Mincho"/>
        </w:rPr>
        <w:t>CrCl</w:t>
      </w:r>
      <w:proofErr w:type="spellEnd"/>
      <w:r w:rsidRPr="00E40993">
        <w:rPr>
          <w:rFonts w:eastAsia="MS Mincho"/>
        </w:rPr>
        <w:t xml:space="preserve">), glomerular filtration rate (GFR) using </w:t>
      </w:r>
      <w:proofErr w:type="spellStart"/>
      <w:r w:rsidRPr="00E40993">
        <w:rPr>
          <w:rFonts w:eastAsia="MS Mincho"/>
        </w:rPr>
        <w:t>iohexol</w:t>
      </w:r>
      <w:proofErr w:type="spellEnd"/>
      <w:r w:rsidRPr="00E40993">
        <w:rPr>
          <w:rFonts w:eastAsia="MS Mincho"/>
        </w:rPr>
        <w:t xml:space="preserve"> as the probe and effective renal plasma flow (ERPF) using para-</w:t>
      </w:r>
      <w:proofErr w:type="spellStart"/>
      <w:r w:rsidRPr="00E40993">
        <w:rPr>
          <w:rFonts w:eastAsia="MS Mincho"/>
        </w:rPr>
        <w:t>aminohippurate</w:t>
      </w:r>
      <w:proofErr w:type="spellEnd"/>
      <w:r w:rsidRPr="00E40993">
        <w:rPr>
          <w:rFonts w:eastAsia="MS Mincho"/>
        </w:rPr>
        <w:t xml:space="preserve"> (PAH) as the probe was evaluated in an open-label, randomized, 3 arm, parallel, placebo-controlled study in 37 healthy </w:t>
      </w:r>
      <w:r w:rsidR="007C720C">
        <w:rPr>
          <w:rFonts w:eastAsia="MS Mincho"/>
        </w:rPr>
        <w:t>patient</w:t>
      </w:r>
      <w:r w:rsidRPr="00E40993">
        <w:rPr>
          <w:rFonts w:eastAsia="MS Mincho"/>
        </w:rPr>
        <w:t xml:space="preserve">s, who were administered </w:t>
      </w:r>
      <w:proofErr w:type="spellStart"/>
      <w:r w:rsidRPr="00E40993">
        <w:rPr>
          <w:rFonts w:eastAsia="MS Mincho"/>
        </w:rPr>
        <w:t>dolutegravir</w:t>
      </w:r>
      <w:proofErr w:type="spellEnd"/>
      <w:r w:rsidRPr="00E40993">
        <w:rPr>
          <w:rFonts w:eastAsia="MS Mincho"/>
        </w:rPr>
        <w:t xml:space="preserve"> 50 mg once daily (n=12), 50 mg twice daily (n=13) or placebo once daily (n=12) for 14 days. A modest decrease in </w:t>
      </w:r>
      <w:proofErr w:type="spellStart"/>
      <w:r w:rsidRPr="00E40993">
        <w:rPr>
          <w:rFonts w:eastAsia="MS Mincho"/>
        </w:rPr>
        <w:t>CrCl</w:t>
      </w:r>
      <w:proofErr w:type="spellEnd"/>
      <w:r w:rsidRPr="00E40993">
        <w:rPr>
          <w:rFonts w:eastAsia="MS Mincho"/>
        </w:rPr>
        <w:t xml:space="preserve"> was observed with </w:t>
      </w:r>
      <w:proofErr w:type="spellStart"/>
      <w:r w:rsidRPr="00E40993">
        <w:rPr>
          <w:rFonts w:eastAsia="MS Mincho"/>
        </w:rPr>
        <w:t>dolutegravir</w:t>
      </w:r>
      <w:proofErr w:type="spellEnd"/>
      <w:r w:rsidRPr="00E40993">
        <w:t xml:space="preserve"> </w:t>
      </w:r>
      <w:r w:rsidRPr="00E40993">
        <w:rPr>
          <w:rFonts w:eastAsia="MS Mincho"/>
        </w:rPr>
        <w:t xml:space="preserve">within the first week of treatment, consistent with that seen in clinical studies. </w:t>
      </w:r>
      <w:proofErr w:type="spellStart"/>
      <w:r w:rsidRPr="00E40993">
        <w:rPr>
          <w:rFonts w:eastAsia="MS Mincho"/>
        </w:rPr>
        <w:t>Dolutegravir</w:t>
      </w:r>
      <w:proofErr w:type="spellEnd"/>
      <w:r w:rsidRPr="00E40993">
        <w:rPr>
          <w:rFonts w:eastAsia="MS Mincho"/>
        </w:rPr>
        <w:t xml:space="preserve"> at both doses had no significant effect on GFR or ERPF. These data support </w:t>
      </w:r>
      <w:r w:rsidR="00FD0B6C" w:rsidRPr="00FD0B6C">
        <w:rPr>
          <w:rFonts w:eastAsia="MS Mincho"/>
          <w:i/>
        </w:rPr>
        <w:t>in vi</w:t>
      </w:r>
      <w:r w:rsidR="00FD0B6C">
        <w:rPr>
          <w:rFonts w:eastAsia="MS Mincho"/>
          <w:i/>
        </w:rPr>
        <w:t>tr</w:t>
      </w:r>
      <w:r w:rsidR="00FD0B6C" w:rsidRPr="00FD0B6C">
        <w:rPr>
          <w:rFonts w:eastAsia="MS Mincho"/>
          <w:i/>
        </w:rPr>
        <w:t>o</w:t>
      </w:r>
      <w:r w:rsidRPr="00E40993">
        <w:rPr>
          <w:rFonts w:eastAsia="MS Mincho"/>
        </w:rPr>
        <w:t xml:space="preserve"> studies which suggest that the small increases in creatinine observed in clinical studies are due to the </w:t>
      </w:r>
      <w:proofErr w:type="spellStart"/>
      <w:r w:rsidRPr="00E40993">
        <w:rPr>
          <w:rFonts w:eastAsia="MS Mincho"/>
        </w:rPr>
        <w:t>nonpathologic</w:t>
      </w:r>
      <w:proofErr w:type="spellEnd"/>
      <w:r w:rsidRPr="00E40993">
        <w:rPr>
          <w:rFonts w:eastAsia="MS Mincho"/>
        </w:rPr>
        <w:t xml:space="preserve"> inhibition of the organic </w:t>
      </w:r>
      <w:proofErr w:type="spellStart"/>
      <w:r w:rsidRPr="00E40993">
        <w:rPr>
          <w:rFonts w:eastAsia="MS Mincho"/>
        </w:rPr>
        <w:t>cation</w:t>
      </w:r>
      <w:proofErr w:type="spellEnd"/>
      <w:r w:rsidRPr="00E40993">
        <w:rPr>
          <w:rFonts w:eastAsia="MS Mincho"/>
        </w:rPr>
        <w:t xml:space="preserve"> transporter 2 (OCT2) in the proximal renal tubules, which mediates the tubular secretion of creatinine.</w:t>
      </w:r>
    </w:p>
    <w:p w:rsidR="005141DC" w:rsidRPr="00E40993" w:rsidRDefault="005141DC" w:rsidP="005141DC">
      <w:pPr>
        <w:rPr>
          <w:color w:val="000000" w:themeColor="text1"/>
          <w:lang w:val="en-GB" w:eastAsia="en-GB"/>
        </w:rPr>
      </w:pPr>
    </w:p>
    <w:p w:rsidR="00D06FFC" w:rsidRPr="00E40993" w:rsidRDefault="00D06FFC" w:rsidP="00C222C0">
      <w:pPr>
        <w:pStyle w:val="Heading2"/>
      </w:pPr>
      <w:r w:rsidRPr="00E40993">
        <w:t>Pharmacokinetics</w:t>
      </w:r>
    </w:p>
    <w:p w:rsidR="00460B66" w:rsidRPr="00E40993" w:rsidRDefault="00BB2384" w:rsidP="008D6904">
      <w:pPr>
        <w:rPr>
          <w:color w:val="000000" w:themeColor="text1"/>
        </w:rPr>
      </w:pPr>
      <w:r w:rsidRPr="00E40993">
        <w:rPr>
          <w:rFonts w:cs="Arial"/>
          <w:color w:val="000000" w:themeColor="text1"/>
          <w:szCs w:val="22"/>
        </w:rPr>
        <w:t>TRIUMEQ</w:t>
      </w:r>
      <w:r w:rsidR="00460B66" w:rsidRPr="00E40993">
        <w:t xml:space="preserve"> has been shown to be bioequivalent to </w:t>
      </w:r>
      <w:proofErr w:type="spellStart"/>
      <w:r w:rsidR="00460B66" w:rsidRPr="00E40993">
        <w:t>dolutegravir</w:t>
      </w:r>
      <w:proofErr w:type="spellEnd"/>
      <w:r w:rsidR="00460B66" w:rsidRPr="00E40993">
        <w:t xml:space="preserve"> single entity tablet with </w:t>
      </w:r>
      <w:proofErr w:type="spellStart"/>
      <w:r w:rsidR="00460B66" w:rsidRPr="00E40993">
        <w:t>abacavir</w:t>
      </w:r>
      <w:proofErr w:type="spellEnd"/>
      <w:r w:rsidR="00460B66" w:rsidRPr="00E40993">
        <w:t>/lamivudine fixed dose combination tablet administered separately. This was demonstrated in a single dose, 2-way crossover bioequivalence stud</w:t>
      </w:r>
      <w:r w:rsidR="00460B66" w:rsidRPr="00E40993">
        <w:rPr>
          <w:color w:val="000000" w:themeColor="text1"/>
        </w:rPr>
        <w:t xml:space="preserve">y of </w:t>
      </w:r>
      <w:r w:rsidRPr="00E40993">
        <w:rPr>
          <w:rFonts w:cs="Arial"/>
          <w:color w:val="000000" w:themeColor="text1"/>
          <w:szCs w:val="22"/>
        </w:rPr>
        <w:t>TRIUMEQ</w:t>
      </w:r>
      <w:r w:rsidR="00460B66" w:rsidRPr="00E40993">
        <w:rPr>
          <w:color w:val="000000" w:themeColor="text1"/>
        </w:rPr>
        <w:t xml:space="preserve"> (fasted) versus 1 x 50 mg </w:t>
      </w:r>
      <w:proofErr w:type="spellStart"/>
      <w:r w:rsidR="00460B66" w:rsidRPr="00E40993">
        <w:rPr>
          <w:rFonts w:eastAsia="MS Mincho"/>
          <w:color w:val="000000" w:themeColor="text1"/>
          <w:lang w:val="en-US"/>
        </w:rPr>
        <w:t>dolutegravir</w:t>
      </w:r>
      <w:proofErr w:type="spellEnd"/>
      <w:r w:rsidR="00460B66" w:rsidRPr="00E40993">
        <w:rPr>
          <w:rFonts w:eastAsia="MS Mincho"/>
          <w:color w:val="000000" w:themeColor="text1"/>
          <w:lang w:val="en-US"/>
        </w:rPr>
        <w:t xml:space="preserve"> tablet, </w:t>
      </w:r>
      <w:r w:rsidR="00460B66" w:rsidRPr="00E40993">
        <w:rPr>
          <w:color w:val="000000" w:themeColor="text1"/>
        </w:rPr>
        <w:t xml:space="preserve">plus 1 x 600mg </w:t>
      </w:r>
      <w:proofErr w:type="spellStart"/>
      <w:r w:rsidR="00460B66" w:rsidRPr="00E40993">
        <w:rPr>
          <w:color w:val="000000" w:themeColor="text1"/>
        </w:rPr>
        <w:t>abacavir</w:t>
      </w:r>
      <w:proofErr w:type="spellEnd"/>
      <w:r w:rsidR="00460B66" w:rsidRPr="00E40993">
        <w:rPr>
          <w:color w:val="000000" w:themeColor="text1"/>
        </w:rPr>
        <w:t xml:space="preserve">/300 mg lamivudine tablet (fasted) in healthy </w:t>
      </w:r>
      <w:r w:rsidR="007C720C">
        <w:rPr>
          <w:color w:val="000000" w:themeColor="text1"/>
        </w:rPr>
        <w:t>patient</w:t>
      </w:r>
      <w:r w:rsidR="00460B66" w:rsidRPr="00E40993">
        <w:rPr>
          <w:color w:val="000000" w:themeColor="text1"/>
        </w:rPr>
        <w:t>s (n=62). In a separate cohort there was no clinically significant effect of a high fat meal on the exposure of</w:t>
      </w:r>
      <w:r w:rsidR="00B31FC7" w:rsidRPr="00E40993">
        <w:rPr>
          <w:rFonts w:eastAsia="MS Mincho"/>
          <w:color w:val="000000" w:themeColor="text1"/>
          <w:lang w:val="en-US"/>
        </w:rPr>
        <w:t xml:space="preserve"> </w:t>
      </w:r>
      <w:proofErr w:type="spellStart"/>
      <w:r w:rsidR="00B31FC7" w:rsidRPr="00E40993">
        <w:rPr>
          <w:rFonts w:eastAsia="MS Mincho"/>
          <w:color w:val="000000" w:themeColor="text1"/>
          <w:lang w:val="en-US"/>
        </w:rPr>
        <w:t>dolutegravir</w:t>
      </w:r>
      <w:proofErr w:type="spellEnd"/>
      <w:r w:rsidR="00B31FC7" w:rsidRPr="00E40993">
        <w:rPr>
          <w:rFonts w:eastAsia="MS Mincho"/>
          <w:color w:val="000000" w:themeColor="text1"/>
          <w:lang w:val="en-US"/>
        </w:rPr>
        <w:t xml:space="preserve">, </w:t>
      </w:r>
      <w:r w:rsidR="00B31FC7" w:rsidRPr="00E40993">
        <w:rPr>
          <w:color w:val="000000" w:themeColor="text1"/>
        </w:rPr>
        <w:t xml:space="preserve">lamivudine or </w:t>
      </w:r>
      <w:proofErr w:type="spellStart"/>
      <w:r w:rsidR="00B31FC7" w:rsidRPr="00E40993">
        <w:rPr>
          <w:color w:val="000000" w:themeColor="text1"/>
        </w:rPr>
        <w:t>abacavir</w:t>
      </w:r>
      <w:proofErr w:type="spellEnd"/>
      <w:r w:rsidR="00460B66" w:rsidRPr="00E40993">
        <w:rPr>
          <w:color w:val="000000" w:themeColor="text1"/>
        </w:rPr>
        <w:t xml:space="preserve">. These results indicate that </w:t>
      </w:r>
      <w:r w:rsidR="00B31FC7" w:rsidRPr="00E40993">
        <w:rPr>
          <w:color w:val="000000" w:themeColor="text1"/>
        </w:rPr>
        <w:t>TRIUMEQ</w:t>
      </w:r>
      <w:r w:rsidR="00460B66" w:rsidRPr="00E40993">
        <w:rPr>
          <w:color w:val="000000" w:themeColor="text1"/>
        </w:rPr>
        <w:t xml:space="preserve"> can be taken with or without food.</w:t>
      </w:r>
    </w:p>
    <w:p w:rsidR="00460B66" w:rsidRPr="00E40993" w:rsidRDefault="00460B66" w:rsidP="008D6904">
      <w:pPr>
        <w:rPr>
          <w:color w:val="000000" w:themeColor="text1"/>
        </w:rPr>
      </w:pPr>
      <w:r w:rsidRPr="00E40993">
        <w:rPr>
          <w:color w:val="000000" w:themeColor="text1"/>
        </w:rPr>
        <w:t xml:space="preserve">The pharmacokinetic properties of </w:t>
      </w:r>
      <w:proofErr w:type="spellStart"/>
      <w:r w:rsidRPr="00E40993">
        <w:rPr>
          <w:rFonts w:eastAsia="MS Mincho"/>
          <w:color w:val="000000" w:themeColor="text1"/>
          <w:lang w:val="en-US"/>
        </w:rPr>
        <w:t>dolutegravir</w:t>
      </w:r>
      <w:proofErr w:type="spellEnd"/>
      <w:r w:rsidRPr="00E40993">
        <w:rPr>
          <w:rFonts w:eastAsia="MS Mincho"/>
          <w:color w:val="000000" w:themeColor="text1"/>
          <w:lang w:val="en-US"/>
        </w:rPr>
        <w:t xml:space="preserve">, </w:t>
      </w:r>
      <w:r w:rsidRPr="00E40993">
        <w:rPr>
          <w:color w:val="000000" w:themeColor="text1"/>
        </w:rPr>
        <w:t xml:space="preserve">lamivudine and </w:t>
      </w:r>
      <w:proofErr w:type="spellStart"/>
      <w:r w:rsidRPr="00E40993">
        <w:rPr>
          <w:color w:val="000000" w:themeColor="text1"/>
        </w:rPr>
        <w:t>abacavir</w:t>
      </w:r>
      <w:proofErr w:type="spellEnd"/>
      <w:r w:rsidRPr="00E40993">
        <w:rPr>
          <w:color w:val="000000" w:themeColor="text1"/>
        </w:rPr>
        <w:t xml:space="preserve"> are described below.</w:t>
      </w:r>
    </w:p>
    <w:p w:rsidR="00D06FFC" w:rsidRPr="00E40993" w:rsidRDefault="00D06FFC" w:rsidP="006118C4">
      <w:pPr>
        <w:pStyle w:val="Heading2"/>
        <w:rPr>
          <w:szCs w:val="22"/>
        </w:rPr>
      </w:pPr>
      <w:r w:rsidRPr="00E40993">
        <w:rPr>
          <w:szCs w:val="22"/>
        </w:rPr>
        <w:t>Absorption</w:t>
      </w:r>
    </w:p>
    <w:p w:rsidR="00C23AB1" w:rsidRDefault="00C23AB1" w:rsidP="00C23AB1">
      <w:proofErr w:type="spellStart"/>
      <w:r w:rsidRPr="00E40993">
        <w:rPr>
          <w:rFonts w:eastAsia="MS Mincho"/>
        </w:rPr>
        <w:t>Dolutegravir</w:t>
      </w:r>
      <w:proofErr w:type="spellEnd"/>
      <w:r>
        <w:rPr>
          <w:rFonts w:eastAsia="MS Mincho"/>
        </w:rPr>
        <w:t xml:space="preserve"> is </w:t>
      </w:r>
      <w:r w:rsidRPr="00E40993">
        <w:rPr>
          <w:rFonts w:eastAsia="MS Mincho"/>
        </w:rPr>
        <w:t>rapidly absorbed following oral administration</w:t>
      </w:r>
      <w:r w:rsidR="00FA43C5">
        <w:rPr>
          <w:rFonts w:eastAsia="MS Mincho"/>
        </w:rPr>
        <w:t xml:space="preserve"> [See TIVICAY </w:t>
      </w:r>
      <w:r w:rsidR="00034E3A">
        <w:rPr>
          <w:rFonts w:eastAsia="MS Mincho"/>
        </w:rPr>
        <w:t>[</w:t>
      </w:r>
      <w:proofErr w:type="spellStart"/>
      <w:r w:rsidR="00034E3A">
        <w:rPr>
          <w:rFonts w:eastAsia="MS Mincho"/>
        </w:rPr>
        <w:t>d</w:t>
      </w:r>
      <w:r w:rsidR="00034E3A" w:rsidRPr="00E40993">
        <w:rPr>
          <w:rFonts w:eastAsia="MS Mincho"/>
        </w:rPr>
        <w:t>olutegravir</w:t>
      </w:r>
      <w:proofErr w:type="spellEnd"/>
      <w:r w:rsidR="00034E3A">
        <w:rPr>
          <w:rFonts w:eastAsia="MS Mincho"/>
        </w:rPr>
        <w:t xml:space="preserve">] </w:t>
      </w:r>
      <w:r w:rsidR="00FA43C5">
        <w:rPr>
          <w:rFonts w:eastAsia="MS Mincho"/>
        </w:rPr>
        <w:t>PI, Pharmacology, Absorption]</w:t>
      </w:r>
      <w:r w:rsidRPr="00E40993">
        <w:rPr>
          <w:rFonts w:eastAsia="MS Mincho"/>
        </w:rPr>
        <w:t xml:space="preserve">. </w:t>
      </w:r>
      <w:r w:rsidR="00CC7344">
        <w:rPr>
          <w:rFonts w:eastAsia="MS Mincho"/>
        </w:rPr>
        <w:t xml:space="preserve"> </w:t>
      </w:r>
      <w:r w:rsidR="00CC7344" w:rsidRPr="00E40993">
        <w:t xml:space="preserve">The absolute bioavailability of </w:t>
      </w:r>
      <w:proofErr w:type="spellStart"/>
      <w:r w:rsidR="00CC7344" w:rsidRPr="00E40993">
        <w:t>dolutegravir</w:t>
      </w:r>
      <w:proofErr w:type="spellEnd"/>
      <w:r w:rsidR="00CC7344" w:rsidRPr="00E40993">
        <w:t xml:space="preserve"> has not been established</w:t>
      </w:r>
      <w:r w:rsidR="00FA43C5">
        <w:t xml:space="preserve"> </w:t>
      </w:r>
      <w:r w:rsidR="00FA43C5">
        <w:rPr>
          <w:rFonts w:eastAsia="MS Mincho"/>
        </w:rPr>
        <w:t xml:space="preserve">[See TIVICAY </w:t>
      </w:r>
      <w:r w:rsidR="00034E3A">
        <w:rPr>
          <w:rFonts w:eastAsia="MS Mincho"/>
        </w:rPr>
        <w:t>[</w:t>
      </w:r>
      <w:proofErr w:type="spellStart"/>
      <w:r w:rsidR="00034E3A">
        <w:rPr>
          <w:rFonts w:eastAsia="MS Mincho"/>
        </w:rPr>
        <w:t>d</w:t>
      </w:r>
      <w:r w:rsidR="00034E3A" w:rsidRPr="00E40993">
        <w:rPr>
          <w:rFonts w:eastAsia="MS Mincho"/>
        </w:rPr>
        <w:t>olutegravir</w:t>
      </w:r>
      <w:proofErr w:type="spellEnd"/>
      <w:r w:rsidR="00034E3A">
        <w:rPr>
          <w:rFonts w:eastAsia="MS Mincho"/>
        </w:rPr>
        <w:t xml:space="preserve">] </w:t>
      </w:r>
      <w:r w:rsidR="00FA43C5">
        <w:rPr>
          <w:rFonts w:eastAsia="MS Mincho"/>
        </w:rPr>
        <w:t>PI, Pharmacology, Absorption]</w:t>
      </w:r>
      <w:r w:rsidR="00CC7344" w:rsidRPr="00E40993">
        <w:t xml:space="preserve">. </w:t>
      </w:r>
      <w:r w:rsidR="00CC7344">
        <w:t xml:space="preserve"> </w:t>
      </w:r>
      <w:r w:rsidRPr="00E40993">
        <w:t>The mean time to maximal serum concentrations (</w:t>
      </w:r>
      <w:proofErr w:type="spellStart"/>
      <w:r w:rsidRPr="00E40993">
        <w:t>t</w:t>
      </w:r>
      <w:r w:rsidRPr="00E40993">
        <w:rPr>
          <w:vertAlign w:val="subscript"/>
        </w:rPr>
        <w:t>max</w:t>
      </w:r>
      <w:proofErr w:type="spellEnd"/>
      <w:r w:rsidRPr="00E40993">
        <w:t>) is about</w:t>
      </w:r>
      <w:r w:rsidRPr="00E40993">
        <w:rPr>
          <w:rFonts w:eastAsia="MS Mincho"/>
        </w:rPr>
        <w:t xml:space="preserve"> 2 to 3 hours (post dose for tablet formulation) for </w:t>
      </w:r>
      <w:proofErr w:type="spellStart"/>
      <w:r w:rsidRPr="00E40993">
        <w:rPr>
          <w:rFonts w:eastAsia="MS Mincho"/>
        </w:rPr>
        <w:t>dolutegravir</w:t>
      </w:r>
      <w:proofErr w:type="spellEnd"/>
      <w:r w:rsidR="00FA43C5">
        <w:rPr>
          <w:rFonts w:eastAsia="MS Mincho"/>
        </w:rPr>
        <w:t xml:space="preserve"> [See TIVICAY </w:t>
      </w:r>
      <w:r w:rsidR="00034E3A">
        <w:rPr>
          <w:rFonts w:eastAsia="MS Mincho"/>
        </w:rPr>
        <w:t>[</w:t>
      </w:r>
      <w:proofErr w:type="spellStart"/>
      <w:r w:rsidR="00034E3A">
        <w:rPr>
          <w:rFonts w:eastAsia="MS Mincho"/>
        </w:rPr>
        <w:t>d</w:t>
      </w:r>
      <w:r w:rsidR="00034E3A" w:rsidRPr="00E40993">
        <w:rPr>
          <w:rFonts w:eastAsia="MS Mincho"/>
        </w:rPr>
        <w:t>olutegravir</w:t>
      </w:r>
      <w:proofErr w:type="spellEnd"/>
      <w:r w:rsidR="00034E3A">
        <w:rPr>
          <w:rFonts w:eastAsia="MS Mincho"/>
        </w:rPr>
        <w:t xml:space="preserve">] </w:t>
      </w:r>
      <w:r w:rsidR="00FA43C5">
        <w:rPr>
          <w:rFonts w:eastAsia="MS Mincho"/>
        </w:rPr>
        <w:t>PI, Pharmacology, Absorption]</w:t>
      </w:r>
      <w:r w:rsidRPr="00E40993">
        <w:t>.</w:t>
      </w:r>
      <w:r w:rsidRPr="00E40993">
        <w:rPr>
          <w:rFonts w:eastAsia="MS Mincho"/>
        </w:rPr>
        <w:t xml:space="preserve"> </w:t>
      </w:r>
      <w:r w:rsidRPr="00E40993">
        <w:rPr>
          <w:lang w:val="en-US"/>
        </w:rPr>
        <w:t xml:space="preserve">Following multiple oral doses of </w:t>
      </w:r>
      <w:proofErr w:type="spellStart"/>
      <w:r w:rsidRPr="00E40993">
        <w:rPr>
          <w:lang w:val="en-US"/>
        </w:rPr>
        <w:t>dolutegravir</w:t>
      </w:r>
      <w:proofErr w:type="spellEnd"/>
      <w:r w:rsidRPr="00E40993">
        <w:rPr>
          <w:lang w:val="en-US"/>
        </w:rPr>
        <w:t xml:space="preserve"> 50mg once daily, the geometric mean steady state pharmacokinetic parameter estimates are 53.6 </w:t>
      </w:r>
      <w:proofErr w:type="spellStart"/>
      <w:r w:rsidRPr="00E40993">
        <w:rPr>
          <w:lang w:val="en-US"/>
        </w:rPr>
        <w:t>micrograms.h</w:t>
      </w:r>
      <w:proofErr w:type="spellEnd"/>
      <w:r w:rsidRPr="00E40993">
        <w:rPr>
          <w:lang w:val="en-US"/>
        </w:rPr>
        <w:t>/mL for AUC</w:t>
      </w:r>
      <w:r w:rsidRPr="00E40993">
        <w:rPr>
          <w:vertAlign w:val="subscript"/>
          <w:lang w:val="en-US"/>
        </w:rPr>
        <w:t>24</w:t>
      </w:r>
      <w:r w:rsidRPr="00E40993">
        <w:rPr>
          <w:lang w:val="en-US"/>
        </w:rPr>
        <w:t xml:space="preserve">, 3.67 microgram/mL for </w:t>
      </w:r>
      <w:proofErr w:type="spellStart"/>
      <w:r w:rsidRPr="00E40993">
        <w:rPr>
          <w:lang w:val="en-US"/>
        </w:rPr>
        <w:t>Cmax</w:t>
      </w:r>
      <w:proofErr w:type="spellEnd"/>
      <w:r w:rsidRPr="00E40993">
        <w:rPr>
          <w:lang w:val="en-US"/>
        </w:rPr>
        <w:t>, and 1.11 microgram/mL for C</w:t>
      </w:r>
      <w:r w:rsidRPr="00E40993">
        <w:rPr>
          <w:vertAlign w:val="subscript"/>
          <w:lang w:val="en-US"/>
        </w:rPr>
        <w:t>24</w:t>
      </w:r>
      <w:r w:rsidR="00FA43C5">
        <w:rPr>
          <w:vertAlign w:val="subscript"/>
          <w:lang w:val="en-US"/>
        </w:rPr>
        <w:t xml:space="preserve"> </w:t>
      </w:r>
      <w:r w:rsidR="00FA43C5" w:rsidRPr="00FA43C5">
        <w:rPr>
          <w:lang w:val="en-US"/>
        </w:rPr>
        <w:t>based</w:t>
      </w:r>
      <w:r w:rsidR="00FA43C5">
        <w:rPr>
          <w:lang w:val="en-US"/>
        </w:rPr>
        <w:t xml:space="preserve"> on population pharmacokinetic analysis in treatment-naïve subjects</w:t>
      </w:r>
      <w:r w:rsidRPr="00E40993">
        <w:rPr>
          <w:lang w:val="en-US"/>
        </w:rPr>
        <w:t>.</w:t>
      </w:r>
    </w:p>
    <w:p w:rsidR="00C23AB1" w:rsidRDefault="00C23AB1" w:rsidP="00C23AB1">
      <w:proofErr w:type="spellStart"/>
      <w:r>
        <w:rPr>
          <w:rFonts w:eastAsia="MS Mincho"/>
        </w:rPr>
        <w:t>Abacavir</w:t>
      </w:r>
      <w:proofErr w:type="spellEnd"/>
      <w:r>
        <w:rPr>
          <w:rFonts w:eastAsia="MS Mincho"/>
        </w:rPr>
        <w:t xml:space="preserve"> is </w:t>
      </w:r>
      <w:r w:rsidRPr="00E40993">
        <w:rPr>
          <w:rFonts w:eastAsia="MS Mincho"/>
        </w:rPr>
        <w:t xml:space="preserve">rapidly absorbed following oral administration. </w:t>
      </w:r>
      <w:r w:rsidR="00CC7344">
        <w:rPr>
          <w:rFonts w:eastAsia="MS Mincho"/>
        </w:rPr>
        <w:t xml:space="preserve"> </w:t>
      </w:r>
      <w:r w:rsidR="00CC7344" w:rsidRPr="00E40993">
        <w:t xml:space="preserve">The absolute bioavailability of oral </w:t>
      </w:r>
      <w:proofErr w:type="spellStart"/>
      <w:r w:rsidR="00CC7344" w:rsidRPr="00E40993">
        <w:t>abacavir</w:t>
      </w:r>
      <w:proofErr w:type="spellEnd"/>
      <w:r w:rsidR="00CC7344" w:rsidRPr="00E40993">
        <w:t xml:space="preserve"> is 83%. </w:t>
      </w:r>
      <w:r w:rsidR="00CC7344">
        <w:t xml:space="preserve"> </w:t>
      </w:r>
      <w:r w:rsidRPr="00E40993">
        <w:t xml:space="preserve">Following a single oral dose of 600 mg of </w:t>
      </w:r>
      <w:proofErr w:type="spellStart"/>
      <w:r w:rsidRPr="00E40993">
        <w:t>abacavir</w:t>
      </w:r>
      <w:proofErr w:type="spellEnd"/>
      <w:r w:rsidRPr="00E40993">
        <w:t xml:space="preserve">, the mean </w:t>
      </w:r>
      <w:proofErr w:type="spellStart"/>
      <w:r w:rsidRPr="00E40993">
        <w:t>C</w:t>
      </w:r>
      <w:r w:rsidRPr="00E40993">
        <w:rPr>
          <w:vertAlign w:val="subscript"/>
        </w:rPr>
        <w:t>max</w:t>
      </w:r>
      <w:proofErr w:type="spellEnd"/>
      <w:r w:rsidRPr="00E40993">
        <w:t xml:space="preserve"> is 4.26 micrograms/ml and the mean AUC</w:t>
      </w:r>
      <w:r w:rsidR="0060712B" w:rsidRPr="00E40993">
        <w:rPr>
          <w:vertAlign w:val="subscript"/>
        </w:rPr>
        <w:fldChar w:fldCharType="begin"/>
      </w:r>
      <w:r w:rsidRPr="00E40993">
        <w:rPr>
          <w:vertAlign w:val="subscript"/>
        </w:rPr>
        <w:instrText>SYMBOL 8734\u</w:instrText>
      </w:r>
      <w:r w:rsidR="0060712B" w:rsidRPr="00E40993">
        <w:rPr>
          <w:vertAlign w:val="subscript"/>
        </w:rPr>
        <w:fldChar w:fldCharType="end"/>
      </w:r>
      <w:r w:rsidRPr="00E40993">
        <w:t xml:space="preserve"> is 11.95 </w:t>
      </w:r>
      <w:proofErr w:type="spellStart"/>
      <w:r w:rsidRPr="00E40993">
        <w:t>micrograms.h</w:t>
      </w:r>
      <w:proofErr w:type="spellEnd"/>
      <w:r w:rsidRPr="00E40993">
        <w:t>/ml.</w:t>
      </w:r>
      <w:r w:rsidR="00CC7344">
        <w:t xml:space="preserve">  </w:t>
      </w:r>
    </w:p>
    <w:p w:rsidR="00460B66" w:rsidRPr="00E40993" w:rsidRDefault="00C23AB1" w:rsidP="008D6904">
      <w:r>
        <w:rPr>
          <w:rFonts w:eastAsia="MS Mincho"/>
        </w:rPr>
        <w:t>L</w:t>
      </w:r>
      <w:r w:rsidRPr="00E40993">
        <w:t xml:space="preserve">amivudine </w:t>
      </w:r>
      <w:r>
        <w:t>is</w:t>
      </w:r>
      <w:r w:rsidRPr="00E40993">
        <w:rPr>
          <w:rFonts w:eastAsia="MS Mincho"/>
        </w:rPr>
        <w:t xml:space="preserve"> rapidly absorbed following oral administration. </w:t>
      </w:r>
      <w:r>
        <w:rPr>
          <w:rFonts w:eastAsia="MS Mincho"/>
        </w:rPr>
        <w:t xml:space="preserve"> </w:t>
      </w:r>
      <w:r w:rsidRPr="00E40993">
        <w:t>The absolute bioavailability of oral lamivudine in adults is 80 to 85%</w:t>
      </w:r>
      <w:r w:rsidR="00CC7344">
        <w:t xml:space="preserve"> respectively</w:t>
      </w:r>
      <w:r w:rsidRPr="00E40993">
        <w:t xml:space="preserve">. </w:t>
      </w:r>
      <w:r>
        <w:t xml:space="preserve"> </w:t>
      </w:r>
      <w:r w:rsidRPr="00E40993">
        <w:t xml:space="preserve">Following multiple-dose oral administration of lamivudine 300 mg once daily for seven days the mean steady-state </w:t>
      </w:r>
      <w:proofErr w:type="spellStart"/>
      <w:r w:rsidRPr="00E40993">
        <w:t>C</w:t>
      </w:r>
      <w:r w:rsidRPr="00E40993">
        <w:rPr>
          <w:vertAlign w:val="subscript"/>
        </w:rPr>
        <w:t>max</w:t>
      </w:r>
      <w:proofErr w:type="spellEnd"/>
      <w:r w:rsidRPr="00E40993">
        <w:t xml:space="preserve"> is 2.04 micrograms/ml and the mean AUC</w:t>
      </w:r>
      <w:r w:rsidRPr="00E40993">
        <w:rPr>
          <w:vertAlign w:val="subscript"/>
        </w:rPr>
        <w:t>24</w:t>
      </w:r>
      <w:r w:rsidRPr="00E40993">
        <w:t xml:space="preserve"> is 8.87 </w:t>
      </w:r>
      <w:proofErr w:type="spellStart"/>
      <w:r w:rsidRPr="00E40993">
        <w:t>micrograms.h</w:t>
      </w:r>
      <w:proofErr w:type="spellEnd"/>
      <w:r w:rsidRPr="00E40993">
        <w:t>/ml.</w:t>
      </w:r>
    </w:p>
    <w:p w:rsidR="00D06FFC" w:rsidRPr="00E40993" w:rsidRDefault="00D06FFC" w:rsidP="006118C4">
      <w:pPr>
        <w:pStyle w:val="Heading2"/>
      </w:pPr>
      <w:r w:rsidRPr="00E40993">
        <w:t>Distribution</w:t>
      </w:r>
    </w:p>
    <w:p w:rsidR="00C23AB1" w:rsidRDefault="00460B66" w:rsidP="008D6904">
      <w:r w:rsidRPr="00E40993">
        <w:t xml:space="preserve">The apparent volume of distribution of </w:t>
      </w:r>
      <w:proofErr w:type="spellStart"/>
      <w:r w:rsidRPr="00E40993">
        <w:t>dolutegravir</w:t>
      </w:r>
      <w:proofErr w:type="spellEnd"/>
      <w:r w:rsidRPr="00E40993">
        <w:t xml:space="preserve"> (following oral administration of suspension formulation, </w:t>
      </w:r>
      <w:proofErr w:type="spellStart"/>
      <w:r w:rsidRPr="00E40993">
        <w:t>Vd</w:t>
      </w:r>
      <w:proofErr w:type="spellEnd"/>
      <w:r w:rsidRPr="00E40993">
        <w:t xml:space="preserve">/F) is estimated at 12.5 L. </w:t>
      </w:r>
      <w:r w:rsidR="00C23AB1">
        <w:t xml:space="preserve"> </w:t>
      </w:r>
      <w:proofErr w:type="spellStart"/>
      <w:r w:rsidR="00C23AB1" w:rsidRPr="00E40993">
        <w:t>Dolutegravir</w:t>
      </w:r>
      <w:proofErr w:type="spellEnd"/>
      <w:r w:rsidR="00C23AB1" w:rsidRPr="00E40993">
        <w:t xml:space="preserve"> is highly bound (approximately 99.3%) to human plasma proteins based on </w:t>
      </w:r>
      <w:r w:rsidR="00C23AB1" w:rsidRPr="00FD0B6C">
        <w:rPr>
          <w:i/>
        </w:rPr>
        <w:t>in vi</w:t>
      </w:r>
      <w:r w:rsidR="00C23AB1">
        <w:rPr>
          <w:i/>
        </w:rPr>
        <w:t>tr</w:t>
      </w:r>
      <w:r w:rsidR="00C23AB1" w:rsidRPr="00FD0B6C">
        <w:rPr>
          <w:i/>
        </w:rPr>
        <w:t>o</w:t>
      </w:r>
      <w:r w:rsidR="00C23AB1" w:rsidRPr="00E40993">
        <w:t xml:space="preserve"> data. Binding of </w:t>
      </w:r>
      <w:proofErr w:type="spellStart"/>
      <w:r w:rsidR="00C23AB1" w:rsidRPr="00E40993">
        <w:t>dolutegravir</w:t>
      </w:r>
      <w:proofErr w:type="spellEnd"/>
      <w:r w:rsidR="00C23AB1" w:rsidRPr="00E40993">
        <w:t xml:space="preserve"> to plasma proteins was independent of concentration.  Total blood and plasma drug-related radioactivity concentration ratios averaged between 0.441 to 0.535 indicating minimal association of radioactivity with blood cellular components. Free fraction of </w:t>
      </w:r>
      <w:proofErr w:type="spellStart"/>
      <w:r w:rsidR="00C23AB1" w:rsidRPr="00E40993">
        <w:t>dolutegravir</w:t>
      </w:r>
      <w:proofErr w:type="spellEnd"/>
      <w:r w:rsidR="00C23AB1" w:rsidRPr="00E40993">
        <w:t xml:space="preserve"> in plasma is estimated at approximately 0.2 to 1.1% in healthy </w:t>
      </w:r>
      <w:r w:rsidR="00C23AB1">
        <w:t>patient</w:t>
      </w:r>
      <w:r w:rsidR="00C23AB1" w:rsidRPr="00E40993">
        <w:t xml:space="preserve">s, approximately 0.4 to 0.5% in </w:t>
      </w:r>
      <w:r w:rsidR="00C23AB1">
        <w:t>patient</w:t>
      </w:r>
      <w:r w:rsidR="00C23AB1" w:rsidRPr="00E40993">
        <w:t xml:space="preserve">s with moderate hepatic impairment, and 0.8 to 1.0% in </w:t>
      </w:r>
      <w:r w:rsidR="00C23AB1">
        <w:t>patient</w:t>
      </w:r>
      <w:r w:rsidR="00C23AB1" w:rsidRPr="00E40993">
        <w:t xml:space="preserve">s with severe renal impairment and 0.5% in HIV-1 infected </w:t>
      </w:r>
      <w:r w:rsidR="00C23AB1">
        <w:t>patient</w:t>
      </w:r>
      <w:r w:rsidR="00C23AB1" w:rsidRPr="00E40993">
        <w:t>s</w:t>
      </w:r>
    </w:p>
    <w:p w:rsidR="00460B66" w:rsidRDefault="00460B66" w:rsidP="008D6904">
      <w:r w:rsidRPr="00E40993">
        <w:t xml:space="preserve">Intravenous studies with </w:t>
      </w:r>
      <w:proofErr w:type="spellStart"/>
      <w:r w:rsidRPr="00E40993">
        <w:t>abacavir</w:t>
      </w:r>
      <w:proofErr w:type="spellEnd"/>
      <w:r w:rsidRPr="00E40993">
        <w:t xml:space="preserve"> showed that the mean apparent volume of distribution is 0.8.</w:t>
      </w:r>
      <w:r w:rsidR="00E803C1">
        <w:t xml:space="preserve">  </w:t>
      </w:r>
      <w:r w:rsidR="00E803C1" w:rsidRPr="00E40993">
        <w:t xml:space="preserve">Plasma protein binding studies </w:t>
      </w:r>
      <w:r w:rsidR="00E803C1" w:rsidRPr="00FD0B6C">
        <w:rPr>
          <w:i/>
        </w:rPr>
        <w:t>in vi</w:t>
      </w:r>
      <w:r w:rsidR="00E803C1">
        <w:rPr>
          <w:i/>
        </w:rPr>
        <w:t>tr</w:t>
      </w:r>
      <w:r w:rsidR="00E803C1" w:rsidRPr="00FD0B6C">
        <w:rPr>
          <w:i/>
        </w:rPr>
        <w:t>o</w:t>
      </w:r>
      <w:r w:rsidR="00E803C1" w:rsidRPr="00E40993">
        <w:t xml:space="preserve"> indicate that </w:t>
      </w:r>
      <w:proofErr w:type="spellStart"/>
      <w:r w:rsidR="00E803C1" w:rsidRPr="00E40993">
        <w:t>abacavir</w:t>
      </w:r>
      <w:proofErr w:type="spellEnd"/>
      <w:r w:rsidR="00E803C1" w:rsidRPr="00E40993">
        <w:t xml:space="preserve"> binds only low to moderately (approximately 49%) to human plasma proteins at therapeutic concentrations.</w:t>
      </w:r>
    </w:p>
    <w:p w:rsidR="00460B66" w:rsidRPr="00E40993" w:rsidRDefault="00E803C1" w:rsidP="008D6904">
      <w:r w:rsidRPr="00E40993">
        <w:t>Intravenous studies with lamivudine showed that the mean apparent volume of distribution is 1.3 l/kg.</w:t>
      </w:r>
      <w:r>
        <w:t xml:space="preserve">  </w:t>
      </w:r>
      <w:r w:rsidR="00460B66" w:rsidRPr="00E40993">
        <w:t>Lamivudine exhibits linear pharmacokinetics over the therapeutic dose range and displays low plasma protein binding (less than 36%).</w:t>
      </w:r>
    </w:p>
    <w:p w:rsidR="00814995" w:rsidRDefault="00460B66" w:rsidP="008D6904">
      <w:proofErr w:type="spellStart"/>
      <w:r w:rsidRPr="00E40993">
        <w:t>Dolutegravir</w:t>
      </w:r>
      <w:proofErr w:type="spellEnd"/>
      <w:r w:rsidR="00CE48B2" w:rsidRPr="00E40993">
        <w:t>,</w:t>
      </w:r>
      <w:r w:rsidRPr="00E40993">
        <w:t xml:space="preserve"> </w:t>
      </w:r>
      <w:proofErr w:type="spellStart"/>
      <w:r w:rsidRPr="00E40993">
        <w:t>abacavir</w:t>
      </w:r>
      <w:proofErr w:type="spellEnd"/>
      <w:r w:rsidRPr="00E40993">
        <w:t xml:space="preserve"> and lamivudine are present in cerebrospinal fluid (CSF).  </w:t>
      </w:r>
      <w:r w:rsidRPr="00E40993">
        <w:rPr>
          <w:szCs w:val="24"/>
        </w:rPr>
        <w:t xml:space="preserve">In 12 treatment-naïve </w:t>
      </w:r>
      <w:r w:rsidR="007C720C">
        <w:rPr>
          <w:szCs w:val="24"/>
        </w:rPr>
        <w:t>patient</w:t>
      </w:r>
      <w:r w:rsidRPr="00E40993">
        <w:rPr>
          <w:szCs w:val="24"/>
        </w:rPr>
        <w:t xml:space="preserve">s receiving a regimen of </w:t>
      </w:r>
      <w:proofErr w:type="spellStart"/>
      <w:r w:rsidRPr="00E40993">
        <w:rPr>
          <w:szCs w:val="24"/>
        </w:rPr>
        <w:t>dolutegravir</w:t>
      </w:r>
      <w:proofErr w:type="spellEnd"/>
      <w:r w:rsidRPr="00E40993">
        <w:rPr>
          <w:szCs w:val="24"/>
        </w:rPr>
        <w:t xml:space="preserve"> plus </w:t>
      </w:r>
      <w:proofErr w:type="spellStart"/>
      <w:r w:rsidRPr="00E40993">
        <w:rPr>
          <w:szCs w:val="24"/>
        </w:rPr>
        <w:t>abacavir</w:t>
      </w:r>
      <w:proofErr w:type="spellEnd"/>
      <w:r w:rsidRPr="00E40993">
        <w:rPr>
          <w:szCs w:val="24"/>
        </w:rPr>
        <w:t xml:space="preserve">/lamivudine for 16 weeks, </w:t>
      </w:r>
      <w:proofErr w:type="spellStart"/>
      <w:r w:rsidRPr="00E40993">
        <w:rPr>
          <w:szCs w:val="24"/>
        </w:rPr>
        <w:t>dolutegravir</w:t>
      </w:r>
      <w:proofErr w:type="spellEnd"/>
      <w:r w:rsidRPr="00E40993">
        <w:rPr>
          <w:szCs w:val="24"/>
        </w:rPr>
        <w:t xml:space="preserve"> concentration in CSF averaged </w:t>
      </w:r>
      <w:r w:rsidR="00814995">
        <w:rPr>
          <w:szCs w:val="24"/>
        </w:rPr>
        <w:t>16.2</w:t>
      </w:r>
      <w:r w:rsidRPr="00E40993">
        <w:rPr>
          <w:szCs w:val="24"/>
        </w:rPr>
        <w:t> ng/mL at Week 2 and 12.6 ng/mL at Week 16, ranging from 3.7 to 23.2 ng/mL (comparable to unbound plasma concentration</w:t>
      </w:r>
      <w:r w:rsidR="00814995">
        <w:rPr>
          <w:szCs w:val="24"/>
        </w:rPr>
        <w:t>; 16.8 ng/mL at week 2 and 23 </w:t>
      </w:r>
      <w:r w:rsidR="00814995">
        <w:t>ng/mL at week 16, ranging from 3.81 to 32.1 ng/mL</w:t>
      </w:r>
      <w:r w:rsidRPr="00E40993">
        <w:rPr>
          <w:szCs w:val="24"/>
        </w:rPr>
        <w:t xml:space="preserve">). </w:t>
      </w:r>
      <w:proofErr w:type="spellStart"/>
      <w:r w:rsidRPr="00E40993">
        <w:rPr>
          <w:szCs w:val="24"/>
        </w:rPr>
        <w:t>CSF:plasma</w:t>
      </w:r>
      <w:proofErr w:type="spellEnd"/>
      <w:r w:rsidRPr="00E40993">
        <w:rPr>
          <w:szCs w:val="24"/>
        </w:rPr>
        <w:t xml:space="preserve"> concentration ratio of </w:t>
      </w:r>
      <w:proofErr w:type="spellStart"/>
      <w:r w:rsidR="001D63BD">
        <w:rPr>
          <w:szCs w:val="24"/>
        </w:rPr>
        <w:t>dolutegravir</w:t>
      </w:r>
      <w:proofErr w:type="spellEnd"/>
      <w:r w:rsidR="001D63BD" w:rsidRPr="00E40993">
        <w:rPr>
          <w:szCs w:val="24"/>
        </w:rPr>
        <w:t xml:space="preserve"> </w:t>
      </w:r>
      <w:r w:rsidRPr="00E40993">
        <w:rPr>
          <w:szCs w:val="24"/>
        </w:rPr>
        <w:t xml:space="preserve">ranged from 0.11 to 2.04%. </w:t>
      </w:r>
      <w:proofErr w:type="spellStart"/>
      <w:r w:rsidRPr="00E40993">
        <w:t>Dolutegravir</w:t>
      </w:r>
      <w:proofErr w:type="spellEnd"/>
      <w:r w:rsidRPr="00E40993">
        <w:t xml:space="preserve"> concentrations in CSF exceeded the IC50</w:t>
      </w:r>
      <w:r w:rsidR="00814995">
        <w:t xml:space="preserve"> (0.52nM=0.2ng/mL)</w:t>
      </w:r>
      <w:r w:rsidRPr="00E40993">
        <w:t xml:space="preserve">, supporting the median reduction from baseline in CSF HIV-1 RNA of 2.2 log after 2 weeks </w:t>
      </w:r>
      <w:r w:rsidRPr="00E40993">
        <w:rPr>
          <w:szCs w:val="24"/>
        </w:rPr>
        <w:t>and 3.4 log</w:t>
      </w:r>
      <w:r w:rsidRPr="00E40993">
        <w:rPr>
          <w:szCs w:val="24"/>
          <w:vertAlign w:val="subscript"/>
        </w:rPr>
        <w:t xml:space="preserve"> </w:t>
      </w:r>
      <w:r w:rsidRPr="00E40993">
        <w:rPr>
          <w:szCs w:val="24"/>
        </w:rPr>
        <w:t xml:space="preserve">after 16 weeks </w:t>
      </w:r>
      <w:r w:rsidRPr="00E40993">
        <w:t xml:space="preserve">of therapy. </w:t>
      </w:r>
    </w:p>
    <w:p w:rsidR="00814995" w:rsidRDefault="00460B66" w:rsidP="008D6904">
      <w:r w:rsidRPr="00E40993">
        <w:t xml:space="preserve">Studies with </w:t>
      </w:r>
      <w:proofErr w:type="spellStart"/>
      <w:r w:rsidRPr="00E40993">
        <w:t>abacavir</w:t>
      </w:r>
      <w:proofErr w:type="spellEnd"/>
      <w:r w:rsidRPr="00E40993">
        <w:t xml:space="preserve"> demonstrate a CSF to plasma AUC ratio of between 30 to 44%. The observed values of the peak concentrations are 9 fold greater than the IC</w:t>
      </w:r>
      <w:r w:rsidRPr="00E40993">
        <w:rPr>
          <w:vertAlign w:val="subscript"/>
        </w:rPr>
        <w:t>50</w:t>
      </w:r>
      <w:r w:rsidRPr="00E40993">
        <w:t xml:space="preserve"> of </w:t>
      </w:r>
      <w:proofErr w:type="spellStart"/>
      <w:r w:rsidRPr="00E40993">
        <w:t>abacavir</w:t>
      </w:r>
      <w:proofErr w:type="spellEnd"/>
      <w:r w:rsidRPr="00E40993">
        <w:t xml:space="preserve"> of 0.08 micrograms/ml or 0.26 </w:t>
      </w:r>
      <w:proofErr w:type="spellStart"/>
      <w:r w:rsidRPr="00E40993">
        <w:t>micromolar</w:t>
      </w:r>
      <w:proofErr w:type="spellEnd"/>
      <w:r w:rsidRPr="00E40993">
        <w:t xml:space="preserve"> when </w:t>
      </w:r>
      <w:proofErr w:type="spellStart"/>
      <w:r w:rsidRPr="00E40993">
        <w:t>abacavir</w:t>
      </w:r>
      <w:proofErr w:type="spellEnd"/>
      <w:r w:rsidRPr="00E40993">
        <w:t xml:space="preserve"> is given at 600 mg twice daily.  </w:t>
      </w:r>
    </w:p>
    <w:p w:rsidR="00460B66" w:rsidRPr="00E40993" w:rsidRDefault="00460B66" w:rsidP="008D6904">
      <w:r w:rsidRPr="00E40993">
        <w:t>The mean ratio of CSF/serum lamivudine concentrations 2 to 4 h after oral administration was approximately 12%. The true extent of CNS penetration of lamivudine and its relationship with any clinical efficacy is unknown.</w:t>
      </w:r>
    </w:p>
    <w:p w:rsidR="00460B66" w:rsidRPr="00E40993" w:rsidRDefault="00460B66" w:rsidP="008D6904">
      <w:proofErr w:type="spellStart"/>
      <w:r w:rsidRPr="00E40993">
        <w:t>Dolutegravir</w:t>
      </w:r>
      <w:proofErr w:type="spellEnd"/>
      <w:r w:rsidRPr="00E40993">
        <w:t xml:space="preserve"> is present in the female and male genital tract.  AUC in </w:t>
      </w:r>
      <w:proofErr w:type="spellStart"/>
      <w:r w:rsidRPr="00E40993">
        <w:t>cervicovaginal</w:t>
      </w:r>
      <w:proofErr w:type="spellEnd"/>
      <w:r w:rsidRPr="00E40993">
        <w:t xml:space="preserve"> fluid, cervical tissue, and vaginal tissue were 6 to 10% of that in corresponding plasma at steady-state. AUC was 7% in semen and 17% in rectal tissue, of those in corresponding plasma at steady-state.</w:t>
      </w:r>
    </w:p>
    <w:p w:rsidR="00D06FFC" w:rsidRPr="00E40993" w:rsidRDefault="00D06FFC" w:rsidP="006118C4">
      <w:pPr>
        <w:pStyle w:val="Heading2"/>
      </w:pPr>
      <w:r w:rsidRPr="00E40993">
        <w:t>Metabolism</w:t>
      </w:r>
    </w:p>
    <w:p w:rsidR="00460B66" w:rsidRPr="00E40993" w:rsidRDefault="00460B66" w:rsidP="008D6904">
      <w:pPr>
        <w:rPr>
          <w:rFonts w:eastAsia="MS Mincho"/>
          <w:b/>
          <w:i/>
        </w:rPr>
      </w:pPr>
      <w:proofErr w:type="spellStart"/>
      <w:r w:rsidRPr="00E40993">
        <w:t>Dolutegravir</w:t>
      </w:r>
      <w:proofErr w:type="spellEnd"/>
      <w:r w:rsidRPr="00E40993">
        <w:t xml:space="preserve"> is primarily metabolized via UGT1A1 with a minor CYP3A component (9.7% of total dose administered in a human mass balance study).  </w:t>
      </w:r>
      <w:proofErr w:type="spellStart"/>
      <w:r w:rsidRPr="00E40993">
        <w:t>Dolutegravir</w:t>
      </w:r>
      <w:proofErr w:type="spellEnd"/>
      <w:r w:rsidRPr="00E40993">
        <w:t xml:space="preserve"> is the predominant circulating compound in plasma; renal elimination of unchanged drug is low (&lt;1% of the dose).  Fifty-three percent of total oral dose is excreted unchanged in the faeces. It is unknown if all or part of this is due to unabsorbed drug or biliary excretion of the </w:t>
      </w:r>
      <w:proofErr w:type="spellStart"/>
      <w:r w:rsidRPr="00E40993">
        <w:t>glucuronidate</w:t>
      </w:r>
      <w:proofErr w:type="spellEnd"/>
      <w:r w:rsidRPr="00E40993">
        <w:t xml:space="preserve"> conjugate, which can be further degraded to form the parent compound in the gut lumen.  Thirty-one percent of the total oral dose is excreted in the urine, represented by ether glucuronide of </w:t>
      </w:r>
      <w:proofErr w:type="spellStart"/>
      <w:r w:rsidRPr="00E40993">
        <w:t>dolutegravir</w:t>
      </w:r>
      <w:proofErr w:type="spellEnd"/>
      <w:r w:rsidRPr="00E40993">
        <w:t xml:space="preserve"> (18.9% of total dose), N-</w:t>
      </w:r>
      <w:proofErr w:type="spellStart"/>
      <w:r w:rsidRPr="00E40993">
        <w:t>dealkylation</w:t>
      </w:r>
      <w:proofErr w:type="spellEnd"/>
      <w:r w:rsidRPr="00E40993">
        <w:t xml:space="preserve"> metabolite (3.6% of total dose), and a metabolite formed by oxidation at the </w:t>
      </w:r>
      <w:proofErr w:type="spellStart"/>
      <w:r w:rsidRPr="00E40993">
        <w:t>benzylic</w:t>
      </w:r>
      <w:proofErr w:type="spellEnd"/>
      <w:r w:rsidRPr="00E40993">
        <w:t xml:space="preserve"> carbon (3.0% of total dose).</w:t>
      </w:r>
    </w:p>
    <w:p w:rsidR="00460B66" w:rsidRPr="00E40993" w:rsidRDefault="00460B66" w:rsidP="008D6904">
      <w:proofErr w:type="spellStart"/>
      <w:r w:rsidRPr="00E40993">
        <w:t>Abacavir</w:t>
      </w:r>
      <w:proofErr w:type="spellEnd"/>
      <w:r w:rsidRPr="00E40993">
        <w:t xml:space="preserve"> is primarily metabolised by the liver with less than 2% of the administered dose being </w:t>
      </w:r>
      <w:proofErr w:type="spellStart"/>
      <w:r w:rsidRPr="00E40993">
        <w:t>renally</w:t>
      </w:r>
      <w:proofErr w:type="spellEnd"/>
      <w:r w:rsidRPr="00E40993">
        <w:t xml:space="preserve"> excreted as unchanged compound. The primary pathways of metabolism in man are by alcohol dehydrogenase and by </w:t>
      </w:r>
      <w:proofErr w:type="spellStart"/>
      <w:r w:rsidRPr="00E40993">
        <w:t>glucuronidation</w:t>
      </w:r>
      <w:proofErr w:type="spellEnd"/>
      <w:r w:rsidRPr="00E40993">
        <w:t xml:space="preserve"> to produce the 5</w:t>
      </w:r>
      <w:r w:rsidR="0060712B" w:rsidRPr="00E40993">
        <w:fldChar w:fldCharType="begin"/>
      </w:r>
      <w:r w:rsidRPr="00E40993">
        <w:instrText>SYMBOL 8217\u</w:instrText>
      </w:r>
      <w:r w:rsidR="0060712B" w:rsidRPr="00E40993">
        <w:fldChar w:fldCharType="end"/>
      </w:r>
      <w:r w:rsidRPr="00E40993">
        <w:t>-carboxylic acid and 5</w:t>
      </w:r>
      <w:r w:rsidR="0060712B" w:rsidRPr="00E40993">
        <w:fldChar w:fldCharType="begin"/>
      </w:r>
      <w:r w:rsidRPr="00E40993">
        <w:instrText>SYMBOL 8217\u</w:instrText>
      </w:r>
      <w:r w:rsidR="0060712B" w:rsidRPr="00E40993">
        <w:fldChar w:fldCharType="end"/>
      </w:r>
      <w:r w:rsidRPr="00E40993">
        <w:t>-glucuronide which account for about 66% of the administered dose. These metabolites are excreted in the urine.</w:t>
      </w:r>
    </w:p>
    <w:p w:rsidR="00460B66" w:rsidRPr="00E40993" w:rsidRDefault="00460B66" w:rsidP="008D6904">
      <w:r w:rsidRPr="00E40993">
        <w:t>Metabolism of lamivudine is a minor route of elimination. Lamivudine is predominately cleared unchanged by renal excretion. The likelihood of metabolic interactions with lamivudine is low due to the small extent of hepatic metabolism (less than 10%).</w:t>
      </w:r>
    </w:p>
    <w:p w:rsidR="00D06FFC" w:rsidRPr="00E40993" w:rsidRDefault="00E81E59" w:rsidP="006118C4">
      <w:pPr>
        <w:pStyle w:val="Heading2"/>
      </w:pPr>
      <w:r w:rsidRPr="00E40993">
        <w:t>Excretion</w:t>
      </w:r>
    </w:p>
    <w:p w:rsidR="00460B66" w:rsidRPr="00E40993" w:rsidRDefault="00460B66" w:rsidP="008D6904">
      <w:proofErr w:type="spellStart"/>
      <w:r w:rsidRPr="00E40993">
        <w:t>Dolutegravir</w:t>
      </w:r>
      <w:proofErr w:type="spellEnd"/>
      <w:r w:rsidRPr="00E40993">
        <w:t xml:space="preserve"> has a terminal half-life of ~14 hours and an apparent clearance (CL/F) of 0.56 L/hr.</w:t>
      </w:r>
    </w:p>
    <w:p w:rsidR="00460B66" w:rsidRPr="00E40993" w:rsidRDefault="00460B66" w:rsidP="008D6904">
      <w:r w:rsidRPr="00E40993">
        <w:t xml:space="preserve">The mean half-life of </w:t>
      </w:r>
      <w:proofErr w:type="spellStart"/>
      <w:r w:rsidRPr="00E40993">
        <w:t>abacavir</w:t>
      </w:r>
      <w:proofErr w:type="spellEnd"/>
      <w:r w:rsidRPr="00E40993">
        <w:t xml:space="preserve"> is about 1.5 hours. The geometric mean terminal half-life of intracellular </w:t>
      </w:r>
      <w:proofErr w:type="spellStart"/>
      <w:r w:rsidRPr="00E40993">
        <w:t>carbovir</w:t>
      </w:r>
      <w:proofErr w:type="spellEnd"/>
      <w:r w:rsidRPr="00E40993">
        <w:t xml:space="preserve">-TP at steady-state is 20.6 hours.  Following multiple oral doses of </w:t>
      </w:r>
      <w:proofErr w:type="spellStart"/>
      <w:r w:rsidRPr="00E40993">
        <w:t>abacavir</w:t>
      </w:r>
      <w:proofErr w:type="spellEnd"/>
      <w:r w:rsidRPr="00E40993">
        <w:t xml:space="preserve"> 300 mg twice a day, there is no significant accumulation of </w:t>
      </w:r>
      <w:proofErr w:type="spellStart"/>
      <w:r w:rsidRPr="00E40993">
        <w:t>abacavir</w:t>
      </w:r>
      <w:proofErr w:type="spellEnd"/>
      <w:r w:rsidRPr="00E40993">
        <w:t xml:space="preserve">. Elimination of </w:t>
      </w:r>
      <w:proofErr w:type="spellStart"/>
      <w:r w:rsidRPr="00E40993">
        <w:t>abacavir</w:t>
      </w:r>
      <w:proofErr w:type="spellEnd"/>
      <w:r w:rsidRPr="00E40993">
        <w:t xml:space="preserve"> is via hepatic metabolism with subsequent excretion of metabolites primarily in the urine. The metabolites and unchanged </w:t>
      </w:r>
      <w:proofErr w:type="spellStart"/>
      <w:r w:rsidRPr="00E40993">
        <w:t>abacavir</w:t>
      </w:r>
      <w:proofErr w:type="spellEnd"/>
      <w:r w:rsidRPr="00E40993">
        <w:t xml:space="preserve"> account for about 83% of the administered </w:t>
      </w:r>
      <w:proofErr w:type="spellStart"/>
      <w:r w:rsidRPr="00E40993">
        <w:t>abacavir</w:t>
      </w:r>
      <w:proofErr w:type="spellEnd"/>
      <w:r w:rsidRPr="00E40993">
        <w:t xml:space="preserve"> dose in the urine. The remainder is eliminated in the faeces.</w:t>
      </w:r>
    </w:p>
    <w:p w:rsidR="00460B66" w:rsidRPr="00E40993" w:rsidRDefault="00460B66" w:rsidP="008D6904">
      <w:r w:rsidRPr="00E40993">
        <w:t xml:space="preserve">The observed lamivudine half-life of elimination is 5 to 7 hours. For </w:t>
      </w:r>
      <w:r w:rsidR="007C720C">
        <w:t>patient</w:t>
      </w:r>
      <w:r w:rsidRPr="00E40993">
        <w:t>s receiving lamivudine 300 mg once daily, the terminal intracellular half-life of lamivudine-TP was prolonged to 16 to 19 hours. The mean systemic clearance of lamivudine is approximately 0.32 l/h/kg, predominantly by renal clearance (greater than 70%) via the organic cationic transport system.</w:t>
      </w:r>
    </w:p>
    <w:p w:rsidR="00912DB9" w:rsidRPr="00E40993" w:rsidRDefault="00912DB9" w:rsidP="00C222C0">
      <w:pPr>
        <w:pStyle w:val="Heading2"/>
      </w:pPr>
      <w:r w:rsidRPr="00E40993">
        <w:t xml:space="preserve">Special </w:t>
      </w:r>
      <w:r w:rsidR="007C720C">
        <w:t>Patient</w:t>
      </w:r>
      <w:r w:rsidRPr="00E40993">
        <w:t xml:space="preserve"> Populations</w:t>
      </w:r>
    </w:p>
    <w:p w:rsidR="00623744" w:rsidRPr="00E40993" w:rsidRDefault="00623744" w:rsidP="006118C4">
      <w:pPr>
        <w:pStyle w:val="Head3"/>
      </w:pPr>
      <w:r w:rsidRPr="00E40993">
        <w:t>Children</w:t>
      </w:r>
    </w:p>
    <w:p w:rsidR="00460B66" w:rsidRPr="00E40993" w:rsidRDefault="00460B66" w:rsidP="008D6904">
      <w:r w:rsidRPr="00E40993">
        <w:t xml:space="preserve">In a paediatric study including 23 antiretroviral treatment-experienced HIV-1 infected children and adolescents aged 12 to 18 years of age, the pharmacokinetics of </w:t>
      </w:r>
      <w:proofErr w:type="spellStart"/>
      <w:r w:rsidRPr="00E40993">
        <w:t>dolutegravir</w:t>
      </w:r>
      <w:proofErr w:type="spellEnd"/>
      <w:r w:rsidRPr="00E40993">
        <w:t xml:space="preserve"> was evaluated in 10 children and showed that </w:t>
      </w:r>
      <w:proofErr w:type="spellStart"/>
      <w:r w:rsidRPr="00E40993">
        <w:t>dolutegravir</w:t>
      </w:r>
      <w:proofErr w:type="spellEnd"/>
      <w:r w:rsidRPr="00E40993">
        <w:t xml:space="preserve"> 50 mg once daily dosage resulted in </w:t>
      </w:r>
      <w:proofErr w:type="spellStart"/>
      <w:r w:rsidRPr="00E40993">
        <w:t>dolutegravir</w:t>
      </w:r>
      <w:proofErr w:type="spellEnd"/>
      <w:r w:rsidRPr="00E40993">
        <w:t xml:space="preserve"> exposure in paediatric </w:t>
      </w:r>
      <w:r w:rsidR="007C720C">
        <w:t>patient</w:t>
      </w:r>
      <w:r w:rsidRPr="00E40993">
        <w:t xml:space="preserve">s comparable to that observed in adults who received </w:t>
      </w:r>
      <w:proofErr w:type="spellStart"/>
      <w:r w:rsidRPr="00E40993">
        <w:t>dolutegravir</w:t>
      </w:r>
      <w:proofErr w:type="spellEnd"/>
      <w:r w:rsidRPr="00E40993">
        <w:t xml:space="preserve"> 50 mg once daily (Table </w:t>
      </w:r>
      <w:r w:rsidR="0045447B" w:rsidRPr="00E40993">
        <w:t>1</w:t>
      </w:r>
      <w:r w:rsidRPr="00E40993">
        <w:t xml:space="preserve">). </w:t>
      </w:r>
    </w:p>
    <w:p w:rsidR="00460B66" w:rsidRPr="00E40993" w:rsidRDefault="00460B66" w:rsidP="00D41BD0">
      <w:pPr>
        <w:pStyle w:val="captiontable"/>
        <w:ind w:left="284" w:firstLine="0"/>
        <w:rPr>
          <w:rFonts w:eastAsia="MS Mincho"/>
        </w:rPr>
      </w:pPr>
      <w:r w:rsidRPr="00E40993">
        <w:t xml:space="preserve">Table </w:t>
      </w:r>
      <w:r w:rsidR="0045447B" w:rsidRPr="00E40993">
        <w:t>1</w:t>
      </w:r>
      <w:r w:rsidRPr="00E40993">
        <w:tab/>
        <w:t>Paediatric pharmacokinetic parameters (n=10)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996"/>
        <w:gridCol w:w="1701"/>
        <w:gridCol w:w="1605"/>
        <w:gridCol w:w="1605"/>
      </w:tblGrid>
      <w:tr w:rsidR="00460B66" w:rsidRPr="00E40993" w:rsidTr="00460B66">
        <w:tc>
          <w:tcPr>
            <w:tcW w:w="1952" w:type="dxa"/>
            <w:vMerge w:val="restart"/>
          </w:tcPr>
          <w:p w:rsidR="00460B66" w:rsidRPr="00E40993" w:rsidRDefault="00460B66" w:rsidP="00460B66">
            <w:pPr>
              <w:keepNext/>
              <w:rPr>
                <w:rFonts w:ascii="Arial Narrow" w:eastAsia="MS Mincho" w:hAnsi="Arial Narrow"/>
              </w:rPr>
            </w:pPr>
            <w:r w:rsidRPr="00E40993">
              <w:rPr>
                <w:rFonts w:ascii="Arial Narrow" w:eastAsia="MS Mincho" w:hAnsi="Arial Narrow"/>
              </w:rPr>
              <w:t>Age/weight</w:t>
            </w:r>
          </w:p>
        </w:tc>
        <w:tc>
          <w:tcPr>
            <w:tcW w:w="1996" w:type="dxa"/>
            <w:vMerge w:val="restart"/>
          </w:tcPr>
          <w:p w:rsidR="00460B66" w:rsidRPr="00E40993" w:rsidRDefault="00460B66" w:rsidP="00460B66">
            <w:pPr>
              <w:keepNext/>
              <w:jc w:val="center"/>
              <w:rPr>
                <w:rFonts w:ascii="Arial Narrow" w:eastAsia="MS Mincho" w:hAnsi="Arial Narrow"/>
              </w:rPr>
            </w:pPr>
            <w:proofErr w:type="spellStart"/>
            <w:r w:rsidRPr="00E40993">
              <w:rPr>
                <w:rFonts w:ascii="Arial Narrow" w:eastAsia="MS Mincho" w:hAnsi="Arial Narrow"/>
              </w:rPr>
              <w:t>Dolutegravir</w:t>
            </w:r>
            <w:proofErr w:type="spellEnd"/>
          </w:p>
          <w:p w:rsidR="00460B66" w:rsidRPr="00E40993" w:rsidRDefault="00460B66" w:rsidP="00460B66">
            <w:pPr>
              <w:keepNext/>
              <w:jc w:val="center"/>
              <w:rPr>
                <w:rFonts w:ascii="Arial Narrow" w:eastAsia="MS Mincho" w:hAnsi="Arial Narrow"/>
              </w:rPr>
            </w:pPr>
            <w:r w:rsidRPr="00E40993">
              <w:rPr>
                <w:rFonts w:ascii="Arial Narrow" w:eastAsia="MS Mincho" w:hAnsi="Arial Narrow"/>
              </w:rPr>
              <w:t>Dose</w:t>
            </w:r>
          </w:p>
        </w:tc>
        <w:tc>
          <w:tcPr>
            <w:tcW w:w="4911" w:type="dxa"/>
            <w:gridSpan w:val="3"/>
          </w:tcPr>
          <w:p w:rsidR="00460B66" w:rsidRPr="00E40993" w:rsidRDefault="00460B66" w:rsidP="00460B66">
            <w:pPr>
              <w:keepNext/>
              <w:jc w:val="center"/>
              <w:rPr>
                <w:rFonts w:ascii="Arial Narrow" w:eastAsia="MS Mincho" w:hAnsi="Arial Narrow"/>
              </w:rPr>
            </w:pPr>
            <w:proofErr w:type="spellStart"/>
            <w:r w:rsidRPr="00E40993">
              <w:rPr>
                <w:rFonts w:ascii="Arial Narrow" w:eastAsia="MS Mincho" w:hAnsi="Arial Narrow"/>
              </w:rPr>
              <w:t>Dolutegravir</w:t>
            </w:r>
            <w:proofErr w:type="spellEnd"/>
            <w:r w:rsidRPr="00E40993">
              <w:rPr>
                <w:rFonts w:ascii="Arial Narrow" w:eastAsia="MS Mincho" w:hAnsi="Arial Narrow"/>
              </w:rPr>
              <w:t xml:space="preserve"> Pharmacokinetic Parameter Estimates</w:t>
            </w:r>
            <w:r w:rsidRPr="00E40993">
              <w:rPr>
                <w:rFonts w:ascii="Arial Narrow" w:eastAsia="MS Mincho" w:hAnsi="Arial Narrow"/>
              </w:rPr>
              <w:br/>
              <w:t>Geometric Mean (CV%)</w:t>
            </w:r>
          </w:p>
        </w:tc>
      </w:tr>
      <w:tr w:rsidR="00460B66" w:rsidRPr="00E40993" w:rsidTr="00460B66">
        <w:tc>
          <w:tcPr>
            <w:tcW w:w="1952" w:type="dxa"/>
            <w:vMerge/>
          </w:tcPr>
          <w:p w:rsidR="00460B66" w:rsidRPr="00E40993" w:rsidRDefault="00460B66" w:rsidP="00460B66">
            <w:pPr>
              <w:keepNext/>
              <w:rPr>
                <w:rFonts w:ascii="Arial Narrow" w:eastAsia="MS Mincho" w:hAnsi="Arial Narrow"/>
              </w:rPr>
            </w:pPr>
          </w:p>
        </w:tc>
        <w:tc>
          <w:tcPr>
            <w:tcW w:w="1996" w:type="dxa"/>
            <w:vMerge/>
          </w:tcPr>
          <w:p w:rsidR="00460B66" w:rsidRPr="00E40993" w:rsidRDefault="00460B66" w:rsidP="00460B66">
            <w:pPr>
              <w:keepNext/>
              <w:rPr>
                <w:rFonts w:ascii="Arial Narrow" w:eastAsia="MS Mincho" w:hAnsi="Arial Narrow"/>
              </w:rPr>
            </w:pPr>
          </w:p>
        </w:tc>
        <w:tc>
          <w:tcPr>
            <w:tcW w:w="1701" w:type="dxa"/>
          </w:tcPr>
          <w:p w:rsidR="00460B66" w:rsidRPr="00E40993" w:rsidRDefault="00460B66" w:rsidP="00460B66">
            <w:pPr>
              <w:keepNext/>
              <w:rPr>
                <w:rFonts w:ascii="Arial Narrow" w:eastAsia="MS Mincho" w:hAnsi="Arial Narrow"/>
              </w:rPr>
            </w:pPr>
            <w:r w:rsidRPr="00E40993">
              <w:rPr>
                <w:rFonts w:ascii="Arial Narrow" w:eastAsia="MS Mincho" w:hAnsi="Arial Narrow"/>
              </w:rPr>
              <w:t>AUC</w:t>
            </w:r>
            <w:r w:rsidRPr="00E40993">
              <w:rPr>
                <w:rFonts w:ascii="Arial Narrow" w:eastAsia="MS Mincho" w:hAnsi="Arial Narrow"/>
                <w:vertAlign w:val="subscript"/>
              </w:rPr>
              <w:t>(0-24)</w:t>
            </w:r>
            <w:r w:rsidRPr="00E40993">
              <w:rPr>
                <w:rFonts w:ascii="Arial Narrow" w:eastAsia="MS Mincho" w:hAnsi="Arial Narrow"/>
              </w:rPr>
              <w:br/>
            </w:r>
            <w:r w:rsidRPr="00E40993">
              <w:rPr>
                <w:rFonts w:ascii="Arial Narrow" w:eastAsia="MS Mincho" w:hAnsi="Arial Narrow"/>
              </w:rPr>
              <w:sym w:font="Symbol" w:char="F06D"/>
            </w:r>
            <w:r w:rsidRPr="00E40993">
              <w:rPr>
                <w:rFonts w:ascii="Arial Narrow" w:eastAsia="MS Mincho" w:hAnsi="Arial Narrow"/>
              </w:rPr>
              <w:t>g.hr/mL</w:t>
            </w:r>
          </w:p>
        </w:tc>
        <w:tc>
          <w:tcPr>
            <w:tcW w:w="1605" w:type="dxa"/>
          </w:tcPr>
          <w:p w:rsidR="00460B66" w:rsidRPr="00E40993" w:rsidRDefault="00460B66" w:rsidP="00460B66">
            <w:pPr>
              <w:keepNext/>
              <w:rPr>
                <w:rFonts w:ascii="Arial Narrow" w:eastAsia="MS Mincho" w:hAnsi="Arial Narrow"/>
              </w:rPr>
            </w:pPr>
            <w:proofErr w:type="spellStart"/>
            <w:r w:rsidRPr="00E40993">
              <w:rPr>
                <w:rFonts w:ascii="Arial Narrow" w:eastAsia="MS Mincho" w:hAnsi="Arial Narrow"/>
              </w:rPr>
              <w:t>C</w:t>
            </w:r>
            <w:r w:rsidRPr="00E40993">
              <w:rPr>
                <w:rFonts w:ascii="Arial Narrow" w:eastAsia="MS Mincho" w:hAnsi="Arial Narrow"/>
                <w:vertAlign w:val="subscript"/>
              </w:rPr>
              <w:t>max</w:t>
            </w:r>
            <w:proofErr w:type="spellEnd"/>
            <w:r w:rsidRPr="00E40993">
              <w:rPr>
                <w:rFonts w:ascii="Arial Narrow" w:eastAsia="MS Mincho" w:hAnsi="Arial Narrow"/>
              </w:rPr>
              <w:br/>
            </w:r>
            <w:r w:rsidRPr="00E40993">
              <w:rPr>
                <w:rFonts w:ascii="Arial Narrow" w:eastAsia="MS Mincho" w:hAnsi="Arial Narrow"/>
              </w:rPr>
              <w:sym w:font="Symbol" w:char="F06D"/>
            </w:r>
            <w:r w:rsidRPr="00E40993">
              <w:rPr>
                <w:rFonts w:ascii="Arial Narrow" w:eastAsia="MS Mincho" w:hAnsi="Arial Narrow"/>
              </w:rPr>
              <w:t>g/mL</w:t>
            </w:r>
          </w:p>
        </w:tc>
        <w:tc>
          <w:tcPr>
            <w:tcW w:w="1605" w:type="dxa"/>
          </w:tcPr>
          <w:p w:rsidR="00460B66" w:rsidRPr="00E40993" w:rsidRDefault="00460B66" w:rsidP="00460B66">
            <w:pPr>
              <w:keepNext/>
              <w:rPr>
                <w:rFonts w:ascii="Arial Narrow" w:eastAsia="MS Mincho" w:hAnsi="Arial Narrow"/>
              </w:rPr>
            </w:pPr>
            <w:r w:rsidRPr="00E40993">
              <w:rPr>
                <w:rFonts w:ascii="Arial Narrow" w:eastAsia="MS Mincho" w:hAnsi="Arial Narrow"/>
              </w:rPr>
              <w:t>C</w:t>
            </w:r>
            <w:r w:rsidRPr="00E40993">
              <w:rPr>
                <w:rFonts w:ascii="Arial Narrow" w:eastAsia="MS Mincho" w:hAnsi="Arial Narrow"/>
                <w:vertAlign w:val="subscript"/>
              </w:rPr>
              <w:t>24</w:t>
            </w:r>
            <w:r w:rsidRPr="00E40993">
              <w:rPr>
                <w:rFonts w:ascii="Arial Narrow" w:eastAsia="MS Mincho" w:hAnsi="Arial Narrow"/>
              </w:rPr>
              <w:br/>
            </w:r>
            <w:r w:rsidRPr="00E40993">
              <w:rPr>
                <w:rFonts w:ascii="Arial Narrow" w:eastAsia="MS Mincho" w:hAnsi="Arial Narrow"/>
              </w:rPr>
              <w:sym w:font="Symbol" w:char="F06D"/>
            </w:r>
            <w:r w:rsidRPr="00E40993">
              <w:rPr>
                <w:rFonts w:ascii="Arial Narrow" w:eastAsia="MS Mincho" w:hAnsi="Arial Narrow"/>
              </w:rPr>
              <w:t>g/mL</w:t>
            </w:r>
          </w:p>
        </w:tc>
      </w:tr>
      <w:tr w:rsidR="00460B66" w:rsidRPr="00E40993" w:rsidTr="00460B66">
        <w:tc>
          <w:tcPr>
            <w:tcW w:w="1952" w:type="dxa"/>
          </w:tcPr>
          <w:p w:rsidR="00460B66" w:rsidRPr="00E40993" w:rsidRDefault="00460B66" w:rsidP="00460B66">
            <w:pPr>
              <w:keepNext/>
              <w:rPr>
                <w:rFonts w:ascii="Arial Narrow" w:eastAsia="MS Mincho" w:hAnsi="Arial Narrow"/>
              </w:rPr>
            </w:pPr>
            <w:r w:rsidRPr="00E40993">
              <w:rPr>
                <w:rFonts w:ascii="Arial Narrow" w:eastAsia="MS Mincho" w:hAnsi="Arial Narrow"/>
              </w:rPr>
              <w:t>12 to &lt;18 years</w:t>
            </w:r>
            <w:r w:rsidRPr="00E40993">
              <w:rPr>
                <w:rFonts w:ascii="Arial Narrow" w:eastAsia="MS Mincho" w:hAnsi="Arial Narrow"/>
              </w:rPr>
              <w:br/>
            </w:r>
            <w:r w:rsidRPr="00E40993">
              <w:rPr>
                <w:rFonts w:ascii="Arial Narrow" w:eastAsia="MS Mincho" w:hAnsi="Arial Narrow"/>
              </w:rPr>
              <w:sym w:font="Symbol" w:char="F0B3"/>
            </w:r>
            <w:r w:rsidRPr="00E40993">
              <w:rPr>
                <w:rFonts w:ascii="Arial Narrow" w:eastAsia="MS Mincho" w:hAnsi="Arial Narrow"/>
              </w:rPr>
              <w:t xml:space="preserve"> 40 kg</w:t>
            </w:r>
            <w:r w:rsidRPr="00E40993">
              <w:rPr>
                <w:rFonts w:ascii="Arial Narrow" w:hAnsi="Arial Narrow"/>
                <w:szCs w:val="24"/>
                <w:vertAlign w:val="superscript"/>
              </w:rPr>
              <w:t xml:space="preserve"> a</w:t>
            </w:r>
          </w:p>
        </w:tc>
        <w:tc>
          <w:tcPr>
            <w:tcW w:w="1996" w:type="dxa"/>
          </w:tcPr>
          <w:p w:rsidR="00460B66" w:rsidRPr="00E40993" w:rsidRDefault="00460B66" w:rsidP="00460B66">
            <w:pPr>
              <w:keepNext/>
              <w:rPr>
                <w:rFonts w:ascii="Arial Narrow" w:eastAsia="MS Mincho" w:hAnsi="Arial Narrow"/>
              </w:rPr>
            </w:pPr>
            <w:r w:rsidRPr="00E40993">
              <w:rPr>
                <w:rFonts w:ascii="Arial Narrow" w:eastAsia="MS Mincho" w:hAnsi="Arial Narrow"/>
              </w:rPr>
              <w:t>50 mg once daily</w:t>
            </w:r>
            <w:r w:rsidRPr="00E40993">
              <w:rPr>
                <w:rFonts w:ascii="Arial Narrow" w:hAnsi="Arial Narrow"/>
                <w:szCs w:val="24"/>
                <w:vertAlign w:val="superscript"/>
              </w:rPr>
              <w:t xml:space="preserve"> a</w:t>
            </w:r>
          </w:p>
        </w:tc>
        <w:tc>
          <w:tcPr>
            <w:tcW w:w="1701" w:type="dxa"/>
          </w:tcPr>
          <w:p w:rsidR="00460B66" w:rsidRPr="00E40993" w:rsidRDefault="00460B66" w:rsidP="00460B66">
            <w:pPr>
              <w:keepNext/>
              <w:rPr>
                <w:rFonts w:ascii="Arial Narrow" w:eastAsia="MS Mincho" w:hAnsi="Arial Narrow"/>
              </w:rPr>
            </w:pPr>
            <w:r w:rsidRPr="00E40993">
              <w:rPr>
                <w:rFonts w:ascii="Arial Narrow" w:hAnsi="Arial Narrow"/>
              </w:rPr>
              <w:t>46 (43)</w:t>
            </w:r>
          </w:p>
        </w:tc>
        <w:tc>
          <w:tcPr>
            <w:tcW w:w="1605" w:type="dxa"/>
          </w:tcPr>
          <w:p w:rsidR="00460B66" w:rsidRPr="00E40993" w:rsidRDefault="00460B66" w:rsidP="00460B66">
            <w:pPr>
              <w:keepNext/>
              <w:rPr>
                <w:rFonts w:ascii="Arial Narrow" w:eastAsia="MS Mincho" w:hAnsi="Arial Narrow"/>
              </w:rPr>
            </w:pPr>
            <w:r w:rsidRPr="00E40993">
              <w:rPr>
                <w:rFonts w:ascii="Arial Narrow" w:hAnsi="Arial Narrow"/>
              </w:rPr>
              <w:t>3.49 (38)</w:t>
            </w:r>
          </w:p>
        </w:tc>
        <w:tc>
          <w:tcPr>
            <w:tcW w:w="1605" w:type="dxa"/>
          </w:tcPr>
          <w:p w:rsidR="00460B66" w:rsidRPr="00E40993" w:rsidRDefault="00460B66" w:rsidP="00460B66">
            <w:pPr>
              <w:keepNext/>
              <w:rPr>
                <w:rFonts w:ascii="Arial Narrow" w:eastAsia="MS Mincho" w:hAnsi="Arial Narrow"/>
              </w:rPr>
            </w:pPr>
            <w:r w:rsidRPr="00E40993">
              <w:rPr>
                <w:rFonts w:ascii="Arial Narrow" w:hAnsi="Arial Narrow"/>
              </w:rPr>
              <w:t>0.90 (59)</w:t>
            </w:r>
          </w:p>
        </w:tc>
      </w:tr>
    </w:tbl>
    <w:p w:rsidR="00460B66" w:rsidRPr="008B3094" w:rsidRDefault="00460B66" w:rsidP="00460B66">
      <w:pPr>
        <w:pStyle w:val="Caption"/>
        <w:tabs>
          <w:tab w:val="left" w:pos="3780"/>
        </w:tabs>
        <w:spacing w:before="0" w:after="240"/>
        <w:rPr>
          <w:rFonts w:ascii="Arial Narrow" w:hAnsi="Arial Narrow"/>
          <w:b w:val="0"/>
          <w:sz w:val="20"/>
        </w:rPr>
      </w:pPr>
      <w:r w:rsidRPr="008B3094">
        <w:rPr>
          <w:rFonts w:ascii="Arial Narrow" w:hAnsi="Arial Narrow"/>
          <w:sz w:val="20"/>
          <w:vertAlign w:val="superscript"/>
        </w:rPr>
        <w:t xml:space="preserve">a </w:t>
      </w:r>
      <w:r w:rsidRPr="008B3094">
        <w:rPr>
          <w:rFonts w:ascii="Arial Narrow" w:hAnsi="Arial Narrow"/>
          <w:b w:val="0"/>
          <w:sz w:val="20"/>
        </w:rPr>
        <w:t xml:space="preserve">One </w:t>
      </w:r>
      <w:r w:rsidR="007C720C" w:rsidRPr="008B3094">
        <w:rPr>
          <w:rFonts w:ascii="Arial Narrow" w:hAnsi="Arial Narrow"/>
          <w:b w:val="0"/>
          <w:sz w:val="20"/>
        </w:rPr>
        <w:t>patient</w:t>
      </w:r>
      <w:r w:rsidRPr="008B3094">
        <w:rPr>
          <w:rFonts w:ascii="Arial Narrow" w:hAnsi="Arial Narrow"/>
          <w:b w:val="0"/>
          <w:sz w:val="20"/>
        </w:rPr>
        <w:t xml:space="preserve"> weighing 37 kg received 35 mg once daily.</w:t>
      </w:r>
    </w:p>
    <w:p w:rsidR="00460B66" w:rsidRPr="00E40993" w:rsidRDefault="00460B66" w:rsidP="008D6904">
      <w:pPr>
        <w:rPr>
          <w:color w:val="000000" w:themeColor="text1"/>
        </w:rPr>
      </w:pPr>
      <w:r w:rsidRPr="00E40993">
        <w:t xml:space="preserve">Limited data are available in adolescents receiving a daily dose of 600 mg of </w:t>
      </w:r>
      <w:proofErr w:type="spellStart"/>
      <w:r w:rsidRPr="00E40993">
        <w:t>abacavir</w:t>
      </w:r>
      <w:proofErr w:type="spellEnd"/>
      <w:r w:rsidRPr="00E40993">
        <w:t xml:space="preserve"> and 300 mg of lamivudine.  Pharmacokinetic parameters are comparable to those reported in a</w:t>
      </w:r>
      <w:r w:rsidRPr="00E40993">
        <w:rPr>
          <w:color w:val="000000" w:themeColor="text1"/>
        </w:rPr>
        <w:t>dults.</w:t>
      </w:r>
    </w:p>
    <w:p w:rsidR="00623744" w:rsidRPr="00E40993" w:rsidRDefault="00623744" w:rsidP="006118C4">
      <w:pPr>
        <w:pStyle w:val="Head3"/>
        <w:rPr>
          <w:lang w:val="en-GB" w:eastAsia="en-GB"/>
        </w:rPr>
      </w:pPr>
      <w:r w:rsidRPr="00E40993">
        <w:rPr>
          <w:lang w:val="en-GB" w:eastAsia="en-GB"/>
        </w:rPr>
        <w:t>Elderly</w:t>
      </w:r>
    </w:p>
    <w:p w:rsidR="00460B66" w:rsidRPr="00E40993" w:rsidRDefault="00460B66" w:rsidP="008D6904">
      <w:r w:rsidRPr="00E40993">
        <w:t xml:space="preserve">Population pharmacokinetic analysis of </w:t>
      </w:r>
      <w:proofErr w:type="spellStart"/>
      <w:r w:rsidRPr="00E40993">
        <w:t>dolutegravir</w:t>
      </w:r>
      <w:proofErr w:type="spellEnd"/>
      <w:r w:rsidRPr="00E40993">
        <w:t xml:space="preserve"> using data in HIV-1 infected adults showed that there was no clinically relevant effect of age on </w:t>
      </w:r>
      <w:proofErr w:type="spellStart"/>
      <w:r w:rsidRPr="00E40993">
        <w:t>dolutegravir</w:t>
      </w:r>
      <w:proofErr w:type="spellEnd"/>
      <w:r w:rsidRPr="00E40993">
        <w:t xml:space="preserve"> exposure.</w:t>
      </w:r>
    </w:p>
    <w:p w:rsidR="00460B66" w:rsidRPr="00E40993" w:rsidRDefault="00460B66" w:rsidP="008D6904">
      <w:r w:rsidRPr="00E40993">
        <w:t xml:space="preserve">Pharmacokinetic data for </w:t>
      </w:r>
      <w:proofErr w:type="spellStart"/>
      <w:r w:rsidRPr="00E40993">
        <w:t>dolutegravir</w:t>
      </w:r>
      <w:proofErr w:type="spellEnd"/>
      <w:r w:rsidRPr="00E40993">
        <w:t xml:space="preserve">, </w:t>
      </w:r>
      <w:proofErr w:type="spellStart"/>
      <w:r w:rsidRPr="00E40993">
        <w:t>abacavir</w:t>
      </w:r>
      <w:proofErr w:type="spellEnd"/>
      <w:r w:rsidRPr="00E40993">
        <w:t xml:space="preserve"> and lamivudine in </w:t>
      </w:r>
      <w:r w:rsidR="007C720C">
        <w:t>patient</w:t>
      </w:r>
      <w:r w:rsidRPr="00E40993">
        <w:t>s of &gt;65 years old are limited</w:t>
      </w:r>
      <w:r w:rsidRPr="00E40993">
        <w:rPr>
          <w:rFonts w:eastAsia="MS Mincho"/>
          <w:b/>
          <w:i/>
        </w:rPr>
        <w:t>.</w:t>
      </w:r>
    </w:p>
    <w:p w:rsidR="00460B66" w:rsidRPr="00E40993" w:rsidRDefault="00460B66" w:rsidP="006118C4">
      <w:pPr>
        <w:pStyle w:val="Head3"/>
      </w:pPr>
      <w:proofErr w:type="spellStart"/>
      <w:r w:rsidRPr="00E40993">
        <w:t>Hepatically</w:t>
      </w:r>
      <w:proofErr w:type="spellEnd"/>
      <w:r w:rsidRPr="00E40993">
        <w:t xml:space="preserve"> Impaired</w:t>
      </w:r>
    </w:p>
    <w:p w:rsidR="00460B66" w:rsidRPr="00E40993" w:rsidRDefault="00460B66" w:rsidP="008D6904">
      <w:r w:rsidRPr="00E40993">
        <w:t xml:space="preserve">Pharmacokinetic data has been obtained for </w:t>
      </w:r>
      <w:proofErr w:type="spellStart"/>
      <w:r w:rsidRPr="00E40993">
        <w:t>dolutegravir</w:t>
      </w:r>
      <w:proofErr w:type="spellEnd"/>
      <w:r w:rsidRPr="00E40993">
        <w:t xml:space="preserve">, </w:t>
      </w:r>
      <w:proofErr w:type="spellStart"/>
      <w:r w:rsidRPr="00E40993">
        <w:t>abacavir</w:t>
      </w:r>
      <w:proofErr w:type="spellEnd"/>
      <w:r w:rsidRPr="00E40993">
        <w:t xml:space="preserve"> and lamivudine alone. Based on data obtained for </w:t>
      </w:r>
      <w:proofErr w:type="spellStart"/>
      <w:r w:rsidRPr="00E40993">
        <w:t>abacavir</w:t>
      </w:r>
      <w:proofErr w:type="spellEnd"/>
      <w:r w:rsidRPr="00E40993">
        <w:t xml:space="preserve">, </w:t>
      </w:r>
      <w:r w:rsidR="001D67EB" w:rsidRPr="00E40993">
        <w:t>TRIUMEQ</w:t>
      </w:r>
      <w:r w:rsidRPr="00E40993">
        <w:t xml:space="preserve"> is not recommended in </w:t>
      </w:r>
      <w:r w:rsidR="007C720C">
        <w:t>patient</w:t>
      </w:r>
      <w:r w:rsidRPr="00E40993">
        <w:t>s with moderate and severe hepatic impairment.</w:t>
      </w:r>
    </w:p>
    <w:p w:rsidR="00460B66" w:rsidRPr="00E40993" w:rsidRDefault="00460B66" w:rsidP="008D6904">
      <w:proofErr w:type="spellStart"/>
      <w:r w:rsidRPr="00E40993">
        <w:t>Abacavir</w:t>
      </w:r>
      <w:proofErr w:type="spellEnd"/>
      <w:r w:rsidRPr="00E40993">
        <w:t xml:space="preserve"> is metabolised primarily by the liver. The pharmacokinetics of </w:t>
      </w:r>
      <w:proofErr w:type="spellStart"/>
      <w:r w:rsidRPr="00E40993">
        <w:t>abacavir</w:t>
      </w:r>
      <w:proofErr w:type="spellEnd"/>
      <w:r w:rsidRPr="00E40993">
        <w:t xml:space="preserve"> have been studied in </w:t>
      </w:r>
      <w:r w:rsidR="007C720C">
        <w:t>patient</w:t>
      </w:r>
      <w:r w:rsidRPr="00E40993">
        <w:t xml:space="preserve">s with mild hepatic impairment (Child-Pugh score 5 to 6). The results showed that there was a mean increase of 1.89 fold in the </w:t>
      </w:r>
      <w:proofErr w:type="spellStart"/>
      <w:r w:rsidRPr="00E40993">
        <w:t>abacavir</w:t>
      </w:r>
      <w:proofErr w:type="spellEnd"/>
      <w:r w:rsidRPr="00E40993">
        <w:t xml:space="preserve"> AUC and 1.58 fold in the half-life of </w:t>
      </w:r>
      <w:proofErr w:type="spellStart"/>
      <w:r w:rsidRPr="00E40993">
        <w:t>abacavir</w:t>
      </w:r>
      <w:proofErr w:type="spellEnd"/>
      <w:r w:rsidRPr="00E40993">
        <w:t xml:space="preserve">. The AUCs of the metabolites were not modified by the liver disease.  However, the rates of formation and elimination of these were decreased.  Dosage reduction of </w:t>
      </w:r>
      <w:proofErr w:type="spellStart"/>
      <w:r w:rsidRPr="00E40993">
        <w:t>abacavir</w:t>
      </w:r>
      <w:proofErr w:type="spellEnd"/>
      <w:r w:rsidRPr="00E40993">
        <w:t xml:space="preserve"> may be required in </w:t>
      </w:r>
      <w:r w:rsidR="007C720C">
        <w:t>patient</w:t>
      </w:r>
      <w:r w:rsidRPr="00E40993">
        <w:t xml:space="preserve">s with mild hepatic impairment. The separate preparation of </w:t>
      </w:r>
      <w:proofErr w:type="spellStart"/>
      <w:r w:rsidRPr="00E40993">
        <w:t>abacavir</w:t>
      </w:r>
      <w:proofErr w:type="spellEnd"/>
      <w:r w:rsidRPr="00E40993">
        <w:t xml:space="preserve"> should therefore be used to treat these </w:t>
      </w:r>
      <w:r w:rsidR="007C720C">
        <w:t>patient</w:t>
      </w:r>
      <w:r w:rsidRPr="00E40993">
        <w:t xml:space="preserve">s.  The pharmacokinetics of </w:t>
      </w:r>
      <w:proofErr w:type="spellStart"/>
      <w:r w:rsidRPr="00E40993">
        <w:t>abacavir</w:t>
      </w:r>
      <w:proofErr w:type="spellEnd"/>
      <w:r w:rsidRPr="00E40993">
        <w:t xml:space="preserve"> have not been studied in </w:t>
      </w:r>
      <w:r w:rsidR="007C720C">
        <w:t>patient</w:t>
      </w:r>
      <w:r w:rsidRPr="00E40993">
        <w:t xml:space="preserve">s with moderate or severe hepatic impairment. Plasma concentrations of </w:t>
      </w:r>
      <w:proofErr w:type="spellStart"/>
      <w:r w:rsidRPr="00E40993">
        <w:t>abacavir</w:t>
      </w:r>
      <w:proofErr w:type="spellEnd"/>
      <w:r w:rsidRPr="00E40993">
        <w:t xml:space="preserve"> are expected to be variable and substantially increased in these </w:t>
      </w:r>
      <w:r w:rsidR="007C720C">
        <w:t>patient</w:t>
      </w:r>
      <w:r w:rsidRPr="00E40993">
        <w:t xml:space="preserve">s. </w:t>
      </w:r>
      <w:r w:rsidR="00830F04" w:rsidRPr="00E40993">
        <w:t>TRIUMEQ</w:t>
      </w:r>
      <w:r w:rsidRPr="00E40993">
        <w:t xml:space="preserve"> is therefore not recommended in </w:t>
      </w:r>
      <w:r w:rsidR="007C720C">
        <w:t>patient</w:t>
      </w:r>
      <w:r w:rsidRPr="00E40993">
        <w:t>s with moderate and severe hepatic impairment.</w:t>
      </w:r>
    </w:p>
    <w:p w:rsidR="009E7F62" w:rsidRDefault="00460B66" w:rsidP="008D6904">
      <w:r w:rsidRPr="00E40993">
        <w:t xml:space="preserve">Data obtained for lamivudine in </w:t>
      </w:r>
      <w:r w:rsidR="007C720C">
        <w:t>patient</w:t>
      </w:r>
      <w:r w:rsidRPr="00E40993">
        <w:t xml:space="preserve">s with moderate to severe hepatic impairment and for </w:t>
      </w:r>
      <w:proofErr w:type="spellStart"/>
      <w:r w:rsidRPr="00E40993">
        <w:t>dolutegravir</w:t>
      </w:r>
      <w:proofErr w:type="spellEnd"/>
      <w:r w:rsidRPr="00E40993">
        <w:t xml:space="preserve"> in </w:t>
      </w:r>
      <w:r w:rsidR="007C720C">
        <w:t>patient</w:t>
      </w:r>
      <w:r w:rsidRPr="00E40993">
        <w:t xml:space="preserve">s with moderate hepatic impairment show that the pharmacokinetics are not significantly affected by hepatic dysfunction. </w:t>
      </w:r>
    </w:p>
    <w:p w:rsidR="00460B66" w:rsidRPr="00E40993" w:rsidRDefault="00460B66" w:rsidP="008D6904">
      <w:proofErr w:type="spellStart"/>
      <w:r w:rsidRPr="00E40993">
        <w:t>Dolutegravir</w:t>
      </w:r>
      <w:proofErr w:type="spellEnd"/>
      <w:r w:rsidRPr="00E40993">
        <w:t xml:space="preserve"> is primarily metabolized and eliminated by the liver. In a study comparing 8 </w:t>
      </w:r>
      <w:r w:rsidR="007C720C">
        <w:t>patient</w:t>
      </w:r>
      <w:r w:rsidRPr="00E40993">
        <w:t xml:space="preserve">s with moderate hepatic impairment (Child-Pugh category B) to 8 matched healthy adult controls, the single 50 mg dose exposure of </w:t>
      </w:r>
      <w:proofErr w:type="spellStart"/>
      <w:r w:rsidRPr="00E40993">
        <w:t>dolutegravir</w:t>
      </w:r>
      <w:proofErr w:type="spellEnd"/>
      <w:r w:rsidRPr="00E40993">
        <w:t xml:space="preserve"> was similar between the two groups. The effect of severe hepatic impairment on the pharmacokinetics of </w:t>
      </w:r>
      <w:proofErr w:type="spellStart"/>
      <w:r w:rsidRPr="00E40993">
        <w:t>dolutegravir</w:t>
      </w:r>
      <w:proofErr w:type="spellEnd"/>
      <w:r w:rsidRPr="00E40993">
        <w:t xml:space="preserve"> has not been studied.</w:t>
      </w:r>
    </w:p>
    <w:p w:rsidR="00623744" w:rsidRPr="00E40993" w:rsidRDefault="00623744" w:rsidP="006118C4">
      <w:pPr>
        <w:pStyle w:val="Head3"/>
      </w:pPr>
      <w:proofErr w:type="spellStart"/>
      <w:r w:rsidRPr="00E40993">
        <w:t>Renal</w:t>
      </w:r>
      <w:r w:rsidR="00460B66" w:rsidRPr="00E40993">
        <w:t>ly</w:t>
      </w:r>
      <w:proofErr w:type="spellEnd"/>
      <w:r w:rsidR="00460B66" w:rsidRPr="00E40993">
        <w:t xml:space="preserve"> Impaired</w:t>
      </w:r>
    </w:p>
    <w:p w:rsidR="007B0220" w:rsidRDefault="00460B66" w:rsidP="008D6904">
      <w:r w:rsidRPr="00E40993">
        <w:t xml:space="preserve">Pharmacokinetic data have been obtained for </w:t>
      </w:r>
      <w:proofErr w:type="spellStart"/>
      <w:r w:rsidRPr="00E40993">
        <w:t>dolutegravir</w:t>
      </w:r>
      <w:proofErr w:type="spellEnd"/>
      <w:r w:rsidRPr="00E40993">
        <w:t xml:space="preserve">, </w:t>
      </w:r>
      <w:proofErr w:type="spellStart"/>
      <w:r w:rsidRPr="00E40993">
        <w:t>abacavir</w:t>
      </w:r>
      <w:proofErr w:type="spellEnd"/>
      <w:r w:rsidRPr="00E40993">
        <w:t xml:space="preserve"> and lamivudine alone.</w:t>
      </w:r>
    </w:p>
    <w:p w:rsidR="00460B66" w:rsidRPr="00E40993" w:rsidRDefault="005B3470" w:rsidP="008D6904">
      <w:r w:rsidRPr="00E40993">
        <w:t>TRIUMEQ</w:t>
      </w:r>
      <w:r w:rsidR="00460B66" w:rsidRPr="00E40993">
        <w:t xml:space="preserve"> should not be used in </w:t>
      </w:r>
      <w:r w:rsidR="007C720C">
        <w:t>patient</w:t>
      </w:r>
      <w:r w:rsidR="00460B66" w:rsidRPr="00E40993">
        <w:t xml:space="preserve">s with creatinine clearance of less than 50 mL/min because, whilst no dosage adjustment of </w:t>
      </w:r>
      <w:proofErr w:type="spellStart"/>
      <w:r w:rsidR="00460B66" w:rsidRPr="00E40993">
        <w:t>dolutegravir</w:t>
      </w:r>
      <w:proofErr w:type="spellEnd"/>
      <w:r w:rsidR="00460B66" w:rsidRPr="00E40993">
        <w:t xml:space="preserve"> or </w:t>
      </w:r>
      <w:proofErr w:type="spellStart"/>
      <w:r w:rsidR="00460B66" w:rsidRPr="00E40993">
        <w:t>abacavir</w:t>
      </w:r>
      <w:proofErr w:type="spellEnd"/>
      <w:r w:rsidR="00460B66" w:rsidRPr="00E40993">
        <w:t xml:space="preserve"> is necessary in </w:t>
      </w:r>
      <w:r w:rsidR="007C720C">
        <w:t>patient</w:t>
      </w:r>
      <w:r w:rsidR="00460B66" w:rsidRPr="00E40993">
        <w:t xml:space="preserve">s with renal impairment, dose reduction is required for the lamivudine component. Therefore the separate preparation of lamivudine should be used to treat these </w:t>
      </w:r>
      <w:r w:rsidR="007C720C">
        <w:t>patient</w:t>
      </w:r>
      <w:r w:rsidR="00460B66" w:rsidRPr="00E40993">
        <w:t>s.</w:t>
      </w:r>
    </w:p>
    <w:p w:rsidR="00460B66" w:rsidRPr="00E40993" w:rsidRDefault="00460B66" w:rsidP="008D6904">
      <w:r w:rsidRPr="00E40993">
        <w:t xml:space="preserve">Studies with lamivudine show that plasma concentrations (AUC) are increased in </w:t>
      </w:r>
      <w:r w:rsidR="007C720C">
        <w:t>patient</w:t>
      </w:r>
      <w:r w:rsidRPr="00E40993">
        <w:t xml:space="preserve">s with renal dysfunction due to decreased clearance. </w:t>
      </w:r>
    </w:p>
    <w:p w:rsidR="00460B66" w:rsidRPr="00E40993" w:rsidRDefault="00460B66" w:rsidP="008D6904">
      <w:proofErr w:type="spellStart"/>
      <w:r w:rsidRPr="00E40993">
        <w:t>Abacavir</w:t>
      </w:r>
      <w:proofErr w:type="spellEnd"/>
      <w:r w:rsidRPr="00E40993">
        <w:t xml:space="preserve"> is primarily metabolised by the liver, with approximately 2% of </w:t>
      </w:r>
      <w:proofErr w:type="spellStart"/>
      <w:r w:rsidRPr="00E40993">
        <w:t>abacavir</w:t>
      </w:r>
      <w:proofErr w:type="spellEnd"/>
      <w:r w:rsidRPr="00E40993">
        <w:t xml:space="preserve"> excreted unchanged in the urine. The pharmacokinetics of </w:t>
      </w:r>
      <w:proofErr w:type="spellStart"/>
      <w:r w:rsidRPr="00E40993">
        <w:t>abacavir</w:t>
      </w:r>
      <w:proofErr w:type="spellEnd"/>
      <w:r w:rsidRPr="00E40993">
        <w:t xml:space="preserve"> in </w:t>
      </w:r>
      <w:r w:rsidR="007C720C">
        <w:t>patient</w:t>
      </w:r>
      <w:r w:rsidRPr="00E40993">
        <w:t xml:space="preserve">s with end-stage renal disease is similar to </w:t>
      </w:r>
      <w:r w:rsidR="007C720C">
        <w:t>patient</w:t>
      </w:r>
      <w:r w:rsidRPr="00E40993">
        <w:t>s with normal renal function.</w:t>
      </w:r>
    </w:p>
    <w:p w:rsidR="00460B66" w:rsidRPr="00E40993" w:rsidRDefault="00460B66" w:rsidP="008D6904">
      <w:pPr>
        <w:rPr>
          <w:rFonts w:eastAsia="MS Mincho"/>
          <w:b/>
          <w:i/>
        </w:rPr>
      </w:pPr>
      <w:r w:rsidRPr="00E40993">
        <w:t xml:space="preserve">Renal clearance of unchanged drug is a minor pathway of elimination for </w:t>
      </w:r>
      <w:proofErr w:type="spellStart"/>
      <w:r w:rsidRPr="00E40993">
        <w:t>dolutegravir</w:t>
      </w:r>
      <w:proofErr w:type="spellEnd"/>
      <w:r w:rsidRPr="00E40993">
        <w:t xml:space="preserve">. A study of the pharmacokinetics of </w:t>
      </w:r>
      <w:proofErr w:type="spellStart"/>
      <w:r w:rsidRPr="00E40993">
        <w:t>dolutegravir</w:t>
      </w:r>
      <w:proofErr w:type="spellEnd"/>
      <w:r w:rsidRPr="00E40993">
        <w:t xml:space="preserve"> was performed in </w:t>
      </w:r>
      <w:r w:rsidR="007C720C">
        <w:t>patient</w:t>
      </w:r>
      <w:r w:rsidRPr="00E40993">
        <w:t>s with severe renal impairment (</w:t>
      </w:r>
      <w:proofErr w:type="spellStart"/>
      <w:r w:rsidRPr="00E40993">
        <w:t>CLcr</w:t>
      </w:r>
      <w:proofErr w:type="spellEnd"/>
      <w:r w:rsidRPr="00E40993">
        <w:t xml:space="preserve"> &lt;30 mL/min). No clinically important pharmacokinetic differences between </w:t>
      </w:r>
      <w:r w:rsidR="007C720C">
        <w:t>patient</w:t>
      </w:r>
      <w:r w:rsidRPr="00E40993">
        <w:t>s with severe renal impairment (</w:t>
      </w:r>
      <w:proofErr w:type="spellStart"/>
      <w:r w:rsidRPr="00E40993">
        <w:t>CLcr</w:t>
      </w:r>
      <w:proofErr w:type="spellEnd"/>
      <w:r w:rsidRPr="00E40993">
        <w:t xml:space="preserve"> &lt;30 mL/min) and matching healthy </w:t>
      </w:r>
      <w:r w:rsidR="007C720C">
        <w:t>patient</w:t>
      </w:r>
      <w:r w:rsidRPr="00E40993">
        <w:t xml:space="preserve">s were observed. </w:t>
      </w:r>
      <w:proofErr w:type="spellStart"/>
      <w:r w:rsidRPr="00E40993">
        <w:t>Dolutegravir</w:t>
      </w:r>
      <w:proofErr w:type="spellEnd"/>
      <w:r w:rsidRPr="00E40993">
        <w:t xml:space="preserve"> has not been studied in </w:t>
      </w:r>
      <w:r w:rsidR="007C720C">
        <w:t>patient</w:t>
      </w:r>
      <w:r w:rsidRPr="00E40993">
        <w:t>s on dialysis, though differences in exposure are not expected.</w:t>
      </w:r>
    </w:p>
    <w:p w:rsidR="006F7F1C" w:rsidRPr="00E40993" w:rsidRDefault="006F7F1C" w:rsidP="006118C4">
      <w:pPr>
        <w:pStyle w:val="Head3"/>
        <w:rPr>
          <w:rFonts w:eastAsia="MS Mincho"/>
        </w:rPr>
      </w:pPr>
      <w:r w:rsidRPr="00E40993">
        <w:rPr>
          <w:rFonts w:eastAsia="MS Mincho"/>
        </w:rPr>
        <w:t>Polymorphisms in Drug Metabolising Enzymes</w:t>
      </w:r>
    </w:p>
    <w:p w:rsidR="00460B66" w:rsidRPr="00E40993" w:rsidRDefault="00460B66" w:rsidP="008D6904">
      <w:r w:rsidRPr="00E40993">
        <w:t xml:space="preserve">There is no evidence that common polymorphisms in drug metabolising enzymes alter </w:t>
      </w:r>
      <w:proofErr w:type="spellStart"/>
      <w:r w:rsidRPr="00E40993">
        <w:t>dolutegravir</w:t>
      </w:r>
      <w:proofErr w:type="spellEnd"/>
      <w:r w:rsidRPr="00E40993">
        <w:t xml:space="preserve"> pharmacokinetics to a clinically meaningful extent. In a meta-analysis using pharmacogenomics samples collected in clinical studies in healthy </w:t>
      </w:r>
      <w:r w:rsidR="007C720C">
        <w:t>patient</w:t>
      </w:r>
      <w:r w:rsidRPr="00E40993">
        <w:t xml:space="preserve">s, </w:t>
      </w:r>
      <w:r w:rsidR="007C720C">
        <w:t>patient</w:t>
      </w:r>
      <w:r w:rsidRPr="00E40993">
        <w:t xml:space="preserve">s with UGT1A1 (n=7) genotypes conferring poor </w:t>
      </w:r>
      <w:proofErr w:type="spellStart"/>
      <w:r w:rsidRPr="00E40993">
        <w:t>dolutegravir</w:t>
      </w:r>
      <w:proofErr w:type="spellEnd"/>
      <w:r w:rsidRPr="00E40993">
        <w:t xml:space="preserve"> metabolism had a 32% lower clearance of </w:t>
      </w:r>
      <w:proofErr w:type="spellStart"/>
      <w:r w:rsidRPr="00E40993">
        <w:t>dolutegravir</w:t>
      </w:r>
      <w:proofErr w:type="spellEnd"/>
      <w:r w:rsidRPr="00E40993">
        <w:t xml:space="preserve"> and 46% higher AUC compared with </w:t>
      </w:r>
      <w:r w:rsidR="007C720C">
        <w:t>patient</w:t>
      </w:r>
      <w:r w:rsidRPr="00E40993">
        <w:t xml:space="preserve">s with genotypes associated with normal metabolism via UGT1A1 (n=41). Polymorphisms in CYP3A4, CYP3A5, and NR1I2 were not associated with differences in the pharmacokinetics of </w:t>
      </w:r>
      <w:proofErr w:type="spellStart"/>
      <w:r w:rsidRPr="00E40993">
        <w:t>dolutegravir</w:t>
      </w:r>
      <w:proofErr w:type="spellEnd"/>
      <w:r w:rsidRPr="00E40993">
        <w:t>.</w:t>
      </w:r>
    </w:p>
    <w:p w:rsidR="00623744" w:rsidRPr="00E40993" w:rsidRDefault="00912DB9" w:rsidP="006118C4">
      <w:pPr>
        <w:pStyle w:val="Head3"/>
      </w:pPr>
      <w:r w:rsidRPr="00E40993">
        <w:t>Gender</w:t>
      </w:r>
    </w:p>
    <w:p w:rsidR="00460B66" w:rsidRPr="00E40993" w:rsidRDefault="00460B66" w:rsidP="008D6904">
      <w:r w:rsidRPr="00E40993">
        <w:t xml:space="preserve">The </w:t>
      </w:r>
      <w:proofErr w:type="spellStart"/>
      <w:r w:rsidRPr="00E40993">
        <w:t>dolutegravir</w:t>
      </w:r>
      <w:proofErr w:type="spellEnd"/>
      <w:r w:rsidRPr="00E40993">
        <w:t xml:space="preserve"> exposure in healthy </w:t>
      </w:r>
      <w:r w:rsidR="007C720C">
        <w:t>patient</w:t>
      </w:r>
      <w:r w:rsidRPr="00E40993">
        <w:t xml:space="preserve">s appear to be slightly higher (~20%) in women than men based on data obtained in a healthy </w:t>
      </w:r>
      <w:r w:rsidR="007C720C">
        <w:t>patient</w:t>
      </w:r>
      <w:r w:rsidRPr="00E40993">
        <w:t xml:space="preserve"> study (males n=17, females n=24).  Population PK analyses using pooled pharmacokinetic data from Phase </w:t>
      </w:r>
      <w:proofErr w:type="spellStart"/>
      <w:r w:rsidRPr="00E40993">
        <w:t>IIb</w:t>
      </w:r>
      <w:proofErr w:type="spellEnd"/>
      <w:r w:rsidRPr="00E40993">
        <w:t xml:space="preserve"> and Phase III adult trials revealed no clinically relevant effect of gender on the exposure of </w:t>
      </w:r>
      <w:proofErr w:type="spellStart"/>
      <w:r w:rsidRPr="00E40993">
        <w:t>dolutegravir</w:t>
      </w:r>
      <w:proofErr w:type="spellEnd"/>
      <w:r w:rsidRPr="00E40993">
        <w:t>.</w:t>
      </w:r>
    </w:p>
    <w:p w:rsidR="00460B66" w:rsidRPr="00E40993" w:rsidRDefault="00460B66" w:rsidP="008D6904">
      <w:r w:rsidRPr="00E40993">
        <w:t xml:space="preserve">There is no evidence that a dose adjustment of </w:t>
      </w:r>
      <w:proofErr w:type="spellStart"/>
      <w:r w:rsidRPr="00E40993">
        <w:t>dolutegravir</w:t>
      </w:r>
      <w:proofErr w:type="spellEnd"/>
      <w:r w:rsidRPr="00E40993">
        <w:t xml:space="preserve">, </w:t>
      </w:r>
      <w:proofErr w:type="spellStart"/>
      <w:r w:rsidRPr="00E40993">
        <w:t>abacavir</w:t>
      </w:r>
      <w:proofErr w:type="spellEnd"/>
      <w:r w:rsidRPr="00E40993">
        <w:t xml:space="preserve"> or lamivudine would be required based on the effects of gender on PK parameters.</w:t>
      </w:r>
    </w:p>
    <w:p w:rsidR="00623744" w:rsidRPr="00E40993" w:rsidRDefault="00912DB9" w:rsidP="006118C4">
      <w:pPr>
        <w:pStyle w:val="Head3"/>
        <w:rPr>
          <w:lang w:eastAsia="en-US"/>
        </w:rPr>
      </w:pPr>
      <w:r w:rsidRPr="00E40993">
        <w:rPr>
          <w:lang w:eastAsia="en-US"/>
        </w:rPr>
        <w:t>Race</w:t>
      </w:r>
    </w:p>
    <w:p w:rsidR="00460B66" w:rsidRPr="00E40993" w:rsidRDefault="00460B66" w:rsidP="008D6904">
      <w:r w:rsidRPr="00E40993">
        <w:t xml:space="preserve">Population PK analyses using pooled pharmacokinetic data from Phase </w:t>
      </w:r>
      <w:proofErr w:type="spellStart"/>
      <w:r w:rsidRPr="00E40993">
        <w:t>IIb</w:t>
      </w:r>
      <w:proofErr w:type="spellEnd"/>
      <w:r w:rsidRPr="00E40993">
        <w:t xml:space="preserve"> and Phase III adult trials revealed no clinically relevant effect of race on the exposure of </w:t>
      </w:r>
      <w:proofErr w:type="spellStart"/>
      <w:r w:rsidRPr="00E40993">
        <w:t>dolutegravir</w:t>
      </w:r>
      <w:proofErr w:type="spellEnd"/>
      <w:r w:rsidRPr="00E40993">
        <w:t xml:space="preserve">. The pharmacokinetics of </w:t>
      </w:r>
      <w:proofErr w:type="spellStart"/>
      <w:r w:rsidRPr="00E40993">
        <w:t>dolutegravir</w:t>
      </w:r>
      <w:proofErr w:type="spellEnd"/>
      <w:r w:rsidRPr="00E40993">
        <w:t xml:space="preserve"> following single dose oral administration to Japanese </w:t>
      </w:r>
      <w:r w:rsidR="007C720C">
        <w:t>patient</w:t>
      </w:r>
      <w:r w:rsidRPr="00E40993">
        <w:t xml:space="preserve">s appear similar to observed parameters in Western (US) </w:t>
      </w:r>
      <w:r w:rsidR="007C720C">
        <w:t>patient</w:t>
      </w:r>
      <w:r w:rsidRPr="00E40993">
        <w:t>s.</w:t>
      </w:r>
    </w:p>
    <w:p w:rsidR="00460B66" w:rsidRPr="00E40993" w:rsidRDefault="00460B66" w:rsidP="008D6904">
      <w:r w:rsidRPr="00E40993">
        <w:t xml:space="preserve">There is no evidence that a dose adjustment of </w:t>
      </w:r>
      <w:proofErr w:type="spellStart"/>
      <w:r w:rsidRPr="00E40993">
        <w:t>dolutegravir</w:t>
      </w:r>
      <w:proofErr w:type="spellEnd"/>
      <w:r w:rsidRPr="00E40993">
        <w:t xml:space="preserve">, </w:t>
      </w:r>
      <w:proofErr w:type="spellStart"/>
      <w:r w:rsidRPr="00E40993">
        <w:t>abacavir</w:t>
      </w:r>
      <w:proofErr w:type="spellEnd"/>
      <w:r w:rsidRPr="00E40993">
        <w:t xml:space="preserve"> or lamivudine would be required based on the effects of race on PK parameters.</w:t>
      </w:r>
    </w:p>
    <w:p w:rsidR="00E54C3C" w:rsidRDefault="0016492D">
      <w:pPr>
        <w:pStyle w:val="Head3"/>
        <w:keepNext/>
        <w:rPr>
          <w:rFonts w:eastAsia="MS Mincho"/>
        </w:rPr>
      </w:pPr>
      <w:r w:rsidRPr="00E40993">
        <w:rPr>
          <w:rFonts w:eastAsia="MS Mincho"/>
        </w:rPr>
        <w:t>Co-infection with Hepatitis B or C</w:t>
      </w:r>
    </w:p>
    <w:p w:rsidR="00E54C3C" w:rsidRDefault="00460B66">
      <w:pPr>
        <w:keepNext/>
        <w:rPr>
          <w:rFonts w:eastAsia="MS Mincho"/>
          <w:lang w:val="en-GB" w:eastAsia="en-GB"/>
        </w:rPr>
      </w:pPr>
      <w:r w:rsidRPr="00E40993">
        <w:rPr>
          <w:rFonts w:eastAsia="MS Mincho"/>
          <w:lang w:val="en-GB" w:eastAsia="en-GB"/>
        </w:rPr>
        <w:t xml:space="preserve">Population PK analysis indicated that hepatitis C virus co-infection had no clinically relevant effect on the exposure to </w:t>
      </w:r>
      <w:proofErr w:type="spellStart"/>
      <w:r w:rsidRPr="00E40993">
        <w:rPr>
          <w:rFonts w:eastAsia="MS Mincho"/>
          <w:lang w:val="en-GB" w:eastAsia="en-GB"/>
        </w:rPr>
        <w:t>dolutegravir</w:t>
      </w:r>
      <w:proofErr w:type="spellEnd"/>
      <w:r w:rsidRPr="00E40993">
        <w:rPr>
          <w:rFonts w:eastAsia="MS Mincho"/>
          <w:lang w:val="en-GB" w:eastAsia="en-GB"/>
        </w:rPr>
        <w:t xml:space="preserve">. There are limited pharmacokinetic data on </w:t>
      </w:r>
      <w:r w:rsidR="007C720C">
        <w:rPr>
          <w:rFonts w:eastAsia="MS Mincho"/>
          <w:lang w:val="en-GB" w:eastAsia="en-GB"/>
        </w:rPr>
        <w:t>patient</w:t>
      </w:r>
      <w:r w:rsidRPr="00E40993">
        <w:rPr>
          <w:rFonts w:eastAsia="MS Mincho"/>
          <w:lang w:val="en-GB" w:eastAsia="en-GB"/>
        </w:rPr>
        <w:t>s with hepatitis B co-infection</w:t>
      </w:r>
      <w:r w:rsidRPr="00E40993" w:rsidDel="00224157">
        <w:rPr>
          <w:rFonts w:eastAsia="MS Mincho"/>
          <w:lang w:val="en-GB" w:eastAsia="en-GB"/>
        </w:rPr>
        <w:t xml:space="preserve"> </w:t>
      </w:r>
      <w:r w:rsidRPr="00E40993">
        <w:rPr>
          <w:rFonts w:eastAsia="MS Mincho"/>
          <w:lang w:val="en-GB" w:eastAsia="en-GB"/>
        </w:rPr>
        <w:t>(</w:t>
      </w:r>
      <w:r w:rsidRPr="00E40993">
        <w:rPr>
          <w:rFonts w:eastAsia="MS Mincho"/>
          <w:i/>
          <w:lang w:val="en-GB" w:eastAsia="en-GB"/>
        </w:rPr>
        <w:t>see Precautions</w:t>
      </w:r>
      <w:r w:rsidRPr="00E40993">
        <w:rPr>
          <w:rFonts w:eastAsia="MS Mincho"/>
          <w:lang w:val="en-GB" w:eastAsia="en-GB"/>
        </w:rPr>
        <w:t>).</w:t>
      </w:r>
    </w:p>
    <w:p w:rsidR="00260928" w:rsidRPr="00E40993" w:rsidRDefault="00260928" w:rsidP="00BA4F3F">
      <w:pPr>
        <w:rPr>
          <w:color w:val="000000" w:themeColor="text1"/>
        </w:rPr>
      </w:pPr>
    </w:p>
    <w:p w:rsidR="0077380F" w:rsidRPr="00E40993" w:rsidRDefault="0077380F" w:rsidP="0045447B">
      <w:pPr>
        <w:pStyle w:val="Heading1"/>
      </w:pPr>
      <w:r w:rsidRPr="00E40993">
        <w:t>CLINICAL TRIALS</w:t>
      </w:r>
    </w:p>
    <w:p w:rsidR="00176B1A" w:rsidRDefault="00176B1A" w:rsidP="00953A88">
      <w:pPr>
        <w:rPr>
          <w:rFonts w:eastAsia="MS Mincho"/>
        </w:rPr>
      </w:pPr>
      <w:r>
        <w:rPr>
          <w:rFonts w:eastAsia="MS Mincho"/>
        </w:rPr>
        <w:t>TRIUMEQ is a film-coated tablet containing an integrase inhibitor (</w:t>
      </w:r>
      <w:proofErr w:type="spellStart"/>
      <w:r>
        <w:rPr>
          <w:rFonts w:eastAsia="MS Mincho"/>
        </w:rPr>
        <w:t>dolutegravir</w:t>
      </w:r>
      <w:proofErr w:type="spellEnd"/>
      <w:r>
        <w:rPr>
          <w:rFonts w:eastAsia="MS Mincho"/>
        </w:rPr>
        <w:t>) and two NRTIs (</w:t>
      </w:r>
      <w:proofErr w:type="spellStart"/>
      <w:r>
        <w:rPr>
          <w:rFonts w:eastAsia="MS Mincho"/>
        </w:rPr>
        <w:t>abacavir</w:t>
      </w:r>
      <w:proofErr w:type="spellEnd"/>
      <w:r>
        <w:rPr>
          <w:rFonts w:eastAsia="MS Mincho"/>
        </w:rPr>
        <w:t xml:space="preserve"> and lamivudine).</w:t>
      </w:r>
    </w:p>
    <w:p w:rsidR="00953A88" w:rsidRPr="00E63838" w:rsidRDefault="00953A88" w:rsidP="00953A88">
      <w:pPr>
        <w:rPr>
          <w:rFonts w:eastAsia="MS Mincho"/>
        </w:rPr>
      </w:pPr>
      <w:r w:rsidRPr="00E63838">
        <w:rPr>
          <w:rFonts w:eastAsia="MS Mincho"/>
        </w:rPr>
        <w:t xml:space="preserve">The efficacy of TRIUMEQ is supported by data from a randomized, controlled trial in antiretroviral treatment-naïve subjects, SINGLE (ING114467) and other trials in treatment-naïve subjects (refer to the TIVICAY </w:t>
      </w:r>
      <w:r w:rsidR="00034E3A">
        <w:rPr>
          <w:rFonts w:eastAsia="MS Mincho"/>
        </w:rPr>
        <w:t>[</w:t>
      </w:r>
      <w:proofErr w:type="spellStart"/>
      <w:r w:rsidR="00034E3A">
        <w:rPr>
          <w:rFonts w:eastAsia="MS Mincho"/>
        </w:rPr>
        <w:t>d</w:t>
      </w:r>
      <w:r w:rsidR="00034E3A" w:rsidRPr="00E40993">
        <w:rPr>
          <w:rFonts w:eastAsia="MS Mincho"/>
        </w:rPr>
        <w:t>olutegravir</w:t>
      </w:r>
      <w:proofErr w:type="spellEnd"/>
      <w:r w:rsidR="00034E3A">
        <w:rPr>
          <w:rFonts w:eastAsia="MS Mincho"/>
        </w:rPr>
        <w:t xml:space="preserve">] </w:t>
      </w:r>
      <w:r w:rsidRPr="00E63838">
        <w:rPr>
          <w:rFonts w:eastAsia="MS Mincho"/>
        </w:rPr>
        <w:t xml:space="preserve">PI).  The efficacy of </w:t>
      </w:r>
      <w:proofErr w:type="spellStart"/>
      <w:r w:rsidRPr="00E63838">
        <w:rPr>
          <w:rFonts w:eastAsia="MS Mincho"/>
        </w:rPr>
        <w:t>dolutegravir</w:t>
      </w:r>
      <w:proofErr w:type="spellEnd"/>
      <w:r w:rsidRPr="00E63838">
        <w:rPr>
          <w:rFonts w:eastAsia="MS Mincho"/>
        </w:rPr>
        <w:t xml:space="preserve">, in combination with at least two active background regimens in treatment-experienced, INI-naïve subjects is supported by data from SAILING (ING111762) (refer to the TIVICAY </w:t>
      </w:r>
      <w:r w:rsidR="00034E3A">
        <w:rPr>
          <w:rFonts w:eastAsia="MS Mincho"/>
        </w:rPr>
        <w:t>[</w:t>
      </w:r>
      <w:proofErr w:type="spellStart"/>
      <w:r w:rsidR="00034E3A">
        <w:rPr>
          <w:rFonts w:eastAsia="MS Mincho"/>
        </w:rPr>
        <w:t>d</w:t>
      </w:r>
      <w:r w:rsidR="00034E3A" w:rsidRPr="00E40993">
        <w:rPr>
          <w:rFonts w:eastAsia="MS Mincho"/>
        </w:rPr>
        <w:t>olutegravir</w:t>
      </w:r>
      <w:proofErr w:type="spellEnd"/>
      <w:r w:rsidR="00034E3A">
        <w:rPr>
          <w:rFonts w:eastAsia="MS Mincho"/>
        </w:rPr>
        <w:t xml:space="preserve">] </w:t>
      </w:r>
      <w:r w:rsidRPr="00E63838">
        <w:rPr>
          <w:rFonts w:eastAsia="MS Mincho"/>
        </w:rPr>
        <w:t>PI).</w:t>
      </w:r>
    </w:p>
    <w:p w:rsidR="00510741" w:rsidRPr="00E40993" w:rsidRDefault="00510741" w:rsidP="006118C4">
      <w:pPr>
        <w:pStyle w:val="Heading2"/>
        <w:rPr>
          <w:rFonts w:eastAsia="MS Mincho"/>
          <w:lang w:eastAsia="en-US"/>
        </w:rPr>
      </w:pPr>
      <w:r w:rsidRPr="00E40993">
        <w:rPr>
          <w:rFonts w:eastAsia="MS Mincho"/>
          <w:lang w:eastAsia="en-US"/>
        </w:rPr>
        <w:t xml:space="preserve">Antiretroviral </w:t>
      </w:r>
      <w:r w:rsidR="001A06F9" w:rsidRPr="00E40993">
        <w:rPr>
          <w:rFonts w:eastAsia="MS Mincho"/>
          <w:lang w:eastAsia="en-US"/>
        </w:rPr>
        <w:t>N</w:t>
      </w:r>
      <w:r w:rsidRPr="00E40993">
        <w:rPr>
          <w:rFonts w:eastAsia="MS Mincho"/>
          <w:lang w:eastAsia="en-US"/>
        </w:rPr>
        <w:t xml:space="preserve">aïve </w:t>
      </w:r>
      <w:r w:rsidR="007C720C">
        <w:rPr>
          <w:rFonts w:eastAsia="MS Mincho"/>
          <w:lang w:eastAsia="en-US"/>
        </w:rPr>
        <w:t>Patient</w:t>
      </w:r>
      <w:r w:rsidR="00304016" w:rsidRPr="00E40993">
        <w:rPr>
          <w:rFonts w:eastAsia="MS Mincho"/>
          <w:lang w:eastAsia="en-US"/>
        </w:rPr>
        <w:t>s</w:t>
      </w:r>
      <w:r w:rsidRPr="00E40993">
        <w:rPr>
          <w:rFonts w:eastAsia="MS Mincho"/>
          <w:lang w:eastAsia="en-US"/>
        </w:rPr>
        <w:t xml:space="preserve"> </w:t>
      </w:r>
    </w:p>
    <w:p w:rsidR="009E7F62" w:rsidRDefault="00460B66" w:rsidP="008D6904">
      <w:pPr>
        <w:rPr>
          <w:rFonts w:eastAsia="MS Mincho"/>
        </w:rPr>
      </w:pPr>
      <w:r w:rsidRPr="00E40993">
        <w:rPr>
          <w:rFonts w:eastAsia="MS Mincho"/>
        </w:rPr>
        <w:t>In SINGLE</w:t>
      </w:r>
      <w:r w:rsidR="00F63D90">
        <w:rPr>
          <w:rFonts w:eastAsia="MS Mincho"/>
        </w:rPr>
        <w:t xml:space="preserve"> </w:t>
      </w:r>
      <w:r w:rsidR="00F63D90" w:rsidRPr="00E40993">
        <w:rPr>
          <w:rFonts w:eastAsia="MS Mincho"/>
        </w:rPr>
        <w:t>(ING114467)</w:t>
      </w:r>
      <w:r w:rsidRPr="00E40993">
        <w:rPr>
          <w:rFonts w:eastAsia="MS Mincho"/>
        </w:rPr>
        <w:t xml:space="preserve">, 833 </w:t>
      </w:r>
      <w:r w:rsidR="007C720C">
        <w:rPr>
          <w:rFonts w:eastAsia="MS Mincho"/>
        </w:rPr>
        <w:t>patient</w:t>
      </w:r>
      <w:r w:rsidRPr="00E40993">
        <w:rPr>
          <w:rFonts w:eastAsia="MS Mincho"/>
        </w:rPr>
        <w:t xml:space="preserve">s were randomized and received at least one dose of either </w:t>
      </w:r>
      <w:proofErr w:type="spellStart"/>
      <w:r w:rsidR="003763F0">
        <w:rPr>
          <w:rFonts w:eastAsia="MS Mincho"/>
        </w:rPr>
        <w:t>dolutegravir</w:t>
      </w:r>
      <w:proofErr w:type="spellEnd"/>
      <w:r w:rsidR="003763F0">
        <w:rPr>
          <w:rFonts w:eastAsia="MS Mincho"/>
        </w:rPr>
        <w:t xml:space="preserve"> </w:t>
      </w:r>
      <w:r w:rsidR="00FE43C3" w:rsidRPr="00E40993">
        <w:rPr>
          <w:rFonts w:eastAsia="MS Mincho"/>
        </w:rPr>
        <w:t>50 mg once daily with</w:t>
      </w:r>
      <w:r w:rsidR="00477953">
        <w:rPr>
          <w:rFonts w:eastAsia="MS Mincho"/>
        </w:rPr>
        <w:t xml:space="preserve"> </w:t>
      </w:r>
      <w:r w:rsidRPr="00E40993">
        <w:rPr>
          <w:rFonts w:eastAsia="MS Mincho"/>
        </w:rPr>
        <w:t xml:space="preserve">fixed-dose </w:t>
      </w:r>
      <w:proofErr w:type="spellStart"/>
      <w:r w:rsidR="003763F0">
        <w:rPr>
          <w:rFonts w:eastAsia="MS Mincho"/>
        </w:rPr>
        <w:t>abacavir</w:t>
      </w:r>
      <w:proofErr w:type="spellEnd"/>
      <w:r w:rsidR="003763F0">
        <w:rPr>
          <w:rFonts w:eastAsia="MS Mincho"/>
        </w:rPr>
        <w:t xml:space="preserve"> sulphate</w:t>
      </w:r>
      <w:r w:rsidR="009514FB">
        <w:rPr>
          <w:rFonts w:eastAsia="MS Mincho"/>
        </w:rPr>
        <w:t xml:space="preserve"> and lamivudine or fixed dose </w:t>
      </w:r>
      <w:proofErr w:type="spellStart"/>
      <w:r w:rsidRPr="00E40993">
        <w:rPr>
          <w:rFonts w:eastAsia="MS Mincho"/>
        </w:rPr>
        <w:t>efavirenz</w:t>
      </w:r>
      <w:r w:rsidR="009514FB">
        <w:rPr>
          <w:rFonts w:eastAsia="MS Mincho"/>
        </w:rPr>
        <w:t>-tenofovir-</w:t>
      </w:r>
      <w:r w:rsidRPr="00E40993">
        <w:rPr>
          <w:rFonts w:eastAsia="MS Mincho"/>
        </w:rPr>
        <w:t>emtricitabine</w:t>
      </w:r>
      <w:proofErr w:type="spellEnd"/>
      <w:r w:rsidRPr="00E40993">
        <w:rPr>
          <w:rFonts w:eastAsia="MS Mincho"/>
        </w:rPr>
        <w:t xml:space="preserve"> (EFV/TDF/FTC). At baseline, median </w:t>
      </w:r>
      <w:r w:rsidR="007C720C">
        <w:rPr>
          <w:rFonts w:eastAsia="MS Mincho"/>
        </w:rPr>
        <w:t>patient</w:t>
      </w:r>
      <w:r w:rsidRPr="00E40993">
        <w:rPr>
          <w:rFonts w:eastAsia="MS Mincho"/>
        </w:rPr>
        <w:t xml:space="preserve"> age was 35 years, 16% were female, 32% non-white, 7% had hepatitis C co-infection and 4% were CDC Class C, these characteristics were similar between treatment groups. </w:t>
      </w:r>
    </w:p>
    <w:p w:rsidR="00460B66" w:rsidRPr="00E40993" w:rsidRDefault="00460B66" w:rsidP="008D6904">
      <w:pPr>
        <w:rPr>
          <w:rFonts w:eastAsia="MS Mincho"/>
        </w:rPr>
      </w:pPr>
      <w:proofErr w:type="spellStart"/>
      <w:r w:rsidRPr="00E40993">
        <w:t>Virologic</w:t>
      </w:r>
      <w:proofErr w:type="spellEnd"/>
      <w:r w:rsidRPr="00E40993">
        <w:t xml:space="preserve"> outcomes (including outcomes by key baseline covariates) are described below.</w:t>
      </w:r>
    </w:p>
    <w:p w:rsidR="00E54C3C" w:rsidRDefault="00460B66">
      <w:pPr>
        <w:pStyle w:val="captiontable"/>
        <w:spacing w:after="120"/>
        <w:jc w:val="left"/>
      </w:pPr>
      <w:r w:rsidRPr="00E40993">
        <w:t xml:space="preserve">Table </w:t>
      </w:r>
      <w:r w:rsidR="0045447B" w:rsidRPr="00E40993">
        <w:t>2</w:t>
      </w:r>
      <w:r w:rsidRPr="00E40993">
        <w:tab/>
      </w:r>
      <w:proofErr w:type="spellStart"/>
      <w:r w:rsidRPr="00E40993">
        <w:t>Virologic</w:t>
      </w:r>
      <w:proofErr w:type="spellEnd"/>
      <w:r w:rsidRPr="00E40993">
        <w:t xml:space="preserve"> Outcomes of Randomized Treatment of SINGLE </w:t>
      </w:r>
      <w:r w:rsidR="00F63D90" w:rsidRPr="00E40993">
        <w:rPr>
          <w:rFonts w:eastAsia="MS Mincho"/>
        </w:rPr>
        <w:t>(ING114467)</w:t>
      </w:r>
      <w:r w:rsidR="00F63D90">
        <w:rPr>
          <w:rFonts w:eastAsia="MS Mincho"/>
        </w:rPr>
        <w:t xml:space="preserve"> </w:t>
      </w:r>
      <w:r w:rsidRPr="00E40993">
        <w:t>at 48 Weeks (Snapshot algorithm</w:t>
      </w:r>
      <w:r w:rsidR="002820C1">
        <w:t xml:space="preserve"> – missing or discontinuation = failure</w:t>
      </w:r>
      <w:r w:rsidRPr="00E409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551"/>
        <w:gridCol w:w="2126"/>
        <w:gridCol w:w="246"/>
      </w:tblGrid>
      <w:tr w:rsidR="00460B66" w:rsidRPr="00E40993" w:rsidTr="00395778">
        <w:tc>
          <w:tcPr>
            <w:tcW w:w="3936" w:type="dxa"/>
          </w:tcPr>
          <w:p w:rsidR="00460B66" w:rsidRPr="00E40993" w:rsidRDefault="00460B66" w:rsidP="00460B66">
            <w:pPr>
              <w:pStyle w:val="tabletextNS"/>
              <w:keepNext/>
              <w:rPr>
                <w:sz w:val="20"/>
              </w:rPr>
            </w:pPr>
          </w:p>
        </w:tc>
        <w:tc>
          <w:tcPr>
            <w:tcW w:w="4923" w:type="dxa"/>
            <w:gridSpan w:val="3"/>
          </w:tcPr>
          <w:p w:rsidR="00460B66" w:rsidRPr="00E40993" w:rsidRDefault="00460B66" w:rsidP="00460B66">
            <w:pPr>
              <w:pStyle w:val="tabletextNS"/>
              <w:keepNext/>
              <w:jc w:val="center"/>
              <w:rPr>
                <w:b/>
                <w:sz w:val="20"/>
              </w:rPr>
            </w:pPr>
            <w:r w:rsidRPr="00E40993">
              <w:rPr>
                <w:b/>
                <w:sz w:val="20"/>
              </w:rPr>
              <w:t>48 Weeks</w:t>
            </w:r>
          </w:p>
        </w:tc>
      </w:tr>
      <w:tr w:rsidR="00460B66" w:rsidRPr="00E40993" w:rsidTr="00395778">
        <w:tc>
          <w:tcPr>
            <w:tcW w:w="3936" w:type="dxa"/>
          </w:tcPr>
          <w:p w:rsidR="00E54C3C" w:rsidRDefault="00E54C3C">
            <w:pPr>
              <w:pStyle w:val="tabletextNS"/>
              <w:keepNext/>
              <w:spacing w:after="0"/>
              <w:rPr>
                <w:sz w:val="20"/>
              </w:rPr>
            </w:pPr>
          </w:p>
        </w:tc>
        <w:tc>
          <w:tcPr>
            <w:tcW w:w="2551" w:type="dxa"/>
          </w:tcPr>
          <w:p w:rsidR="00E54C3C" w:rsidRDefault="003A6F2C">
            <w:pPr>
              <w:pStyle w:val="tabletextNS"/>
              <w:keepNext/>
              <w:spacing w:after="0"/>
              <w:jc w:val="center"/>
              <w:rPr>
                <w:b/>
                <w:sz w:val="20"/>
              </w:rPr>
            </w:pPr>
            <w:r>
              <w:rPr>
                <w:b/>
                <w:sz w:val="20"/>
              </w:rPr>
              <w:t>DTG</w:t>
            </w:r>
            <w:r w:rsidRPr="00E40993">
              <w:rPr>
                <w:b/>
                <w:sz w:val="20"/>
              </w:rPr>
              <w:t xml:space="preserve"> </w:t>
            </w:r>
            <w:r w:rsidR="00460B66" w:rsidRPr="00E40993">
              <w:rPr>
                <w:b/>
                <w:sz w:val="20"/>
              </w:rPr>
              <w:t xml:space="preserve">+ </w:t>
            </w:r>
            <w:r>
              <w:rPr>
                <w:b/>
                <w:sz w:val="20"/>
              </w:rPr>
              <w:t>ABC/3TC</w:t>
            </w:r>
          </w:p>
          <w:p w:rsidR="00E54C3C" w:rsidRDefault="00460B66">
            <w:pPr>
              <w:pStyle w:val="tabletextNS"/>
              <w:keepNext/>
              <w:spacing w:after="0"/>
              <w:jc w:val="center"/>
              <w:rPr>
                <w:b/>
                <w:sz w:val="20"/>
              </w:rPr>
            </w:pPr>
            <w:r w:rsidRPr="00E40993">
              <w:rPr>
                <w:b/>
                <w:sz w:val="20"/>
              </w:rPr>
              <w:t>Once Daily</w:t>
            </w:r>
          </w:p>
          <w:p w:rsidR="00E54C3C" w:rsidRDefault="00460B66">
            <w:pPr>
              <w:pStyle w:val="tabletextNS"/>
              <w:keepNext/>
              <w:spacing w:after="0"/>
              <w:jc w:val="center"/>
              <w:rPr>
                <w:b/>
                <w:sz w:val="20"/>
              </w:rPr>
            </w:pPr>
            <w:r w:rsidRPr="00E40993">
              <w:rPr>
                <w:b/>
                <w:sz w:val="20"/>
              </w:rPr>
              <w:t>N=414</w:t>
            </w:r>
          </w:p>
        </w:tc>
        <w:tc>
          <w:tcPr>
            <w:tcW w:w="2372" w:type="dxa"/>
            <w:gridSpan w:val="2"/>
            <w:tcBorders>
              <w:bottom w:val="single" w:sz="4" w:space="0" w:color="auto"/>
            </w:tcBorders>
          </w:tcPr>
          <w:p w:rsidR="00E54C3C" w:rsidRDefault="00460B66">
            <w:pPr>
              <w:pStyle w:val="tabletextNS"/>
              <w:keepNext/>
              <w:spacing w:after="0"/>
              <w:jc w:val="center"/>
              <w:rPr>
                <w:b/>
                <w:sz w:val="20"/>
              </w:rPr>
            </w:pPr>
            <w:r w:rsidRPr="00E40993">
              <w:rPr>
                <w:b/>
                <w:sz w:val="20"/>
              </w:rPr>
              <w:t>EFV/TDF/FTC</w:t>
            </w:r>
          </w:p>
          <w:p w:rsidR="00E54C3C" w:rsidRDefault="00460B66">
            <w:pPr>
              <w:pStyle w:val="tabletextNS"/>
              <w:keepNext/>
              <w:spacing w:after="0"/>
              <w:jc w:val="center"/>
              <w:rPr>
                <w:b/>
                <w:sz w:val="20"/>
              </w:rPr>
            </w:pPr>
            <w:r w:rsidRPr="00E40993">
              <w:rPr>
                <w:b/>
                <w:sz w:val="20"/>
              </w:rPr>
              <w:t>Once Daily</w:t>
            </w:r>
          </w:p>
          <w:p w:rsidR="00E54C3C" w:rsidRDefault="00460B66">
            <w:pPr>
              <w:pStyle w:val="tabletextNS"/>
              <w:keepNext/>
              <w:spacing w:after="0"/>
              <w:jc w:val="center"/>
              <w:rPr>
                <w:b/>
                <w:sz w:val="20"/>
              </w:rPr>
            </w:pPr>
            <w:r w:rsidRPr="00E40993">
              <w:rPr>
                <w:b/>
                <w:sz w:val="20"/>
              </w:rPr>
              <w:t>N=419</w:t>
            </w:r>
          </w:p>
        </w:tc>
      </w:tr>
      <w:tr w:rsidR="00460B66" w:rsidRPr="00E40993" w:rsidTr="00395778">
        <w:tc>
          <w:tcPr>
            <w:tcW w:w="3936" w:type="dxa"/>
            <w:vAlign w:val="center"/>
          </w:tcPr>
          <w:p w:rsidR="002820C1" w:rsidRDefault="002820C1" w:rsidP="00460B66">
            <w:pPr>
              <w:pStyle w:val="tabletextNS"/>
              <w:keepNext/>
              <w:rPr>
                <w:b/>
                <w:bCs/>
                <w:sz w:val="20"/>
              </w:rPr>
            </w:pPr>
            <w:proofErr w:type="spellStart"/>
            <w:r>
              <w:rPr>
                <w:b/>
                <w:bCs/>
                <w:sz w:val="20"/>
              </w:rPr>
              <w:t>Virologic</w:t>
            </w:r>
            <w:proofErr w:type="spellEnd"/>
            <w:r>
              <w:rPr>
                <w:b/>
                <w:bCs/>
                <w:sz w:val="20"/>
              </w:rPr>
              <w:t xml:space="preserve"> Success</w:t>
            </w:r>
          </w:p>
          <w:p w:rsidR="00460B66" w:rsidRPr="00E40993" w:rsidRDefault="00460B66" w:rsidP="00460B66">
            <w:pPr>
              <w:pStyle w:val="tabletextNS"/>
              <w:keepNext/>
              <w:rPr>
                <w:sz w:val="20"/>
              </w:rPr>
            </w:pPr>
            <w:r w:rsidRPr="00E40993">
              <w:rPr>
                <w:b/>
                <w:bCs/>
                <w:sz w:val="20"/>
              </w:rPr>
              <w:t>HIV-1 RNA &lt;50 copies/mL</w:t>
            </w:r>
          </w:p>
        </w:tc>
        <w:tc>
          <w:tcPr>
            <w:tcW w:w="2551" w:type="dxa"/>
          </w:tcPr>
          <w:p w:rsidR="00460B66" w:rsidRPr="00E40993" w:rsidRDefault="00460B66" w:rsidP="00460B66">
            <w:pPr>
              <w:pStyle w:val="tabletextNS"/>
              <w:keepNext/>
              <w:jc w:val="center"/>
              <w:rPr>
                <w:sz w:val="20"/>
              </w:rPr>
            </w:pPr>
            <w:r w:rsidRPr="00E40993">
              <w:rPr>
                <w:sz w:val="20"/>
              </w:rPr>
              <w:t>88%</w:t>
            </w:r>
          </w:p>
        </w:tc>
        <w:tc>
          <w:tcPr>
            <w:tcW w:w="2372" w:type="dxa"/>
            <w:gridSpan w:val="2"/>
          </w:tcPr>
          <w:p w:rsidR="00460B66" w:rsidRPr="00E40993" w:rsidRDefault="00460B66" w:rsidP="00460B66">
            <w:pPr>
              <w:pStyle w:val="tabletextNS"/>
              <w:keepNext/>
              <w:jc w:val="center"/>
              <w:rPr>
                <w:sz w:val="20"/>
              </w:rPr>
            </w:pPr>
            <w:r w:rsidRPr="00E40993">
              <w:rPr>
                <w:sz w:val="20"/>
              </w:rPr>
              <w:t>81%</w:t>
            </w:r>
          </w:p>
        </w:tc>
      </w:tr>
      <w:tr w:rsidR="00460B66" w:rsidRPr="00E40993" w:rsidTr="00395778">
        <w:tc>
          <w:tcPr>
            <w:tcW w:w="3936" w:type="dxa"/>
            <w:vAlign w:val="center"/>
          </w:tcPr>
          <w:p w:rsidR="00460B66" w:rsidRPr="00E40993" w:rsidRDefault="00460B66" w:rsidP="00460B66">
            <w:pPr>
              <w:pStyle w:val="tabletextNS"/>
              <w:keepNext/>
              <w:rPr>
                <w:b/>
                <w:bCs/>
                <w:sz w:val="20"/>
              </w:rPr>
            </w:pPr>
            <w:r w:rsidRPr="00E40993">
              <w:rPr>
                <w:b/>
                <w:bCs/>
                <w:sz w:val="20"/>
              </w:rPr>
              <w:t xml:space="preserve">  Treatment </w:t>
            </w:r>
            <w:r w:rsidRPr="00E40993">
              <w:rPr>
                <w:b/>
                <w:sz w:val="20"/>
              </w:rPr>
              <w:t>Difference</w:t>
            </w:r>
            <w:r w:rsidRPr="00E40993">
              <w:rPr>
                <w:sz w:val="20"/>
              </w:rPr>
              <w:t>*</w:t>
            </w:r>
          </w:p>
        </w:tc>
        <w:tc>
          <w:tcPr>
            <w:tcW w:w="4923" w:type="dxa"/>
            <w:gridSpan w:val="3"/>
          </w:tcPr>
          <w:p w:rsidR="00460B66" w:rsidRPr="00E40993" w:rsidRDefault="00460B66" w:rsidP="00460B66">
            <w:pPr>
              <w:pStyle w:val="tabletextNS"/>
              <w:keepNext/>
              <w:jc w:val="center"/>
              <w:rPr>
                <w:sz w:val="20"/>
              </w:rPr>
            </w:pPr>
            <w:r w:rsidRPr="00E40993">
              <w:rPr>
                <w:sz w:val="20"/>
              </w:rPr>
              <w:t>7.4% (95% CI: 2.5%, 12.3%)</w:t>
            </w:r>
          </w:p>
        </w:tc>
      </w:tr>
      <w:tr w:rsidR="00460B66" w:rsidRPr="00E40993" w:rsidTr="00395778">
        <w:tc>
          <w:tcPr>
            <w:tcW w:w="3936" w:type="dxa"/>
            <w:tcBorders>
              <w:bottom w:val="single" w:sz="4" w:space="0" w:color="auto"/>
            </w:tcBorders>
          </w:tcPr>
          <w:p w:rsidR="00460B66" w:rsidRPr="00E40993" w:rsidRDefault="00460B66" w:rsidP="00460B66">
            <w:pPr>
              <w:pStyle w:val="tabletextNS"/>
              <w:keepNext/>
              <w:rPr>
                <w:sz w:val="20"/>
              </w:rPr>
            </w:pPr>
            <w:proofErr w:type="spellStart"/>
            <w:r w:rsidRPr="00E40993">
              <w:rPr>
                <w:b/>
                <w:bCs/>
                <w:sz w:val="20"/>
              </w:rPr>
              <w:t>Virologic</w:t>
            </w:r>
            <w:proofErr w:type="spellEnd"/>
            <w:r w:rsidRPr="00E40993">
              <w:rPr>
                <w:b/>
                <w:bCs/>
                <w:sz w:val="20"/>
              </w:rPr>
              <w:t xml:space="preserve"> non response† </w:t>
            </w:r>
          </w:p>
        </w:tc>
        <w:tc>
          <w:tcPr>
            <w:tcW w:w="2551" w:type="dxa"/>
            <w:tcBorders>
              <w:bottom w:val="single" w:sz="4" w:space="0" w:color="auto"/>
            </w:tcBorders>
          </w:tcPr>
          <w:p w:rsidR="00460B66" w:rsidRPr="00E40993" w:rsidRDefault="00460B66" w:rsidP="00460B66">
            <w:pPr>
              <w:pStyle w:val="tabletextNS"/>
              <w:keepNext/>
              <w:jc w:val="center"/>
              <w:rPr>
                <w:sz w:val="20"/>
              </w:rPr>
            </w:pPr>
            <w:r w:rsidRPr="00E40993">
              <w:rPr>
                <w:sz w:val="20"/>
              </w:rPr>
              <w:t>5%</w:t>
            </w:r>
          </w:p>
        </w:tc>
        <w:tc>
          <w:tcPr>
            <w:tcW w:w="2372" w:type="dxa"/>
            <w:gridSpan w:val="2"/>
            <w:tcBorders>
              <w:bottom w:val="single" w:sz="4" w:space="0" w:color="auto"/>
            </w:tcBorders>
          </w:tcPr>
          <w:p w:rsidR="00460B66" w:rsidRPr="00E40993" w:rsidRDefault="00460B66" w:rsidP="00460B66">
            <w:pPr>
              <w:pStyle w:val="tabletextNS"/>
              <w:keepNext/>
              <w:jc w:val="center"/>
              <w:rPr>
                <w:sz w:val="20"/>
              </w:rPr>
            </w:pPr>
            <w:r w:rsidRPr="00E40993">
              <w:rPr>
                <w:sz w:val="20"/>
              </w:rPr>
              <w:t>6%</w:t>
            </w:r>
          </w:p>
        </w:tc>
      </w:tr>
      <w:tr w:rsidR="00460B66" w:rsidRPr="00E40993" w:rsidTr="00395778">
        <w:tc>
          <w:tcPr>
            <w:tcW w:w="3936" w:type="dxa"/>
            <w:tcBorders>
              <w:bottom w:val="single" w:sz="4" w:space="0" w:color="auto"/>
            </w:tcBorders>
          </w:tcPr>
          <w:p w:rsidR="00460B66" w:rsidRPr="00E40993" w:rsidRDefault="00460B66" w:rsidP="00460B66">
            <w:pPr>
              <w:pStyle w:val="tabletextNS"/>
              <w:keepNext/>
              <w:rPr>
                <w:b/>
                <w:sz w:val="20"/>
              </w:rPr>
            </w:pPr>
            <w:r w:rsidRPr="00E40993">
              <w:rPr>
                <w:b/>
                <w:sz w:val="20"/>
              </w:rPr>
              <w:t xml:space="preserve">No </w:t>
            </w:r>
            <w:proofErr w:type="spellStart"/>
            <w:r w:rsidRPr="00E40993">
              <w:rPr>
                <w:b/>
                <w:sz w:val="20"/>
              </w:rPr>
              <w:t>virologic</w:t>
            </w:r>
            <w:proofErr w:type="spellEnd"/>
            <w:r w:rsidRPr="00E40993">
              <w:rPr>
                <w:b/>
                <w:sz w:val="20"/>
              </w:rPr>
              <w:t xml:space="preserve"> data at Weeks 48 window </w:t>
            </w:r>
          </w:p>
        </w:tc>
        <w:tc>
          <w:tcPr>
            <w:tcW w:w="2551" w:type="dxa"/>
            <w:tcBorders>
              <w:bottom w:val="single" w:sz="4" w:space="0" w:color="auto"/>
            </w:tcBorders>
            <w:vAlign w:val="center"/>
          </w:tcPr>
          <w:p w:rsidR="00460B66" w:rsidRPr="00E40993" w:rsidRDefault="00460B66" w:rsidP="00460B66">
            <w:pPr>
              <w:pStyle w:val="tabletextNS"/>
              <w:keepNext/>
              <w:jc w:val="center"/>
              <w:rPr>
                <w:sz w:val="20"/>
              </w:rPr>
            </w:pPr>
            <w:r w:rsidRPr="00E40993">
              <w:rPr>
                <w:sz w:val="20"/>
              </w:rPr>
              <w:t>7%</w:t>
            </w:r>
          </w:p>
        </w:tc>
        <w:tc>
          <w:tcPr>
            <w:tcW w:w="2372" w:type="dxa"/>
            <w:gridSpan w:val="2"/>
            <w:tcBorders>
              <w:bottom w:val="single" w:sz="4" w:space="0" w:color="auto"/>
            </w:tcBorders>
            <w:vAlign w:val="center"/>
          </w:tcPr>
          <w:p w:rsidR="00460B66" w:rsidRPr="00E40993" w:rsidRDefault="00460B66" w:rsidP="00460B66">
            <w:pPr>
              <w:pStyle w:val="tabletextNS"/>
              <w:keepNext/>
              <w:jc w:val="center"/>
              <w:rPr>
                <w:sz w:val="20"/>
              </w:rPr>
            </w:pPr>
            <w:r w:rsidRPr="00E40993">
              <w:rPr>
                <w:sz w:val="20"/>
              </w:rPr>
              <w:t>13%</w:t>
            </w:r>
          </w:p>
        </w:tc>
      </w:tr>
      <w:tr w:rsidR="00460B66" w:rsidRPr="00E40993" w:rsidTr="00395778">
        <w:tc>
          <w:tcPr>
            <w:tcW w:w="3936" w:type="dxa"/>
            <w:tcBorders>
              <w:bottom w:val="single" w:sz="4" w:space="0" w:color="auto"/>
            </w:tcBorders>
          </w:tcPr>
          <w:p w:rsidR="00460B66" w:rsidRPr="00E40993" w:rsidRDefault="00460B66" w:rsidP="00460B66">
            <w:pPr>
              <w:pStyle w:val="tabletextNS"/>
              <w:keepNext/>
              <w:rPr>
                <w:b/>
                <w:sz w:val="20"/>
              </w:rPr>
            </w:pPr>
            <w:r w:rsidRPr="00E40993">
              <w:rPr>
                <w:sz w:val="20"/>
                <w:u w:val="single"/>
              </w:rPr>
              <w:t>Reasons</w:t>
            </w:r>
          </w:p>
        </w:tc>
        <w:tc>
          <w:tcPr>
            <w:tcW w:w="2551" w:type="dxa"/>
            <w:tcBorders>
              <w:bottom w:val="single" w:sz="4" w:space="0" w:color="auto"/>
            </w:tcBorders>
            <w:vAlign w:val="center"/>
          </w:tcPr>
          <w:p w:rsidR="00460B66" w:rsidRPr="00E40993" w:rsidRDefault="00460B66" w:rsidP="00460B66">
            <w:pPr>
              <w:pStyle w:val="tabletextNS"/>
              <w:keepNext/>
              <w:jc w:val="center"/>
              <w:rPr>
                <w:sz w:val="20"/>
              </w:rPr>
            </w:pPr>
          </w:p>
        </w:tc>
        <w:tc>
          <w:tcPr>
            <w:tcW w:w="2372" w:type="dxa"/>
            <w:gridSpan w:val="2"/>
            <w:tcBorders>
              <w:bottom w:val="single" w:sz="4" w:space="0" w:color="auto"/>
            </w:tcBorders>
            <w:vAlign w:val="center"/>
          </w:tcPr>
          <w:p w:rsidR="00460B66" w:rsidRPr="00E40993" w:rsidRDefault="00460B66" w:rsidP="00460B66">
            <w:pPr>
              <w:pStyle w:val="tabletextNS"/>
              <w:keepNext/>
              <w:jc w:val="center"/>
              <w:rPr>
                <w:sz w:val="20"/>
              </w:rPr>
            </w:pPr>
          </w:p>
        </w:tc>
      </w:tr>
      <w:tr w:rsidR="00460B66" w:rsidRPr="00E40993" w:rsidTr="00395778">
        <w:tc>
          <w:tcPr>
            <w:tcW w:w="3936" w:type="dxa"/>
            <w:tcBorders>
              <w:top w:val="single" w:sz="4" w:space="0" w:color="auto"/>
              <w:bottom w:val="single" w:sz="4" w:space="0" w:color="auto"/>
            </w:tcBorders>
          </w:tcPr>
          <w:p w:rsidR="00460B66" w:rsidRPr="00E40993" w:rsidRDefault="00460B66" w:rsidP="00460B66">
            <w:pPr>
              <w:pStyle w:val="tabletextNS"/>
              <w:keepNext/>
              <w:rPr>
                <w:sz w:val="20"/>
              </w:rPr>
            </w:pPr>
            <w:r w:rsidRPr="00E40993">
              <w:rPr>
                <w:sz w:val="20"/>
              </w:rPr>
              <w:t xml:space="preserve">Discontinued study/study drug due to adverse event or death‡ </w:t>
            </w:r>
          </w:p>
        </w:tc>
        <w:tc>
          <w:tcPr>
            <w:tcW w:w="2551" w:type="dxa"/>
            <w:tcBorders>
              <w:top w:val="single" w:sz="4" w:space="0" w:color="auto"/>
              <w:bottom w:val="single" w:sz="4" w:space="0" w:color="auto"/>
            </w:tcBorders>
            <w:vAlign w:val="center"/>
          </w:tcPr>
          <w:p w:rsidR="00460B66" w:rsidRPr="00E40993" w:rsidRDefault="00460B66" w:rsidP="00460B66">
            <w:pPr>
              <w:pStyle w:val="tabletextNS"/>
              <w:keepNext/>
              <w:jc w:val="center"/>
              <w:rPr>
                <w:sz w:val="20"/>
              </w:rPr>
            </w:pPr>
            <w:r w:rsidRPr="00E40993">
              <w:rPr>
                <w:sz w:val="20"/>
              </w:rPr>
              <w:t>2%</w:t>
            </w:r>
          </w:p>
        </w:tc>
        <w:tc>
          <w:tcPr>
            <w:tcW w:w="2372" w:type="dxa"/>
            <w:gridSpan w:val="2"/>
            <w:tcBorders>
              <w:top w:val="single" w:sz="4" w:space="0" w:color="auto"/>
              <w:bottom w:val="single" w:sz="4" w:space="0" w:color="auto"/>
            </w:tcBorders>
            <w:vAlign w:val="center"/>
          </w:tcPr>
          <w:p w:rsidR="00460B66" w:rsidRPr="00E40993" w:rsidRDefault="00460B66" w:rsidP="00460B66">
            <w:pPr>
              <w:pStyle w:val="tabletextNS"/>
              <w:keepNext/>
              <w:jc w:val="center"/>
              <w:rPr>
                <w:sz w:val="20"/>
              </w:rPr>
            </w:pPr>
            <w:r w:rsidRPr="00E40993">
              <w:rPr>
                <w:sz w:val="20"/>
              </w:rPr>
              <w:t>10%</w:t>
            </w:r>
          </w:p>
        </w:tc>
      </w:tr>
      <w:tr w:rsidR="00460B66" w:rsidRPr="00E40993" w:rsidTr="00395778">
        <w:tc>
          <w:tcPr>
            <w:tcW w:w="3936" w:type="dxa"/>
            <w:tcBorders>
              <w:top w:val="single" w:sz="4" w:space="0" w:color="auto"/>
              <w:bottom w:val="single" w:sz="4" w:space="0" w:color="auto"/>
            </w:tcBorders>
            <w:vAlign w:val="center"/>
          </w:tcPr>
          <w:p w:rsidR="00460B66" w:rsidRPr="00E40993" w:rsidRDefault="00460B66" w:rsidP="00460B66">
            <w:pPr>
              <w:pStyle w:val="tabletextNS"/>
              <w:keepNext/>
              <w:rPr>
                <w:sz w:val="20"/>
              </w:rPr>
            </w:pPr>
            <w:r w:rsidRPr="00E40993">
              <w:rPr>
                <w:sz w:val="20"/>
              </w:rPr>
              <w:t>Discontinued study/study drug for other reasons§</w:t>
            </w:r>
          </w:p>
        </w:tc>
        <w:tc>
          <w:tcPr>
            <w:tcW w:w="2551" w:type="dxa"/>
            <w:tcBorders>
              <w:top w:val="single" w:sz="4" w:space="0" w:color="auto"/>
              <w:bottom w:val="single" w:sz="4" w:space="0" w:color="auto"/>
            </w:tcBorders>
            <w:vAlign w:val="center"/>
          </w:tcPr>
          <w:p w:rsidR="00460B66" w:rsidRPr="00E40993" w:rsidRDefault="00460B66" w:rsidP="00460B66">
            <w:pPr>
              <w:pStyle w:val="tabletextNS"/>
              <w:keepNext/>
              <w:jc w:val="center"/>
              <w:rPr>
                <w:sz w:val="20"/>
              </w:rPr>
            </w:pPr>
            <w:r w:rsidRPr="00E40993">
              <w:rPr>
                <w:sz w:val="20"/>
              </w:rPr>
              <w:t>5%</w:t>
            </w:r>
          </w:p>
        </w:tc>
        <w:tc>
          <w:tcPr>
            <w:tcW w:w="2372" w:type="dxa"/>
            <w:gridSpan w:val="2"/>
            <w:tcBorders>
              <w:top w:val="single" w:sz="4" w:space="0" w:color="auto"/>
              <w:bottom w:val="single" w:sz="4" w:space="0" w:color="auto"/>
            </w:tcBorders>
            <w:vAlign w:val="center"/>
          </w:tcPr>
          <w:p w:rsidR="00460B66" w:rsidRPr="00E40993" w:rsidRDefault="00460B66" w:rsidP="00460B66">
            <w:pPr>
              <w:pStyle w:val="tabletextNS"/>
              <w:keepNext/>
              <w:jc w:val="center"/>
              <w:rPr>
                <w:sz w:val="20"/>
              </w:rPr>
            </w:pPr>
            <w:r w:rsidRPr="00E40993">
              <w:rPr>
                <w:sz w:val="20"/>
              </w:rPr>
              <w:t>3%</w:t>
            </w:r>
          </w:p>
        </w:tc>
      </w:tr>
      <w:tr w:rsidR="00460B66" w:rsidRPr="00E40993" w:rsidTr="00395778">
        <w:tc>
          <w:tcPr>
            <w:tcW w:w="3936" w:type="dxa"/>
            <w:tcBorders>
              <w:top w:val="single" w:sz="4" w:space="0" w:color="auto"/>
            </w:tcBorders>
          </w:tcPr>
          <w:p w:rsidR="00460B66" w:rsidRPr="00E40993" w:rsidRDefault="00460B66" w:rsidP="00460B66">
            <w:pPr>
              <w:pStyle w:val="tabletextNS"/>
              <w:keepNext/>
              <w:rPr>
                <w:sz w:val="20"/>
              </w:rPr>
            </w:pPr>
            <w:r w:rsidRPr="00E40993">
              <w:rPr>
                <w:sz w:val="20"/>
              </w:rPr>
              <w:t>Missing data during window but on study</w:t>
            </w:r>
          </w:p>
        </w:tc>
        <w:tc>
          <w:tcPr>
            <w:tcW w:w="2551" w:type="dxa"/>
            <w:tcBorders>
              <w:top w:val="single" w:sz="4" w:space="0" w:color="auto"/>
            </w:tcBorders>
            <w:vAlign w:val="center"/>
          </w:tcPr>
          <w:p w:rsidR="00460B66" w:rsidRPr="00E40993" w:rsidRDefault="00460B66" w:rsidP="00460B66">
            <w:pPr>
              <w:pStyle w:val="tabletextNS"/>
              <w:keepNext/>
              <w:jc w:val="center"/>
              <w:rPr>
                <w:sz w:val="20"/>
              </w:rPr>
            </w:pPr>
            <w:r w:rsidRPr="00E40993">
              <w:rPr>
                <w:sz w:val="20"/>
              </w:rPr>
              <w:t>0</w:t>
            </w:r>
          </w:p>
        </w:tc>
        <w:tc>
          <w:tcPr>
            <w:tcW w:w="2372" w:type="dxa"/>
            <w:gridSpan w:val="2"/>
            <w:tcBorders>
              <w:top w:val="nil"/>
            </w:tcBorders>
            <w:vAlign w:val="center"/>
          </w:tcPr>
          <w:p w:rsidR="00460B66" w:rsidRPr="00E40993" w:rsidRDefault="00460B66" w:rsidP="00460B66">
            <w:pPr>
              <w:pStyle w:val="tabletextNS"/>
              <w:keepNext/>
              <w:jc w:val="center"/>
              <w:rPr>
                <w:sz w:val="20"/>
              </w:rPr>
            </w:pPr>
            <w:r w:rsidRPr="00E40993">
              <w:rPr>
                <w:sz w:val="20"/>
              </w:rPr>
              <w:t>&lt;1%</w:t>
            </w:r>
          </w:p>
        </w:tc>
      </w:tr>
      <w:tr w:rsidR="003A6F2C" w:rsidRPr="00E40993" w:rsidTr="003A6F2C">
        <w:tc>
          <w:tcPr>
            <w:tcW w:w="8859" w:type="dxa"/>
            <w:gridSpan w:val="4"/>
            <w:tcBorders>
              <w:bottom w:val="single" w:sz="4" w:space="0" w:color="auto"/>
            </w:tcBorders>
          </w:tcPr>
          <w:p w:rsidR="003A6F2C" w:rsidRPr="003A6F2C" w:rsidRDefault="00532C37" w:rsidP="00460B66">
            <w:pPr>
              <w:pStyle w:val="tabletextNS"/>
              <w:keepNext/>
              <w:jc w:val="center"/>
              <w:rPr>
                <w:b/>
                <w:sz w:val="20"/>
              </w:rPr>
            </w:pPr>
            <w:r w:rsidRPr="00532C37">
              <w:rPr>
                <w:b/>
                <w:sz w:val="20"/>
              </w:rPr>
              <w:t>HIV-1 RNA&lt;50 copies/mL by baseline covariates</w:t>
            </w:r>
          </w:p>
        </w:tc>
      </w:tr>
      <w:tr w:rsidR="00460B66" w:rsidRPr="00E40993" w:rsidTr="00395778">
        <w:tc>
          <w:tcPr>
            <w:tcW w:w="3936" w:type="dxa"/>
            <w:tcBorders>
              <w:bottom w:val="single" w:sz="4" w:space="0" w:color="auto"/>
            </w:tcBorders>
          </w:tcPr>
          <w:p w:rsidR="00460B66" w:rsidRPr="00E40993" w:rsidRDefault="00460B66" w:rsidP="00460B66">
            <w:pPr>
              <w:pStyle w:val="tabletextNS"/>
              <w:keepNext/>
              <w:rPr>
                <w:b/>
                <w:sz w:val="20"/>
              </w:rPr>
            </w:pPr>
            <w:r w:rsidRPr="00E40993">
              <w:rPr>
                <w:b/>
                <w:sz w:val="20"/>
              </w:rPr>
              <w:t>Baseline Plasma Viral Load (copies/mL)</w:t>
            </w:r>
          </w:p>
        </w:tc>
        <w:tc>
          <w:tcPr>
            <w:tcW w:w="2551" w:type="dxa"/>
            <w:tcBorders>
              <w:bottom w:val="single" w:sz="4" w:space="0" w:color="auto"/>
            </w:tcBorders>
            <w:vAlign w:val="center"/>
          </w:tcPr>
          <w:p w:rsidR="00460B66" w:rsidRPr="00E40993" w:rsidRDefault="00460B66" w:rsidP="00460B66">
            <w:pPr>
              <w:pStyle w:val="tabletextNS"/>
              <w:keepNext/>
              <w:jc w:val="center"/>
              <w:rPr>
                <w:sz w:val="20"/>
              </w:rPr>
            </w:pPr>
            <w:r w:rsidRPr="00E40993">
              <w:rPr>
                <w:sz w:val="20"/>
              </w:rPr>
              <w:t>n / N (%)</w:t>
            </w:r>
          </w:p>
        </w:tc>
        <w:tc>
          <w:tcPr>
            <w:tcW w:w="2372" w:type="dxa"/>
            <w:gridSpan w:val="2"/>
            <w:tcBorders>
              <w:bottom w:val="single" w:sz="4" w:space="0" w:color="auto"/>
            </w:tcBorders>
            <w:vAlign w:val="center"/>
          </w:tcPr>
          <w:p w:rsidR="00460B66" w:rsidRPr="00E40993" w:rsidRDefault="00460B66" w:rsidP="00460B66">
            <w:pPr>
              <w:pStyle w:val="tabletextNS"/>
              <w:keepNext/>
              <w:jc w:val="center"/>
              <w:rPr>
                <w:sz w:val="20"/>
              </w:rPr>
            </w:pPr>
            <w:r w:rsidRPr="00E40993">
              <w:rPr>
                <w:sz w:val="20"/>
              </w:rPr>
              <w:t>n / N (%)</w:t>
            </w:r>
          </w:p>
        </w:tc>
      </w:tr>
      <w:tr w:rsidR="00460B66" w:rsidRPr="00E40993" w:rsidTr="00395778">
        <w:tc>
          <w:tcPr>
            <w:tcW w:w="3936" w:type="dxa"/>
            <w:tcBorders>
              <w:bottom w:val="nil"/>
            </w:tcBorders>
          </w:tcPr>
          <w:p w:rsidR="00E54C3C" w:rsidRDefault="00460B66">
            <w:pPr>
              <w:pStyle w:val="tabletextNS"/>
              <w:keepNext/>
              <w:spacing w:after="0"/>
              <w:rPr>
                <w:sz w:val="20"/>
              </w:rPr>
            </w:pPr>
            <w:r w:rsidRPr="00E40993">
              <w:rPr>
                <w:sz w:val="20"/>
              </w:rPr>
              <w:t xml:space="preserve">  </w:t>
            </w:r>
            <w:r w:rsidRPr="00E40993">
              <w:rPr>
                <w:sz w:val="20"/>
              </w:rPr>
              <w:sym w:font="Symbol" w:char="F0A3"/>
            </w:r>
            <w:r w:rsidRPr="00E40993">
              <w:rPr>
                <w:sz w:val="20"/>
              </w:rPr>
              <w:t xml:space="preserve">100,000 </w:t>
            </w:r>
          </w:p>
        </w:tc>
        <w:tc>
          <w:tcPr>
            <w:tcW w:w="2551" w:type="dxa"/>
            <w:tcBorders>
              <w:bottom w:val="nil"/>
            </w:tcBorders>
            <w:vAlign w:val="center"/>
          </w:tcPr>
          <w:p w:rsidR="00E54C3C" w:rsidRDefault="00460B66">
            <w:pPr>
              <w:pStyle w:val="tabletextNS"/>
              <w:keepNext/>
              <w:spacing w:after="0"/>
              <w:jc w:val="center"/>
              <w:rPr>
                <w:sz w:val="20"/>
              </w:rPr>
            </w:pPr>
            <w:r w:rsidRPr="00E40993">
              <w:rPr>
                <w:sz w:val="20"/>
              </w:rPr>
              <w:t>253 / 280 (90%)</w:t>
            </w:r>
          </w:p>
        </w:tc>
        <w:tc>
          <w:tcPr>
            <w:tcW w:w="2126" w:type="dxa"/>
            <w:tcBorders>
              <w:bottom w:val="nil"/>
              <w:right w:val="nil"/>
            </w:tcBorders>
            <w:vAlign w:val="center"/>
          </w:tcPr>
          <w:p w:rsidR="00E54C3C" w:rsidRDefault="00460B66">
            <w:pPr>
              <w:pStyle w:val="tabletextNS"/>
              <w:keepNext/>
              <w:spacing w:after="0"/>
              <w:jc w:val="center"/>
              <w:rPr>
                <w:sz w:val="20"/>
              </w:rPr>
            </w:pPr>
            <w:r w:rsidRPr="00E40993">
              <w:rPr>
                <w:sz w:val="20"/>
              </w:rPr>
              <w:t>238 / 288 (83%)</w:t>
            </w:r>
          </w:p>
        </w:tc>
        <w:tc>
          <w:tcPr>
            <w:tcW w:w="246" w:type="dxa"/>
            <w:vMerge w:val="restart"/>
            <w:tcBorders>
              <w:left w:val="nil"/>
            </w:tcBorders>
          </w:tcPr>
          <w:p w:rsidR="00460B66" w:rsidRPr="00E40993" w:rsidRDefault="00460B66" w:rsidP="00460B66">
            <w:pPr>
              <w:pStyle w:val="tabletextNS"/>
              <w:keepNext/>
              <w:jc w:val="center"/>
              <w:rPr>
                <w:sz w:val="20"/>
              </w:rPr>
            </w:pPr>
          </w:p>
        </w:tc>
      </w:tr>
      <w:tr w:rsidR="00460B66" w:rsidRPr="00E40993" w:rsidTr="00395778">
        <w:tc>
          <w:tcPr>
            <w:tcW w:w="3936" w:type="dxa"/>
            <w:tcBorders>
              <w:top w:val="nil"/>
              <w:bottom w:val="nil"/>
            </w:tcBorders>
            <w:vAlign w:val="center"/>
          </w:tcPr>
          <w:p w:rsidR="00E54C3C" w:rsidRDefault="00460B66">
            <w:pPr>
              <w:pStyle w:val="tabletextNS"/>
              <w:keepNext/>
              <w:spacing w:after="0"/>
              <w:rPr>
                <w:sz w:val="20"/>
              </w:rPr>
            </w:pPr>
            <w:r w:rsidRPr="00E40993">
              <w:rPr>
                <w:sz w:val="20"/>
              </w:rPr>
              <w:t xml:space="preserve">  &gt;100,000 </w:t>
            </w:r>
          </w:p>
        </w:tc>
        <w:tc>
          <w:tcPr>
            <w:tcW w:w="2551" w:type="dxa"/>
            <w:tcBorders>
              <w:top w:val="nil"/>
              <w:bottom w:val="nil"/>
            </w:tcBorders>
            <w:vAlign w:val="center"/>
          </w:tcPr>
          <w:p w:rsidR="00E54C3C" w:rsidRDefault="00460B66">
            <w:pPr>
              <w:pStyle w:val="tabletextNS"/>
              <w:keepNext/>
              <w:spacing w:after="0"/>
              <w:jc w:val="center"/>
              <w:rPr>
                <w:sz w:val="20"/>
              </w:rPr>
            </w:pPr>
            <w:r w:rsidRPr="00E40993">
              <w:rPr>
                <w:sz w:val="20"/>
              </w:rPr>
              <w:t>111 / 134 (83%)</w:t>
            </w:r>
          </w:p>
        </w:tc>
        <w:tc>
          <w:tcPr>
            <w:tcW w:w="2126" w:type="dxa"/>
            <w:tcBorders>
              <w:top w:val="nil"/>
              <w:bottom w:val="single" w:sz="4" w:space="0" w:color="auto"/>
              <w:right w:val="nil"/>
            </w:tcBorders>
            <w:vAlign w:val="center"/>
          </w:tcPr>
          <w:p w:rsidR="00E54C3C" w:rsidRDefault="00460B66">
            <w:pPr>
              <w:pStyle w:val="tabletextNS"/>
              <w:keepNext/>
              <w:spacing w:after="0"/>
              <w:jc w:val="center"/>
              <w:rPr>
                <w:sz w:val="20"/>
              </w:rPr>
            </w:pPr>
            <w:r w:rsidRPr="00E40993">
              <w:rPr>
                <w:sz w:val="20"/>
              </w:rPr>
              <w:t>100 / 131 (76%)</w:t>
            </w:r>
          </w:p>
        </w:tc>
        <w:tc>
          <w:tcPr>
            <w:tcW w:w="246" w:type="dxa"/>
            <w:vMerge/>
            <w:tcBorders>
              <w:left w:val="nil"/>
              <w:bottom w:val="single" w:sz="4" w:space="0" w:color="auto"/>
            </w:tcBorders>
          </w:tcPr>
          <w:p w:rsidR="00460B66" w:rsidRPr="00E40993" w:rsidRDefault="00460B66" w:rsidP="00460B66">
            <w:pPr>
              <w:pStyle w:val="tabletextNS"/>
              <w:keepNext/>
              <w:jc w:val="center"/>
              <w:rPr>
                <w:sz w:val="20"/>
              </w:rPr>
            </w:pPr>
          </w:p>
        </w:tc>
      </w:tr>
      <w:tr w:rsidR="00460B66" w:rsidRPr="00E40993" w:rsidTr="00395778">
        <w:tc>
          <w:tcPr>
            <w:tcW w:w="3936" w:type="dxa"/>
            <w:tcBorders>
              <w:bottom w:val="single" w:sz="4" w:space="0" w:color="auto"/>
            </w:tcBorders>
          </w:tcPr>
          <w:p w:rsidR="00460B66" w:rsidRPr="00E40993" w:rsidRDefault="00460B66" w:rsidP="00460B66">
            <w:pPr>
              <w:pStyle w:val="tabletextNS"/>
              <w:keepNext/>
              <w:rPr>
                <w:b/>
                <w:sz w:val="20"/>
              </w:rPr>
            </w:pPr>
            <w:r w:rsidRPr="00E40993">
              <w:rPr>
                <w:b/>
                <w:sz w:val="20"/>
              </w:rPr>
              <w:t>Baseline CD4+ (cells/</w:t>
            </w:r>
            <w:r w:rsidRPr="00E40993">
              <w:rPr>
                <w:b/>
                <w:bCs/>
                <w:sz w:val="20"/>
              </w:rPr>
              <w:t xml:space="preserve"> mm</w:t>
            </w:r>
            <w:r w:rsidRPr="00E40993">
              <w:rPr>
                <w:b/>
                <w:bCs/>
                <w:sz w:val="20"/>
                <w:vertAlign w:val="superscript"/>
              </w:rPr>
              <w:t>3</w:t>
            </w:r>
            <w:r w:rsidRPr="00E40993">
              <w:rPr>
                <w:b/>
                <w:sz w:val="20"/>
              </w:rPr>
              <w:t>)</w:t>
            </w:r>
          </w:p>
        </w:tc>
        <w:tc>
          <w:tcPr>
            <w:tcW w:w="2551" w:type="dxa"/>
            <w:tcBorders>
              <w:bottom w:val="single" w:sz="4" w:space="0" w:color="auto"/>
            </w:tcBorders>
            <w:vAlign w:val="center"/>
          </w:tcPr>
          <w:p w:rsidR="00460B66" w:rsidRPr="00E40993" w:rsidRDefault="00460B66" w:rsidP="00460B66">
            <w:pPr>
              <w:pStyle w:val="tabletextNS"/>
              <w:keepNext/>
              <w:jc w:val="center"/>
              <w:rPr>
                <w:sz w:val="20"/>
              </w:rPr>
            </w:pPr>
          </w:p>
        </w:tc>
        <w:tc>
          <w:tcPr>
            <w:tcW w:w="2372" w:type="dxa"/>
            <w:gridSpan w:val="2"/>
            <w:tcBorders>
              <w:bottom w:val="single" w:sz="4" w:space="0" w:color="auto"/>
            </w:tcBorders>
            <w:vAlign w:val="center"/>
          </w:tcPr>
          <w:p w:rsidR="00460B66" w:rsidRPr="00E40993" w:rsidRDefault="00460B66" w:rsidP="00460B66">
            <w:pPr>
              <w:pStyle w:val="tabletextNS"/>
              <w:keepNext/>
              <w:jc w:val="center"/>
              <w:rPr>
                <w:sz w:val="20"/>
              </w:rPr>
            </w:pPr>
          </w:p>
        </w:tc>
      </w:tr>
      <w:tr w:rsidR="00460B66" w:rsidRPr="00E40993" w:rsidTr="00395778">
        <w:tc>
          <w:tcPr>
            <w:tcW w:w="3936" w:type="dxa"/>
            <w:tcBorders>
              <w:top w:val="single" w:sz="4" w:space="0" w:color="auto"/>
              <w:bottom w:val="nil"/>
            </w:tcBorders>
          </w:tcPr>
          <w:p w:rsidR="00E54C3C" w:rsidRDefault="00460B66">
            <w:pPr>
              <w:pStyle w:val="tabletextNS"/>
              <w:keepNext/>
              <w:spacing w:after="0"/>
              <w:rPr>
                <w:sz w:val="20"/>
              </w:rPr>
            </w:pPr>
            <w:r w:rsidRPr="00E40993">
              <w:rPr>
                <w:sz w:val="20"/>
              </w:rPr>
              <w:t xml:space="preserve">  &lt;200</w:t>
            </w:r>
            <w:r w:rsidRPr="00E40993">
              <w:rPr>
                <w:bCs/>
                <w:sz w:val="20"/>
              </w:rPr>
              <w:t xml:space="preserve"> </w:t>
            </w:r>
          </w:p>
        </w:tc>
        <w:tc>
          <w:tcPr>
            <w:tcW w:w="2551" w:type="dxa"/>
            <w:tcBorders>
              <w:top w:val="single" w:sz="4" w:space="0" w:color="auto"/>
              <w:bottom w:val="nil"/>
            </w:tcBorders>
          </w:tcPr>
          <w:p w:rsidR="00460B66" w:rsidRPr="00E40993" w:rsidRDefault="00460B66" w:rsidP="003A6F2C">
            <w:pPr>
              <w:keepNext/>
              <w:autoSpaceDE w:val="0"/>
              <w:autoSpaceDN w:val="0"/>
              <w:adjustRightInd w:val="0"/>
              <w:spacing w:after="0"/>
              <w:jc w:val="center"/>
              <w:rPr>
                <w:rFonts w:ascii="Arial Narrow" w:hAnsi="Arial Narrow" w:cs="Arial Narrow"/>
                <w:sz w:val="20"/>
                <w:szCs w:val="24"/>
              </w:rPr>
            </w:pPr>
            <w:r w:rsidRPr="00E40993">
              <w:rPr>
                <w:rFonts w:ascii="Arial Narrow" w:hAnsi="Arial Narrow" w:cs="Arial Narrow"/>
                <w:sz w:val="20"/>
                <w:szCs w:val="24"/>
              </w:rPr>
              <w:t>45 / 57 (79%)</w:t>
            </w:r>
          </w:p>
        </w:tc>
        <w:tc>
          <w:tcPr>
            <w:tcW w:w="2126" w:type="dxa"/>
            <w:tcBorders>
              <w:top w:val="single" w:sz="4" w:space="0" w:color="auto"/>
              <w:bottom w:val="nil"/>
              <w:right w:val="nil"/>
            </w:tcBorders>
          </w:tcPr>
          <w:p w:rsidR="00460B66" w:rsidRPr="00E40993" w:rsidRDefault="00460B66" w:rsidP="003A6F2C">
            <w:pPr>
              <w:keepNext/>
              <w:autoSpaceDE w:val="0"/>
              <w:autoSpaceDN w:val="0"/>
              <w:adjustRightInd w:val="0"/>
              <w:spacing w:after="0"/>
              <w:jc w:val="center"/>
              <w:rPr>
                <w:rFonts w:ascii="Arial Narrow" w:hAnsi="Arial Narrow" w:cs="Arial Narrow"/>
                <w:sz w:val="20"/>
                <w:szCs w:val="24"/>
              </w:rPr>
            </w:pPr>
            <w:r w:rsidRPr="00E40993">
              <w:rPr>
                <w:rFonts w:ascii="Arial Narrow" w:hAnsi="Arial Narrow" w:cs="Arial Narrow"/>
                <w:sz w:val="20"/>
                <w:szCs w:val="24"/>
              </w:rPr>
              <w:t>48 / 62 (77%)</w:t>
            </w:r>
          </w:p>
        </w:tc>
        <w:tc>
          <w:tcPr>
            <w:tcW w:w="246" w:type="dxa"/>
            <w:vMerge w:val="restart"/>
            <w:tcBorders>
              <w:left w:val="nil"/>
            </w:tcBorders>
          </w:tcPr>
          <w:p w:rsidR="00460B66" w:rsidRPr="00E40993" w:rsidRDefault="00460B66" w:rsidP="00460B66">
            <w:pPr>
              <w:keepNext/>
              <w:autoSpaceDE w:val="0"/>
              <w:autoSpaceDN w:val="0"/>
              <w:adjustRightInd w:val="0"/>
              <w:spacing w:after="0"/>
              <w:jc w:val="center"/>
              <w:rPr>
                <w:rFonts w:ascii="Arial Narrow" w:hAnsi="Arial Narrow" w:cs="Arial Narrow"/>
                <w:sz w:val="20"/>
                <w:szCs w:val="24"/>
              </w:rPr>
            </w:pPr>
          </w:p>
        </w:tc>
      </w:tr>
      <w:tr w:rsidR="00460B66" w:rsidRPr="00E40993" w:rsidTr="00395778">
        <w:tc>
          <w:tcPr>
            <w:tcW w:w="3936" w:type="dxa"/>
            <w:tcBorders>
              <w:top w:val="nil"/>
              <w:bottom w:val="nil"/>
            </w:tcBorders>
          </w:tcPr>
          <w:p w:rsidR="00E54C3C" w:rsidRDefault="00460B66">
            <w:pPr>
              <w:pStyle w:val="tabletextNS"/>
              <w:keepNext/>
              <w:spacing w:after="0"/>
              <w:rPr>
                <w:sz w:val="20"/>
              </w:rPr>
            </w:pPr>
            <w:r w:rsidRPr="00E40993">
              <w:rPr>
                <w:sz w:val="20"/>
              </w:rPr>
              <w:t xml:space="preserve">  200 to &lt;350</w:t>
            </w:r>
            <w:r w:rsidRPr="00E40993">
              <w:rPr>
                <w:bCs/>
                <w:sz w:val="20"/>
              </w:rPr>
              <w:t xml:space="preserve"> </w:t>
            </w:r>
          </w:p>
        </w:tc>
        <w:tc>
          <w:tcPr>
            <w:tcW w:w="2551" w:type="dxa"/>
            <w:tcBorders>
              <w:top w:val="nil"/>
              <w:bottom w:val="nil"/>
            </w:tcBorders>
          </w:tcPr>
          <w:p w:rsidR="00460B66" w:rsidRPr="00E40993" w:rsidRDefault="00460B66" w:rsidP="003A6F2C">
            <w:pPr>
              <w:keepNext/>
              <w:autoSpaceDE w:val="0"/>
              <w:autoSpaceDN w:val="0"/>
              <w:adjustRightInd w:val="0"/>
              <w:spacing w:after="0"/>
              <w:jc w:val="center"/>
              <w:rPr>
                <w:rFonts w:ascii="Arial Narrow" w:hAnsi="Arial Narrow" w:cs="Arial Narrow"/>
                <w:sz w:val="20"/>
                <w:szCs w:val="24"/>
              </w:rPr>
            </w:pPr>
            <w:r w:rsidRPr="00E40993">
              <w:rPr>
                <w:rFonts w:ascii="Arial Narrow" w:hAnsi="Arial Narrow" w:cs="Arial Narrow"/>
                <w:sz w:val="20"/>
                <w:szCs w:val="24"/>
              </w:rPr>
              <w:t>143 / 163 (88%)</w:t>
            </w:r>
          </w:p>
        </w:tc>
        <w:tc>
          <w:tcPr>
            <w:tcW w:w="2126" w:type="dxa"/>
            <w:tcBorders>
              <w:top w:val="nil"/>
              <w:bottom w:val="nil"/>
              <w:right w:val="nil"/>
            </w:tcBorders>
          </w:tcPr>
          <w:p w:rsidR="00460B66" w:rsidRPr="00E40993" w:rsidRDefault="00460B66" w:rsidP="003A6F2C">
            <w:pPr>
              <w:keepNext/>
              <w:autoSpaceDE w:val="0"/>
              <w:autoSpaceDN w:val="0"/>
              <w:adjustRightInd w:val="0"/>
              <w:spacing w:after="0"/>
              <w:jc w:val="center"/>
              <w:rPr>
                <w:rFonts w:ascii="Arial Narrow" w:hAnsi="Arial Narrow" w:cs="Arial Narrow"/>
                <w:sz w:val="20"/>
                <w:szCs w:val="24"/>
              </w:rPr>
            </w:pPr>
            <w:r w:rsidRPr="00E40993">
              <w:rPr>
                <w:rFonts w:ascii="Arial Narrow" w:hAnsi="Arial Narrow" w:cs="Arial Narrow"/>
                <w:sz w:val="20"/>
                <w:szCs w:val="24"/>
              </w:rPr>
              <w:t>126 / 159 (79%)</w:t>
            </w:r>
          </w:p>
        </w:tc>
        <w:tc>
          <w:tcPr>
            <w:tcW w:w="246" w:type="dxa"/>
            <w:vMerge/>
            <w:tcBorders>
              <w:left w:val="nil"/>
            </w:tcBorders>
          </w:tcPr>
          <w:p w:rsidR="00460B66" w:rsidRPr="00E40993" w:rsidRDefault="00460B66" w:rsidP="00460B66">
            <w:pPr>
              <w:keepNext/>
              <w:autoSpaceDE w:val="0"/>
              <w:autoSpaceDN w:val="0"/>
              <w:adjustRightInd w:val="0"/>
              <w:spacing w:after="0"/>
              <w:jc w:val="center"/>
              <w:rPr>
                <w:rFonts w:ascii="Arial Narrow" w:hAnsi="Arial Narrow" w:cs="Arial Narrow"/>
                <w:sz w:val="20"/>
                <w:szCs w:val="24"/>
              </w:rPr>
            </w:pPr>
          </w:p>
        </w:tc>
      </w:tr>
      <w:tr w:rsidR="00460B66" w:rsidRPr="00E40993" w:rsidTr="00395778">
        <w:tc>
          <w:tcPr>
            <w:tcW w:w="3936" w:type="dxa"/>
            <w:tcBorders>
              <w:top w:val="nil"/>
              <w:bottom w:val="single" w:sz="4" w:space="0" w:color="auto"/>
            </w:tcBorders>
          </w:tcPr>
          <w:p w:rsidR="00E54C3C" w:rsidRDefault="00460B66">
            <w:pPr>
              <w:pStyle w:val="tabletextNS"/>
              <w:keepNext/>
              <w:spacing w:after="0"/>
              <w:rPr>
                <w:sz w:val="20"/>
              </w:rPr>
            </w:pPr>
            <w:r w:rsidRPr="00E40993">
              <w:rPr>
                <w:sz w:val="20"/>
              </w:rPr>
              <w:t xml:space="preserve">  </w:t>
            </w:r>
            <w:r w:rsidRPr="00E40993">
              <w:rPr>
                <w:sz w:val="20"/>
              </w:rPr>
              <w:sym w:font="Symbol" w:char="F0B3"/>
            </w:r>
            <w:r w:rsidRPr="00E40993">
              <w:rPr>
                <w:sz w:val="20"/>
              </w:rPr>
              <w:t>350</w:t>
            </w:r>
          </w:p>
        </w:tc>
        <w:tc>
          <w:tcPr>
            <w:tcW w:w="2551" w:type="dxa"/>
            <w:tcBorders>
              <w:top w:val="nil"/>
              <w:bottom w:val="single" w:sz="4" w:space="0" w:color="auto"/>
            </w:tcBorders>
          </w:tcPr>
          <w:p w:rsidR="00460B66" w:rsidRPr="00E40993" w:rsidRDefault="00460B66" w:rsidP="003A6F2C">
            <w:pPr>
              <w:keepNext/>
              <w:autoSpaceDE w:val="0"/>
              <w:autoSpaceDN w:val="0"/>
              <w:adjustRightInd w:val="0"/>
              <w:spacing w:after="0"/>
              <w:jc w:val="center"/>
              <w:rPr>
                <w:rFonts w:ascii="Arial Narrow" w:hAnsi="Arial Narrow" w:cs="Arial Narrow"/>
                <w:sz w:val="20"/>
                <w:szCs w:val="24"/>
              </w:rPr>
            </w:pPr>
            <w:r w:rsidRPr="00E40993">
              <w:rPr>
                <w:rFonts w:ascii="Arial Narrow" w:hAnsi="Arial Narrow" w:cs="Arial Narrow"/>
                <w:sz w:val="20"/>
                <w:szCs w:val="24"/>
              </w:rPr>
              <w:t>176 / 194 (91%)</w:t>
            </w:r>
          </w:p>
        </w:tc>
        <w:tc>
          <w:tcPr>
            <w:tcW w:w="2126" w:type="dxa"/>
            <w:tcBorders>
              <w:top w:val="nil"/>
              <w:bottom w:val="single" w:sz="4" w:space="0" w:color="auto"/>
              <w:right w:val="nil"/>
            </w:tcBorders>
          </w:tcPr>
          <w:p w:rsidR="00460B66" w:rsidRPr="00E40993" w:rsidRDefault="00460B66" w:rsidP="003A6F2C">
            <w:pPr>
              <w:keepNext/>
              <w:autoSpaceDE w:val="0"/>
              <w:autoSpaceDN w:val="0"/>
              <w:adjustRightInd w:val="0"/>
              <w:spacing w:after="0"/>
              <w:jc w:val="center"/>
              <w:rPr>
                <w:rFonts w:ascii="Arial Narrow" w:hAnsi="Arial Narrow" w:cs="Arial Narrow"/>
                <w:sz w:val="20"/>
                <w:szCs w:val="24"/>
              </w:rPr>
            </w:pPr>
            <w:r w:rsidRPr="00E40993">
              <w:rPr>
                <w:rFonts w:ascii="Arial Narrow" w:hAnsi="Arial Narrow" w:cs="Arial Narrow"/>
                <w:sz w:val="20"/>
                <w:szCs w:val="24"/>
              </w:rPr>
              <w:t>164 / 198 (83%)</w:t>
            </w:r>
          </w:p>
        </w:tc>
        <w:tc>
          <w:tcPr>
            <w:tcW w:w="246" w:type="dxa"/>
            <w:vMerge/>
            <w:tcBorders>
              <w:left w:val="nil"/>
            </w:tcBorders>
          </w:tcPr>
          <w:p w:rsidR="00460B66" w:rsidRPr="00E40993" w:rsidRDefault="00460B66" w:rsidP="00460B66">
            <w:pPr>
              <w:keepNext/>
              <w:autoSpaceDE w:val="0"/>
              <w:autoSpaceDN w:val="0"/>
              <w:adjustRightInd w:val="0"/>
              <w:spacing w:after="0"/>
              <w:jc w:val="center"/>
              <w:rPr>
                <w:rFonts w:ascii="Arial Narrow" w:hAnsi="Arial Narrow" w:cs="Arial Narrow"/>
                <w:sz w:val="20"/>
                <w:szCs w:val="24"/>
              </w:rPr>
            </w:pPr>
          </w:p>
        </w:tc>
      </w:tr>
      <w:tr w:rsidR="00460B66" w:rsidRPr="00E40993" w:rsidTr="00395778">
        <w:trPr>
          <w:trHeight w:val="210"/>
        </w:trPr>
        <w:tc>
          <w:tcPr>
            <w:tcW w:w="3936" w:type="dxa"/>
            <w:tcBorders>
              <w:top w:val="single" w:sz="4" w:space="0" w:color="auto"/>
              <w:bottom w:val="single" w:sz="4" w:space="0" w:color="auto"/>
            </w:tcBorders>
            <w:vAlign w:val="center"/>
          </w:tcPr>
          <w:p w:rsidR="00460B66" w:rsidRPr="00E40993" w:rsidRDefault="00460B66" w:rsidP="00460B66">
            <w:pPr>
              <w:pStyle w:val="tabletextNS"/>
              <w:keepNext/>
              <w:rPr>
                <w:b/>
                <w:sz w:val="20"/>
              </w:rPr>
            </w:pPr>
            <w:r w:rsidRPr="00E40993">
              <w:rPr>
                <w:b/>
                <w:sz w:val="20"/>
              </w:rPr>
              <w:t>Gender</w:t>
            </w:r>
          </w:p>
        </w:tc>
        <w:tc>
          <w:tcPr>
            <w:tcW w:w="2551" w:type="dxa"/>
            <w:tcBorders>
              <w:top w:val="nil"/>
              <w:left w:val="single" w:sz="4" w:space="0" w:color="auto"/>
              <w:bottom w:val="single" w:sz="4" w:space="0" w:color="auto"/>
              <w:right w:val="single" w:sz="4" w:space="0" w:color="auto"/>
            </w:tcBorders>
            <w:vAlign w:val="center"/>
          </w:tcPr>
          <w:p w:rsidR="00460B66" w:rsidRPr="00E40993" w:rsidRDefault="00460B66" w:rsidP="00460B66">
            <w:pPr>
              <w:pStyle w:val="tabletextNS"/>
              <w:keepNext/>
              <w:jc w:val="center"/>
              <w:rPr>
                <w:sz w:val="20"/>
              </w:rPr>
            </w:pPr>
          </w:p>
        </w:tc>
        <w:tc>
          <w:tcPr>
            <w:tcW w:w="2372" w:type="dxa"/>
            <w:gridSpan w:val="2"/>
            <w:tcBorders>
              <w:top w:val="single" w:sz="4" w:space="0" w:color="auto"/>
              <w:left w:val="single" w:sz="4" w:space="0" w:color="auto"/>
              <w:bottom w:val="single" w:sz="4" w:space="0" w:color="auto"/>
            </w:tcBorders>
            <w:vAlign w:val="center"/>
          </w:tcPr>
          <w:p w:rsidR="00460B66" w:rsidRPr="00E40993" w:rsidRDefault="00460B66" w:rsidP="00460B66">
            <w:pPr>
              <w:pStyle w:val="tabletextNS"/>
              <w:keepNext/>
              <w:jc w:val="center"/>
              <w:rPr>
                <w:sz w:val="20"/>
              </w:rPr>
            </w:pPr>
          </w:p>
        </w:tc>
      </w:tr>
      <w:tr w:rsidR="00460B66" w:rsidRPr="00E40993" w:rsidTr="00395778">
        <w:trPr>
          <w:trHeight w:val="210"/>
        </w:trPr>
        <w:tc>
          <w:tcPr>
            <w:tcW w:w="3936" w:type="dxa"/>
            <w:tcBorders>
              <w:top w:val="single" w:sz="4" w:space="0" w:color="auto"/>
              <w:left w:val="single" w:sz="4" w:space="0" w:color="auto"/>
              <w:bottom w:val="nil"/>
              <w:right w:val="single" w:sz="4" w:space="0" w:color="auto"/>
            </w:tcBorders>
            <w:vAlign w:val="center"/>
          </w:tcPr>
          <w:p w:rsidR="00E54C3C" w:rsidRDefault="00460B66">
            <w:pPr>
              <w:pStyle w:val="tabletextNS"/>
              <w:keepNext/>
              <w:spacing w:after="0"/>
              <w:rPr>
                <w:b/>
                <w:sz w:val="20"/>
              </w:rPr>
            </w:pPr>
            <w:r w:rsidRPr="00E40993">
              <w:rPr>
                <w:sz w:val="20"/>
              </w:rPr>
              <w:t xml:space="preserve">  Male </w:t>
            </w:r>
          </w:p>
        </w:tc>
        <w:tc>
          <w:tcPr>
            <w:tcW w:w="2551" w:type="dxa"/>
            <w:tcBorders>
              <w:top w:val="single" w:sz="4" w:space="0" w:color="auto"/>
              <w:left w:val="single" w:sz="4" w:space="0" w:color="auto"/>
              <w:bottom w:val="nil"/>
              <w:right w:val="single" w:sz="4" w:space="0" w:color="auto"/>
            </w:tcBorders>
            <w:vAlign w:val="center"/>
          </w:tcPr>
          <w:p w:rsidR="00E54C3C" w:rsidRDefault="00460B66">
            <w:pPr>
              <w:pStyle w:val="tabletextNS"/>
              <w:keepNext/>
              <w:spacing w:after="0"/>
              <w:jc w:val="center"/>
              <w:rPr>
                <w:sz w:val="20"/>
              </w:rPr>
            </w:pPr>
            <w:r w:rsidRPr="00E40993">
              <w:rPr>
                <w:sz w:val="20"/>
              </w:rPr>
              <w:t>307 / 347 (88%)</w:t>
            </w:r>
          </w:p>
        </w:tc>
        <w:tc>
          <w:tcPr>
            <w:tcW w:w="2126" w:type="dxa"/>
            <w:tcBorders>
              <w:top w:val="single" w:sz="4" w:space="0" w:color="auto"/>
              <w:left w:val="single" w:sz="4" w:space="0" w:color="auto"/>
              <w:bottom w:val="nil"/>
              <w:right w:val="nil"/>
            </w:tcBorders>
            <w:vAlign w:val="center"/>
          </w:tcPr>
          <w:p w:rsidR="00E54C3C" w:rsidRDefault="00460B66">
            <w:pPr>
              <w:pStyle w:val="tabletextNS"/>
              <w:keepNext/>
              <w:spacing w:after="0"/>
              <w:jc w:val="center"/>
              <w:rPr>
                <w:sz w:val="20"/>
              </w:rPr>
            </w:pPr>
            <w:r w:rsidRPr="00E40993">
              <w:rPr>
                <w:sz w:val="20"/>
              </w:rPr>
              <w:t>291 / 356 (82%)</w:t>
            </w:r>
          </w:p>
        </w:tc>
        <w:tc>
          <w:tcPr>
            <w:tcW w:w="246" w:type="dxa"/>
            <w:vMerge w:val="restart"/>
            <w:tcBorders>
              <w:left w:val="nil"/>
            </w:tcBorders>
          </w:tcPr>
          <w:p w:rsidR="00460B66" w:rsidRPr="00E40993" w:rsidRDefault="00460B66" w:rsidP="00460B66">
            <w:pPr>
              <w:pStyle w:val="tabletextNS"/>
              <w:keepNext/>
              <w:jc w:val="center"/>
              <w:rPr>
                <w:sz w:val="20"/>
              </w:rPr>
            </w:pPr>
          </w:p>
        </w:tc>
      </w:tr>
      <w:tr w:rsidR="00460B66" w:rsidRPr="00E40993" w:rsidTr="00395778">
        <w:trPr>
          <w:trHeight w:val="210"/>
        </w:trPr>
        <w:tc>
          <w:tcPr>
            <w:tcW w:w="3936" w:type="dxa"/>
            <w:tcBorders>
              <w:top w:val="nil"/>
              <w:left w:val="single" w:sz="4" w:space="0" w:color="auto"/>
              <w:bottom w:val="single" w:sz="4" w:space="0" w:color="auto"/>
              <w:right w:val="single" w:sz="4" w:space="0" w:color="auto"/>
            </w:tcBorders>
            <w:vAlign w:val="center"/>
          </w:tcPr>
          <w:p w:rsidR="00E54C3C" w:rsidRDefault="00460B66">
            <w:pPr>
              <w:pStyle w:val="tabletextNS"/>
              <w:keepNext/>
              <w:spacing w:after="0"/>
              <w:rPr>
                <w:b/>
                <w:sz w:val="20"/>
              </w:rPr>
            </w:pPr>
            <w:r w:rsidRPr="00E40993">
              <w:rPr>
                <w:sz w:val="20"/>
              </w:rPr>
              <w:t xml:space="preserve">  Female </w:t>
            </w:r>
          </w:p>
        </w:tc>
        <w:tc>
          <w:tcPr>
            <w:tcW w:w="2551" w:type="dxa"/>
            <w:tcBorders>
              <w:top w:val="nil"/>
              <w:left w:val="single" w:sz="4" w:space="0" w:color="auto"/>
              <w:bottom w:val="single" w:sz="4" w:space="0" w:color="auto"/>
              <w:right w:val="single" w:sz="4" w:space="0" w:color="auto"/>
            </w:tcBorders>
            <w:vAlign w:val="center"/>
          </w:tcPr>
          <w:p w:rsidR="00E54C3C" w:rsidRDefault="00460B66">
            <w:pPr>
              <w:pStyle w:val="tabletextNS"/>
              <w:keepNext/>
              <w:spacing w:after="0"/>
              <w:jc w:val="center"/>
              <w:rPr>
                <w:sz w:val="20"/>
              </w:rPr>
            </w:pPr>
            <w:r w:rsidRPr="00E40993">
              <w:rPr>
                <w:sz w:val="20"/>
              </w:rPr>
              <w:t>57 / 67 (85%)</w:t>
            </w:r>
          </w:p>
        </w:tc>
        <w:tc>
          <w:tcPr>
            <w:tcW w:w="2126" w:type="dxa"/>
            <w:tcBorders>
              <w:top w:val="nil"/>
              <w:left w:val="single" w:sz="4" w:space="0" w:color="auto"/>
              <w:bottom w:val="single" w:sz="4" w:space="0" w:color="auto"/>
              <w:right w:val="nil"/>
            </w:tcBorders>
            <w:vAlign w:val="center"/>
          </w:tcPr>
          <w:p w:rsidR="00E54C3C" w:rsidRDefault="00460B66">
            <w:pPr>
              <w:pStyle w:val="tabletextNS"/>
              <w:keepNext/>
              <w:spacing w:after="0"/>
              <w:jc w:val="center"/>
              <w:rPr>
                <w:sz w:val="20"/>
              </w:rPr>
            </w:pPr>
            <w:r w:rsidRPr="00E40993">
              <w:rPr>
                <w:sz w:val="20"/>
              </w:rPr>
              <w:t>47 / 63 (75%)</w:t>
            </w:r>
          </w:p>
        </w:tc>
        <w:tc>
          <w:tcPr>
            <w:tcW w:w="246" w:type="dxa"/>
            <w:vMerge/>
            <w:tcBorders>
              <w:left w:val="nil"/>
            </w:tcBorders>
          </w:tcPr>
          <w:p w:rsidR="00460B66" w:rsidRPr="00E40993" w:rsidRDefault="00460B66" w:rsidP="00460B66">
            <w:pPr>
              <w:pStyle w:val="tabletextNS"/>
              <w:keepNext/>
              <w:jc w:val="center"/>
              <w:rPr>
                <w:sz w:val="20"/>
              </w:rPr>
            </w:pPr>
          </w:p>
        </w:tc>
      </w:tr>
      <w:tr w:rsidR="00460B66" w:rsidRPr="00E40993" w:rsidTr="00395778">
        <w:trPr>
          <w:trHeight w:val="210"/>
        </w:trPr>
        <w:tc>
          <w:tcPr>
            <w:tcW w:w="3936" w:type="dxa"/>
            <w:tcBorders>
              <w:top w:val="single" w:sz="4" w:space="0" w:color="auto"/>
              <w:bottom w:val="single" w:sz="4" w:space="0" w:color="auto"/>
            </w:tcBorders>
            <w:vAlign w:val="center"/>
          </w:tcPr>
          <w:p w:rsidR="00460B66" w:rsidRPr="00E40993" w:rsidRDefault="00460B66" w:rsidP="00460B66">
            <w:pPr>
              <w:pStyle w:val="tabletextNS"/>
              <w:keepNext/>
              <w:rPr>
                <w:b/>
                <w:sz w:val="20"/>
              </w:rPr>
            </w:pPr>
            <w:r w:rsidRPr="00E40993">
              <w:rPr>
                <w:b/>
                <w:sz w:val="20"/>
              </w:rPr>
              <w:t xml:space="preserve">Race </w:t>
            </w:r>
          </w:p>
        </w:tc>
        <w:tc>
          <w:tcPr>
            <w:tcW w:w="2551" w:type="dxa"/>
            <w:tcBorders>
              <w:top w:val="single" w:sz="4" w:space="0" w:color="auto"/>
              <w:left w:val="single" w:sz="4" w:space="0" w:color="auto"/>
              <w:bottom w:val="single" w:sz="4" w:space="0" w:color="auto"/>
              <w:right w:val="single" w:sz="4" w:space="0" w:color="auto"/>
            </w:tcBorders>
            <w:vAlign w:val="center"/>
          </w:tcPr>
          <w:p w:rsidR="00460B66" w:rsidRPr="00E40993" w:rsidRDefault="00460B66" w:rsidP="00460B66">
            <w:pPr>
              <w:pStyle w:val="tabletextNS"/>
              <w:keepNext/>
              <w:jc w:val="center"/>
              <w:rPr>
                <w:sz w:val="20"/>
              </w:rPr>
            </w:pPr>
          </w:p>
        </w:tc>
        <w:tc>
          <w:tcPr>
            <w:tcW w:w="2372" w:type="dxa"/>
            <w:gridSpan w:val="2"/>
            <w:tcBorders>
              <w:top w:val="single" w:sz="4" w:space="0" w:color="auto"/>
              <w:left w:val="single" w:sz="4" w:space="0" w:color="auto"/>
              <w:bottom w:val="single" w:sz="4" w:space="0" w:color="auto"/>
            </w:tcBorders>
            <w:vAlign w:val="center"/>
          </w:tcPr>
          <w:p w:rsidR="00460B66" w:rsidRPr="00E40993" w:rsidRDefault="00460B66" w:rsidP="00460B66">
            <w:pPr>
              <w:pStyle w:val="tabletextNS"/>
              <w:keepNext/>
              <w:jc w:val="center"/>
              <w:rPr>
                <w:sz w:val="20"/>
              </w:rPr>
            </w:pPr>
          </w:p>
        </w:tc>
      </w:tr>
      <w:tr w:rsidR="00460B66" w:rsidRPr="00E40993" w:rsidTr="00395778">
        <w:trPr>
          <w:trHeight w:val="210"/>
        </w:trPr>
        <w:tc>
          <w:tcPr>
            <w:tcW w:w="3936" w:type="dxa"/>
            <w:tcBorders>
              <w:top w:val="single" w:sz="4" w:space="0" w:color="auto"/>
              <w:left w:val="single" w:sz="4" w:space="0" w:color="auto"/>
              <w:bottom w:val="nil"/>
              <w:right w:val="single" w:sz="4" w:space="0" w:color="auto"/>
            </w:tcBorders>
            <w:vAlign w:val="center"/>
          </w:tcPr>
          <w:p w:rsidR="00E54C3C" w:rsidRDefault="00460B66">
            <w:pPr>
              <w:pStyle w:val="tabletextNS"/>
              <w:keepNext/>
              <w:spacing w:after="0"/>
              <w:rPr>
                <w:b/>
                <w:sz w:val="20"/>
              </w:rPr>
            </w:pPr>
            <w:r w:rsidRPr="00E40993">
              <w:rPr>
                <w:sz w:val="20"/>
              </w:rPr>
              <w:t xml:space="preserve">  White </w:t>
            </w:r>
          </w:p>
        </w:tc>
        <w:tc>
          <w:tcPr>
            <w:tcW w:w="2551" w:type="dxa"/>
            <w:tcBorders>
              <w:top w:val="single" w:sz="4" w:space="0" w:color="auto"/>
              <w:left w:val="single" w:sz="4" w:space="0" w:color="auto"/>
              <w:bottom w:val="nil"/>
              <w:right w:val="single" w:sz="4" w:space="0" w:color="auto"/>
            </w:tcBorders>
            <w:vAlign w:val="center"/>
          </w:tcPr>
          <w:p w:rsidR="00E54C3C" w:rsidRDefault="00460B66">
            <w:pPr>
              <w:pStyle w:val="tabletextNS"/>
              <w:keepNext/>
              <w:spacing w:after="0"/>
              <w:jc w:val="center"/>
              <w:rPr>
                <w:sz w:val="20"/>
              </w:rPr>
            </w:pPr>
            <w:r w:rsidRPr="00E40993">
              <w:rPr>
                <w:sz w:val="20"/>
              </w:rPr>
              <w:t>255 / 284 (90%)</w:t>
            </w:r>
          </w:p>
        </w:tc>
        <w:tc>
          <w:tcPr>
            <w:tcW w:w="2126" w:type="dxa"/>
            <w:tcBorders>
              <w:top w:val="single" w:sz="4" w:space="0" w:color="auto"/>
              <w:left w:val="single" w:sz="4" w:space="0" w:color="auto"/>
              <w:bottom w:val="nil"/>
              <w:right w:val="nil"/>
            </w:tcBorders>
            <w:vAlign w:val="center"/>
          </w:tcPr>
          <w:p w:rsidR="00E54C3C" w:rsidRDefault="00460B66">
            <w:pPr>
              <w:pStyle w:val="tabletextNS"/>
              <w:keepNext/>
              <w:spacing w:after="0"/>
              <w:jc w:val="center"/>
              <w:rPr>
                <w:sz w:val="20"/>
              </w:rPr>
            </w:pPr>
            <w:r w:rsidRPr="00E40993">
              <w:rPr>
                <w:sz w:val="20"/>
              </w:rPr>
              <w:t>238 /285 (84%)</w:t>
            </w:r>
          </w:p>
        </w:tc>
        <w:tc>
          <w:tcPr>
            <w:tcW w:w="246" w:type="dxa"/>
            <w:vMerge w:val="restart"/>
            <w:tcBorders>
              <w:left w:val="nil"/>
            </w:tcBorders>
          </w:tcPr>
          <w:p w:rsidR="00460B66" w:rsidRPr="00E40993" w:rsidRDefault="00460B66" w:rsidP="00460B66">
            <w:pPr>
              <w:pStyle w:val="tabletextNS"/>
              <w:keepNext/>
              <w:jc w:val="center"/>
              <w:rPr>
                <w:sz w:val="20"/>
              </w:rPr>
            </w:pPr>
          </w:p>
        </w:tc>
      </w:tr>
      <w:tr w:rsidR="00460B66" w:rsidRPr="00E40993" w:rsidTr="00395778">
        <w:trPr>
          <w:trHeight w:val="210"/>
        </w:trPr>
        <w:tc>
          <w:tcPr>
            <w:tcW w:w="3936" w:type="dxa"/>
            <w:tcBorders>
              <w:top w:val="nil"/>
              <w:left w:val="single" w:sz="4" w:space="0" w:color="auto"/>
              <w:bottom w:val="single" w:sz="4" w:space="0" w:color="auto"/>
              <w:right w:val="single" w:sz="4" w:space="0" w:color="auto"/>
            </w:tcBorders>
            <w:vAlign w:val="center"/>
          </w:tcPr>
          <w:p w:rsidR="00E54C3C" w:rsidRDefault="00460B66" w:rsidP="00F92BE6">
            <w:pPr>
              <w:pStyle w:val="tabletextNS"/>
              <w:keepNext/>
              <w:spacing w:after="0"/>
              <w:rPr>
                <w:sz w:val="20"/>
              </w:rPr>
            </w:pPr>
            <w:r w:rsidRPr="00E40993">
              <w:rPr>
                <w:sz w:val="20"/>
              </w:rPr>
              <w:t xml:space="preserve">  </w:t>
            </w:r>
            <w:r w:rsidR="00F92BE6">
              <w:rPr>
                <w:sz w:val="20"/>
              </w:rPr>
              <w:t>African-American/African Heritage/Other</w:t>
            </w:r>
          </w:p>
        </w:tc>
        <w:tc>
          <w:tcPr>
            <w:tcW w:w="2551" w:type="dxa"/>
            <w:tcBorders>
              <w:top w:val="nil"/>
              <w:left w:val="single" w:sz="4" w:space="0" w:color="auto"/>
              <w:bottom w:val="single" w:sz="4" w:space="0" w:color="auto"/>
              <w:right w:val="single" w:sz="4" w:space="0" w:color="auto"/>
            </w:tcBorders>
            <w:vAlign w:val="center"/>
          </w:tcPr>
          <w:p w:rsidR="00E54C3C" w:rsidRDefault="00460B66">
            <w:pPr>
              <w:pStyle w:val="tabletextNS"/>
              <w:keepNext/>
              <w:spacing w:after="0"/>
              <w:jc w:val="center"/>
              <w:rPr>
                <w:sz w:val="20"/>
              </w:rPr>
            </w:pPr>
            <w:r w:rsidRPr="00E40993">
              <w:rPr>
                <w:sz w:val="20"/>
              </w:rPr>
              <w:t>109 / 130 (84%)</w:t>
            </w:r>
          </w:p>
        </w:tc>
        <w:tc>
          <w:tcPr>
            <w:tcW w:w="2126" w:type="dxa"/>
            <w:tcBorders>
              <w:top w:val="nil"/>
              <w:left w:val="single" w:sz="4" w:space="0" w:color="auto"/>
              <w:bottom w:val="single" w:sz="4" w:space="0" w:color="auto"/>
              <w:right w:val="nil"/>
            </w:tcBorders>
            <w:vAlign w:val="center"/>
          </w:tcPr>
          <w:p w:rsidR="00E54C3C" w:rsidRDefault="00460B66">
            <w:pPr>
              <w:pStyle w:val="tabletextNS"/>
              <w:keepNext/>
              <w:spacing w:after="0"/>
              <w:jc w:val="center"/>
              <w:rPr>
                <w:sz w:val="20"/>
              </w:rPr>
            </w:pPr>
            <w:r w:rsidRPr="00E40993">
              <w:rPr>
                <w:sz w:val="20"/>
              </w:rPr>
              <w:t>99 / 133 (74%)</w:t>
            </w:r>
          </w:p>
        </w:tc>
        <w:tc>
          <w:tcPr>
            <w:tcW w:w="246" w:type="dxa"/>
            <w:vMerge/>
            <w:tcBorders>
              <w:left w:val="nil"/>
            </w:tcBorders>
          </w:tcPr>
          <w:p w:rsidR="00460B66" w:rsidRPr="00E40993" w:rsidRDefault="00460B66" w:rsidP="00460B66">
            <w:pPr>
              <w:pStyle w:val="tabletextNS"/>
              <w:keepNext/>
              <w:jc w:val="center"/>
              <w:rPr>
                <w:sz w:val="20"/>
              </w:rPr>
            </w:pPr>
          </w:p>
        </w:tc>
      </w:tr>
      <w:tr w:rsidR="00460B66" w:rsidRPr="00E40993" w:rsidTr="00395778">
        <w:trPr>
          <w:trHeight w:val="210"/>
        </w:trPr>
        <w:tc>
          <w:tcPr>
            <w:tcW w:w="3936" w:type="dxa"/>
            <w:tcBorders>
              <w:top w:val="single" w:sz="4" w:space="0" w:color="auto"/>
              <w:bottom w:val="single" w:sz="4" w:space="0" w:color="auto"/>
            </w:tcBorders>
            <w:vAlign w:val="center"/>
          </w:tcPr>
          <w:p w:rsidR="00460B66" w:rsidRPr="00E40993" w:rsidRDefault="00460B66" w:rsidP="00460B66">
            <w:pPr>
              <w:pStyle w:val="tabletextNS"/>
              <w:keepNext/>
              <w:rPr>
                <w:b/>
                <w:sz w:val="20"/>
              </w:rPr>
            </w:pPr>
            <w:r w:rsidRPr="00E40993">
              <w:rPr>
                <w:b/>
                <w:sz w:val="20"/>
              </w:rPr>
              <w:t>Age (years)</w:t>
            </w:r>
          </w:p>
        </w:tc>
        <w:tc>
          <w:tcPr>
            <w:tcW w:w="2551" w:type="dxa"/>
            <w:tcBorders>
              <w:top w:val="single" w:sz="4" w:space="0" w:color="auto"/>
              <w:left w:val="single" w:sz="4" w:space="0" w:color="auto"/>
              <w:bottom w:val="single" w:sz="4" w:space="0" w:color="auto"/>
              <w:right w:val="single" w:sz="4" w:space="0" w:color="auto"/>
            </w:tcBorders>
            <w:vAlign w:val="center"/>
          </w:tcPr>
          <w:p w:rsidR="00460B66" w:rsidRPr="00E40993" w:rsidRDefault="00460B66" w:rsidP="00460B66">
            <w:pPr>
              <w:pStyle w:val="tabletextNS"/>
              <w:keepNext/>
              <w:jc w:val="center"/>
              <w:rPr>
                <w:sz w:val="20"/>
              </w:rPr>
            </w:pPr>
          </w:p>
        </w:tc>
        <w:tc>
          <w:tcPr>
            <w:tcW w:w="2372" w:type="dxa"/>
            <w:gridSpan w:val="2"/>
            <w:tcBorders>
              <w:top w:val="single" w:sz="4" w:space="0" w:color="auto"/>
              <w:left w:val="single" w:sz="4" w:space="0" w:color="auto"/>
              <w:bottom w:val="single" w:sz="4" w:space="0" w:color="auto"/>
            </w:tcBorders>
            <w:vAlign w:val="center"/>
          </w:tcPr>
          <w:p w:rsidR="00460B66" w:rsidRPr="00E40993" w:rsidRDefault="00460B66" w:rsidP="00460B66">
            <w:pPr>
              <w:pStyle w:val="tabletextNS"/>
              <w:keepNext/>
              <w:jc w:val="center"/>
              <w:rPr>
                <w:sz w:val="20"/>
              </w:rPr>
            </w:pPr>
          </w:p>
        </w:tc>
      </w:tr>
      <w:tr w:rsidR="00460B66" w:rsidRPr="00E40993" w:rsidTr="00395778">
        <w:trPr>
          <w:trHeight w:val="210"/>
        </w:trPr>
        <w:tc>
          <w:tcPr>
            <w:tcW w:w="3936" w:type="dxa"/>
            <w:tcBorders>
              <w:top w:val="single" w:sz="4" w:space="0" w:color="auto"/>
              <w:left w:val="single" w:sz="4" w:space="0" w:color="auto"/>
              <w:bottom w:val="nil"/>
              <w:right w:val="single" w:sz="4" w:space="0" w:color="auto"/>
            </w:tcBorders>
            <w:vAlign w:val="center"/>
          </w:tcPr>
          <w:p w:rsidR="00E54C3C" w:rsidRDefault="00460B66">
            <w:pPr>
              <w:pStyle w:val="tabletextNS"/>
              <w:keepNext/>
              <w:spacing w:after="0"/>
              <w:rPr>
                <w:sz w:val="20"/>
              </w:rPr>
            </w:pPr>
            <w:r w:rsidRPr="00E40993">
              <w:rPr>
                <w:sz w:val="20"/>
              </w:rPr>
              <w:t xml:space="preserve">  &lt;50</w:t>
            </w:r>
          </w:p>
        </w:tc>
        <w:tc>
          <w:tcPr>
            <w:tcW w:w="2551" w:type="dxa"/>
            <w:tcBorders>
              <w:top w:val="single" w:sz="4" w:space="0" w:color="auto"/>
              <w:left w:val="single" w:sz="4" w:space="0" w:color="auto"/>
              <w:bottom w:val="nil"/>
              <w:right w:val="single" w:sz="4" w:space="0" w:color="auto"/>
            </w:tcBorders>
            <w:vAlign w:val="center"/>
          </w:tcPr>
          <w:p w:rsidR="00E54C3C" w:rsidRDefault="00460B66">
            <w:pPr>
              <w:pStyle w:val="tabletextNS"/>
              <w:keepNext/>
              <w:spacing w:after="0"/>
              <w:jc w:val="center"/>
              <w:rPr>
                <w:sz w:val="20"/>
              </w:rPr>
            </w:pPr>
            <w:r w:rsidRPr="00E40993">
              <w:rPr>
                <w:sz w:val="20"/>
              </w:rPr>
              <w:t>319 / 361 (88%)</w:t>
            </w:r>
          </w:p>
        </w:tc>
        <w:tc>
          <w:tcPr>
            <w:tcW w:w="2126" w:type="dxa"/>
            <w:tcBorders>
              <w:top w:val="single" w:sz="4" w:space="0" w:color="auto"/>
              <w:left w:val="single" w:sz="4" w:space="0" w:color="auto"/>
              <w:bottom w:val="nil"/>
              <w:right w:val="nil"/>
            </w:tcBorders>
            <w:vAlign w:val="center"/>
          </w:tcPr>
          <w:p w:rsidR="00E54C3C" w:rsidRDefault="00460B66">
            <w:pPr>
              <w:pStyle w:val="tabletextNS"/>
              <w:keepNext/>
              <w:spacing w:after="0"/>
              <w:jc w:val="center"/>
              <w:rPr>
                <w:sz w:val="20"/>
              </w:rPr>
            </w:pPr>
            <w:r w:rsidRPr="00E40993">
              <w:rPr>
                <w:sz w:val="20"/>
              </w:rPr>
              <w:t>302 / 375 (81%)</w:t>
            </w:r>
          </w:p>
        </w:tc>
        <w:tc>
          <w:tcPr>
            <w:tcW w:w="246" w:type="dxa"/>
            <w:vMerge w:val="restart"/>
            <w:tcBorders>
              <w:left w:val="nil"/>
            </w:tcBorders>
          </w:tcPr>
          <w:p w:rsidR="00460B66" w:rsidRPr="00E40993" w:rsidRDefault="00460B66" w:rsidP="00460B66">
            <w:pPr>
              <w:pStyle w:val="tabletextNS"/>
              <w:keepNext/>
              <w:jc w:val="center"/>
              <w:rPr>
                <w:sz w:val="20"/>
              </w:rPr>
            </w:pPr>
          </w:p>
        </w:tc>
      </w:tr>
      <w:tr w:rsidR="00460B66" w:rsidRPr="00E40993" w:rsidTr="00395778">
        <w:trPr>
          <w:trHeight w:val="210"/>
        </w:trPr>
        <w:tc>
          <w:tcPr>
            <w:tcW w:w="3936" w:type="dxa"/>
            <w:tcBorders>
              <w:top w:val="nil"/>
              <w:left w:val="single" w:sz="4" w:space="0" w:color="auto"/>
              <w:bottom w:val="single" w:sz="4" w:space="0" w:color="auto"/>
              <w:right w:val="single" w:sz="4" w:space="0" w:color="auto"/>
            </w:tcBorders>
            <w:vAlign w:val="center"/>
          </w:tcPr>
          <w:p w:rsidR="00E54C3C" w:rsidRDefault="00460B66">
            <w:pPr>
              <w:pStyle w:val="tabletextNS"/>
              <w:keepNext/>
              <w:spacing w:after="0"/>
              <w:rPr>
                <w:sz w:val="20"/>
              </w:rPr>
            </w:pPr>
            <w:r w:rsidRPr="00E40993">
              <w:rPr>
                <w:sz w:val="20"/>
              </w:rPr>
              <w:t xml:space="preserve">  </w:t>
            </w:r>
            <w:r w:rsidRPr="00E40993">
              <w:rPr>
                <w:sz w:val="20"/>
              </w:rPr>
              <w:sym w:font="Symbol" w:char="F0B3"/>
            </w:r>
            <w:r w:rsidRPr="00E40993">
              <w:rPr>
                <w:sz w:val="20"/>
              </w:rPr>
              <w:t>50</w:t>
            </w:r>
          </w:p>
        </w:tc>
        <w:tc>
          <w:tcPr>
            <w:tcW w:w="2551" w:type="dxa"/>
            <w:tcBorders>
              <w:top w:val="nil"/>
              <w:left w:val="single" w:sz="4" w:space="0" w:color="auto"/>
              <w:bottom w:val="single" w:sz="4" w:space="0" w:color="auto"/>
              <w:right w:val="single" w:sz="4" w:space="0" w:color="auto"/>
            </w:tcBorders>
            <w:vAlign w:val="center"/>
          </w:tcPr>
          <w:p w:rsidR="00E54C3C" w:rsidRDefault="00460B66">
            <w:pPr>
              <w:pStyle w:val="tabletextNS"/>
              <w:keepNext/>
              <w:spacing w:after="0"/>
              <w:jc w:val="center"/>
              <w:rPr>
                <w:sz w:val="20"/>
              </w:rPr>
            </w:pPr>
            <w:r w:rsidRPr="00E40993">
              <w:rPr>
                <w:sz w:val="20"/>
              </w:rPr>
              <w:t>45 / 53 (85%)</w:t>
            </w:r>
          </w:p>
        </w:tc>
        <w:tc>
          <w:tcPr>
            <w:tcW w:w="2126" w:type="dxa"/>
            <w:tcBorders>
              <w:top w:val="nil"/>
              <w:left w:val="single" w:sz="4" w:space="0" w:color="auto"/>
              <w:bottom w:val="single" w:sz="4" w:space="0" w:color="auto"/>
              <w:right w:val="nil"/>
            </w:tcBorders>
            <w:vAlign w:val="center"/>
          </w:tcPr>
          <w:p w:rsidR="00E54C3C" w:rsidRDefault="00460B66">
            <w:pPr>
              <w:pStyle w:val="tabletextNS"/>
              <w:keepNext/>
              <w:spacing w:after="0"/>
              <w:jc w:val="center"/>
              <w:rPr>
                <w:sz w:val="20"/>
              </w:rPr>
            </w:pPr>
            <w:r w:rsidRPr="00E40993">
              <w:rPr>
                <w:sz w:val="20"/>
              </w:rPr>
              <w:t>36 / 44 (82%)</w:t>
            </w:r>
          </w:p>
        </w:tc>
        <w:tc>
          <w:tcPr>
            <w:tcW w:w="246" w:type="dxa"/>
            <w:vMerge/>
            <w:tcBorders>
              <w:left w:val="nil"/>
              <w:bottom w:val="single" w:sz="4" w:space="0" w:color="auto"/>
            </w:tcBorders>
          </w:tcPr>
          <w:p w:rsidR="00460B66" w:rsidRPr="00E40993" w:rsidRDefault="00460B66" w:rsidP="00460B66">
            <w:pPr>
              <w:pStyle w:val="tabletextNS"/>
              <w:keepNext/>
              <w:jc w:val="center"/>
              <w:rPr>
                <w:sz w:val="20"/>
              </w:rPr>
            </w:pPr>
          </w:p>
        </w:tc>
      </w:tr>
      <w:tr w:rsidR="00460B66" w:rsidRPr="00E40993" w:rsidTr="00460B66">
        <w:trPr>
          <w:trHeight w:val="210"/>
        </w:trPr>
        <w:tc>
          <w:tcPr>
            <w:tcW w:w="8859" w:type="dxa"/>
            <w:gridSpan w:val="4"/>
            <w:tcBorders>
              <w:top w:val="nil"/>
              <w:left w:val="single" w:sz="4" w:space="0" w:color="auto"/>
              <w:bottom w:val="single" w:sz="4" w:space="0" w:color="auto"/>
              <w:right w:val="single" w:sz="4" w:space="0" w:color="auto"/>
            </w:tcBorders>
            <w:vAlign w:val="center"/>
          </w:tcPr>
          <w:p w:rsidR="00E54C3C" w:rsidRDefault="00460B66">
            <w:pPr>
              <w:pStyle w:val="tabletextNS"/>
              <w:keepNext/>
              <w:spacing w:after="0"/>
              <w:rPr>
                <w:sz w:val="20"/>
              </w:rPr>
            </w:pPr>
            <w:r w:rsidRPr="00E40993">
              <w:rPr>
                <w:sz w:val="20"/>
              </w:rPr>
              <w:t>* Adjusted for baseline stratification factors.</w:t>
            </w:r>
          </w:p>
          <w:p w:rsidR="00E54C3C" w:rsidRDefault="00460B66">
            <w:pPr>
              <w:pStyle w:val="tabletextNS"/>
              <w:keepNext/>
              <w:spacing w:after="0"/>
              <w:rPr>
                <w:sz w:val="20"/>
              </w:rPr>
            </w:pPr>
            <w:r w:rsidRPr="00E40993">
              <w:rPr>
                <w:sz w:val="20"/>
              </w:rPr>
              <w:t xml:space="preserve">† Includes </w:t>
            </w:r>
            <w:r w:rsidR="007C720C">
              <w:rPr>
                <w:sz w:val="20"/>
              </w:rPr>
              <w:t>patients</w:t>
            </w:r>
            <w:r w:rsidRPr="00E40993">
              <w:rPr>
                <w:sz w:val="20"/>
              </w:rPr>
              <w:t xml:space="preserve"> who discontinued prior to Week 48</w:t>
            </w:r>
            <w:r w:rsidR="00AE58B9" w:rsidRPr="00E40993">
              <w:rPr>
                <w:sz w:val="20"/>
              </w:rPr>
              <w:t xml:space="preserve"> </w:t>
            </w:r>
            <w:r w:rsidRPr="00E40993">
              <w:rPr>
                <w:sz w:val="20"/>
              </w:rPr>
              <w:t xml:space="preserve">for lack or loss of efficacy and </w:t>
            </w:r>
            <w:r w:rsidR="007C720C">
              <w:rPr>
                <w:sz w:val="20"/>
              </w:rPr>
              <w:t>patient</w:t>
            </w:r>
            <w:r w:rsidRPr="00E40993">
              <w:rPr>
                <w:sz w:val="20"/>
              </w:rPr>
              <w:t xml:space="preserve">s who are </w:t>
            </w:r>
            <w:r w:rsidRPr="00E40993">
              <w:rPr>
                <w:sz w:val="20"/>
              </w:rPr>
              <w:sym w:font="Symbol" w:char="F0B3"/>
            </w:r>
            <w:r w:rsidRPr="00E40993">
              <w:rPr>
                <w:sz w:val="20"/>
              </w:rPr>
              <w:t xml:space="preserve">50 copies in the 48 week window. </w:t>
            </w:r>
          </w:p>
          <w:p w:rsidR="00E54C3C" w:rsidRDefault="00460B66">
            <w:pPr>
              <w:pStyle w:val="tabletextNS"/>
              <w:keepNext/>
              <w:spacing w:after="0"/>
              <w:rPr>
                <w:sz w:val="20"/>
              </w:rPr>
            </w:pPr>
            <w:r w:rsidRPr="00E40993">
              <w:rPr>
                <w:sz w:val="20"/>
              </w:rPr>
              <w:t xml:space="preserve">‡ Includes </w:t>
            </w:r>
            <w:r w:rsidR="007C720C">
              <w:rPr>
                <w:sz w:val="20"/>
              </w:rPr>
              <w:t>patient</w:t>
            </w:r>
            <w:r w:rsidRPr="00E40993">
              <w:rPr>
                <w:sz w:val="20"/>
              </w:rPr>
              <w:t>s who discontinued due to an adverse event or death at any time point from Day 1 through the Week 48</w:t>
            </w:r>
            <w:r w:rsidR="003A6F2C">
              <w:rPr>
                <w:sz w:val="20"/>
              </w:rPr>
              <w:t xml:space="preserve"> </w:t>
            </w:r>
            <w:r w:rsidRPr="00E40993">
              <w:rPr>
                <w:sz w:val="20"/>
              </w:rPr>
              <w:t xml:space="preserve">analysis window if this resulted in no </w:t>
            </w:r>
            <w:proofErr w:type="spellStart"/>
            <w:r w:rsidRPr="00E40993">
              <w:rPr>
                <w:sz w:val="20"/>
              </w:rPr>
              <w:t>virologic</w:t>
            </w:r>
            <w:proofErr w:type="spellEnd"/>
            <w:r w:rsidRPr="00E40993">
              <w:rPr>
                <w:sz w:val="20"/>
              </w:rPr>
              <w:t xml:space="preserve"> data on treatment during the analysis window. </w:t>
            </w:r>
          </w:p>
          <w:p w:rsidR="00E54C3C" w:rsidRDefault="00460B66">
            <w:pPr>
              <w:pStyle w:val="tabletextNS"/>
              <w:keepNext/>
              <w:spacing w:after="0"/>
              <w:rPr>
                <w:sz w:val="20"/>
              </w:rPr>
            </w:pPr>
            <w:r w:rsidRPr="00E40993">
              <w:rPr>
                <w:sz w:val="20"/>
              </w:rPr>
              <w:t xml:space="preserve">§ Includes reasons such as withdrew consent, loss to follow-up, moved, protocol deviation. </w:t>
            </w:r>
          </w:p>
          <w:p w:rsidR="00E54C3C" w:rsidRDefault="00460B66">
            <w:pPr>
              <w:pStyle w:val="tabletextNS"/>
              <w:keepNext/>
              <w:spacing w:after="0"/>
              <w:rPr>
                <w:sz w:val="20"/>
              </w:rPr>
            </w:pPr>
            <w:r w:rsidRPr="00E40993">
              <w:rPr>
                <w:sz w:val="20"/>
              </w:rPr>
              <w:t xml:space="preserve">Notes: </w:t>
            </w:r>
            <w:r w:rsidR="003A6F2C">
              <w:rPr>
                <w:sz w:val="20"/>
              </w:rPr>
              <w:t>ABC/3TC</w:t>
            </w:r>
            <w:r w:rsidR="003A6F2C" w:rsidRPr="00E40993">
              <w:rPr>
                <w:sz w:val="20"/>
              </w:rPr>
              <w:t xml:space="preserve"> </w:t>
            </w:r>
            <w:r w:rsidRPr="00E40993">
              <w:rPr>
                <w:sz w:val="20"/>
              </w:rPr>
              <w:t xml:space="preserve">= </w:t>
            </w:r>
            <w:proofErr w:type="spellStart"/>
            <w:r w:rsidRPr="00E40993">
              <w:rPr>
                <w:sz w:val="20"/>
              </w:rPr>
              <w:t>abacavir</w:t>
            </w:r>
            <w:proofErr w:type="spellEnd"/>
            <w:r w:rsidRPr="00E40993">
              <w:rPr>
                <w:sz w:val="20"/>
              </w:rPr>
              <w:t xml:space="preserve"> 600 mg, lamivudine 300 mg</w:t>
            </w:r>
          </w:p>
          <w:p w:rsidR="00E54C3C" w:rsidRDefault="00460B66">
            <w:pPr>
              <w:pStyle w:val="tabletextNS"/>
              <w:keepNext/>
              <w:spacing w:after="0"/>
              <w:rPr>
                <w:sz w:val="20"/>
              </w:rPr>
            </w:pPr>
            <w:r w:rsidRPr="00E40993">
              <w:rPr>
                <w:sz w:val="20"/>
              </w:rPr>
              <w:t xml:space="preserve">EFV/TDF/FTC = </w:t>
            </w:r>
            <w:proofErr w:type="spellStart"/>
            <w:r w:rsidRPr="00E40993">
              <w:rPr>
                <w:sz w:val="20"/>
              </w:rPr>
              <w:t>efavirenz</w:t>
            </w:r>
            <w:proofErr w:type="spellEnd"/>
            <w:r w:rsidRPr="00E40993">
              <w:rPr>
                <w:sz w:val="20"/>
              </w:rPr>
              <w:t xml:space="preserve"> 600 mg, </w:t>
            </w:r>
            <w:proofErr w:type="spellStart"/>
            <w:r w:rsidRPr="00E40993">
              <w:rPr>
                <w:sz w:val="20"/>
              </w:rPr>
              <w:t>tenofovir</w:t>
            </w:r>
            <w:proofErr w:type="spellEnd"/>
            <w:r w:rsidRPr="00E40993">
              <w:rPr>
                <w:sz w:val="20"/>
              </w:rPr>
              <w:t xml:space="preserve"> 300 mg, </w:t>
            </w:r>
            <w:proofErr w:type="spellStart"/>
            <w:r w:rsidRPr="00E40993">
              <w:rPr>
                <w:sz w:val="20"/>
              </w:rPr>
              <w:t>emtricitabine</w:t>
            </w:r>
            <w:proofErr w:type="spellEnd"/>
            <w:r w:rsidRPr="00E40993">
              <w:rPr>
                <w:sz w:val="20"/>
              </w:rPr>
              <w:t xml:space="preserve"> 200 mg</w:t>
            </w:r>
          </w:p>
          <w:p w:rsidR="00E54C3C" w:rsidRDefault="00460B66">
            <w:pPr>
              <w:pStyle w:val="tabletextNS"/>
              <w:keepNext/>
              <w:spacing w:after="0"/>
              <w:rPr>
                <w:sz w:val="20"/>
              </w:rPr>
            </w:pPr>
            <w:r w:rsidRPr="00E40993">
              <w:rPr>
                <w:sz w:val="20"/>
              </w:rPr>
              <w:t xml:space="preserve">N = Number of </w:t>
            </w:r>
            <w:r w:rsidR="007C720C">
              <w:rPr>
                <w:sz w:val="20"/>
              </w:rPr>
              <w:t>patient</w:t>
            </w:r>
            <w:r w:rsidRPr="00E40993">
              <w:rPr>
                <w:sz w:val="20"/>
              </w:rPr>
              <w:t>s in each treatment group</w:t>
            </w:r>
          </w:p>
        </w:tc>
      </w:tr>
    </w:tbl>
    <w:p w:rsidR="00460B66" w:rsidRPr="00E40993" w:rsidRDefault="00460B66" w:rsidP="00460B66">
      <w:pPr>
        <w:spacing w:after="0"/>
      </w:pPr>
    </w:p>
    <w:p w:rsidR="00460B66" w:rsidRPr="00E40993" w:rsidRDefault="00460B66" w:rsidP="008D6904">
      <w:pPr>
        <w:rPr>
          <w:rFonts w:eastAsia="MS Mincho"/>
        </w:rPr>
      </w:pPr>
      <w:r w:rsidRPr="00E40993">
        <w:t xml:space="preserve">In the primary 48 weeks analysis in the SINGLE study, the proportion of </w:t>
      </w:r>
      <w:r w:rsidR="007C720C">
        <w:t>patient</w:t>
      </w:r>
      <w:r w:rsidRPr="00E40993">
        <w:t xml:space="preserve">s with </w:t>
      </w:r>
      <w:proofErr w:type="spellStart"/>
      <w:r w:rsidRPr="00E40993">
        <w:t>virologic</w:t>
      </w:r>
      <w:proofErr w:type="spellEnd"/>
      <w:r w:rsidRPr="00E40993">
        <w:t xml:space="preserve"> suppression (HIV-1 RNA &lt;50 copies/mL</w:t>
      </w:r>
      <w:r w:rsidR="002820C1">
        <w:t xml:space="preserve"> using a missing or discontinuation = failure analysis</w:t>
      </w:r>
      <w:r w:rsidRPr="00E40993">
        <w:t xml:space="preserve">) in the </w:t>
      </w:r>
      <w:proofErr w:type="spellStart"/>
      <w:r w:rsidR="003A6F2C">
        <w:rPr>
          <w:rFonts w:eastAsia="MS Mincho"/>
        </w:rPr>
        <w:t>dolutegravir</w:t>
      </w:r>
      <w:proofErr w:type="spellEnd"/>
      <w:r w:rsidR="003A6F2C" w:rsidRPr="00E40993">
        <w:rPr>
          <w:rFonts w:eastAsia="MS Mincho"/>
        </w:rPr>
        <w:t xml:space="preserve"> </w:t>
      </w:r>
      <w:r w:rsidR="00FB4C1A" w:rsidRPr="00E40993">
        <w:rPr>
          <w:rFonts w:eastAsia="MS Mincho"/>
        </w:rPr>
        <w:t xml:space="preserve">+ </w:t>
      </w:r>
      <w:r w:rsidR="003A6F2C">
        <w:rPr>
          <w:rFonts w:eastAsia="MS Mincho"/>
        </w:rPr>
        <w:t>ABC/3TC</w:t>
      </w:r>
      <w:r w:rsidRPr="00E40993">
        <w:t xml:space="preserve"> arm</w:t>
      </w:r>
      <w:r w:rsidR="00FB4C1A" w:rsidRPr="00E40993">
        <w:t xml:space="preserve"> </w:t>
      </w:r>
      <w:r w:rsidRPr="00E40993">
        <w:t xml:space="preserve">(88%), was superior to the </w:t>
      </w:r>
      <w:r w:rsidRPr="00E40993">
        <w:rPr>
          <w:rFonts w:eastAsia="MS Mincho"/>
        </w:rPr>
        <w:t>EFV/TDF/FTC arm (81%), p=0.003</w:t>
      </w:r>
      <w:r w:rsidR="004F40DF">
        <w:rPr>
          <w:rFonts w:eastAsia="MS Mincho"/>
        </w:rPr>
        <w:t>. S</w:t>
      </w:r>
      <w:r w:rsidRPr="00E40993">
        <w:rPr>
          <w:rFonts w:eastAsia="MS Mincho"/>
        </w:rPr>
        <w:t xml:space="preserve">imilar treatment difference was observed in </w:t>
      </w:r>
      <w:r w:rsidR="007C720C">
        <w:rPr>
          <w:rFonts w:eastAsia="MS Mincho"/>
        </w:rPr>
        <w:t>patient</w:t>
      </w:r>
      <w:r w:rsidRPr="00E40993">
        <w:rPr>
          <w:rFonts w:eastAsia="MS Mincho"/>
        </w:rPr>
        <w:t>s defined by baseline HIV</w:t>
      </w:r>
      <w:r w:rsidR="004F40DF">
        <w:rPr>
          <w:rFonts w:eastAsia="MS Mincho"/>
        </w:rPr>
        <w:t>-</w:t>
      </w:r>
      <w:r w:rsidRPr="00E40993">
        <w:rPr>
          <w:rFonts w:eastAsia="MS Mincho"/>
        </w:rPr>
        <w:t xml:space="preserve">RNA level (&lt; or &gt; 100,000 copies/mL). The median time to viral suppression was 28 days in the group receiving </w:t>
      </w:r>
      <w:proofErr w:type="spellStart"/>
      <w:r w:rsidR="003A1A27">
        <w:rPr>
          <w:rFonts w:eastAsia="MS Mincho"/>
        </w:rPr>
        <w:t>dolutegravir</w:t>
      </w:r>
      <w:proofErr w:type="spellEnd"/>
      <w:r w:rsidR="003A6F2C" w:rsidRPr="00E40993">
        <w:rPr>
          <w:rFonts w:eastAsia="MS Mincho"/>
        </w:rPr>
        <w:t xml:space="preserve"> </w:t>
      </w:r>
      <w:r w:rsidR="002624EA" w:rsidRPr="00E40993">
        <w:rPr>
          <w:rFonts w:eastAsia="MS Mincho"/>
        </w:rPr>
        <w:t xml:space="preserve">+ </w:t>
      </w:r>
      <w:r w:rsidR="003A6F2C">
        <w:rPr>
          <w:rFonts w:eastAsia="MS Mincho"/>
        </w:rPr>
        <w:t>ABC/3TC</w:t>
      </w:r>
      <w:r w:rsidRPr="00E40993">
        <w:rPr>
          <w:rFonts w:eastAsia="MS Mincho"/>
        </w:rPr>
        <w:t xml:space="preserve"> and 84 days in the EFV/TDF/FTC arm (p&lt;0.0001). </w:t>
      </w:r>
      <w:r w:rsidRPr="00E40993">
        <w:t>The adjusted mean change in CD4+ T cell count from baseline were 267 cells/mm</w:t>
      </w:r>
      <w:r w:rsidRPr="00E40993">
        <w:rPr>
          <w:vertAlign w:val="superscript"/>
        </w:rPr>
        <w:t>3</w:t>
      </w:r>
      <w:r w:rsidRPr="00E40993">
        <w:t xml:space="preserve"> in the group receiving </w:t>
      </w:r>
      <w:proofErr w:type="spellStart"/>
      <w:r w:rsidR="003A6F2C">
        <w:rPr>
          <w:rFonts w:eastAsia="MS Mincho"/>
        </w:rPr>
        <w:t>dolutegravir</w:t>
      </w:r>
      <w:proofErr w:type="spellEnd"/>
      <w:r w:rsidR="002624EA" w:rsidRPr="00E40993">
        <w:rPr>
          <w:rFonts w:eastAsia="MS Mincho"/>
        </w:rPr>
        <w:t xml:space="preserve"> + </w:t>
      </w:r>
      <w:r w:rsidR="003A6F2C">
        <w:rPr>
          <w:rFonts w:eastAsia="MS Mincho"/>
        </w:rPr>
        <w:t>ABC/3TC</w:t>
      </w:r>
      <w:r w:rsidRPr="00E40993">
        <w:t xml:space="preserve"> and 208 cells/mm</w:t>
      </w:r>
      <w:r w:rsidRPr="00E40993">
        <w:rPr>
          <w:vertAlign w:val="superscript"/>
        </w:rPr>
        <w:t>3</w:t>
      </w:r>
      <w:r w:rsidRPr="00E40993">
        <w:t xml:space="preserve"> for the </w:t>
      </w:r>
      <w:r w:rsidRPr="00E40993">
        <w:rPr>
          <w:rFonts w:eastAsia="MS Mincho"/>
        </w:rPr>
        <w:t xml:space="preserve">EFV/TDF/FTC arm in SINGLE at 48 week </w:t>
      </w:r>
      <w:r w:rsidRPr="00E40993">
        <w:t>[adjusted difference between arm (with 95% CI), 58.9 cells (33.4</w:t>
      </w:r>
      <w:r w:rsidR="007561FB">
        <w:t xml:space="preserve"> </w:t>
      </w:r>
      <w:r w:rsidRPr="00E40993">
        <w:t xml:space="preserve">cells to 84.4 cells), p&lt;0.001]. Both the time to viral suppression and change from baseline analyses were </w:t>
      </w:r>
      <w:r w:rsidRPr="00E40993">
        <w:rPr>
          <w:rFonts w:eastAsia="MS Mincho"/>
        </w:rPr>
        <w:t>pre-specified and adjusted for multiplicity.</w:t>
      </w:r>
    </w:p>
    <w:p w:rsidR="00460B66" w:rsidRDefault="00460B66" w:rsidP="008D6904">
      <w:pPr>
        <w:rPr>
          <w:rFonts w:eastAsia="Calibri"/>
        </w:rPr>
      </w:pPr>
      <w:r w:rsidRPr="00B95FBB">
        <w:rPr>
          <w:rFonts w:eastAsia="Calibri"/>
        </w:rPr>
        <w:t xml:space="preserve">At 96 weeks, 80% of study participants on the </w:t>
      </w:r>
      <w:r w:rsidR="003A6F2C" w:rsidRPr="003A6F2C">
        <w:rPr>
          <w:rFonts w:eastAsia="MS Mincho"/>
        </w:rPr>
        <w:t xml:space="preserve"> </w:t>
      </w:r>
      <w:proofErr w:type="spellStart"/>
      <w:r w:rsidR="003A6F2C">
        <w:rPr>
          <w:rFonts w:eastAsia="MS Mincho"/>
        </w:rPr>
        <w:t>dolutegravir</w:t>
      </w:r>
      <w:proofErr w:type="spellEnd"/>
      <w:r w:rsidR="002624EA" w:rsidRPr="00B95FBB">
        <w:rPr>
          <w:rFonts w:eastAsia="MS Mincho"/>
        </w:rPr>
        <w:t xml:space="preserve">+ </w:t>
      </w:r>
      <w:r w:rsidR="003A6F2C">
        <w:rPr>
          <w:rFonts w:eastAsia="MS Mincho"/>
        </w:rPr>
        <w:t>ABC/3TC</w:t>
      </w:r>
      <w:r w:rsidRPr="00B95FBB">
        <w:rPr>
          <w:rFonts w:eastAsia="Calibri"/>
        </w:rPr>
        <w:t xml:space="preserve"> regimen were virologically suppressed</w:t>
      </w:r>
      <w:r w:rsidRPr="00E40993">
        <w:rPr>
          <w:rFonts w:eastAsia="Calibri"/>
        </w:rPr>
        <w:t xml:space="preserve"> (&lt;50 copies/mL</w:t>
      </w:r>
      <w:r w:rsidR="00B95FBB">
        <w:rPr>
          <w:rFonts w:eastAsia="Calibri"/>
        </w:rPr>
        <w:t xml:space="preserve"> using a missing or discontinuation = failure analysis</w:t>
      </w:r>
      <w:r w:rsidRPr="00E40993">
        <w:rPr>
          <w:rFonts w:eastAsia="Calibri"/>
        </w:rPr>
        <w:t xml:space="preserve">) vs. 72% of participants on </w:t>
      </w:r>
      <w:r w:rsidRPr="00E40993">
        <w:t xml:space="preserve">EFV/TDF/FTC </w:t>
      </w:r>
      <w:r w:rsidRPr="00E40993">
        <w:rPr>
          <w:rFonts w:eastAsia="Calibri"/>
        </w:rPr>
        <w:t>[difference and 95% CI; 8.0% (+2.3% to +13.8%)</w:t>
      </w:r>
      <w:r w:rsidR="008B3094">
        <w:rPr>
          <w:rFonts w:eastAsia="Calibri"/>
        </w:rPr>
        <w:t>]</w:t>
      </w:r>
      <w:r w:rsidR="00E54C3C">
        <w:rPr>
          <w:rFonts w:eastAsia="Calibri"/>
        </w:rPr>
        <w:t xml:space="preserve">.  The </w:t>
      </w:r>
      <w:r w:rsidRPr="00E40993">
        <w:rPr>
          <w:rFonts w:eastAsia="Calibri"/>
        </w:rPr>
        <w:t xml:space="preserve">higher responses on </w:t>
      </w:r>
      <w:proofErr w:type="spellStart"/>
      <w:r w:rsidR="003A1A27">
        <w:rPr>
          <w:rFonts w:eastAsia="MS Mincho"/>
        </w:rPr>
        <w:t>dolutegravir</w:t>
      </w:r>
      <w:proofErr w:type="spellEnd"/>
      <w:r w:rsidR="003A1A27" w:rsidRPr="00E40993">
        <w:rPr>
          <w:rFonts w:eastAsia="MS Mincho"/>
        </w:rPr>
        <w:t xml:space="preserve"> </w:t>
      </w:r>
      <w:r w:rsidR="002624EA" w:rsidRPr="00E40993">
        <w:rPr>
          <w:rFonts w:eastAsia="MS Mincho"/>
        </w:rPr>
        <w:t xml:space="preserve">+ </w:t>
      </w:r>
      <w:r w:rsidR="003A6F2C">
        <w:rPr>
          <w:rFonts w:eastAsia="MS Mincho"/>
        </w:rPr>
        <w:t>ABC/3TC</w:t>
      </w:r>
      <w:r w:rsidRPr="00E40993">
        <w:rPr>
          <w:rFonts w:eastAsia="Calibri"/>
        </w:rPr>
        <w:t xml:space="preserve"> were driven by withdrawals due to AEs</w:t>
      </w:r>
      <w:r w:rsidR="00E54C3C">
        <w:rPr>
          <w:rFonts w:eastAsia="Calibri"/>
        </w:rPr>
        <w:t xml:space="preserve"> and missing data</w:t>
      </w:r>
      <w:r w:rsidRPr="00E40993">
        <w:rPr>
          <w:rFonts w:eastAsia="Calibri"/>
        </w:rPr>
        <w:t xml:space="preserve">. </w:t>
      </w:r>
    </w:p>
    <w:p w:rsidR="00510741" w:rsidRPr="00E40993" w:rsidRDefault="00510741" w:rsidP="00E63838">
      <w:pPr>
        <w:pStyle w:val="Heading2"/>
        <w:keepNext/>
        <w:rPr>
          <w:rFonts w:eastAsia="MS Mincho"/>
        </w:rPr>
      </w:pPr>
      <w:r w:rsidRPr="00E40993">
        <w:rPr>
          <w:rFonts w:eastAsia="MS Mincho"/>
        </w:rPr>
        <w:t>Children</w:t>
      </w:r>
    </w:p>
    <w:p w:rsidR="00460B66" w:rsidRPr="00E40993" w:rsidRDefault="00460B66" w:rsidP="00E63838">
      <w:pPr>
        <w:keepNext/>
        <w:rPr>
          <w:rFonts w:eastAsia="MS Mincho"/>
        </w:rPr>
      </w:pPr>
      <w:r w:rsidRPr="00E40993">
        <w:rPr>
          <w:rFonts w:eastAsia="MS Mincho"/>
        </w:rPr>
        <w:t xml:space="preserve">In a Phase I/II 48 week multicentre, open-label study (P1093/ING112578), the pharmacokinetic parameters, safety, tolerability and efficacy of </w:t>
      </w:r>
      <w:proofErr w:type="spellStart"/>
      <w:r w:rsidR="003A6F2C">
        <w:rPr>
          <w:rFonts w:eastAsia="MS Mincho"/>
        </w:rPr>
        <w:t>dolutegravir</w:t>
      </w:r>
      <w:proofErr w:type="spellEnd"/>
      <w:r w:rsidR="001D6F52" w:rsidRPr="00E40993">
        <w:rPr>
          <w:rFonts w:eastAsia="MS Mincho"/>
        </w:rPr>
        <w:t xml:space="preserve"> </w:t>
      </w:r>
      <w:r w:rsidRPr="00E40993">
        <w:rPr>
          <w:rFonts w:eastAsia="MS Mincho"/>
        </w:rPr>
        <w:t>was evaluated in combination regimens in HIV-1 infected infants, children and adolescents.</w:t>
      </w:r>
    </w:p>
    <w:p w:rsidR="00460B66" w:rsidRPr="00E40993" w:rsidRDefault="00460B66" w:rsidP="00E63838">
      <w:pPr>
        <w:keepNext/>
        <w:rPr>
          <w:rFonts w:eastAsia="MS Mincho"/>
        </w:rPr>
      </w:pPr>
      <w:r w:rsidRPr="00E40993">
        <w:rPr>
          <w:rFonts w:eastAsia="MS Mincho"/>
        </w:rPr>
        <w:t xml:space="preserve">At 24 weeks, 16 of 23 (69%) adolescents (12 to less than 18 years of age) treated with </w:t>
      </w:r>
      <w:proofErr w:type="spellStart"/>
      <w:r w:rsidR="003A6F2C">
        <w:rPr>
          <w:rFonts w:eastAsia="MS Mincho"/>
        </w:rPr>
        <w:t>dolutegravir</w:t>
      </w:r>
      <w:proofErr w:type="spellEnd"/>
      <w:r w:rsidR="001D6F52" w:rsidRPr="00E40993">
        <w:t xml:space="preserve"> </w:t>
      </w:r>
      <w:r w:rsidRPr="00E40993">
        <w:rPr>
          <w:rFonts w:eastAsia="MS Mincho"/>
        </w:rPr>
        <w:t xml:space="preserve">once daily (35 mg n=4, 50 mg n=19) plus </w:t>
      </w:r>
      <w:r w:rsidR="00E34238">
        <w:rPr>
          <w:rFonts w:eastAsia="MS Mincho"/>
        </w:rPr>
        <w:t xml:space="preserve">optimised </w:t>
      </w:r>
      <w:r w:rsidR="00E34238" w:rsidRPr="00E40993">
        <w:rPr>
          <w:rFonts w:eastAsia="MS Mincho"/>
        </w:rPr>
        <w:t>background regimen</w:t>
      </w:r>
      <w:r w:rsidRPr="00E40993">
        <w:rPr>
          <w:rFonts w:eastAsia="MS Mincho"/>
        </w:rPr>
        <w:t xml:space="preserve"> achieved viral load less than 50 copies/</w:t>
      </w:r>
      <w:proofErr w:type="spellStart"/>
      <w:r w:rsidRPr="00E40993">
        <w:rPr>
          <w:rFonts w:eastAsia="MS Mincho"/>
        </w:rPr>
        <w:t>mL.</w:t>
      </w:r>
      <w:proofErr w:type="spellEnd"/>
      <w:r w:rsidRPr="00E40993">
        <w:t xml:space="preserve"> </w:t>
      </w:r>
    </w:p>
    <w:p w:rsidR="00E04C72" w:rsidRPr="00E40993" w:rsidRDefault="00E04C72" w:rsidP="007F520F">
      <w:pPr>
        <w:rPr>
          <w:rFonts w:cs="Arial"/>
          <w:b/>
          <w:color w:val="000000" w:themeColor="text1"/>
          <w:szCs w:val="22"/>
        </w:rPr>
      </w:pPr>
    </w:p>
    <w:p w:rsidR="0077380F" w:rsidRPr="00E40993" w:rsidRDefault="0077380F" w:rsidP="0045447B">
      <w:pPr>
        <w:pStyle w:val="Heading1"/>
      </w:pPr>
      <w:r w:rsidRPr="00E40993">
        <w:t>INDICATIONS</w:t>
      </w:r>
    </w:p>
    <w:p w:rsidR="00F33046" w:rsidRPr="00E40993" w:rsidRDefault="00F33046" w:rsidP="00F33046">
      <w:pPr>
        <w:rPr>
          <w:rFonts w:cs="Arial"/>
          <w:noProof/>
          <w:color w:val="000000" w:themeColor="text1"/>
          <w:szCs w:val="22"/>
          <w:lang w:val="en-GB"/>
        </w:rPr>
      </w:pPr>
      <w:r w:rsidRPr="00E40993">
        <w:rPr>
          <w:rFonts w:cs="Arial"/>
          <w:noProof/>
          <w:color w:val="000000" w:themeColor="text1"/>
          <w:szCs w:val="22"/>
          <w:lang w:val="en-GB"/>
        </w:rPr>
        <w:t xml:space="preserve">TRIUMEQ is indicated for the treatment of Human Immunodeficiency Virus (HIV) infection in adults and adolescents from 12 years of age who are antiretroviral treatment-naïve or are infected with HIV without documented or clinically suspected resistance to any of the </w:t>
      </w:r>
      <w:r w:rsidR="00D65F52" w:rsidRPr="00312114">
        <w:rPr>
          <w:rFonts w:cs="Arial"/>
          <w:noProof/>
          <w:color w:val="000000" w:themeColor="text1"/>
          <w:szCs w:val="22"/>
          <w:lang w:val="en-GB"/>
        </w:rPr>
        <w:t>three antiretroviral agents (dolutegravir, abacavir or lamivudine) in TRIUMEQ.</w:t>
      </w:r>
    </w:p>
    <w:p w:rsidR="004F640B" w:rsidRPr="00E40993" w:rsidRDefault="004F640B" w:rsidP="007F520F">
      <w:pPr>
        <w:rPr>
          <w:rFonts w:cs="Arial"/>
          <w:b/>
          <w:color w:val="000000" w:themeColor="text1"/>
          <w:szCs w:val="22"/>
        </w:rPr>
      </w:pPr>
    </w:p>
    <w:p w:rsidR="0077380F" w:rsidRPr="00E40993" w:rsidRDefault="0077380F" w:rsidP="0045447B">
      <w:pPr>
        <w:pStyle w:val="Heading1"/>
      </w:pPr>
      <w:r w:rsidRPr="00E40993">
        <w:t>CONTRAINDICATIONS</w:t>
      </w:r>
    </w:p>
    <w:p w:rsidR="00364EC1" w:rsidRPr="00E40993" w:rsidRDefault="00364EC1" w:rsidP="008D6904">
      <w:pPr>
        <w:rPr>
          <w:lang w:val="en-GB"/>
        </w:rPr>
      </w:pPr>
      <w:r w:rsidRPr="00E40993">
        <w:rPr>
          <w:lang w:val="en-GB"/>
        </w:rPr>
        <w:t xml:space="preserve">TRIUMEQ is contraindicated in </w:t>
      </w:r>
      <w:r w:rsidR="007C720C">
        <w:rPr>
          <w:lang w:val="en-GB"/>
        </w:rPr>
        <w:t>patient</w:t>
      </w:r>
      <w:r w:rsidRPr="00E40993">
        <w:rPr>
          <w:lang w:val="en-GB"/>
        </w:rPr>
        <w:t xml:space="preserve">s with known hypersensitivity to </w:t>
      </w:r>
      <w:proofErr w:type="spellStart"/>
      <w:r w:rsidRPr="00E40993">
        <w:rPr>
          <w:lang w:val="en-GB"/>
        </w:rPr>
        <w:t>dolutegravir</w:t>
      </w:r>
      <w:proofErr w:type="spellEnd"/>
      <w:r w:rsidRPr="00E40993">
        <w:rPr>
          <w:lang w:val="en-GB"/>
        </w:rPr>
        <w:t xml:space="preserve">, </w:t>
      </w:r>
      <w:proofErr w:type="spellStart"/>
      <w:r w:rsidRPr="00E40993">
        <w:rPr>
          <w:lang w:val="en-GB"/>
        </w:rPr>
        <w:t>abacavir</w:t>
      </w:r>
      <w:proofErr w:type="spellEnd"/>
      <w:r w:rsidRPr="00E40993">
        <w:rPr>
          <w:lang w:val="en-GB"/>
        </w:rPr>
        <w:t xml:space="preserve"> or lamivudine, or to any of the excipients</w:t>
      </w:r>
      <w:r w:rsidR="003D18FF">
        <w:rPr>
          <w:lang w:val="en-GB"/>
        </w:rPr>
        <w:t xml:space="preserve"> (</w:t>
      </w:r>
      <w:r w:rsidR="003D18FF" w:rsidRPr="00E46591">
        <w:rPr>
          <w:i/>
          <w:lang w:val="en-GB"/>
        </w:rPr>
        <w:t>See Description</w:t>
      </w:r>
      <w:r w:rsidR="003D18FF">
        <w:rPr>
          <w:lang w:val="en-GB"/>
        </w:rPr>
        <w:t>).</w:t>
      </w:r>
    </w:p>
    <w:p w:rsidR="00364EC1" w:rsidRPr="00E40993" w:rsidRDefault="00364EC1" w:rsidP="008D6904">
      <w:pPr>
        <w:rPr>
          <w:lang w:val="en-GB"/>
        </w:rPr>
      </w:pPr>
      <w:r w:rsidRPr="00E40993">
        <w:rPr>
          <w:lang w:val="en-GB"/>
        </w:rPr>
        <w:t xml:space="preserve">TRIUMEQ is contraindicated in combination with </w:t>
      </w:r>
      <w:proofErr w:type="spellStart"/>
      <w:r w:rsidRPr="00E40993">
        <w:rPr>
          <w:lang w:val="en-GB"/>
        </w:rPr>
        <w:t>dofetilide</w:t>
      </w:r>
      <w:proofErr w:type="spellEnd"/>
      <w:r w:rsidRPr="00E40993">
        <w:rPr>
          <w:lang w:val="en-GB"/>
        </w:rPr>
        <w:t xml:space="preserve"> or </w:t>
      </w:r>
      <w:proofErr w:type="spellStart"/>
      <w:r w:rsidRPr="00E40993">
        <w:rPr>
          <w:lang w:val="en-GB"/>
        </w:rPr>
        <w:t>pilsicainide</w:t>
      </w:r>
      <w:proofErr w:type="spellEnd"/>
      <w:r w:rsidRPr="00E40993">
        <w:rPr>
          <w:lang w:val="en-GB"/>
        </w:rPr>
        <w:t>.</w:t>
      </w:r>
    </w:p>
    <w:p w:rsidR="007F520F" w:rsidRPr="00E40993" w:rsidRDefault="007F520F" w:rsidP="007F520F">
      <w:pPr>
        <w:rPr>
          <w:color w:val="000000" w:themeColor="text1"/>
          <w:szCs w:val="22"/>
          <w:lang w:val="en-GB"/>
        </w:rPr>
      </w:pPr>
    </w:p>
    <w:p w:rsidR="0077380F" w:rsidRPr="00E40993" w:rsidRDefault="0077380F" w:rsidP="0045447B">
      <w:pPr>
        <w:pStyle w:val="Heading1"/>
      </w:pPr>
      <w:r w:rsidRPr="00E40993">
        <w:t>PRECAUTIONS</w:t>
      </w:r>
    </w:p>
    <w:p w:rsidR="00460B66" w:rsidRPr="00E40993" w:rsidRDefault="00460B66" w:rsidP="008D6904">
      <w:r w:rsidRPr="00E40993">
        <w:t xml:space="preserve">The special warnings and precautions relevant to </w:t>
      </w:r>
      <w:proofErr w:type="spellStart"/>
      <w:r w:rsidRPr="00E40993">
        <w:t>dolutegravir</w:t>
      </w:r>
      <w:proofErr w:type="spellEnd"/>
      <w:r w:rsidRPr="00E40993">
        <w:t xml:space="preserve">, </w:t>
      </w:r>
      <w:proofErr w:type="spellStart"/>
      <w:r w:rsidRPr="00E40993">
        <w:t>abacavir</w:t>
      </w:r>
      <w:proofErr w:type="spellEnd"/>
      <w:r w:rsidRPr="00E40993">
        <w:t xml:space="preserve"> and lamivudine are included in this section. There are no additional precautions and warnings relevant to </w:t>
      </w:r>
      <w:r w:rsidR="00D05A2E" w:rsidRPr="00E40993">
        <w:t>TRIUMEQ</w:t>
      </w:r>
      <w:r w:rsidRPr="00E40993">
        <w:t>.</w:t>
      </w:r>
    </w:p>
    <w:p w:rsidR="00460B66" w:rsidRPr="00E40993" w:rsidRDefault="00460B66" w:rsidP="006118C4">
      <w:pPr>
        <w:pStyle w:val="Heading2"/>
      </w:pPr>
      <w:r w:rsidRPr="00E40993">
        <w:t xml:space="preserve">Hypersensitivity </w:t>
      </w:r>
      <w:r w:rsidR="00662DC2">
        <w:t>R</w:t>
      </w:r>
      <w:r w:rsidRPr="00E40993">
        <w:t>eactions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0"/>
      </w:tblGrid>
      <w:tr w:rsidR="00460B66" w:rsidRPr="00E40993" w:rsidTr="0020582F">
        <w:trPr>
          <w:cantSplit/>
        </w:trPr>
        <w:tc>
          <w:tcPr>
            <w:tcW w:w="8640" w:type="dxa"/>
            <w:shd w:val="clear" w:color="auto" w:fill="auto"/>
          </w:tcPr>
          <w:p w:rsidR="00460B66" w:rsidRPr="00E40993" w:rsidRDefault="00460B66" w:rsidP="00460B66"/>
          <w:p w:rsidR="00460B66" w:rsidRPr="00E40993" w:rsidRDefault="00460B66" w:rsidP="00460B66">
            <w:r w:rsidRPr="00E40993">
              <w:rPr>
                <w:rStyle w:val="Heading2Char"/>
              </w:rPr>
              <w:t xml:space="preserve">Hypersensitivity to </w:t>
            </w:r>
            <w:proofErr w:type="spellStart"/>
            <w:r w:rsidR="00662DC2">
              <w:rPr>
                <w:rStyle w:val="Heading2Char"/>
              </w:rPr>
              <w:t>A</w:t>
            </w:r>
            <w:r w:rsidRPr="00E40993">
              <w:rPr>
                <w:rStyle w:val="Heading2Char"/>
              </w:rPr>
              <w:t>bacavir</w:t>
            </w:r>
            <w:proofErr w:type="spellEnd"/>
            <w:r w:rsidRPr="00E40993">
              <w:t xml:space="preserve"> (</w:t>
            </w:r>
            <w:r w:rsidRPr="00E40993">
              <w:rPr>
                <w:i/>
              </w:rPr>
              <w:t xml:space="preserve">see also Adverse </w:t>
            </w:r>
            <w:r w:rsidR="00315A30" w:rsidRPr="00E40993">
              <w:rPr>
                <w:i/>
              </w:rPr>
              <w:t>Effects</w:t>
            </w:r>
            <w:r w:rsidR="00315A30" w:rsidRPr="00E40993">
              <w:t>)</w:t>
            </w:r>
            <w:r w:rsidR="000B3C21" w:rsidRPr="00E40993">
              <w:t>.</w:t>
            </w:r>
          </w:p>
          <w:p w:rsidR="00460B66" w:rsidRPr="00E40993" w:rsidRDefault="00460B66" w:rsidP="00460B66">
            <w:r w:rsidRPr="00E40993">
              <w:t xml:space="preserve">Overall, in clinical studies conducted before the introduction of screening for the HLA-B*5701 allele, approximately 5% of </w:t>
            </w:r>
            <w:r w:rsidR="007C720C">
              <w:t>patient</w:t>
            </w:r>
            <w:r w:rsidRPr="00E40993">
              <w:t xml:space="preserve">s receiving </w:t>
            </w:r>
            <w:proofErr w:type="spellStart"/>
            <w:r w:rsidRPr="00E40993">
              <w:t>abacavir</w:t>
            </w:r>
            <w:proofErr w:type="spellEnd"/>
            <w:r w:rsidRPr="00E40993">
              <w:t xml:space="preserve"> developed a hypersensitivity reaction, which in rare cases has proved fatal.</w:t>
            </w:r>
          </w:p>
        </w:tc>
      </w:tr>
      <w:tr w:rsidR="00460B66" w:rsidRPr="00E40993" w:rsidTr="0020582F">
        <w:trPr>
          <w:cantSplit/>
        </w:trPr>
        <w:tc>
          <w:tcPr>
            <w:tcW w:w="8640" w:type="dxa"/>
            <w:shd w:val="clear" w:color="auto" w:fill="auto"/>
          </w:tcPr>
          <w:p w:rsidR="00460B66" w:rsidRPr="00E40993" w:rsidRDefault="0060712B" w:rsidP="006118C4">
            <w:pPr>
              <w:pStyle w:val="Head3"/>
            </w:pPr>
            <w:r w:rsidRPr="00E40993">
              <w:fldChar w:fldCharType="begin"/>
            </w:r>
            <w:r w:rsidR="00460B66" w:rsidRPr="00E40993">
              <w:instrText>SYMBOL 8226\u</w:instrText>
            </w:r>
            <w:r w:rsidRPr="00E40993">
              <w:fldChar w:fldCharType="end"/>
            </w:r>
            <w:r w:rsidR="00460B66" w:rsidRPr="00E40993">
              <w:t xml:space="preserve">       Risk Factors</w:t>
            </w:r>
          </w:p>
        </w:tc>
      </w:tr>
      <w:tr w:rsidR="00460B66" w:rsidRPr="00E40993" w:rsidTr="0020582F">
        <w:trPr>
          <w:cantSplit/>
        </w:trPr>
        <w:tc>
          <w:tcPr>
            <w:tcW w:w="8640" w:type="dxa"/>
            <w:shd w:val="clear" w:color="auto" w:fill="auto"/>
          </w:tcPr>
          <w:p w:rsidR="00460B66" w:rsidRPr="00E40993" w:rsidRDefault="00460B66" w:rsidP="00460B66">
            <w:r w:rsidRPr="00E40993">
              <w:t>Studies have shown that carriage of the HLA</w:t>
            </w:r>
            <w:r w:rsidRPr="00E40993">
              <w:rPr>
                <w:rFonts w:eastAsia="MS Mincho"/>
              </w:rPr>
              <w:t>-</w:t>
            </w:r>
            <w:r w:rsidRPr="00E40993">
              <w:t xml:space="preserve">B*5701 allele is associated with a significantly increased risk of a hypersensitivity reaction to </w:t>
            </w:r>
            <w:proofErr w:type="spellStart"/>
            <w:r w:rsidRPr="00E40993">
              <w:t>abacavir</w:t>
            </w:r>
            <w:proofErr w:type="spellEnd"/>
            <w:r w:rsidRPr="00E40993">
              <w:t>. In the prospective study CNA106030 (PREDICT-1), use of pre-therapy screening for the HLA</w:t>
            </w:r>
            <w:r w:rsidRPr="00E40993">
              <w:rPr>
                <w:rFonts w:eastAsia="MS Mincho"/>
              </w:rPr>
              <w:t>-</w:t>
            </w:r>
            <w:r w:rsidRPr="00E40993">
              <w:t xml:space="preserve">B*5701 allele and subsequently avoiding </w:t>
            </w:r>
            <w:proofErr w:type="spellStart"/>
            <w:r w:rsidRPr="00E40993">
              <w:t>abacavir</w:t>
            </w:r>
            <w:proofErr w:type="spellEnd"/>
            <w:r w:rsidRPr="00E40993">
              <w:t xml:space="preserve"> in </w:t>
            </w:r>
            <w:r w:rsidR="007C720C">
              <w:t>patient</w:t>
            </w:r>
            <w:r w:rsidRPr="00E40993">
              <w:t xml:space="preserve">s with this allele reduced the incidence of clinically suspected </w:t>
            </w:r>
            <w:proofErr w:type="spellStart"/>
            <w:r w:rsidRPr="00E40993">
              <w:t>abacavir</w:t>
            </w:r>
            <w:proofErr w:type="spellEnd"/>
            <w:r w:rsidRPr="00E40993">
              <w:t xml:space="preserve"> hypersensitivity reactions from 7.8% (66 of 847) to 3.4% (27 of 803) (p&lt;0.0001) and the incidence of hypersensitivity reactions confirmed by skin patch testing from 2.7% (23 of 842) to 0.0% (0 of 802) (p&lt;0.0001). Based on this study, it is estimated that 48% to 61% of </w:t>
            </w:r>
            <w:r w:rsidR="007C720C">
              <w:t>patient</w:t>
            </w:r>
            <w:r w:rsidRPr="00E40993">
              <w:t>s with the HLA</w:t>
            </w:r>
            <w:r w:rsidRPr="00E40993">
              <w:rPr>
                <w:rFonts w:eastAsia="MS Mincho"/>
              </w:rPr>
              <w:t>-</w:t>
            </w:r>
            <w:r w:rsidRPr="00E40993">
              <w:t xml:space="preserve">B*5701 allele will develop a hypersensitivity reaction during the course of </w:t>
            </w:r>
            <w:proofErr w:type="spellStart"/>
            <w:r w:rsidRPr="00E40993">
              <w:t>abacavir</w:t>
            </w:r>
            <w:proofErr w:type="spellEnd"/>
            <w:r w:rsidRPr="00E40993">
              <w:t xml:space="preserve"> treatment compared with 0% to 4% of </w:t>
            </w:r>
            <w:r w:rsidR="007C720C">
              <w:t>patient</w:t>
            </w:r>
            <w:r w:rsidRPr="00E40993">
              <w:t>s who do not have the HLA</w:t>
            </w:r>
            <w:r w:rsidRPr="00E40993">
              <w:rPr>
                <w:rFonts w:eastAsia="MS Mincho"/>
              </w:rPr>
              <w:t>-</w:t>
            </w:r>
            <w:r w:rsidRPr="00E40993">
              <w:t>B*5701 allele.</w:t>
            </w:r>
          </w:p>
        </w:tc>
      </w:tr>
      <w:tr w:rsidR="00460B66" w:rsidRPr="00E40993" w:rsidTr="0020582F">
        <w:trPr>
          <w:cantSplit/>
        </w:trPr>
        <w:tc>
          <w:tcPr>
            <w:tcW w:w="8640" w:type="dxa"/>
            <w:shd w:val="clear" w:color="auto" w:fill="auto"/>
          </w:tcPr>
          <w:p w:rsidR="00460B66" w:rsidRPr="00E40993" w:rsidRDefault="00460B66" w:rsidP="00460B66">
            <w:r w:rsidRPr="00E40993">
              <w:t>Clinicians should consider screening for carriage of the HLA</w:t>
            </w:r>
            <w:r w:rsidRPr="00E40993">
              <w:rPr>
                <w:rFonts w:eastAsia="MS Mincho"/>
              </w:rPr>
              <w:t>-</w:t>
            </w:r>
            <w:r w:rsidRPr="00E40993">
              <w:t xml:space="preserve">B*5701 allele in any HIV infected </w:t>
            </w:r>
            <w:r w:rsidR="007C720C">
              <w:t>patient</w:t>
            </w:r>
            <w:r w:rsidRPr="00E40993">
              <w:t xml:space="preserve"> without prior exposure to </w:t>
            </w:r>
            <w:proofErr w:type="spellStart"/>
            <w:r w:rsidRPr="00E40993">
              <w:t>abacavir</w:t>
            </w:r>
            <w:proofErr w:type="spellEnd"/>
            <w:r w:rsidRPr="00E40993">
              <w:t xml:space="preserve">. </w:t>
            </w:r>
            <w:r w:rsidRPr="00E40993">
              <w:rPr>
                <w:rFonts w:eastAsia="MS Mincho"/>
              </w:rPr>
              <w:t xml:space="preserve">Screening is recommended prior to re-initiation of </w:t>
            </w:r>
            <w:proofErr w:type="spellStart"/>
            <w:r w:rsidRPr="00E40993">
              <w:rPr>
                <w:rFonts w:eastAsia="MS Mincho"/>
              </w:rPr>
              <w:t>abacavir</w:t>
            </w:r>
            <w:proofErr w:type="spellEnd"/>
            <w:r w:rsidRPr="00E40993">
              <w:rPr>
                <w:rFonts w:eastAsia="MS Mincho"/>
              </w:rPr>
              <w:t xml:space="preserve"> in </w:t>
            </w:r>
            <w:r w:rsidR="007C720C">
              <w:rPr>
                <w:rFonts w:eastAsia="MS Mincho"/>
              </w:rPr>
              <w:t>patient</w:t>
            </w:r>
            <w:r w:rsidRPr="00E40993">
              <w:rPr>
                <w:rFonts w:eastAsia="MS Mincho"/>
              </w:rPr>
              <w:t>s of unknown HLA-B*5701 status who have prev</w:t>
            </w:r>
            <w:r w:rsidR="00D05A2E" w:rsidRPr="00E40993">
              <w:rPr>
                <w:rFonts w:eastAsia="MS Mincho"/>
              </w:rPr>
              <w:t xml:space="preserve">iously tolerated </w:t>
            </w:r>
            <w:proofErr w:type="spellStart"/>
            <w:r w:rsidR="00D05A2E" w:rsidRPr="00E40993">
              <w:rPr>
                <w:rFonts w:eastAsia="MS Mincho"/>
              </w:rPr>
              <w:t>abacavir</w:t>
            </w:r>
            <w:proofErr w:type="spellEnd"/>
            <w:r w:rsidR="00D05A2E" w:rsidRPr="00E40993">
              <w:rPr>
                <w:rFonts w:eastAsia="MS Mincho"/>
              </w:rPr>
              <w:t xml:space="preserve"> (</w:t>
            </w:r>
            <w:r w:rsidR="00D05A2E" w:rsidRPr="00E40993">
              <w:rPr>
                <w:rFonts w:eastAsia="MS Mincho"/>
                <w:i/>
              </w:rPr>
              <w:t xml:space="preserve">see </w:t>
            </w:r>
            <w:r w:rsidRPr="00E40993">
              <w:rPr>
                <w:rFonts w:eastAsia="MS Mincho"/>
                <w:i/>
              </w:rPr>
              <w:t>Special considerations following an i</w:t>
            </w:r>
            <w:r w:rsidR="00D05A2E" w:rsidRPr="00E40993">
              <w:rPr>
                <w:rFonts w:eastAsia="MS Mincho"/>
                <w:i/>
              </w:rPr>
              <w:t xml:space="preserve">nterruption of </w:t>
            </w:r>
            <w:proofErr w:type="spellStart"/>
            <w:r w:rsidR="00D05A2E" w:rsidRPr="00E40993">
              <w:rPr>
                <w:rFonts w:eastAsia="MS Mincho"/>
                <w:i/>
              </w:rPr>
              <w:t>abacavir</w:t>
            </w:r>
            <w:proofErr w:type="spellEnd"/>
            <w:r w:rsidR="00D05A2E" w:rsidRPr="00E40993">
              <w:rPr>
                <w:rFonts w:eastAsia="MS Mincho"/>
                <w:i/>
              </w:rPr>
              <w:t xml:space="preserve"> therapy</w:t>
            </w:r>
            <w:r w:rsidRPr="00E40993">
              <w:rPr>
                <w:rFonts w:eastAsia="MS Mincho"/>
              </w:rPr>
              <w:t xml:space="preserve">).  </w:t>
            </w:r>
            <w:r w:rsidRPr="00E40993">
              <w:t xml:space="preserve">Use of </w:t>
            </w:r>
            <w:proofErr w:type="spellStart"/>
            <w:r w:rsidRPr="00E40993">
              <w:t>abacavir</w:t>
            </w:r>
            <w:proofErr w:type="spellEnd"/>
            <w:r w:rsidRPr="00E40993">
              <w:t xml:space="preserve"> in </w:t>
            </w:r>
            <w:r w:rsidR="007C720C">
              <w:t>patient</w:t>
            </w:r>
            <w:r w:rsidRPr="00E40993">
              <w:t>s known to carry the HLA</w:t>
            </w:r>
            <w:r w:rsidRPr="00E40993">
              <w:rPr>
                <w:rFonts w:eastAsia="MS Mincho"/>
              </w:rPr>
              <w:t>-</w:t>
            </w:r>
            <w:r w:rsidRPr="00E40993">
              <w:t xml:space="preserve">B*5701 allele is not recommended and should be considered only under exceptional circumstances where potential benefit outweighs the risk and with close medical supervision. </w:t>
            </w:r>
          </w:p>
        </w:tc>
      </w:tr>
      <w:tr w:rsidR="00460B66" w:rsidRPr="00E40993" w:rsidTr="0020582F">
        <w:trPr>
          <w:cantSplit/>
        </w:trPr>
        <w:tc>
          <w:tcPr>
            <w:tcW w:w="8640" w:type="dxa"/>
            <w:shd w:val="clear" w:color="auto" w:fill="auto"/>
          </w:tcPr>
          <w:p w:rsidR="00460B66" w:rsidRPr="00E40993" w:rsidRDefault="00460B66" w:rsidP="00460B66">
            <w:r w:rsidRPr="00E40993">
              <w:t xml:space="preserve">In any </w:t>
            </w:r>
            <w:r w:rsidR="007C720C">
              <w:t>patient</w:t>
            </w:r>
            <w:r w:rsidRPr="00E40993">
              <w:t xml:space="preserve"> treated with </w:t>
            </w:r>
            <w:proofErr w:type="spellStart"/>
            <w:r w:rsidRPr="00E40993">
              <w:t>abacavir</w:t>
            </w:r>
            <w:proofErr w:type="spellEnd"/>
            <w:r w:rsidRPr="00E40993">
              <w:t>, the clinical diagnosis of suspected hypersensitivity reaction must remain the basis of clinical decision making. Even in the absence of the HLA</w:t>
            </w:r>
            <w:r w:rsidRPr="00E40993">
              <w:rPr>
                <w:rFonts w:eastAsia="MS Mincho"/>
              </w:rPr>
              <w:t>-</w:t>
            </w:r>
            <w:r w:rsidRPr="00E40993">
              <w:t xml:space="preserve">B*5701 allele, it is important to permanently discontinue </w:t>
            </w:r>
            <w:proofErr w:type="spellStart"/>
            <w:r w:rsidRPr="00E40993">
              <w:t>abacavir</w:t>
            </w:r>
            <w:proofErr w:type="spellEnd"/>
            <w:r w:rsidRPr="00E40993">
              <w:t xml:space="preserve"> and not rechallenge with </w:t>
            </w:r>
            <w:proofErr w:type="spellStart"/>
            <w:r w:rsidRPr="00E40993">
              <w:t>abacavir</w:t>
            </w:r>
            <w:proofErr w:type="spellEnd"/>
            <w:r w:rsidRPr="00E40993">
              <w:t xml:space="preserve"> if a hypersensitivity reaction cannot be ruled out on clinical grounds, due to the potential for a severe or even fatal reaction.</w:t>
            </w:r>
          </w:p>
        </w:tc>
      </w:tr>
      <w:tr w:rsidR="00460B66" w:rsidRPr="00E40993" w:rsidTr="0020582F">
        <w:trPr>
          <w:cantSplit/>
        </w:trPr>
        <w:tc>
          <w:tcPr>
            <w:tcW w:w="8640" w:type="dxa"/>
            <w:shd w:val="clear" w:color="auto" w:fill="auto"/>
          </w:tcPr>
          <w:p w:rsidR="00460B66" w:rsidRPr="00E40993" w:rsidRDefault="00460B66" w:rsidP="006118C4">
            <w:pPr>
              <w:pStyle w:val="Head3"/>
            </w:pPr>
            <w:r w:rsidRPr="00E40993">
              <w:t xml:space="preserve"> </w:t>
            </w:r>
            <w:r w:rsidR="0060712B" w:rsidRPr="00E40993">
              <w:fldChar w:fldCharType="begin"/>
            </w:r>
            <w:r w:rsidRPr="00E40993">
              <w:instrText>SYMBOL 8226\u</w:instrText>
            </w:r>
            <w:r w:rsidR="0060712B" w:rsidRPr="00E40993">
              <w:fldChar w:fldCharType="end"/>
            </w:r>
            <w:r w:rsidRPr="00E40993">
              <w:t xml:space="preserve">       Clinical Description</w:t>
            </w:r>
          </w:p>
          <w:p w:rsidR="00460B66" w:rsidRDefault="00460B66" w:rsidP="00460B66">
            <w:r w:rsidRPr="00E40993">
              <w:t xml:space="preserve">The hypersensitivity reaction is characterised by the appearance of symptoms indicating multi-organ involvement. The majority of </w:t>
            </w:r>
            <w:r w:rsidR="007C720C">
              <w:t>patient</w:t>
            </w:r>
            <w:r w:rsidRPr="00E40993">
              <w:t>s have fever and/or rash as part of the syndrome.</w:t>
            </w:r>
          </w:p>
          <w:p w:rsidR="00460B66" w:rsidRPr="00E40993" w:rsidRDefault="00DE44B8" w:rsidP="00DE44B8">
            <w:r>
              <w:rPr>
                <w:color w:val="000000"/>
              </w:rPr>
              <w:t xml:space="preserve">Some of the other symptoms of hypersensitivity may include fatigue, malaise, gastrointestinal symptoms, such as nausea, vomiting, diarrhoea, or abdominal pain, and respiratory signs and symptoms such as dyspnoea, sore throat, cough and abnormal chest x-ray findings (predominantly infiltrates, which can be localised). </w:t>
            </w:r>
            <w:r>
              <w:rPr>
                <w:b/>
                <w:color w:val="000000"/>
              </w:rPr>
              <w:t xml:space="preserve">The symptoms of this hypersensitivity reaction can occur at any time during treatment with </w:t>
            </w:r>
            <w:proofErr w:type="spellStart"/>
            <w:r>
              <w:rPr>
                <w:b/>
                <w:color w:val="000000"/>
              </w:rPr>
              <w:t>abacavir</w:t>
            </w:r>
            <w:proofErr w:type="spellEnd"/>
            <w:r>
              <w:rPr>
                <w:color w:val="000000"/>
              </w:rPr>
              <w:t xml:space="preserve">, but usually occur within the first six weeks of therapy. The symptoms worsen with continued therapy and can be life-threatening. These symptoms usually resolve upon discontinuation of </w:t>
            </w:r>
            <w:proofErr w:type="spellStart"/>
            <w:r>
              <w:rPr>
                <w:color w:val="000000"/>
              </w:rPr>
              <w:t>abacavir</w:t>
            </w:r>
            <w:proofErr w:type="spellEnd"/>
            <w:r>
              <w:rPr>
                <w:color w:val="000000"/>
              </w:rPr>
              <w:t xml:space="preserve">. </w:t>
            </w:r>
            <w:r w:rsidRPr="0082743B">
              <w:t xml:space="preserve">Other frequently observed signs or symptoms of the hypersensitivity reaction may include pruritus, chills and musculoskeletal symptoms (rarely </w:t>
            </w:r>
            <w:proofErr w:type="spellStart"/>
            <w:r w:rsidRPr="0082743B">
              <w:t>myolysis</w:t>
            </w:r>
            <w:proofErr w:type="spellEnd"/>
            <w:r w:rsidRPr="0082743B">
              <w:t>, arthralgia)</w:t>
            </w:r>
            <w:r w:rsidRPr="0082743B">
              <w:rPr>
                <w:b/>
              </w:rPr>
              <w:t xml:space="preserve"> (see Adverse Effects).</w:t>
            </w:r>
            <w:r w:rsidR="00460B66" w:rsidRPr="00E40993">
              <w:t>.</w:t>
            </w:r>
          </w:p>
        </w:tc>
      </w:tr>
      <w:tr w:rsidR="00460B66" w:rsidRPr="00E40993" w:rsidTr="0020582F">
        <w:trPr>
          <w:cantSplit/>
        </w:trPr>
        <w:tc>
          <w:tcPr>
            <w:tcW w:w="8640" w:type="dxa"/>
            <w:shd w:val="clear" w:color="auto" w:fill="auto"/>
          </w:tcPr>
          <w:p w:rsidR="00460B66" w:rsidRPr="00E40993" w:rsidRDefault="00460B66" w:rsidP="006118C4">
            <w:pPr>
              <w:pStyle w:val="Head3"/>
            </w:pPr>
            <w:r w:rsidRPr="00E40993">
              <w:t xml:space="preserve"> </w:t>
            </w:r>
            <w:r w:rsidR="0060712B" w:rsidRPr="00E40993">
              <w:fldChar w:fldCharType="begin"/>
            </w:r>
            <w:r w:rsidRPr="00E40993">
              <w:instrText>SYMBOL 8226\u</w:instrText>
            </w:r>
            <w:r w:rsidR="0060712B" w:rsidRPr="00E40993">
              <w:fldChar w:fldCharType="end"/>
            </w:r>
            <w:r w:rsidRPr="00E40993">
              <w:t xml:space="preserve">       Clinical Management</w:t>
            </w:r>
          </w:p>
          <w:p w:rsidR="00460B66" w:rsidRPr="00DE44B8" w:rsidRDefault="00532C37" w:rsidP="00460B66">
            <w:pPr>
              <w:rPr>
                <w:b/>
              </w:rPr>
            </w:pPr>
            <w:r w:rsidRPr="00532C37">
              <w:rPr>
                <w:b/>
              </w:rPr>
              <w:t xml:space="preserve">Regardless of their HLA-B*5701 status, any patient developing signs or symptoms of hypersensitivity MUST contact their doctor immediately for advice. If a hypersensitivity reaction is diagnosed TRIUMEQ MUST be discontinued immediately.  TRIUMEQ, or any other medicinal product containing </w:t>
            </w:r>
            <w:proofErr w:type="spellStart"/>
            <w:r w:rsidRPr="00532C37">
              <w:rPr>
                <w:b/>
              </w:rPr>
              <w:t>abacavir</w:t>
            </w:r>
            <w:proofErr w:type="spellEnd"/>
            <w:r w:rsidRPr="00532C37">
              <w:rPr>
                <w:b/>
              </w:rPr>
              <w:t xml:space="preserve"> (e.g. ZIAGEN</w:t>
            </w:r>
            <w:r w:rsidR="00034E3A">
              <w:rPr>
                <w:b/>
              </w:rPr>
              <w:t xml:space="preserve"> [</w:t>
            </w:r>
            <w:proofErr w:type="spellStart"/>
            <w:r w:rsidR="00034E3A">
              <w:rPr>
                <w:b/>
              </w:rPr>
              <w:t>abacavir</w:t>
            </w:r>
            <w:proofErr w:type="spellEnd"/>
            <w:r w:rsidR="00034E3A">
              <w:rPr>
                <w:b/>
              </w:rPr>
              <w:t>]</w:t>
            </w:r>
            <w:r w:rsidRPr="00532C37">
              <w:rPr>
                <w:b/>
              </w:rPr>
              <w:t>, KIVEXA</w:t>
            </w:r>
            <w:r w:rsidR="00034E3A">
              <w:rPr>
                <w:b/>
              </w:rPr>
              <w:t xml:space="preserve"> </w:t>
            </w:r>
            <w:r w:rsidR="00034E3A" w:rsidRPr="00A05EF7">
              <w:rPr>
                <w:rFonts w:cs="Arial"/>
                <w:b/>
                <w:snapToGrid w:val="0"/>
                <w:color w:val="000000"/>
                <w:lang w:eastAsia="en-US"/>
              </w:rPr>
              <w:t>[</w:t>
            </w:r>
            <w:proofErr w:type="spellStart"/>
            <w:r w:rsidR="00034E3A">
              <w:rPr>
                <w:rFonts w:cs="Arial"/>
                <w:b/>
                <w:snapToGrid w:val="0"/>
                <w:color w:val="000000"/>
                <w:lang w:eastAsia="en-US"/>
              </w:rPr>
              <w:t>abacavir</w:t>
            </w:r>
            <w:proofErr w:type="spellEnd"/>
            <w:r w:rsidR="00034E3A">
              <w:rPr>
                <w:rFonts w:cs="Arial"/>
                <w:b/>
                <w:snapToGrid w:val="0"/>
                <w:color w:val="000000"/>
                <w:lang w:eastAsia="en-US"/>
              </w:rPr>
              <w:t>/lamivudine]</w:t>
            </w:r>
            <w:r w:rsidRPr="00532C37">
              <w:rPr>
                <w:b/>
              </w:rPr>
              <w:t>, TRIZIVIR</w:t>
            </w:r>
            <w:r w:rsidR="00034E3A">
              <w:rPr>
                <w:b/>
              </w:rPr>
              <w:t xml:space="preserve"> </w:t>
            </w:r>
            <w:r w:rsidR="00034E3A" w:rsidRPr="00A05EF7">
              <w:rPr>
                <w:rFonts w:cs="Arial"/>
                <w:b/>
                <w:snapToGrid w:val="0"/>
                <w:color w:val="000000"/>
                <w:lang w:eastAsia="en-US"/>
              </w:rPr>
              <w:t>[</w:t>
            </w:r>
            <w:proofErr w:type="spellStart"/>
            <w:r w:rsidR="00034E3A">
              <w:rPr>
                <w:rFonts w:cs="Arial"/>
                <w:b/>
                <w:snapToGrid w:val="0"/>
                <w:color w:val="000000"/>
                <w:lang w:eastAsia="en-US"/>
              </w:rPr>
              <w:t>abacavir</w:t>
            </w:r>
            <w:proofErr w:type="spellEnd"/>
            <w:r w:rsidR="00034E3A">
              <w:rPr>
                <w:rFonts w:cs="Arial"/>
                <w:b/>
                <w:snapToGrid w:val="0"/>
                <w:color w:val="000000"/>
                <w:lang w:eastAsia="en-US"/>
              </w:rPr>
              <w:t>/lamivudine/</w:t>
            </w:r>
            <w:proofErr w:type="spellStart"/>
            <w:r w:rsidR="00034E3A">
              <w:rPr>
                <w:rFonts w:cs="Arial"/>
                <w:b/>
                <w:snapToGrid w:val="0"/>
                <w:color w:val="000000"/>
                <w:lang w:eastAsia="en-US"/>
              </w:rPr>
              <w:t>zidovudine</w:t>
            </w:r>
            <w:proofErr w:type="spellEnd"/>
            <w:r w:rsidR="00034E3A">
              <w:rPr>
                <w:rFonts w:cs="Arial"/>
                <w:b/>
                <w:snapToGrid w:val="0"/>
                <w:color w:val="000000"/>
                <w:lang w:eastAsia="en-US"/>
              </w:rPr>
              <w:t>]</w:t>
            </w:r>
            <w:r w:rsidRPr="00532C37">
              <w:rPr>
                <w:b/>
              </w:rPr>
              <w:t>), MUST NE</w:t>
            </w:r>
            <w:smartTag w:uri="schemas-GSKSiteLocations-com/fourthcoffee" w:element="flavor">
              <w:r w:rsidRPr="00532C37">
                <w:rPr>
                  <w:b/>
                </w:rPr>
                <w:t>VER</w:t>
              </w:r>
            </w:smartTag>
            <w:r w:rsidRPr="00532C37">
              <w:rPr>
                <w:b/>
              </w:rPr>
              <w:t xml:space="preserve"> be restarted following a hypersensitivity reaction, as more severe symptoms will recur within hours and may include life-threatening hypotension and death.</w:t>
            </w:r>
          </w:p>
          <w:p w:rsidR="00460B66" w:rsidRPr="00E40993" w:rsidRDefault="00460B66" w:rsidP="00460B66">
            <w:r w:rsidRPr="00E40993">
              <w:t xml:space="preserve">To avoid a delay in diagnosis and minimise the risk of a life-threatening hypersensitivity reaction, </w:t>
            </w:r>
            <w:r w:rsidR="00D05A2E" w:rsidRPr="00E40993">
              <w:t>TRIUMEQ</w:t>
            </w:r>
            <w:r w:rsidRPr="00E40993">
              <w:t xml:space="preserve"> should be permanently discontinued if hypersensitivity cannot be ruled out, even when other diagnoses are possible (respiratory diseases, flu-like illness, gastroenteritis or reactions to other medications). </w:t>
            </w:r>
            <w:r w:rsidR="00D05A2E" w:rsidRPr="00E40993">
              <w:t>TRIUMEQ</w:t>
            </w:r>
            <w:r w:rsidRPr="00E40993">
              <w:t xml:space="preserve">, or any other medicinal product containing </w:t>
            </w:r>
            <w:proofErr w:type="spellStart"/>
            <w:r w:rsidRPr="00E40993">
              <w:t>abacavir</w:t>
            </w:r>
            <w:proofErr w:type="spellEnd"/>
            <w:r w:rsidRPr="00E40993">
              <w:t xml:space="preserve"> (e.g. ZIA</w:t>
            </w:r>
            <w:smartTag w:uri="schemas-GSKSiteLocations-com/fourthcoffee" w:element="flavor">
              <w:r w:rsidRPr="00E40993">
                <w:t>GEN</w:t>
              </w:r>
              <w:r w:rsidR="00034E3A">
                <w:t xml:space="preserve"> [</w:t>
              </w:r>
              <w:proofErr w:type="spellStart"/>
              <w:r w:rsidR="00034E3A">
                <w:t>abacavir</w:t>
              </w:r>
              <w:proofErr w:type="spellEnd"/>
              <w:r w:rsidR="00034E3A">
                <w:t>]</w:t>
              </w:r>
            </w:smartTag>
            <w:r w:rsidRPr="00E40993">
              <w:t>, KIVEXA</w:t>
            </w:r>
            <w:r w:rsidR="00034E3A">
              <w:t xml:space="preserve"> [</w:t>
            </w:r>
            <w:proofErr w:type="spellStart"/>
            <w:r w:rsidR="00034E3A">
              <w:t>abacavir</w:t>
            </w:r>
            <w:proofErr w:type="spellEnd"/>
            <w:r w:rsidR="00034E3A">
              <w:t>/lamivudine]</w:t>
            </w:r>
            <w:r w:rsidRPr="00E40993">
              <w:t>, TRIZIVIR</w:t>
            </w:r>
            <w:r w:rsidR="00034E3A">
              <w:t xml:space="preserve"> [</w:t>
            </w:r>
            <w:proofErr w:type="spellStart"/>
            <w:r w:rsidR="00034E3A">
              <w:t>abacavir</w:t>
            </w:r>
            <w:proofErr w:type="spellEnd"/>
            <w:r w:rsidR="00034E3A">
              <w:t>/lamivudine/</w:t>
            </w:r>
            <w:proofErr w:type="spellStart"/>
            <w:r w:rsidR="00034E3A">
              <w:t>zidovudine</w:t>
            </w:r>
            <w:proofErr w:type="spellEnd"/>
            <w:r w:rsidR="00034E3A">
              <w:t>]</w:t>
            </w:r>
            <w:r w:rsidRPr="00E40993">
              <w:t>), should not be restarted even if a recurrence of symptoms occurs following rechallenge with alternative medication(s).</w:t>
            </w:r>
          </w:p>
          <w:p w:rsidR="00460B66" w:rsidRPr="00DE44B8" w:rsidRDefault="00532C37" w:rsidP="00D05A2E">
            <w:pPr>
              <w:rPr>
                <w:b/>
              </w:rPr>
            </w:pPr>
            <w:r w:rsidRPr="00532C37">
              <w:rPr>
                <w:b/>
              </w:rPr>
              <w:t>An Alert Card with information for the patient about this hypersensitivity reaction is included in the TRIUMEQ carton.</w:t>
            </w:r>
          </w:p>
        </w:tc>
      </w:tr>
      <w:tr w:rsidR="00460B66" w:rsidRPr="00E40993" w:rsidTr="0020582F">
        <w:trPr>
          <w:cantSplit/>
        </w:trPr>
        <w:tc>
          <w:tcPr>
            <w:tcW w:w="8640" w:type="dxa"/>
            <w:shd w:val="clear" w:color="auto" w:fill="auto"/>
          </w:tcPr>
          <w:p w:rsidR="00460B66" w:rsidRPr="00E40993" w:rsidRDefault="00460B66" w:rsidP="006118C4">
            <w:pPr>
              <w:pStyle w:val="Head3"/>
            </w:pPr>
            <w:bookmarkStart w:id="1" w:name="Error1"/>
            <w:r w:rsidRPr="00E40993">
              <w:t xml:space="preserve"> </w:t>
            </w:r>
            <w:r w:rsidR="0060712B" w:rsidRPr="00E40993">
              <w:fldChar w:fldCharType="begin"/>
            </w:r>
            <w:r w:rsidRPr="00E40993">
              <w:instrText>SYMBOL 8226\u</w:instrText>
            </w:r>
            <w:r w:rsidR="0060712B" w:rsidRPr="00E40993">
              <w:fldChar w:fldCharType="end"/>
            </w:r>
            <w:r w:rsidRPr="00E40993">
              <w:t xml:space="preserve">       Special </w:t>
            </w:r>
            <w:r w:rsidR="00662DC2">
              <w:t>C</w:t>
            </w:r>
            <w:r w:rsidRPr="00E40993">
              <w:t xml:space="preserve">onsiderations </w:t>
            </w:r>
            <w:r w:rsidR="00662DC2">
              <w:t>F</w:t>
            </w:r>
            <w:r w:rsidRPr="00E40993">
              <w:t xml:space="preserve">ollowing an </w:t>
            </w:r>
            <w:r w:rsidR="00662DC2">
              <w:t>I</w:t>
            </w:r>
            <w:r w:rsidRPr="00E40993">
              <w:t xml:space="preserve">nterruption of </w:t>
            </w:r>
            <w:r w:rsidR="00F97B4F" w:rsidRPr="00E40993">
              <w:t>TRIUMEQ</w:t>
            </w:r>
          </w:p>
          <w:p w:rsidR="00460B66" w:rsidRPr="00E40993" w:rsidRDefault="00460B66" w:rsidP="00460B66">
            <w:r w:rsidRPr="00E40993">
              <w:t xml:space="preserve">Regardless of a </w:t>
            </w:r>
            <w:r w:rsidR="007C720C">
              <w:t>patient</w:t>
            </w:r>
            <w:r w:rsidRPr="00E40993">
              <w:t xml:space="preserve">’s HLA-B*5701 status, if therapy with any </w:t>
            </w:r>
            <w:proofErr w:type="spellStart"/>
            <w:r w:rsidRPr="00E40993">
              <w:t>abacavir</w:t>
            </w:r>
            <w:proofErr w:type="spellEnd"/>
            <w:r w:rsidRPr="00E40993">
              <w:t xml:space="preserve"> containing product has been discontinued and restarting therapy with </w:t>
            </w:r>
            <w:r w:rsidR="00D05A2E" w:rsidRPr="00E40993">
              <w:t>TRIUMEQ</w:t>
            </w:r>
            <w:r w:rsidRPr="00E40993">
              <w:t xml:space="preserve"> is under consideration, the reason for discontinuation should be evaluated to ensure that the </w:t>
            </w:r>
            <w:r w:rsidR="007C720C">
              <w:t>patient</w:t>
            </w:r>
            <w:r w:rsidRPr="00E40993">
              <w:t xml:space="preserve"> did not have symptoms of a hypersensitivity reaction.  </w:t>
            </w:r>
            <w:r w:rsidR="009F70E5" w:rsidRPr="009F70E5">
              <w:rPr>
                <w:b/>
              </w:rPr>
              <w:t xml:space="preserve">If a hypersensitivity reaction cannot be ruled out, TRIUMEQ or any other medicinal product containing </w:t>
            </w:r>
            <w:proofErr w:type="spellStart"/>
            <w:r w:rsidR="009F70E5" w:rsidRPr="009F70E5">
              <w:rPr>
                <w:b/>
              </w:rPr>
              <w:t>abacavir</w:t>
            </w:r>
            <w:proofErr w:type="spellEnd"/>
            <w:r w:rsidR="009F70E5" w:rsidRPr="009F70E5">
              <w:rPr>
                <w:b/>
              </w:rPr>
              <w:t xml:space="preserve"> (e.g. ZIAGEN</w:t>
            </w:r>
            <w:r w:rsidR="00034E3A">
              <w:rPr>
                <w:b/>
              </w:rPr>
              <w:t xml:space="preserve"> [</w:t>
            </w:r>
            <w:proofErr w:type="spellStart"/>
            <w:r w:rsidR="00034E3A">
              <w:rPr>
                <w:b/>
              </w:rPr>
              <w:t>abacavir</w:t>
            </w:r>
            <w:proofErr w:type="spellEnd"/>
            <w:r w:rsidR="00034E3A">
              <w:rPr>
                <w:b/>
              </w:rPr>
              <w:t>]</w:t>
            </w:r>
            <w:r w:rsidR="009F70E5" w:rsidRPr="009F70E5">
              <w:rPr>
                <w:b/>
              </w:rPr>
              <w:t>, KIVEXA</w:t>
            </w:r>
            <w:r w:rsidR="00034E3A">
              <w:rPr>
                <w:b/>
              </w:rPr>
              <w:t xml:space="preserve"> [</w:t>
            </w:r>
            <w:proofErr w:type="spellStart"/>
            <w:r w:rsidR="00034E3A">
              <w:rPr>
                <w:b/>
              </w:rPr>
              <w:t>abacavir</w:t>
            </w:r>
            <w:proofErr w:type="spellEnd"/>
            <w:r w:rsidR="00034E3A">
              <w:rPr>
                <w:b/>
              </w:rPr>
              <w:t>/lamivudine]</w:t>
            </w:r>
            <w:r w:rsidR="009F70E5" w:rsidRPr="009F70E5">
              <w:rPr>
                <w:b/>
              </w:rPr>
              <w:t>, TRIZIVIR</w:t>
            </w:r>
            <w:r w:rsidR="00034E3A">
              <w:rPr>
                <w:b/>
              </w:rPr>
              <w:t xml:space="preserve"> </w:t>
            </w:r>
            <w:r w:rsidR="00034E3A" w:rsidRPr="00A05EF7">
              <w:rPr>
                <w:rFonts w:cs="Arial"/>
                <w:b/>
                <w:snapToGrid w:val="0"/>
                <w:color w:val="000000"/>
                <w:lang w:eastAsia="en-US"/>
              </w:rPr>
              <w:t>[</w:t>
            </w:r>
            <w:proofErr w:type="spellStart"/>
            <w:r w:rsidR="00034E3A">
              <w:rPr>
                <w:rFonts w:cs="Arial"/>
                <w:b/>
                <w:snapToGrid w:val="0"/>
                <w:color w:val="000000"/>
                <w:lang w:eastAsia="en-US"/>
              </w:rPr>
              <w:t>abacavir</w:t>
            </w:r>
            <w:proofErr w:type="spellEnd"/>
            <w:r w:rsidR="00034E3A">
              <w:rPr>
                <w:rFonts w:cs="Arial"/>
                <w:b/>
                <w:snapToGrid w:val="0"/>
                <w:color w:val="000000"/>
                <w:lang w:eastAsia="en-US"/>
              </w:rPr>
              <w:t>/lamivudine/</w:t>
            </w:r>
            <w:proofErr w:type="spellStart"/>
            <w:r w:rsidR="00034E3A">
              <w:rPr>
                <w:rFonts w:cs="Arial"/>
                <w:b/>
                <w:snapToGrid w:val="0"/>
                <w:color w:val="000000"/>
                <w:lang w:eastAsia="en-US"/>
              </w:rPr>
              <w:t>zidovudine</w:t>
            </w:r>
            <w:proofErr w:type="spellEnd"/>
            <w:r w:rsidR="00034E3A">
              <w:rPr>
                <w:rFonts w:cs="Arial"/>
                <w:b/>
                <w:snapToGrid w:val="0"/>
                <w:color w:val="000000"/>
                <w:lang w:eastAsia="en-US"/>
              </w:rPr>
              <w:t>]</w:t>
            </w:r>
            <w:r w:rsidR="009F70E5" w:rsidRPr="009F70E5">
              <w:rPr>
                <w:b/>
              </w:rPr>
              <w:t>) should not be restarted.</w:t>
            </w:r>
          </w:p>
          <w:p w:rsidR="001358B8" w:rsidRPr="0082743B" w:rsidRDefault="001358B8" w:rsidP="001358B8">
            <w:r w:rsidRPr="0082743B">
              <w:t xml:space="preserve">There have been infrequent reports of hypersensitivity reactions with a rapid onset, including life threatening reactions, following reintroduction of </w:t>
            </w:r>
            <w:proofErr w:type="spellStart"/>
            <w:r w:rsidRPr="0082743B">
              <w:t>abacavir</w:t>
            </w:r>
            <w:proofErr w:type="spellEnd"/>
            <w:r w:rsidRPr="0082743B">
              <w:t xml:space="preserve"> in patients who had only one of the key symptoms of a hypersensitivity reaction (</w:t>
            </w:r>
            <w:proofErr w:type="spellStart"/>
            <w:r w:rsidRPr="0082743B">
              <w:t>ie</w:t>
            </w:r>
            <w:proofErr w:type="spellEnd"/>
            <w:r w:rsidRPr="0082743B">
              <w:t xml:space="preserve"> rash, fever, gastrointestinal, respiratory or constitutional symptoms such as fatigue or malaise).  When patients who have discontinued </w:t>
            </w:r>
            <w:r w:rsidR="00871615">
              <w:t>TRIUMEQ</w:t>
            </w:r>
            <w:r w:rsidRPr="0082743B">
              <w:t xml:space="preserve"> present with an indeterminate diagnosis of hypersensitivity (single symptom), the doctor should:</w:t>
            </w:r>
          </w:p>
          <w:p w:rsidR="001358B8" w:rsidRPr="0082743B" w:rsidRDefault="001358B8" w:rsidP="001358B8">
            <w:pPr>
              <w:tabs>
                <w:tab w:val="left" w:pos="142"/>
              </w:tabs>
              <w:ind w:right="32"/>
            </w:pPr>
            <w:r w:rsidRPr="0082743B">
              <w:t>-</w:t>
            </w:r>
            <w:r w:rsidRPr="0082743B">
              <w:tab/>
            </w:r>
            <w:r w:rsidRPr="0082743B">
              <w:tab/>
              <w:t>Assess the probability that hypersensitivity preceded the interruption</w:t>
            </w:r>
          </w:p>
          <w:p w:rsidR="001358B8" w:rsidRPr="0082743B" w:rsidRDefault="001358B8" w:rsidP="001358B8">
            <w:pPr>
              <w:tabs>
                <w:tab w:val="left" w:pos="142"/>
              </w:tabs>
              <w:ind w:right="32"/>
            </w:pPr>
            <w:r w:rsidRPr="0082743B">
              <w:t>-</w:t>
            </w:r>
            <w:r w:rsidRPr="0082743B">
              <w:tab/>
            </w:r>
            <w:r w:rsidRPr="0082743B">
              <w:tab/>
              <w:t xml:space="preserve">Assess the </w:t>
            </w:r>
            <w:proofErr w:type="spellStart"/>
            <w:r w:rsidRPr="0082743B">
              <w:t>risk:benefit</w:t>
            </w:r>
            <w:proofErr w:type="spellEnd"/>
            <w:r w:rsidRPr="0082743B">
              <w:t xml:space="preserve"> of reinitiating </w:t>
            </w:r>
            <w:r w:rsidR="00871615">
              <w:t>TRIUMEQ</w:t>
            </w:r>
          </w:p>
          <w:p w:rsidR="001358B8" w:rsidRDefault="001358B8" w:rsidP="001358B8">
            <w:pPr>
              <w:tabs>
                <w:tab w:val="left" w:pos="142"/>
              </w:tabs>
              <w:ind w:left="720" w:right="32" w:hanging="720"/>
            </w:pPr>
            <w:r w:rsidRPr="0082743B">
              <w:t>-</w:t>
            </w:r>
            <w:r w:rsidRPr="0082743B">
              <w:tab/>
            </w:r>
            <w:r w:rsidRPr="0082743B">
              <w:tab/>
              <w:t xml:space="preserve">Select a medical setting in which medical care can be accessed readily, if a decision is made to reintroduce </w:t>
            </w:r>
            <w:r w:rsidR="00871615">
              <w:t>TRIUMEQ</w:t>
            </w:r>
            <w:r w:rsidRPr="0082743B">
              <w:t>.</w:t>
            </w:r>
          </w:p>
          <w:p w:rsidR="00460B66" w:rsidRPr="00E40993" w:rsidRDefault="00460B66" w:rsidP="00460B66">
            <w:r w:rsidRPr="00E40993">
              <w:t>Screening for carriage of the HLA</w:t>
            </w:r>
            <w:r w:rsidRPr="00E40993">
              <w:rPr>
                <w:rFonts w:eastAsia="MS Mincho"/>
              </w:rPr>
              <w:t>-</w:t>
            </w:r>
            <w:r w:rsidRPr="00E40993">
              <w:t xml:space="preserve">B*5701 allele is recommended prior to re-initiation of </w:t>
            </w:r>
            <w:proofErr w:type="spellStart"/>
            <w:r w:rsidRPr="00E40993">
              <w:t>abacavir</w:t>
            </w:r>
            <w:proofErr w:type="spellEnd"/>
            <w:r w:rsidRPr="00E40993">
              <w:t xml:space="preserve"> in </w:t>
            </w:r>
            <w:r w:rsidR="007C720C">
              <w:t>patient</w:t>
            </w:r>
            <w:r w:rsidRPr="00E40993">
              <w:t xml:space="preserve">s of unknown HLA-B*5701 status who have previously tolerated </w:t>
            </w:r>
            <w:proofErr w:type="spellStart"/>
            <w:r w:rsidRPr="00E40993">
              <w:t>abacavir</w:t>
            </w:r>
            <w:proofErr w:type="spellEnd"/>
            <w:r w:rsidRPr="00E40993">
              <w:t xml:space="preserve">.  Re-initiation of </w:t>
            </w:r>
            <w:proofErr w:type="spellStart"/>
            <w:r w:rsidRPr="00E40993">
              <w:t>abacavir</w:t>
            </w:r>
            <w:proofErr w:type="spellEnd"/>
            <w:r w:rsidRPr="00E40993">
              <w:t xml:space="preserve"> in such </w:t>
            </w:r>
            <w:r w:rsidR="007C720C">
              <w:t>patient</w:t>
            </w:r>
            <w:r w:rsidRPr="00E40993">
              <w:t>s who test positive for the HLA</w:t>
            </w:r>
            <w:r w:rsidRPr="00E40993">
              <w:rPr>
                <w:rFonts w:eastAsia="MS Mincho"/>
              </w:rPr>
              <w:t>-</w:t>
            </w:r>
            <w:r w:rsidRPr="00E40993">
              <w:t>B*5701 allele is not recommended and should be considered only under exceptional circumstances where potential benefit outweighs the risk and with close medical supervision.</w:t>
            </w:r>
          </w:p>
        </w:tc>
      </w:tr>
      <w:bookmarkEnd w:id="1"/>
      <w:tr w:rsidR="00460B66" w:rsidRPr="00E40993" w:rsidTr="0020582F">
        <w:trPr>
          <w:cantSplit/>
        </w:trPr>
        <w:tc>
          <w:tcPr>
            <w:tcW w:w="8640" w:type="dxa"/>
            <w:shd w:val="clear" w:color="auto" w:fill="auto"/>
          </w:tcPr>
          <w:p w:rsidR="00460B66" w:rsidRPr="00E40993" w:rsidRDefault="00460B66" w:rsidP="006118C4">
            <w:pPr>
              <w:pStyle w:val="Head3"/>
            </w:pPr>
            <w:r w:rsidRPr="00E40993">
              <w:t xml:space="preserve"> </w:t>
            </w:r>
            <w:r w:rsidR="0060712B" w:rsidRPr="00E40993">
              <w:fldChar w:fldCharType="begin"/>
            </w:r>
            <w:r w:rsidRPr="00E40993">
              <w:instrText>SYMBOL 8226\u</w:instrText>
            </w:r>
            <w:r w:rsidR="0060712B" w:rsidRPr="00E40993">
              <w:fldChar w:fldCharType="end"/>
            </w:r>
            <w:r w:rsidRPr="00E40993">
              <w:t xml:space="preserve">       Essential </w:t>
            </w:r>
            <w:r w:rsidR="00662DC2">
              <w:t>P</w:t>
            </w:r>
            <w:r w:rsidR="007C720C">
              <w:t>atient</w:t>
            </w:r>
            <w:r w:rsidRPr="00E40993">
              <w:t xml:space="preserve"> </w:t>
            </w:r>
            <w:r w:rsidR="00662DC2">
              <w:t>I</w:t>
            </w:r>
            <w:r w:rsidRPr="00E40993">
              <w:t>nformation</w:t>
            </w:r>
          </w:p>
          <w:p w:rsidR="00460B66" w:rsidRPr="00E40993" w:rsidRDefault="00460B66" w:rsidP="008D6904">
            <w:r w:rsidRPr="00E40993">
              <w:t xml:space="preserve">Prescribers must ensure that </w:t>
            </w:r>
            <w:r w:rsidR="007C720C">
              <w:t>patient</w:t>
            </w:r>
            <w:r w:rsidRPr="00E40993">
              <w:t>s are fully informed regarding the following information on the hypersensitivity reaction:</w:t>
            </w:r>
          </w:p>
          <w:p w:rsidR="00460B66" w:rsidRPr="00E40993" w:rsidRDefault="007C720C" w:rsidP="008D6904">
            <w:r>
              <w:t>Patient</w:t>
            </w:r>
            <w:r w:rsidR="00460B66" w:rsidRPr="00E40993">
              <w:t xml:space="preserve">s must be made aware of the possibility of a hypersensitivity reaction to </w:t>
            </w:r>
            <w:proofErr w:type="spellStart"/>
            <w:r w:rsidR="00460B66" w:rsidRPr="00E40993">
              <w:t>abacavir</w:t>
            </w:r>
            <w:proofErr w:type="spellEnd"/>
            <w:r w:rsidR="00460B66" w:rsidRPr="00E40993">
              <w:t xml:space="preserve"> that may result in a life-threatening reaction or death and that the risk of a hypersensitivity reaction is increased if they are HLA-B*5701 positive.</w:t>
            </w:r>
          </w:p>
          <w:p w:rsidR="00460B66" w:rsidRPr="00E40993" w:rsidRDefault="007C720C" w:rsidP="008D6904">
            <w:r>
              <w:t>Patient</w:t>
            </w:r>
            <w:r w:rsidR="00460B66" w:rsidRPr="00E40993">
              <w:t xml:space="preserve">s must also be informed that HLA-B*5701 negative </w:t>
            </w:r>
            <w:r>
              <w:t>patient</w:t>
            </w:r>
            <w:r w:rsidR="00460B66" w:rsidRPr="00E40993">
              <w:t xml:space="preserve">s can also experience </w:t>
            </w:r>
            <w:proofErr w:type="spellStart"/>
            <w:r w:rsidR="00460B66" w:rsidRPr="00E40993">
              <w:t>abacavir</w:t>
            </w:r>
            <w:proofErr w:type="spellEnd"/>
            <w:r w:rsidR="00460B66" w:rsidRPr="00E40993">
              <w:t xml:space="preserve"> hypersensitivity reaction.  Therefore, ANY </w:t>
            </w:r>
            <w:r>
              <w:t>patient</w:t>
            </w:r>
            <w:r w:rsidR="00460B66" w:rsidRPr="00E40993">
              <w:t xml:space="preserve"> who develops signs or symptoms consistent with a possible hypersensitivity reaction to </w:t>
            </w:r>
            <w:proofErr w:type="spellStart"/>
            <w:r w:rsidR="00460B66" w:rsidRPr="00E40993">
              <w:t>abacavir</w:t>
            </w:r>
            <w:proofErr w:type="spellEnd"/>
            <w:r w:rsidR="00460B66" w:rsidRPr="00E40993">
              <w:t xml:space="preserve"> MUST CONTACT their doctor IMMEDIATELY.  </w:t>
            </w:r>
          </w:p>
          <w:p w:rsidR="00460B66" w:rsidRPr="00E40993" w:rsidRDefault="007C720C" w:rsidP="008D6904">
            <w:r>
              <w:t>Patient</w:t>
            </w:r>
            <w:r w:rsidR="00460B66" w:rsidRPr="00E40993">
              <w:t xml:space="preserve">s who are hypersensitive to </w:t>
            </w:r>
            <w:proofErr w:type="spellStart"/>
            <w:r w:rsidR="00460B66" w:rsidRPr="00E40993">
              <w:t>abacavir</w:t>
            </w:r>
            <w:proofErr w:type="spellEnd"/>
            <w:r w:rsidR="00460B66" w:rsidRPr="00E40993">
              <w:t xml:space="preserve"> should be reminded that they must never take </w:t>
            </w:r>
            <w:r w:rsidR="00D05A2E" w:rsidRPr="00E40993">
              <w:t>TRIUMEQ</w:t>
            </w:r>
            <w:r w:rsidR="00460B66" w:rsidRPr="00E40993">
              <w:t xml:space="preserve"> or any other medicinal product containing </w:t>
            </w:r>
            <w:proofErr w:type="spellStart"/>
            <w:r w:rsidR="00460B66" w:rsidRPr="00E40993">
              <w:t>abacavir</w:t>
            </w:r>
            <w:proofErr w:type="spellEnd"/>
            <w:r w:rsidR="00460B66" w:rsidRPr="00E40993">
              <w:t xml:space="preserve"> (e.g. ZIA</w:t>
            </w:r>
            <w:smartTag w:uri="schemas-GSKSiteLocations-com/fourthcoffee" w:element="flavor">
              <w:r w:rsidR="00460B66" w:rsidRPr="00E40993">
                <w:t>GEN</w:t>
              </w:r>
              <w:r w:rsidR="00034E3A">
                <w:t xml:space="preserve"> [</w:t>
              </w:r>
              <w:proofErr w:type="spellStart"/>
              <w:r w:rsidR="00034E3A">
                <w:t>abacavir</w:t>
              </w:r>
              <w:proofErr w:type="spellEnd"/>
              <w:r w:rsidR="00034E3A">
                <w:t>]</w:t>
              </w:r>
            </w:smartTag>
            <w:r w:rsidR="00460B66" w:rsidRPr="00E40993">
              <w:t>, KIVEXA</w:t>
            </w:r>
            <w:r w:rsidR="00034E3A">
              <w:t xml:space="preserve"> </w:t>
            </w:r>
            <w:r w:rsidR="00034E3A" w:rsidRPr="00034E3A">
              <w:t xml:space="preserve"> </w:t>
            </w:r>
            <w:r w:rsidR="00034E3A" w:rsidRPr="00034E3A">
              <w:rPr>
                <w:rFonts w:cs="Arial"/>
                <w:snapToGrid w:val="0"/>
                <w:color w:val="000000"/>
                <w:lang w:eastAsia="en-US"/>
              </w:rPr>
              <w:t>[</w:t>
            </w:r>
            <w:proofErr w:type="spellStart"/>
            <w:r w:rsidR="00034E3A" w:rsidRPr="00034E3A">
              <w:rPr>
                <w:rFonts w:cs="Arial"/>
                <w:snapToGrid w:val="0"/>
                <w:color w:val="000000"/>
                <w:lang w:eastAsia="en-US"/>
              </w:rPr>
              <w:t>abacavir</w:t>
            </w:r>
            <w:proofErr w:type="spellEnd"/>
            <w:r w:rsidR="00034E3A">
              <w:rPr>
                <w:rFonts w:cs="Arial"/>
                <w:snapToGrid w:val="0"/>
                <w:color w:val="000000"/>
                <w:lang w:eastAsia="en-US"/>
              </w:rPr>
              <w:t>/lamivudine</w:t>
            </w:r>
            <w:r w:rsidR="00034E3A" w:rsidRPr="00034E3A">
              <w:rPr>
                <w:rFonts w:cs="Arial"/>
                <w:snapToGrid w:val="0"/>
                <w:color w:val="000000"/>
                <w:lang w:eastAsia="en-US"/>
              </w:rPr>
              <w:t>]</w:t>
            </w:r>
            <w:r w:rsidR="00460B66" w:rsidRPr="00E40993">
              <w:t>, TRIZIVIR</w:t>
            </w:r>
            <w:r w:rsidR="00034E3A" w:rsidRPr="00034E3A">
              <w:t xml:space="preserve"> </w:t>
            </w:r>
            <w:r w:rsidR="00034E3A" w:rsidRPr="00034E3A">
              <w:rPr>
                <w:rFonts w:cs="Arial"/>
                <w:snapToGrid w:val="0"/>
                <w:color w:val="000000"/>
                <w:lang w:eastAsia="en-US"/>
              </w:rPr>
              <w:t>[</w:t>
            </w:r>
            <w:proofErr w:type="spellStart"/>
            <w:r w:rsidR="00034E3A" w:rsidRPr="00034E3A">
              <w:rPr>
                <w:rFonts w:cs="Arial"/>
                <w:snapToGrid w:val="0"/>
                <w:color w:val="000000"/>
                <w:lang w:eastAsia="en-US"/>
              </w:rPr>
              <w:t>abacavir</w:t>
            </w:r>
            <w:proofErr w:type="spellEnd"/>
            <w:r w:rsidR="00034E3A" w:rsidRPr="00034E3A">
              <w:rPr>
                <w:rFonts w:cs="Arial"/>
                <w:snapToGrid w:val="0"/>
                <w:color w:val="000000"/>
                <w:lang w:eastAsia="en-US"/>
              </w:rPr>
              <w:t>/lamivudine/</w:t>
            </w:r>
            <w:proofErr w:type="spellStart"/>
            <w:r w:rsidR="00034E3A" w:rsidRPr="00034E3A">
              <w:rPr>
                <w:rFonts w:cs="Arial"/>
                <w:snapToGrid w:val="0"/>
                <w:color w:val="000000"/>
                <w:lang w:eastAsia="en-US"/>
              </w:rPr>
              <w:t>zidovudine</w:t>
            </w:r>
            <w:proofErr w:type="spellEnd"/>
            <w:r w:rsidR="00034E3A" w:rsidRPr="00034E3A">
              <w:rPr>
                <w:rFonts w:cs="Arial"/>
                <w:snapToGrid w:val="0"/>
                <w:color w:val="000000"/>
                <w:lang w:eastAsia="en-US"/>
              </w:rPr>
              <w:t>]</w:t>
            </w:r>
            <w:r w:rsidR="00460B66" w:rsidRPr="00E40993">
              <w:t xml:space="preserve">) again, regardless of their HLA-B*5701 status.  </w:t>
            </w:r>
          </w:p>
          <w:p w:rsidR="00460B66" w:rsidRPr="00E40993" w:rsidRDefault="00460B66" w:rsidP="008D6904">
            <w:r w:rsidRPr="00E40993">
              <w:t xml:space="preserve">In order to avoid restarting </w:t>
            </w:r>
            <w:r w:rsidR="00D05A2E" w:rsidRPr="00E40993">
              <w:t>TRIUMEQ</w:t>
            </w:r>
            <w:r w:rsidRPr="00E40993">
              <w:t xml:space="preserve">, </w:t>
            </w:r>
            <w:r w:rsidR="007C720C">
              <w:t>patient</w:t>
            </w:r>
            <w:r w:rsidRPr="00E40993">
              <w:t xml:space="preserve">s who have experienced a hypersensitivity reaction should be asked to return the remaining </w:t>
            </w:r>
            <w:r w:rsidR="00D05A2E" w:rsidRPr="00E40993">
              <w:t>TRIUMEQ</w:t>
            </w:r>
            <w:r w:rsidRPr="00E40993">
              <w:t xml:space="preserve"> tablets to the pharmacy</w:t>
            </w:r>
          </w:p>
          <w:p w:rsidR="00460B66" w:rsidRPr="00E40993" w:rsidRDefault="007C720C" w:rsidP="008D6904">
            <w:r>
              <w:t>Patient</w:t>
            </w:r>
            <w:r w:rsidR="00460B66" w:rsidRPr="00E40993">
              <w:t xml:space="preserve">s who have stopped </w:t>
            </w:r>
            <w:r w:rsidR="00D05A2E" w:rsidRPr="00E40993">
              <w:t>TRIUMEQ</w:t>
            </w:r>
            <w:r w:rsidR="00460B66" w:rsidRPr="00E40993">
              <w:t xml:space="preserve"> for any reason, and particularly due to possible adverse reactions or illness, must be advised to contact their doctor before restarting</w:t>
            </w:r>
          </w:p>
          <w:p w:rsidR="00460B66" w:rsidRPr="00E40993" w:rsidRDefault="00460B66" w:rsidP="00D05A2E">
            <w:r w:rsidRPr="00E40993">
              <w:t xml:space="preserve">Each </w:t>
            </w:r>
            <w:r w:rsidR="007C720C">
              <w:t>patient</w:t>
            </w:r>
            <w:r w:rsidRPr="00E40993">
              <w:t xml:space="preserve"> should be reminded to read the package leaflet included in the </w:t>
            </w:r>
            <w:r w:rsidR="00D05A2E" w:rsidRPr="00E40993">
              <w:t>TRIUMEQ</w:t>
            </w:r>
            <w:r w:rsidRPr="00E40993">
              <w:t xml:space="preserve"> </w:t>
            </w:r>
            <w:r w:rsidR="00D05A2E" w:rsidRPr="00E40993">
              <w:t>carton</w:t>
            </w:r>
            <w:r w:rsidRPr="00E40993">
              <w:t xml:space="preserve">. They should be reminded of the importance of removing the Alert Card included in the </w:t>
            </w:r>
            <w:r w:rsidR="00D05A2E" w:rsidRPr="00E40993">
              <w:t>carton</w:t>
            </w:r>
            <w:r w:rsidRPr="00E40993">
              <w:t>, and keeping it with them at all times.</w:t>
            </w:r>
          </w:p>
        </w:tc>
      </w:tr>
    </w:tbl>
    <w:p w:rsidR="00460B66" w:rsidRPr="00E40993" w:rsidRDefault="00460B66" w:rsidP="00460B66">
      <w:pPr>
        <w:rPr>
          <w:color w:val="000000" w:themeColor="text1"/>
        </w:rPr>
      </w:pPr>
    </w:p>
    <w:p w:rsidR="00B417FA" w:rsidRDefault="007F520F">
      <w:pPr>
        <w:pStyle w:val="Heading2"/>
        <w:keepNext/>
        <w:rPr>
          <w:lang w:val="en-GB"/>
        </w:rPr>
      </w:pPr>
      <w:r w:rsidRPr="00E40993">
        <w:rPr>
          <w:lang w:val="en-GB"/>
        </w:rPr>
        <w:t xml:space="preserve">Hypersensitivity </w:t>
      </w:r>
      <w:r w:rsidR="00460B66" w:rsidRPr="00E40993">
        <w:rPr>
          <w:lang w:val="en-GB"/>
        </w:rPr>
        <w:t xml:space="preserve">to </w:t>
      </w:r>
      <w:proofErr w:type="spellStart"/>
      <w:r w:rsidR="00662DC2">
        <w:rPr>
          <w:lang w:val="en-GB"/>
        </w:rPr>
        <w:t>D</w:t>
      </w:r>
      <w:r w:rsidR="00460B66" w:rsidRPr="00E40993">
        <w:rPr>
          <w:lang w:val="en-GB"/>
        </w:rPr>
        <w:t>olutegravir</w:t>
      </w:r>
      <w:proofErr w:type="spellEnd"/>
    </w:p>
    <w:p w:rsidR="00B417FA" w:rsidRDefault="00460B66">
      <w:pPr>
        <w:keepNext/>
        <w:rPr>
          <w:lang w:val="en-GB"/>
        </w:rPr>
      </w:pPr>
      <w:r w:rsidRPr="00E40993">
        <w:rPr>
          <w:lang w:val="en-GB"/>
        </w:rPr>
        <w:t xml:space="preserve">Hypersensitivity reactions have been reported with integrase inhibitors, including </w:t>
      </w:r>
      <w:proofErr w:type="spellStart"/>
      <w:r w:rsidRPr="00E40993">
        <w:rPr>
          <w:lang w:val="en-GB"/>
        </w:rPr>
        <w:t>dolutegravir</w:t>
      </w:r>
      <w:proofErr w:type="spellEnd"/>
      <w:r w:rsidRPr="00E40993">
        <w:rPr>
          <w:lang w:val="en-GB"/>
        </w:rPr>
        <w:t xml:space="preserve">, and were characterized by rash, constitutional findings, and sometimes, organ dysfunction, including liver injury. Discontinue </w:t>
      </w:r>
      <w:r w:rsidR="00D05A2E" w:rsidRPr="00E40993">
        <w:t>TRIUMEQ</w:t>
      </w:r>
      <w:r w:rsidRPr="00E40993">
        <w:rPr>
          <w:lang w:val="en-GB"/>
        </w:rPr>
        <w:t xml:space="preserve"> and other suspect agents immediately if signs or symptoms of hypersensitivity reactions develop (including, but not limited to, severe rash or rash accompanied by fever, general malaise, fatigue, muscle or joint aches, blisters, oral lesions, conjunctivitis, facial oedema, hepatitis, eosinophilia, angioedema). Clinical status including liver aminotransferases should be monitored and appropriate therapy initiated. Delay in stopping treatment with </w:t>
      </w:r>
      <w:r w:rsidR="00D05A2E" w:rsidRPr="00E40993">
        <w:t>TRIUMEQ</w:t>
      </w:r>
      <w:r w:rsidRPr="00E40993">
        <w:rPr>
          <w:lang w:val="en-GB"/>
        </w:rPr>
        <w:t xml:space="preserve"> or other suspect agents after the onset of hypersensitivity may result in a life-threatening reaction.</w:t>
      </w:r>
    </w:p>
    <w:p w:rsidR="005B788B" w:rsidRPr="00E40993" w:rsidRDefault="005B788B" w:rsidP="006118C4">
      <w:pPr>
        <w:pStyle w:val="Heading2"/>
        <w:rPr>
          <w:lang w:val="en-GB"/>
        </w:rPr>
      </w:pPr>
      <w:r w:rsidRPr="00E40993">
        <w:rPr>
          <w:lang w:val="en-GB"/>
        </w:rPr>
        <w:t xml:space="preserve">Lactic </w:t>
      </w:r>
      <w:r w:rsidR="00E92191">
        <w:rPr>
          <w:lang w:val="en-GB"/>
        </w:rPr>
        <w:t>A</w:t>
      </w:r>
      <w:r w:rsidRPr="00E40993">
        <w:rPr>
          <w:lang w:val="en-GB"/>
        </w:rPr>
        <w:t>cidosis/</w:t>
      </w:r>
      <w:r w:rsidR="00E92191">
        <w:rPr>
          <w:lang w:val="en-GB"/>
        </w:rPr>
        <w:t>S</w:t>
      </w:r>
      <w:r w:rsidRPr="00E40993">
        <w:rPr>
          <w:lang w:val="en-GB"/>
        </w:rPr>
        <w:t xml:space="preserve">evere </w:t>
      </w:r>
      <w:r w:rsidR="00E92191">
        <w:rPr>
          <w:lang w:val="en-GB"/>
        </w:rPr>
        <w:t>H</w:t>
      </w:r>
      <w:r w:rsidRPr="00E40993">
        <w:rPr>
          <w:lang w:val="en-GB"/>
        </w:rPr>
        <w:t xml:space="preserve">epatomegaly with </w:t>
      </w:r>
      <w:proofErr w:type="spellStart"/>
      <w:r w:rsidR="00E92191">
        <w:rPr>
          <w:lang w:val="en-GB"/>
        </w:rPr>
        <w:t>S</w:t>
      </w:r>
      <w:r w:rsidRPr="00E40993">
        <w:rPr>
          <w:lang w:val="en-GB"/>
        </w:rPr>
        <w:t>teatosis</w:t>
      </w:r>
      <w:proofErr w:type="spellEnd"/>
    </w:p>
    <w:p w:rsidR="005B788B" w:rsidRPr="00E40993" w:rsidRDefault="005B788B" w:rsidP="008D6904">
      <w:pPr>
        <w:rPr>
          <w:lang w:val="en-GB"/>
        </w:rPr>
      </w:pPr>
      <w:r w:rsidRPr="00E40993">
        <w:rPr>
          <w:lang w:val="en-GB"/>
        </w:rPr>
        <w:t xml:space="preserve">Lactic acidosis and severe hepatomegaly with </w:t>
      </w:r>
      <w:proofErr w:type="spellStart"/>
      <w:r w:rsidRPr="00E40993">
        <w:rPr>
          <w:lang w:val="en-GB"/>
        </w:rPr>
        <w:t>steatosis</w:t>
      </w:r>
      <w:proofErr w:type="spellEnd"/>
      <w:r w:rsidRPr="00E40993">
        <w:rPr>
          <w:lang w:val="en-GB"/>
        </w:rPr>
        <w:t xml:space="preserve">, including fatal cases, have been reported with the use of antiretroviral nucleoside analogues either alone or in combination, including </w:t>
      </w:r>
      <w:proofErr w:type="spellStart"/>
      <w:r w:rsidRPr="00E40993">
        <w:rPr>
          <w:lang w:val="en-GB"/>
        </w:rPr>
        <w:t>abacavir</w:t>
      </w:r>
      <w:proofErr w:type="spellEnd"/>
      <w:r w:rsidRPr="00E40993">
        <w:rPr>
          <w:lang w:val="en-GB"/>
        </w:rPr>
        <w:t xml:space="preserve"> and lamivudine. A majority of these cases have been in women.</w:t>
      </w:r>
    </w:p>
    <w:p w:rsidR="005B788B" w:rsidRPr="00E40993" w:rsidRDefault="005B788B" w:rsidP="008D6904">
      <w:pPr>
        <w:rPr>
          <w:lang w:val="en-GB"/>
        </w:rPr>
      </w:pPr>
      <w:r w:rsidRPr="00E40993">
        <w:rPr>
          <w:lang w:val="en-GB"/>
        </w:rPr>
        <w:t xml:space="preserve">Clinical features which may be indicative of the development of lactic acidosis include generalised weakness, anorexia, and sudden unexplained weight loss, gastrointestinal symptoms and respiratory symptoms (dyspnoea and </w:t>
      </w:r>
      <w:proofErr w:type="spellStart"/>
      <w:r w:rsidRPr="00E40993">
        <w:rPr>
          <w:lang w:val="en-GB"/>
        </w:rPr>
        <w:t>tachypnoea</w:t>
      </w:r>
      <w:proofErr w:type="spellEnd"/>
      <w:r w:rsidRPr="00E40993">
        <w:rPr>
          <w:lang w:val="en-GB"/>
        </w:rPr>
        <w:t>).</w:t>
      </w:r>
    </w:p>
    <w:p w:rsidR="005B788B" w:rsidRPr="00E40993" w:rsidRDefault="005B788B" w:rsidP="008D6904">
      <w:pPr>
        <w:rPr>
          <w:lang w:val="en-GB"/>
        </w:rPr>
      </w:pPr>
      <w:r w:rsidRPr="00E40993">
        <w:rPr>
          <w:lang w:val="en-GB"/>
        </w:rPr>
        <w:t xml:space="preserve">Caution should be exercised when administering </w:t>
      </w:r>
      <w:r w:rsidR="00D05A2E" w:rsidRPr="00E40993">
        <w:t>TRIUMEQ</w:t>
      </w:r>
      <w:r w:rsidRPr="00E40993">
        <w:rPr>
          <w:lang w:val="en-GB"/>
        </w:rPr>
        <w:t xml:space="preserve"> particularly to those with known risk factors for liver disease. Treatment with </w:t>
      </w:r>
      <w:r w:rsidR="00D05A2E" w:rsidRPr="00E40993">
        <w:t>TRIUMEQ</w:t>
      </w:r>
      <w:r w:rsidRPr="00E40993">
        <w:rPr>
          <w:lang w:val="en-GB"/>
        </w:rPr>
        <w:t xml:space="preserve"> should be suspended in any </w:t>
      </w:r>
      <w:r w:rsidR="007C720C">
        <w:rPr>
          <w:lang w:val="en-GB"/>
        </w:rPr>
        <w:t>patient</w:t>
      </w:r>
      <w:r w:rsidRPr="00E40993">
        <w:rPr>
          <w:lang w:val="en-GB"/>
        </w:rPr>
        <w:t xml:space="preserve"> who develops clinical or laboratory findings suggestive of lactic acidosis with or without hepatitis (which may include hepatomegaly and </w:t>
      </w:r>
      <w:proofErr w:type="spellStart"/>
      <w:r w:rsidRPr="00E40993">
        <w:rPr>
          <w:lang w:val="en-GB"/>
        </w:rPr>
        <w:t>steatosis</w:t>
      </w:r>
      <w:proofErr w:type="spellEnd"/>
      <w:r w:rsidRPr="00E40993">
        <w:rPr>
          <w:lang w:val="en-GB"/>
        </w:rPr>
        <w:t xml:space="preserve"> even in the absence of marked transaminase elevations).</w:t>
      </w:r>
    </w:p>
    <w:p w:rsidR="005B788B" w:rsidRPr="00E40993" w:rsidRDefault="005B788B" w:rsidP="00034E3A">
      <w:pPr>
        <w:pStyle w:val="Heading2"/>
        <w:keepNext/>
        <w:rPr>
          <w:lang w:val="en-GB"/>
        </w:rPr>
      </w:pPr>
      <w:r w:rsidRPr="00E40993">
        <w:rPr>
          <w:lang w:val="en-GB"/>
        </w:rPr>
        <w:t>Lipodystrophy</w:t>
      </w:r>
    </w:p>
    <w:p w:rsidR="005B788B" w:rsidRPr="00E40993" w:rsidRDefault="005B788B" w:rsidP="00034E3A">
      <w:pPr>
        <w:keepNext/>
        <w:rPr>
          <w:i/>
          <w:lang w:val="en-GB"/>
        </w:rPr>
      </w:pPr>
      <w:r w:rsidRPr="00E40993">
        <w:rPr>
          <w:lang w:val="en-GB"/>
        </w:rPr>
        <w:t xml:space="preserve">Redistribution/accumulation of body fat, including central obesity, </w:t>
      </w:r>
      <w:proofErr w:type="spellStart"/>
      <w:r w:rsidRPr="00E40993">
        <w:rPr>
          <w:lang w:val="en-GB"/>
        </w:rPr>
        <w:t>dorsocervical</w:t>
      </w:r>
      <w:proofErr w:type="spellEnd"/>
      <w:r w:rsidRPr="00E40993">
        <w:rPr>
          <w:lang w:val="en-GB"/>
        </w:rPr>
        <w:t xml:space="preserve"> fat enlargement (buffalo hump), peripheral wasting, facial wasting, breast enlargement, elevated serum lipid and blood glucose levels have been observed either separately or together in some </w:t>
      </w:r>
      <w:r w:rsidR="007C720C">
        <w:rPr>
          <w:lang w:val="en-GB"/>
        </w:rPr>
        <w:t>patient</w:t>
      </w:r>
      <w:r w:rsidRPr="00E40993">
        <w:rPr>
          <w:lang w:val="en-GB"/>
        </w:rPr>
        <w:t>s receiving combination antiretroviral therapy (</w:t>
      </w:r>
      <w:r w:rsidRPr="00E40993">
        <w:rPr>
          <w:i/>
          <w:lang w:val="en-GB"/>
        </w:rPr>
        <w:t xml:space="preserve">see Adverse </w:t>
      </w:r>
      <w:r w:rsidR="00D05A2E" w:rsidRPr="00E40993">
        <w:rPr>
          <w:i/>
          <w:lang w:val="en-GB"/>
        </w:rPr>
        <w:t>Effects</w:t>
      </w:r>
      <w:r w:rsidRPr="00E40993">
        <w:rPr>
          <w:lang w:val="en-GB"/>
        </w:rPr>
        <w:t>)</w:t>
      </w:r>
      <w:r w:rsidRPr="00E40993">
        <w:rPr>
          <w:i/>
          <w:lang w:val="en-GB"/>
        </w:rPr>
        <w:t>.</w:t>
      </w:r>
    </w:p>
    <w:p w:rsidR="005B788B" w:rsidRPr="00E40993" w:rsidRDefault="005B788B" w:rsidP="008D6904">
      <w:pPr>
        <w:rPr>
          <w:lang w:val="en-GB"/>
        </w:rPr>
      </w:pPr>
      <w:r w:rsidRPr="00E40993">
        <w:rPr>
          <w:lang w:val="en-GB"/>
        </w:rPr>
        <w:t>Whilst all members of the protease and nucleoside reverse transcriptase inhibitor classes of medicinal products have been associated with one or more of these specific adverse events, linked to a general syndrome commonly referred to as lipodystrophy, data indicate that there are differences in the risk between individual members of the respective therapeutic classes.</w:t>
      </w:r>
    </w:p>
    <w:p w:rsidR="005B788B" w:rsidRPr="00E40993" w:rsidRDefault="005B788B" w:rsidP="008D6904">
      <w:pPr>
        <w:rPr>
          <w:lang w:val="en-GB"/>
        </w:rPr>
      </w:pPr>
      <w:r w:rsidRPr="00E40993">
        <w:rPr>
          <w:lang w:val="en-GB"/>
        </w:rPr>
        <w:t xml:space="preserve">In addition, the lipodystrophy syndrome has a multi-factorial aetiology; with for example HIV disease status, older age and duration of antiretroviral treatment all playing important, possibly synergistic roles. </w:t>
      </w:r>
    </w:p>
    <w:p w:rsidR="005B788B" w:rsidRPr="00E40993" w:rsidRDefault="005B788B" w:rsidP="008D6904">
      <w:pPr>
        <w:rPr>
          <w:lang w:val="en-GB"/>
        </w:rPr>
      </w:pPr>
      <w:r w:rsidRPr="00E40993">
        <w:rPr>
          <w:lang w:val="en-GB"/>
        </w:rPr>
        <w:t>The long-term consequences of these events are currently unknown.</w:t>
      </w:r>
    </w:p>
    <w:p w:rsidR="005B788B" w:rsidRPr="00E40993" w:rsidRDefault="005B788B" w:rsidP="008D6904">
      <w:pPr>
        <w:rPr>
          <w:lang w:val="en-GB"/>
        </w:rPr>
      </w:pPr>
      <w:r w:rsidRPr="00E40993">
        <w:rPr>
          <w:lang w:val="en-GB"/>
        </w:rPr>
        <w:t>Clinical examination should include evaluation for physical signs of fat redistribution. Consideration should be given to the measurement of serum lipids and blood glucose. Lipid disorders should be managed as clinically appropriate.</w:t>
      </w:r>
    </w:p>
    <w:p w:rsidR="005B788B" w:rsidRPr="00E40993" w:rsidRDefault="005B788B" w:rsidP="006118C4">
      <w:pPr>
        <w:pStyle w:val="Heading2"/>
        <w:rPr>
          <w:lang w:val="en-GB"/>
        </w:rPr>
      </w:pPr>
      <w:r w:rsidRPr="00E40993">
        <w:rPr>
          <w:lang w:val="en-GB"/>
        </w:rPr>
        <w:t>Immune Reconstitution Syndrome</w:t>
      </w:r>
    </w:p>
    <w:p w:rsidR="005B788B" w:rsidRPr="00E40993" w:rsidRDefault="005B788B" w:rsidP="00510C45">
      <w:pPr>
        <w:rPr>
          <w:lang w:val="en-GB"/>
        </w:rPr>
      </w:pPr>
      <w:r w:rsidRPr="00E40993">
        <w:t xml:space="preserve">In HIV-infected </w:t>
      </w:r>
      <w:r w:rsidR="007C720C">
        <w:t>patient</w:t>
      </w:r>
      <w:r w:rsidRPr="00E40993">
        <w:t>s with severe immune deficiency at the time of initiation of anti-retroviral therapy (ART), an inflammatory reaction to asymptomatic or residual opportunistic infections may arise and cause serious clinical conditions, or aggravation of symptoms. Typically, such reactions have been observed within the first few weeks or months of initiation of ART.  Relevant examples are cytomegalovirus retinitis, generalised and/or focal mycobacterial infections and</w:t>
      </w:r>
      <w:r w:rsidRPr="00E40993">
        <w:rPr>
          <w:lang w:val="en-GB"/>
        </w:rPr>
        <w:t xml:space="preserve"> </w:t>
      </w:r>
      <w:r w:rsidRPr="00E40993">
        <w:rPr>
          <w:i/>
          <w:lang w:val="en-GB"/>
        </w:rPr>
        <w:t xml:space="preserve">Pneumocystis </w:t>
      </w:r>
      <w:proofErr w:type="spellStart"/>
      <w:r w:rsidRPr="00E40993">
        <w:rPr>
          <w:i/>
          <w:lang w:val="en-GB"/>
        </w:rPr>
        <w:t>jiroveci</w:t>
      </w:r>
      <w:proofErr w:type="spellEnd"/>
      <w:r w:rsidRPr="00E40993">
        <w:rPr>
          <w:lang w:val="en-GB"/>
        </w:rPr>
        <w:t xml:space="preserve"> (</w:t>
      </w:r>
      <w:r w:rsidRPr="00E40993">
        <w:rPr>
          <w:i/>
          <w:lang w:val="en-GB"/>
        </w:rPr>
        <w:t xml:space="preserve">P. </w:t>
      </w:r>
      <w:proofErr w:type="spellStart"/>
      <w:r w:rsidRPr="00E40993">
        <w:rPr>
          <w:i/>
          <w:lang w:val="en-GB"/>
        </w:rPr>
        <w:t>carinii</w:t>
      </w:r>
      <w:proofErr w:type="spellEnd"/>
      <w:r w:rsidRPr="00E40993">
        <w:rPr>
          <w:lang w:val="en-GB"/>
        </w:rPr>
        <w:t xml:space="preserve">) pneumonia. Any inflammatory symptoms must be evaluated without delay and treatment initiated when necessary. Autoimmune disorders (such as Graves’ disease, </w:t>
      </w:r>
      <w:proofErr w:type="spellStart"/>
      <w:r w:rsidRPr="00E40993">
        <w:rPr>
          <w:lang w:val="en-GB"/>
        </w:rPr>
        <w:t>polymyositis</w:t>
      </w:r>
      <w:proofErr w:type="spellEnd"/>
      <w:r w:rsidRPr="00E40993">
        <w:rPr>
          <w:lang w:val="en-GB"/>
        </w:rPr>
        <w:t xml:space="preserve"> and Guillain-Barre syndrome) have also been reported to occur in the setting of immune reconstitution, however, the time to onset is more variable, and can occur many months after initiation of treatment and sometimes can be an atypical presentation.</w:t>
      </w:r>
    </w:p>
    <w:p w:rsidR="005B788B" w:rsidRPr="00E40993" w:rsidRDefault="005B788B" w:rsidP="00510C45">
      <w:pPr>
        <w:rPr>
          <w:lang w:val="en-GB"/>
        </w:rPr>
      </w:pPr>
      <w:r w:rsidRPr="00E40993">
        <w:rPr>
          <w:lang w:val="en-GB"/>
        </w:rPr>
        <w:t xml:space="preserve">Liver chemistry elevations consistent with immune reconstitution syndrome were observed in some hepatitis B and/or C co-infected </w:t>
      </w:r>
      <w:r w:rsidR="007C720C">
        <w:rPr>
          <w:lang w:val="en-GB"/>
        </w:rPr>
        <w:t>patient</w:t>
      </w:r>
      <w:r w:rsidRPr="00E40993">
        <w:rPr>
          <w:lang w:val="en-GB"/>
        </w:rPr>
        <w:t xml:space="preserve">s at the start of </w:t>
      </w:r>
      <w:proofErr w:type="spellStart"/>
      <w:r w:rsidRPr="00E40993">
        <w:rPr>
          <w:lang w:val="en-GB"/>
        </w:rPr>
        <w:t>dolutegravir</w:t>
      </w:r>
      <w:proofErr w:type="spellEnd"/>
      <w:r w:rsidRPr="00E40993">
        <w:rPr>
          <w:lang w:val="en-GB"/>
        </w:rPr>
        <w:t xml:space="preserve"> therapy.  Monitoring of liver chemistries is recommended in </w:t>
      </w:r>
      <w:r w:rsidR="007C720C">
        <w:rPr>
          <w:lang w:val="en-GB"/>
        </w:rPr>
        <w:t>patient</w:t>
      </w:r>
      <w:r w:rsidRPr="00E40993">
        <w:rPr>
          <w:lang w:val="en-GB"/>
        </w:rPr>
        <w:t>s with hepatitis B and/or C co-infection (</w:t>
      </w:r>
      <w:r w:rsidRPr="00E40993">
        <w:rPr>
          <w:i/>
          <w:lang w:val="en-GB"/>
        </w:rPr>
        <w:t xml:space="preserve">see </w:t>
      </w:r>
      <w:r w:rsidR="007C720C">
        <w:rPr>
          <w:i/>
          <w:lang w:val="en-GB"/>
        </w:rPr>
        <w:t>Patient</w:t>
      </w:r>
      <w:r w:rsidRPr="00E40993">
        <w:rPr>
          <w:i/>
          <w:lang w:val="en-GB"/>
        </w:rPr>
        <w:t xml:space="preserve">s co-infected with hepatitis B virus (HBV) later in this section and Adverse </w:t>
      </w:r>
      <w:r w:rsidR="00D05A2E" w:rsidRPr="00E40993">
        <w:rPr>
          <w:i/>
          <w:lang w:val="en-GB"/>
        </w:rPr>
        <w:t>Effects</w:t>
      </w:r>
      <w:r w:rsidRPr="00E40993">
        <w:rPr>
          <w:lang w:val="en-GB"/>
        </w:rPr>
        <w:t>)</w:t>
      </w:r>
      <w:r w:rsidRPr="00E40993">
        <w:rPr>
          <w:i/>
          <w:lang w:val="en-GB"/>
        </w:rPr>
        <w:t xml:space="preserve">. </w:t>
      </w:r>
    </w:p>
    <w:p w:rsidR="005B788B" w:rsidRPr="00E40993" w:rsidRDefault="007C720C" w:rsidP="006118C4">
      <w:pPr>
        <w:pStyle w:val="Heading2"/>
        <w:rPr>
          <w:lang w:val="en-GB"/>
        </w:rPr>
      </w:pPr>
      <w:r>
        <w:rPr>
          <w:lang w:val="en-GB"/>
        </w:rPr>
        <w:t>Patient</w:t>
      </w:r>
      <w:r w:rsidR="005B788B" w:rsidRPr="00E40993">
        <w:rPr>
          <w:lang w:val="en-GB"/>
        </w:rPr>
        <w:t xml:space="preserve">s </w:t>
      </w:r>
      <w:r w:rsidR="00E92191">
        <w:rPr>
          <w:lang w:val="en-GB"/>
        </w:rPr>
        <w:t>C</w:t>
      </w:r>
      <w:r w:rsidR="005B788B" w:rsidRPr="00E40993">
        <w:rPr>
          <w:lang w:val="en-GB"/>
        </w:rPr>
        <w:t xml:space="preserve">o-infected with </w:t>
      </w:r>
      <w:r w:rsidR="00E92191">
        <w:rPr>
          <w:lang w:val="en-GB"/>
        </w:rPr>
        <w:t>H</w:t>
      </w:r>
      <w:r w:rsidR="005B788B" w:rsidRPr="00E40993">
        <w:rPr>
          <w:lang w:val="en-GB"/>
        </w:rPr>
        <w:t xml:space="preserve">epatitis B </w:t>
      </w:r>
      <w:r w:rsidR="00E92191">
        <w:rPr>
          <w:lang w:val="en-GB"/>
        </w:rPr>
        <w:t>V</w:t>
      </w:r>
      <w:r w:rsidR="005B788B" w:rsidRPr="00E40993">
        <w:rPr>
          <w:lang w:val="en-GB"/>
        </w:rPr>
        <w:t>irus (HBV)</w:t>
      </w:r>
    </w:p>
    <w:p w:rsidR="005B788B" w:rsidRPr="00E40993" w:rsidRDefault="005B788B" w:rsidP="00510C45">
      <w:pPr>
        <w:rPr>
          <w:lang w:val="en-GB"/>
        </w:rPr>
      </w:pPr>
      <w:r w:rsidRPr="00E40993">
        <w:rPr>
          <w:lang w:val="en-GB"/>
        </w:rPr>
        <w:t xml:space="preserve">Particular diligence should be applied in initiating or maintaining effective hepatitis B therapy when starting therapy with </w:t>
      </w:r>
      <w:r w:rsidR="00D05A2E" w:rsidRPr="00E40993">
        <w:t>TRIUMEQ</w:t>
      </w:r>
      <w:r w:rsidRPr="00E40993">
        <w:rPr>
          <w:lang w:val="en-GB"/>
        </w:rPr>
        <w:t xml:space="preserve"> in hepatitis B co-infected </w:t>
      </w:r>
      <w:r w:rsidR="007C720C">
        <w:rPr>
          <w:lang w:val="en-GB"/>
        </w:rPr>
        <w:t>patient</w:t>
      </w:r>
      <w:r w:rsidRPr="00E40993">
        <w:rPr>
          <w:lang w:val="en-GB"/>
        </w:rPr>
        <w:t>s.</w:t>
      </w:r>
    </w:p>
    <w:p w:rsidR="005B788B" w:rsidRPr="00E40993" w:rsidRDefault="005B788B" w:rsidP="00510C45">
      <w:pPr>
        <w:rPr>
          <w:lang w:val="en-GB"/>
        </w:rPr>
      </w:pPr>
      <w:r w:rsidRPr="00E40993">
        <w:rPr>
          <w:lang w:val="en-GB"/>
        </w:rPr>
        <w:t xml:space="preserve">Clinical study and marketed use of lamivudine, have shown that some </w:t>
      </w:r>
      <w:r w:rsidR="007C720C">
        <w:rPr>
          <w:lang w:val="en-GB"/>
        </w:rPr>
        <w:t>patient</w:t>
      </w:r>
      <w:r w:rsidRPr="00E40993">
        <w:rPr>
          <w:lang w:val="en-GB"/>
        </w:rPr>
        <w:t xml:space="preserve">s with chronic HBV disease may experience clinical or laboratory evidence of recurrent hepatitis upon discontinuation of lamivudine, which may have more severe consequences in </w:t>
      </w:r>
      <w:r w:rsidR="007C720C">
        <w:rPr>
          <w:lang w:val="en-GB"/>
        </w:rPr>
        <w:t>patient</w:t>
      </w:r>
      <w:r w:rsidRPr="00E40993">
        <w:rPr>
          <w:lang w:val="en-GB"/>
        </w:rPr>
        <w:t xml:space="preserve">s with decompensated liver disease. If </w:t>
      </w:r>
      <w:r w:rsidR="00D05A2E" w:rsidRPr="00E40993">
        <w:t>TRIUMEQ</w:t>
      </w:r>
      <w:r w:rsidRPr="00E40993">
        <w:rPr>
          <w:lang w:val="en-GB"/>
        </w:rPr>
        <w:t xml:space="preserve"> is discontinued in </w:t>
      </w:r>
      <w:r w:rsidR="007C720C">
        <w:rPr>
          <w:lang w:val="en-GB"/>
        </w:rPr>
        <w:t>patient</w:t>
      </w:r>
      <w:r w:rsidRPr="00E40993">
        <w:rPr>
          <w:lang w:val="en-GB"/>
        </w:rPr>
        <w:t>s co-infected with HBV, periodic monitoring of both liver function tests and markers of HBV replication should be considered.</w:t>
      </w:r>
    </w:p>
    <w:p w:rsidR="005B788B" w:rsidRPr="00E40993" w:rsidRDefault="005B788B" w:rsidP="006118C4">
      <w:pPr>
        <w:pStyle w:val="Heading2"/>
        <w:rPr>
          <w:lang w:val="en-GB"/>
        </w:rPr>
      </w:pPr>
      <w:r w:rsidRPr="00E40993">
        <w:rPr>
          <w:lang w:val="en-GB"/>
        </w:rPr>
        <w:t xml:space="preserve">Opportunistic </w:t>
      </w:r>
      <w:r w:rsidR="00E92191">
        <w:rPr>
          <w:lang w:val="en-GB"/>
        </w:rPr>
        <w:t>I</w:t>
      </w:r>
      <w:r w:rsidRPr="00E40993">
        <w:rPr>
          <w:lang w:val="en-GB"/>
        </w:rPr>
        <w:t>nfections</w:t>
      </w:r>
    </w:p>
    <w:p w:rsidR="005B788B" w:rsidRPr="00E40993" w:rsidRDefault="007C720C" w:rsidP="00510C45">
      <w:pPr>
        <w:rPr>
          <w:lang w:val="en-GB"/>
        </w:rPr>
      </w:pPr>
      <w:r>
        <w:rPr>
          <w:lang w:val="en-GB"/>
        </w:rPr>
        <w:t>Patient</w:t>
      </w:r>
      <w:r w:rsidR="005B788B" w:rsidRPr="00E40993">
        <w:rPr>
          <w:lang w:val="en-GB"/>
        </w:rPr>
        <w:t xml:space="preserve">s receiving </w:t>
      </w:r>
      <w:r w:rsidR="00020A7D" w:rsidRPr="00E40993">
        <w:t>TRIUMEQ</w:t>
      </w:r>
      <w:r w:rsidR="005B788B" w:rsidRPr="00E40993">
        <w:rPr>
          <w:lang w:val="en-GB"/>
        </w:rPr>
        <w:t xml:space="preserve"> or any other antiretroviral therapy may still develop opportunistic infections and other complications of HIV infection. Therefore </w:t>
      </w:r>
      <w:r>
        <w:rPr>
          <w:lang w:val="en-GB"/>
        </w:rPr>
        <w:t>patient</w:t>
      </w:r>
      <w:r w:rsidR="005B788B" w:rsidRPr="00E40993">
        <w:rPr>
          <w:lang w:val="en-GB"/>
        </w:rPr>
        <w:t>s should remain under close clinical observation by physicians experienced in the treatment of these associated HIV diseases.</w:t>
      </w:r>
    </w:p>
    <w:p w:rsidR="005B788B" w:rsidRPr="00E40993" w:rsidRDefault="00CF3C5F" w:rsidP="00BA1329">
      <w:pPr>
        <w:keepNext/>
        <w:rPr>
          <w:rFonts w:cs="Arial"/>
          <w:b/>
          <w:color w:val="000000" w:themeColor="text1"/>
          <w:szCs w:val="22"/>
          <w:lang w:val="en-GB"/>
        </w:rPr>
      </w:pPr>
      <w:r w:rsidRPr="00E40993">
        <w:rPr>
          <w:rFonts w:cs="Arial"/>
          <w:b/>
          <w:color w:val="000000" w:themeColor="text1"/>
          <w:szCs w:val="22"/>
          <w:lang w:val="en-GB"/>
        </w:rPr>
        <w:t xml:space="preserve">Transmission of </w:t>
      </w:r>
      <w:r w:rsidR="00E92191">
        <w:rPr>
          <w:rFonts w:cs="Arial"/>
          <w:b/>
          <w:color w:val="000000" w:themeColor="text1"/>
          <w:szCs w:val="22"/>
          <w:lang w:val="en-GB"/>
        </w:rPr>
        <w:t>I</w:t>
      </w:r>
      <w:r w:rsidRPr="00E40993">
        <w:rPr>
          <w:rFonts w:cs="Arial"/>
          <w:b/>
          <w:color w:val="000000" w:themeColor="text1"/>
          <w:szCs w:val="22"/>
          <w:lang w:val="en-GB"/>
        </w:rPr>
        <w:t>nfection</w:t>
      </w:r>
    </w:p>
    <w:p w:rsidR="005B788B" w:rsidRPr="00E40993" w:rsidRDefault="00F10B00" w:rsidP="00BA1329">
      <w:pPr>
        <w:keepNext/>
        <w:rPr>
          <w:lang w:val="en-GB"/>
        </w:rPr>
      </w:pPr>
      <w:r>
        <w:rPr>
          <w:lang w:val="en-GB"/>
        </w:rPr>
        <w:t xml:space="preserve">Effective antiretroviral treatment substantially reduces but does not completely eliminate transmission of HIV to others through sexual contact or blood contamination.  </w:t>
      </w:r>
      <w:r w:rsidR="005B788B" w:rsidRPr="00E40993">
        <w:rPr>
          <w:lang w:val="en-GB"/>
        </w:rPr>
        <w:t>Appropriate precautions should continue to be taken.</w:t>
      </w:r>
    </w:p>
    <w:p w:rsidR="005B788B" w:rsidRPr="00E40993" w:rsidRDefault="005B788B" w:rsidP="00CF3C5F">
      <w:pPr>
        <w:pStyle w:val="Heading2"/>
        <w:rPr>
          <w:lang w:val="en-GB"/>
        </w:rPr>
      </w:pPr>
      <w:r w:rsidRPr="00E40993">
        <w:rPr>
          <w:lang w:val="en-GB"/>
        </w:rPr>
        <w:t>Myocardial Infar</w:t>
      </w:r>
      <w:r w:rsidR="00CF3C5F" w:rsidRPr="00E40993">
        <w:rPr>
          <w:lang w:val="en-GB"/>
        </w:rPr>
        <w:t>ction</w:t>
      </w:r>
    </w:p>
    <w:p w:rsidR="00871615" w:rsidRPr="00E40993" w:rsidRDefault="005B788B" w:rsidP="00510C45">
      <w:pPr>
        <w:rPr>
          <w:lang w:val="en-GB"/>
        </w:rPr>
      </w:pPr>
      <w:r w:rsidRPr="00E40993">
        <w:rPr>
          <w:lang w:val="en-GB"/>
        </w:rPr>
        <w:t xml:space="preserve">In a prospective, observational, epidemiological study designed to investigate the rate of myocardial infarction in </w:t>
      </w:r>
      <w:r w:rsidR="007C720C">
        <w:rPr>
          <w:lang w:val="en-GB"/>
        </w:rPr>
        <w:t>patient</w:t>
      </w:r>
      <w:r w:rsidRPr="00E40993">
        <w:rPr>
          <w:lang w:val="en-GB"/>
        </w:rPr>
        <w:t xml:space="preserve">s on combination antiretroviral therapy, </w:t>
      </w:r>
      <w:r w:rsidR="00871615">
        <w:rPr>
          <w:rFonts w:cs="Arial"/>
        </w:rPr>
        <w:t xml:space="preserve">a total of 33,347 HIV-infected patients were followed for 157,912 person-years.  </w:t>
      </w:r>
      <w:r w:rsidR="00871615">
        <w:rPr>
          <w:lang w:val="en-GB"/>
        </w:rPr>
        <w:t>T</w:t>
      </w:r>
      <w:r w:rsidRPr="00E40993">
        <w:rPr>
          <w:lang w:val="en-GB"/>
        </w:rPr>
        <w:t xml:space="preserve">he use of </w:t>
      </w:r>
      <w:proofErr w:type="spellStart"/>
      <w:r w:rsidRPr="00E40993">
        <w:rPr>
          <w:lang w:val="en-GB"/>
        </w:rPr>
        <w:t>abacavir</w:t>
      </w:r>
      <w:proofErr w:type="spellEnd"/>
      <w:r w:rsidRPr="00E40993">
        <w:rPr>
          <w:lang w:val="en-GB"/>
        </w:rPr>
        <w:t xml:space="preserve"> within the previous six months was correlated with a</w:t>
      </w:r>
      <w:r w:rsidR="00871615">
        <w:rPr>
          <w:lang w:val="en-GB"/>
        </w:rPr>
        <w:t xml:space="preserve"> significantly </w:t>
      </w:r>
      <w:r w:rsidRPr="00E40993">
        <w:rPr>
          <w:lang w:val="en-GB"/>
        </w:rPr>
        <w:t>increased risk of myocardial infarction</w:t>
      </w:r>
      <w:r w:rsidR="00871615">
        <w:rPr>
          <w:lang w:val="en-GB"/>
        </w:rPr>
        <w:t xml:space="preserve"> </w:t>
      </w:r>
      <w:r w:rsidR="00871615">
        <w:rPr>
          <w:rFonts w:cs="Arial"/>
        </w:rPr>
        <w:t>(relative risk: 1.94, 95% CI: 1.48 – 2.55)</w:t>
      </w:r>
      <w:r w:rsidRPr="00E40993">
        <w:rPr>
          <w:lang w:val="en-GB"/>
        </w:rPr>
        <w:t xml:space="preserve">.  In a pooled analysis of GSK sponsored clinical trials no excess risk of myocardial infarction was observed with </w:t>
      </w:r>
      <w:proofErr w:type="spellStart"/>
      <w:r w:rsidRPr="00E40993">
        <w:rPr>
          <w:lang w:val="en-GB"/>
        </w:rPr>
        <w:t>abacavir</w:t>
      </w:r>
      <w:proofErr w:type="spellEnd"/>
      <w:r w:rsidRPr="00E40993">
        <w:rPr>
          <w:lang w:val="en-GB"/>
        </w:rPr>
        <w:t xml:space="preserve"> use.  There is no known biological mechanism to explain a potential increase. In totality the available data from observational cohorts and from controlled clinical trials are inconclusive in regard to the relationship between </w:t>
      </w:r>
      <w:proofErr w:type="spellStart"/>
      <w:r w:rsidRPr="00E40993">
        <w:rPr>
          <w:lang w:val="en-GB"/>
        </w:rPr>
        <w:t>abacavir</w:t>
      </w:r>
      <w:proofErr w:type="spellEnd"/>
      <w:r w:rsidRPr="00E40993">
        <w:rPr>
          <w:lang w:val="en-GB"/>
        </w:rPr>
        <w:t xml:space="preserve"> treatment and the risk of myocardial infarction.</w:t>
      </w:r>
    </w:p>
    <w:p w:rsidR="003C1167" w:rsidRDefault="005B788B" w:rsidP="00517A18">
      <w:pPr>
        <w:spacing w:before="120"/>
        <w:rPr>
          <w:lang w:val="en-GB"/>
        </w:rPr>
      </w:pPr>
      <w:r w:rsidRPr="00E40993">
        <w:rPr>
          <w:lang w:val="en-GB"/>
        </w:rPr>
        <w:t xml:space="preserve">As a precaution the underlying risk of coronary heart disease should be considered when prescribing antiretroviral therapies, including </w:t>
      </w:r>
      <w:proofErr w:type="spellStart"/>
      <w:r w:rsidRPr="00E40993">
        <w:rPr>
          <w:lang w:val="en-GB"/>
        </w:rPr>
        <w:t>abacavir</w:t>
      </w:r>
      <w:proofErr w:type="spellEnd"/>
      <w:r w:rsidRPr="00E40993">
        <w:rPr>
          <w:lang w:val="en-GB"/>
        </w:rPr>
        <w:t>, and action taken to minimize all modifiable risk factors (e.g. hypertension, hyperlipidaemia, diabetes mellitus and smoking).</w:t>
      </w:r>
    </w:p>
    <w:p w:rsidR="000A7B38" w:rsidRPr="000A7B38" w:rsidRDefault="000A7B38" w:rsidP="000A7B38">
      <w:pPr>
        <w:pStyle w:val="Heading2"/>
        <w:rPr>
          <w:lang w:val="en-GB"/>
        </w:rPr>
      </w:pPr>
      <w:r w:rsidRPr="000A7B38">
        <w:rPr>
          <w:lang w:val="en-GB"/>
        </w:rPr>
        <w:t>Patients with resistance to the integrase class (documented or clinically suspected)</w:t>
      </w:r>
    </w:p>
    <w:p w:rsidR="005E6572" w:rsidRPr="000A7B38" w:rsidRDefault="000A7B38" w:rsidP="00517A18">
      <w:pPr>
        <w:spacing w:before="120"/>
        <w:rPr>
          <w:rFonts w:cs="Arial"/>
          <w:color w:val="000000" w:themeColor="text1"/>
          <w:szCs w:val="22"/>
        </w:rPr>
      </w:pPr>
      <w:r>
        <w:rPr>
          <w:rFonts w:cs="Arial"/>
          <w:color w:val="000000" w:themeColor="text1"/>
          <w:szCs w:val="22"/>
        </w:rPr>
        <w:t xml:space="preserve">TRIUMEQ alone is not recommended in patients with resistance associated with integrase substitutions or clinically suspected integrase strand transfer inhibitor resistance because the dose of </w:t>
      </w:r>
      <w:proofErr w:type="spellStart"/>
      <w:r>
        <w:rPr>
          <w:rFonts w:cs="Arial"/>
          <w:color w:val="000000" w:themeColor="text1"/>
          <w:szCs w:val="22"/>
        </w:rPr>
        <w:t>dolutegravir</w:t>
      </w:r>
      <w:proofErr w:type="spellEnd"/>
      <w:r>
        <w:rPr>
          <w:rFonts w:cs="Arial"/>
          <w:color w:val="000000" w:themeColor="text1"/>
          <w:szCs w:val="22"/>
        </w:rPr>
        <w:t xml:space="preserve"> in TRIUMEQ is insufficient in these populations (see </w:t>
      </w:r>
      <w:r w:rsidR="00176B1A">
        <w:rPr>
          <w:rFonts w:cs="Arial"/>
          <w:color w:val="000000" w:themeColor="text1"/>
          <w:szCs w:val="22"/>
        </w:rPr>
        <w:t xml:space="preserve">Dosage and Administration and </w:t>
      </w:r>
      <w:r>
        <w:rPr>
          <w:rFonts w:cs="Arial"/>
          <w:color w:val="000000" w:themeColor="text1"/>
          <w:szCs w:val="22"/>
        </w:rPr>
        <w:t>TIVICAY [</w:t>
      </w:r>
      <w:proofErr w:type="spellStart"/>
      <w:r>
        <w:rPr>
          <w:rFonts w:cs="Arial"/>
          <w:color w:val="000000" w:themeColor="text1"/>
          <w:szCs w:val="22"/>
        </w:rPr>
        <w:t>dolutegravir</w:t>
      </w:r>
      <w:proofErr w:type="spellEnd"/>
      <w:r>
        <w:rPr>
          <w:rFonts w:cs="Arial"/>
          <w:color w:val="000000" w:themeColor="text1"/>
          <w:szCs w:val="22"/>
        </w:rPr>
        <w:t xml:space="preserve">] Product Information). </w:t>
      </w:r>
    </w:p>
    <w:p w:rsidR="00C63332" w:rsidRPr="00E40993" w:rsidRDefault="00242B97" w:rsidP="00517A18">
      <w:pPr>
        <w:spacing w:before="120"/>
        <w:rPr>
          <w:rFonts w:cs="Arial"/>
          <w:b/>
          <w:color w:val="000000" w:themeColor="text1"/>
          <w:szCs w:val="22"/>
        </w:rPr>
      </w:pPr>
      <w:r w:rsidRPr="00E40993">
        <w:rPr>
          <w:rFonts w:cs="Arial"/>
          <w:b/>
          <w:color w:val="000000" w:themeColor="text1"/>
          <w:szCs w:val="22"/>
        </w:rPr>
        <w:t xml:space="preserve">Effects on </w:t>
      </w:r>
      <w:r w:rsidR="00C63332" w:rsidRPr="00E40993">
        <w:rPr>
          <w:rFonts w:cs="Arial"/>
          <w:b/>
          <w:color w:val="000000" w:themeColor="text1"/>
          <w:szCs w:val="22"/>
        </w:rPr>
        <w:t>Fertility:</w:t>
      </w:r>
    </w:p>
    <w:p w:rsidR="00485922" w:rsidRPr="00E40993" w:rsidRDefault="00485922" w:rsidP="00510C45">
      <w:pPr>
        <w:rPr>
          <w:rFonts w:eastAsia="MS Mincho"/>
          <w:lang w:val="en-GB"/>
        </w:rPr>
      </w:pPr>
      <w:r w:rsidRPr="00E40993">
        <w:rPr>
          <w:rFonts w:eastAsia="MS Mincho"/>
          <w:lang w:val="en-GB"/>
        </w:rPr>
        <w:t xml:space="preserve">There are no data on the effects of </w:t>
      </w:r>
      <w:proofErr w:type="spellStart"/>
      <w:r w:rsidRPr="00E40993">
        <w:rPr>
          <w:rFonts w:eastAsia="MS Mincho"/>
          <w:lang w:val="en-GB"/>
        </w:rPr>
        <w:t>dolutegravir</w:t>
      </w:r>
      <w:proofErr w:type="spellEnd"/>
      <w:r w:rsidRPr="00E40993">
        <w:rPr>
          <w:rFonts w:eastAsia="MS Mincho"/>
          <w:lang w:val="en-GB"/>
        </w:rPr>
        <w:t xml:space="preserve">, </w:t>
      </w:r>
      <w:proofErr w:type="spellStart"/>
      <w:r w:rsidRPr="00E40993">
        <w:rPr>
          <w:rFonts w:eastAsia="MS Mincho"/>
          <w:lang w:val="en-GB"/>
        </w:rPr>
        <w:t>abacavir</w:t>
      </w:r>
      <w:proofErr w:type="spellEnd"/>
      <w:r w:rsidRPr="00E40993">
        <w:rPr>
          <w:rFonts w:eastAsia="MS Mincho"/>
          <w:lang w:val="en-GB"/>
        </w:rPr>
        <w:t xml:space="preserve"> or lamivudine on human male or female fertility. </w:t>
      </w:r>
      <w:r w:rsidR="00217C68">
        <w:rPr>
          <w:rFonts w:eastAsia="MS Mincho"/>
          <w:lang w:val="en-GB"/>
        </w:rPr>
        <w:t xml:space="preserve">No studies on the effect on fertility in animals have been conducted with the </w:t>
      </w:r>
      <w:proofErr w:type="spellStart"/>
      <w:r w:rsidR="00217C68">
        <w:rPr>
          <w:rFonts w:eastAsia="MS Mincho"/>
          <w:lang w:val="en-GB"/>
        </w:rPr>
        <w:t>dolutegravir</w:t>
      </w:r>
      <w:proofErr w:type="spellEnd"/>
      <w:r w:rsidR="00217C68">
        <w:rPr>
          <w:rFonts w:eastAsia="MS Mincho"/>
          <w:lang w:val="en-GB"/>
        </w:rPr>
        <w:t>/</w:t>
      </w:r>
      <w:proofErr w:type="spellStart"/>
      <w:r w:rsidR="00217C68">
        <w:rPr>
          <w:rFonts w:eastAsia="MS Mincho"/>
          <w:lang w:val="en-GB"/>
        </w:rPr>
        <w:t>abacavir</w:t>
      </w:r>
      <w:proofErr w:type="spellEnd"/>
      <w:r w:rsidR="00217C68">
        <w:rPr>
          <w:rFonts w:eastAsia="MS Mincho"/>
          <w:lang w:val="en-GB"/>
        </w:rPr>
        <w:t xml:space="preserve">/lamivudine combination.  Individually, </w:t>
      </w:r>
      <w:proofErr w:type="spellStart"/>
      <w:r w:rsidR="00217C68">
        <w:rPr>
          <w:rFonts w:eastAsia="MS Mincho"/>
          <w:lang w:val="en-GB"/>
        </w:rPr>
        <w:t>dolutegravir</w:t>
      </w:r>
      <w:proofErr w:type="spellEnd"/>
      <w:r w:rsidR="00217C68">
        <w:rPr>
          <w:rFonts w:eastAsia="MS Mincho"/>
          <w:lang w:val="en-GB"/>
        </w:rPr>
        <w:t xml:space="preserve">, </w:t>
      </w:r>
      <w:proofErr w:type="spellStart"/>
      <w:r w:rsidR="00217C68">
        <w:rPr>
          <w:rFonts w:eastAsia="MS Mincho"/>
          <w:lang w:val="en-GB"/>
        </w:rPr>
        <w:t>abacavir</w:t>
      </w:r>
      <w:proofErr w:type="spellEnd"/>
      <w:r w:rsidR="00217C68">
        <w:rPr>
          <w:rFonts w:eastAsia="MS Mincho"/>
          <w:lang w:val="en-GB"/>
        </w:rPr>
        <w:t xml:space="preserve"> and lamivudine did not affect male or female mating or fertility in rats at doses associated with exposure levels approximatel</w:t>
      </w:r>
      <w:r w:rsidR="00295542">
        <w:rPr>
          <w:rFonts w:eastAsia="MS Mincho"/>
          <w:lang w:val="en-GB"/>
        </w:rPr>
        <w:t>y</w:t>
      </w:r>
      <w:r w:rsidR="00217C68">
        <w:rPr>
          <w:rFonts w:eastAsia="MS Mincho"/>
          <w:lang w:val="en-GB"/>
        </w:rPr>
        <w:t xml:space="preserve"> 44, </w:t>
      </w:r>
      <w:r w:rsidR="00295542">
        <w:rPr>
          <w:rFonts w:eastAsia="MS Mincho"/>
          <w:lang w:val="en-GB"/>
        </w:rPr>
        <w:t>30</w:t>
      </w:r>
      <w:r w:rsidR="00217C68">
        <w:rPr>
          <w:rFonts w:eastAsia="MS Mincho"/>
          <w:lang w:val="en-GB"/>
        </w:rPr>
        <w:t xml:space="preserve"> or </w:t>
      </w:r>
      <w:r w:rsidR="00295542">
        <w:rPr>
          <w:rFonts w:eastAsia="MS Mincho"/>
          <w:lang w:val="en-GB"/>
        </w:rPr>
        <w:t>64</w:t>
      </w:r>
      <w:r w:rsidR="00217C68">
        <w:rPr>
          <w:rFonts w:eastAsia="MS Mincho"/>
          <w:lang w:val="en-GB"/>
        </w:rPr>
        <w:t xml:space="preserve"> (respectively) higher than the exposures in humans at doses of 50mg, 600mg, and 300mg (respectively).</w:t>
      </w:r>
    </w:p>
    <w:p w:rsidR="00C63332" w:rsidRPr="00A37BF2" w:rsidRDefault="00D65F52" w:rsidP="00A37BF2">
      <w:pPr>
        <w:spacing w:before="120"/>
        <w:rPr>
          <w:rFonts w:cs="Arial"/>
          <w:b/>
          <w:color w:val="000000" w:themeColor="text1"/>
          <w:szCs w:val="22"/>
        </w:rPr>
      </w:pPr>
      <w:r w:rsidRPr="00A37BF2">
        <w:rPr>
          <w:rFonts w:cs="Arial"/>
          <w:b/>
          <w:color w:val="000000" w:themeColor="text1"/>
          <w:szCs w:val="22"/>
        </w:rPr>
        <w:t>Use in Pregnancy (Category B3):</w:t>
      </w:r>
    </w:p>
    <w:p w:rsidR="00C20CF0" w:rsidRPr="00E40993" w:rsidRDefault="00C20CF0" w:rsidP="00510C45">
      <w:pPr>
        <w:rPr>
          <w:lang w:val="en-GB"/>
        </w:rPr>
      </w:pPr>
      <w:r w:rsidRPr="00E40993">
        <w:rPr>
          <w:lang w:val="en-GB"/>
        </w:rPr>
        <w:t xml:space="preserve">The safe use of </w:t>
      </w:r>
      <w:r w:rsidR="00020A7D" w:rsidRPr="00E40993">
        <w:t>TRIUMEQ</w:t>
      </w:r>
      <w:r w:rsidRPr="00E40993">
        <w:rPr>
          <w:lang w:val="en-GB"/>
        </w:rPr>
        <w:t xml:space="preserve"> in human pregnancy has not been established. </w:t>
      </w:r>
      <w:proofErr w:type="spellStart"/>
      <w:r w:rsidRPr="00E40993">
        <w:rPr>
          <w:lang w:val="en-GB"/>
        </w:rPr>
        <w:t>Dolutegravir</w:t>
      </w:r>
      <w:proofErr w:type="spellEnd"/>
      <w:r w:rsidR="00020A7D" w:rsidRPr="00E40993">
        <w:rPr>
          <w:lang w:val="en-GB"/>
        </w:rPr>
        <w:t xml:space="preserve">, </w:t>
      </w:r>
      <w:proofErr w:type="spellStart"/>
      <w:r w:rsidR="00020A7D" w:rsidRPr="00E40993">
        <w:rPr>
          <w:lang w:val="en-GB"/>
        </w:rPr>
        <w:t>abacavir</w:t>
      </w:r>
      <w:proofErr w:type="spellEnd"/>
      <w:r w:rsidR="00020A7D" w:rsidRPr="00E40993">
        <w:rPr>
          <w:lang w:val="en-GB"/>
        </w:rPr>
        <w:t xml:space="preserve"> and lamivudine</w:t>
      </w:r>
      <w:r w:rsidRPr="00E40993">
        <w:rPr>
          <w:lang w:val="en-GB"/>
        </w:rPr>
        <w:t xml:space="preserve"> w</w:t>
      </w:r>
      <w:r w:rsidR="00020A7D" w:rsidRPr="00E40993">
        <w:rPr>
          <w:lang w:val="en-GB"/>
        </w:rPr>
        <w:t>ere</w:t>
      </w:r>
      <w:r w:rsidRPr="00E40993">
        <w:rPr>
          <w:lang w:val="en-GB"/>
        </w:rPr>
        <w:t xml:space="preserve"> shown to cross the placenta in reproductive toxicity studies in animals. Lamivudine and </w:t>
      </w:r>
      <w:proofErr w:type="spellStart"/>
      <w:r w:rsidRPr="00E40993">
        <w:rPr>
          <w:lang w:val="en-GB"/>
        </w:rPr>
        <w:t>abacavir</w:t>
      </w:r>
      <w:proofErr w:type="spellEnd"/>
      <w:r w:rsidRPr="00E40993">
        <w:rPr>
          <w:lang w:val="en-GB"/>
        </w:rPr>
        <w:t xml:space="preserve"> were associated with </w:t>
      </w:r>
      <w:r w:rsidR="006C5A97">
        <w:rPr>
          <w:lang w:val="en-GB"/>
        </w:rPr>
        <w:t xml:space="preserve">adverse </w:t>
      </w:r>
      <w:r w:rsidRPr="00E40993">
        <w:rPr>
          <w:lang w:val="en-GB"/>
        </w:rPr>
        <w:t>findings in animal reproductive toxicity studies</w:t>
      </w:r>
      <w:r w:rsidR="006C5A97">
        <w:rPr>
          <w:lang w:val="en-GB"/>
        </w:rPr>
        <w:t xml:space="preserve"> (see below)</w:t>
      </w:r>
      <w:r w:rsidRPr="00E40993">
        <w:rPr>
          <w:lang w:val="en-GB"/>
        </w:rPr>
        <w:t xml:space="preserve">. Therefore administration of </w:t>
      </w:r>
      <w:r w:rsidR="00020A7D" w:rsidRPr="00E40993">
        <w:t>TRIUMEQ</w:t>
      </w:r>
      <w:r w:rsidRPr="00E40993">
        <w:rPr>
          <w:lang w:val="en-GB"/>
        </w:rPr>
        <w:t xml:space="preserve"> in pregnancy should be considered only if the benefit to the mother outweighs the possible risk to the foetus.</w:t>
      </w:r>
    </w:p>
    <w:p w:rsidR="00C20CF0" w:rsidRPr="00E40993" w:rsidRDefault="00C20CF0" w:rsidP="00510C45">
      <w:pPr>
        <w:rPr>
          <w:lang w:val="en-GB"/>
        </w:rPr>
      </w:pPr>
      <w:r w:rsidRPr="00E40993">
        <w:rPr>
          <w:lang w:val="en-GB"/>
        </w:rPr>
        <w:t xml:space="preserve">There have been reports of mild, transient elevations in serum lactate levels, which may be due to mitochondrial dysfunction, in neonates and infants exposed </w:t>
      </w:r>
      <w:r w:rsidRPr="00E40993">
        <w:rPr>
          <w:i/>
          <w:lang w:val="en-GB"/>
        </w:rPr>
        <w:t>in utero</w:t>
      </w:r>
      <w:r w:rsidRPr="00E40993">
        <w:rPr>
          <w:lang w:val="en-GB"/>
        </w:rPr>
        <w:t xml:space="preserve"> or </w:t>
      </w:r>
      <w:proofErr w:type="spellStart"/>
      <w:r w:rsidRPr="00E40993">
        <w:rPr>
          <w:lang w:val="en-GB"/>
        </w:rPr>
        <w:t>peri</w:t>
      </w:r>
      <w:proofErr w:type="spellEnd"/>
      <w:r w:rsidRPr="00E40993">
        <w:rPr>
          <w:lang w:val="en-GB"/>
        </w:rPr>
        <w:t xml:space="preserve">-partum to nucleoside reverse transcriptase inhibitors (NRTIs). The clinical relevance of transient elevations in serum lactate is unknown. There have also been very rare reports of developmental delay, seizures and other neurological disease. However, a causal relationship between these events and NRTI exposure </w:t>
      </w:r>
      <w:r w:rsidRPr="00E40993">
        <w:rPr>
          <w:i/>
          <w:lang w:val="en-GB"/>
        </w:rPr>
        <w:t>in utero</w:t>
      </w:r>
      <w:r w:rsidRPr="00E40993">
        <w:rPr>
          <w:lang w:val="en-GB"/>
        </w:rPr>
        <w:t xml:space="preserve"> or </w:t>
      </w:r>
      <w:proofErr w:type="spellStart"/>
      <w:r w:rsidRPr="00E40993">
        <w:rPr>
          <w:lang w:val="en-GB"/>
        </w:rPr>
        <w:t>peri</w:t>
      </w:r>
      <w:proofErr w:type="spellEnd"/>
      <w:r w:rsidRPr="00E40993">
        <w:rPr>
          <w:lang w:val="en-GB"/>
        </w:rPr>
        <w:t>-partum has not been established. These findings do not affect current recommendations to use antiretroviral therapy in pregnant women to prevent vertical transmission of HIV.</w:t>
      </w:r>
    </w:p>
    <w:p w:rsidR="00185310" w:rsidRPr="00E40993" w:rsidRDefault="00185310" w:rsidP="00510C45">
      <w:r w:rsidRPr="00E40993">
        <w:t xml:space="preserve">Oral administration of </w:t>
      </w:r>
      <w:proofErr w:type="spellStart"/>
      <w:r w:rsidRPr="00E40993">
        <w:t>dolutegravir</w:t>
      </w:r>
      <w:proofErr w:type="spellEnd"/>
      <w:r w:rsidRPr="00E40993">
        <w:t xml:space="preserve"> to pregnant rats at doses up to 1000 mg/kg daily from days 6 to 17 of gestation did not elicit maternal toxicity, developmental toxicity or teratogenicity (50 times the 50 mg human clinical exposure when </w:t>
      </w:r>
      <w:proofErr w:type="spellStart"/>
      <w:r w:rsidRPr="00E40993">
        <w:t>dolutegravir</w:t>
      </w:r>
      <w:proofErr w:type="spellEnd"/>
      <w:r w:rsidRPr="00E40993">
        <w:t xml:space="preserve"> is administered in combination with </w:t>
      </w:r>
      <w:proofErr w:type="spellStart"/>
      <w:r w:rsidRPr="00E40993">
        <w:t>abacavir</w:t>
      </w:r>
      <w:proofErr w:type="spellEnd"/>
      <w:r w:rsidRPr="00E40993">
        <w:t xml:space="preserve"> and lamivudine, based on AUC).</w:t>
      </w:r>
    </w:p>
    <w:p w:rsidR="006C5A97" w:rsidRDefault="00185310" w:rsidP="00510C45">
      <w:r w:rsidRPr="00E40993">
        <w:t xml:space="preserve">Oral administration of </w:t>
      </w:r>
      <w:proofErr w:type="spellStart"/>
      <w:r w:rsidRPr="00E40993">
        <w:t>dolutegravir</w:t>
      </w:r>
      <w:proofErr w:type="spellEnd"/>
      <w:r w:rsidRPr="00E40993">
        <w:t xml:space="preserve"> to pregnant rabbits at doses up to 1000 mg/kg daily from days 6 to 18 of gestation </w:t>
      </w:r>
      <w:r w:rsidR="006C5A97" w:rsidRPr="00AA711F">
        <w:rPr>
          <w:color w:val="000000"/>
        </w:rPr>
        <w:t xml:space="preserve">was associated with marked maternal toxicity, but </w:t>
      </w:r>
      <w:r w:rsidRPr="00E40993">
        <w:t xml:space="preserve">did not elicit developmental toxicity or teratogenicity (0.74 times the 50 mg human clinical exposure when </w:t>
      </w:r>
      <w:proofErr w:type="spellStart"/>
      <w:r w:rsidRPr="00E40993">
        <w:t>dolutegravir</w:t>
      </w:r>
      <w:proofErr w:type="spellEnd"/>
      <w:r w:rsidRPr="00E40993">
        <w:t xml:space="preserve"> is administered in combination with </w:t>
      </w:r>
      <w:proofErr w:type="spellStart"/>
      <w:r w:rsidRPr="00E40993">
        <w:t>abacavir</w:t>
      </w:r>
      <w:proofErr w:type="spellEnd"/>
      <w:r w:rsidRPr="00E40993">
        <w:t xml:space="preserve"> and lamivudine, based on AUC).  </w:t>
      </w:r>
    </w:p>
    <w:p w:rsidR="00185310" w:rsidRPr="00E40993" w:rsidRDefault="006C5A97" w:rsidP="00510C45">
      <w:r w:rsidRPr="006C5A97">
        <w:t xml:space="preserve">Studies in pregnant rats showed that </w:t>
      </w:r>
      <w:proofErr w:type="spellStart"/>
      <w:r w:rsidRPr="006C5A97">
        <w:t>abacavir</w:t>
      </w:r>
      <w:proofErr w:type="spellEnd"/>
      <w:r w:rsidRPr="006C5A97">
        <w:t xml:space="preserve"> is transferred to the </w:t>
      </w:r>
      <w:proofErr w:type="spellStart"/>
      <w:r w:rsidRPr="006C5A97">
        <w:t>fetus</w:t>
      </w:r>
      <w:proofErr w:type="spellEnd"/>
      <w:r w:rsidRPr="006C5A97">
        <w:t xml:space="preserve"> through the placenta. Developmental toxicity (depressed </w:t>
      </w:r>
      <w:proofErr w:type="spellStart"/>
      <w:r w:rsidRPr="006C5A97">
        <w:t>fetal</w:t>
      </w:r>
      <w:proofErr w:type="spellEnd"/>
      <w:r w:rsidRPr="006C5A97">
        <w:t xml:space="preserve"> body weight and reduced crown-rump length) and increased incidences of </w:t>
      </w:r>
      <w:proofErr w:type="spellStart"/>
      <w:r w:rsidRPr="006C5A97">
        <w:t>fetal</w:t>
      </w:r>
      <w:proofErr w:type="spellEnd"/>
      <w:r w:rsidRPr="006C5A97">
        <w:t xml:space="preserve"> </w:t>
      </w:r>
      <w:proofErr w:type="spellStart"/>
      <w:r w:rsidRPr="006C5A97">
        <w:t>anasarca</w:t>
      </w:r>
      <w:proofErr w:type="spellEnd"/>
      <w:r w:rsidRPr="006C5A97">
        <w:t xml:space="preserve"> and skeletal malformations were observed when rats were treated with </w:t>
      </w:r>
      <w:proofErr w:type="spellStart"/>
      <w:r w:rsidRPr="006C5A97">
        <w:t>abacavir</w:t>
      </w:r>
      <w:proofErr w:type="spellEnd"/>
      <w:r w:rsidRPr="006C5A97">
        <w:t xml:space="preserve"> at doses of 648 mg/kg during organogenesis (approximately 31times the human therapeutic exposure based on AUC, for a 600 mg dose in combination with </w:t>
      </w:r>
      <w:proofErr w:type="spellStart"/>
      <w:r w:rsidRPr="006C5A97">
        <w:t>dolutegravir</w:t>
      </w:r>
      <w:proofErr w:type="spellEnd"/>
      <w:r w:rsidRPr="006C5A97">
        <w:t xml:space="preserve"> and lamivudine at the recommended dose). In a fertility study, evidence of toxicity to the developing embryo and </w:t>
      </w:r>
      <w:proofErr w:type="spellStart"/>
      <w:r w:rsidRPr="006C5A97">
        <w:t>fetuses</w:t>
      </w:r>
      <w:proofErr w:type="spellEnd"/>
      <w:r w:rsidRPr="006C5A97">
        <w:t xml:space="preserve"> (increased resorptions, decreased </w:t>
      </w:r>
      <w:proofErr w:type="spellStart"/>
      <w:r w:rsidRPr="006C5A97">
        <w:t>fetal</w:t>
      </w:r>
      <w:proofErr w:type="spellEnd"/>
      <w:r w:rsidRPr="006C5A97">
        <w:t xml:space="preserve"> body weights) occurred only at 427 mg/kg per day. The offspring of female rats treated with </w:t>
      </w:r>
      <w:proofErr w:type="spellStart"/>
      <w:r w:rsidRPr="006C5A97">
        <w:t>abacavir</w:t>
      </w:r>
      <w:proofErr w:type="spellEnd"/>
      <w:r w:rsidRPr="006C5A97">
        <w:t xml:space="preserve"> at 427 mg/kg (beginning at embryo implantation and ending at weaning) showed increased incidence of still birth and lower body weights throughout life. In the rabbit, there was no evidence of drug-related developmental toxicity and no increases in </w:t>
      </w:r>
      <w:proofErr w:type="spellStart"/>
      <w:r w:rsidRPr="006C5A97">
        <w:t>fetal</w:t>
      </w:r>
      <w:proofErr w:type="spellEnd"/>
      <w:r w:rsidRPr="006C5A97">
        <w:t xml:space="preserve"> malformations at doses up to 453 mg/kg (7</w:t>
      </w:r>
      <w:r>
        <w:t xml:space="preserve"> </w:t>
      </w:r>
      <w:r w:rsidRPr="006C5A97">
        <w:t>times the expected human exposure, based on AUC).</w:t>
      </w:r>
      <w:r>
        <w:t xml:space="preserve"> </w:t>
      </w:r>
    </w:p>
    <w:p w:rsidR="00185310" w:rsidRDefault="00185310" w:rsidP="00510C45">
      <w:r w:rsidRPr="00E40993">
        <w:t xml:space="preserve">Lamivudine was not teratogenic in animal studies, but there were indications of an increase in early embryonic deaths in rabbits at exposure levels </w:t>
      </w:r>
      <w:r w:rsidR="006C5A97">
        <w:t xml:space="preserve">(based on </w:t>
      </w:r>
      <w:proofErr w:type="spellStart"/>
      <w:r w:rsidR="006C5A97">
        <w:t>C</w:t>
      </w:r>
      <w:r w:rsidR="006C5A97" w:rsidRPr="006C5A97">
        <w:rPr>
          <w:vertAlign w:val="subscript"/>
        </w:rPr>
        <w:t>max</w:t>
      </w:r>
      <w:proofErr w:type="spellEnd"/>
      <w:r w:rsidR="006C5A97">
        <w:t xml:space="preserve"> and AUC) </w:t>
      </w:r>
      <w:r w:rsidRPr="00E40993">
        <w:t xml:space="preserve">comparable to </w:t>
      </w:r>
      <w:r w:rsidR="006C5A97">
        <w:t xml:space="preserve">or below </w:t>
      </w:r>
      <w:r w:rsidRPr="00E40993">
        <w:t xml:space="preserve">those achieved in man. However, there was no evidence of embryonic loss in rats at exposure levels of approximately 32 times the clinical exposure (based on </w:t>
      </w:r>
      <w:proofErr w:type="spellStart"/>
      <w:r w:rsidRPr="00E40993">
        <w:t>C</w:t>
      </w:r>
      <w:r w:rsidRPr="00E40993">
        <w:rPr>
          <w:vertAlign w:val="subscript"/>
        </w:rPr>
        <w:t>max</w:t>
      </w:r>
      <w:proofErr w:type="spellEnd"/>
      <w:r w:rsidRPr="00E40993">
        <w:t>).</w:t>
      </w:r>
    </w:p>
    <w:p w:rsidR="00336CEC" w:rsidRPr="00336CEC" w:rsidRDefault="00336CEC" w:rsidP="00510C45">
      <w:pPr>
        <w:rPr>
          <w:sz w:val="20"/>
        </w:rPr>
      </w:pPr>
      <w:r>
        <w:rPr>
          <w:szCs w:val="23"/>
        </w:rPr>
        <w:t xml:space="preserve">Mitochondrial dysfunction: </w:t>
      </w:r>
      <w:r w:rsidRPr="00336CEC">
        <w:rPr>
          <w:szCs w:val="23"/>
        </w:rPr>
        <w:t>nucleoside and nucleotide analogues have been demonstrated in vitro and in vivo to cause a variable degree of mitochondrial damage. There have been reports of mitochondrial dysfunction in HIV-negative infants exposed in utero and/or post-</w:t>
      </w:r>
      <w:proofErr w:type="spellStart"/>
      <w:r w:rsidRPr="00336CEC">
        <w:rPr>
          <w:szCs w:val="23"/>
        </w:rPr>
        <w:t>natally</w:t>
      </w:r>
      <w:proofErr w:type="spellEnd"/>
      <w:r w:rsidRPr="00336CEC">
        <w:rPr>
          <w:szCs w:val="23"/>
        </w:rPr>
        <w:t xml:space="preserve"> to nucleoside analogues. The main adverse reactions reported are haematological disorders (anaemia, neutropenia), metabolic disorders (</w:t>
      </w:r>
      <w:proofErr w:type="spellStart"/>
      <w:r w:rsidRPr="00336CEC">
        <w:rPr>
          <w:szCs w:val="23"/>
        </w:rPr>
        <w:t>hyperlactatemia</w:t>
      </w:r>
      <w:proofErr w:type="spellEnd"/>
      <w:r w:rsidRPr="00336CEC">
        <w:rPr>
          <w:szCs w:val="23"/>
        </w:rPr>
        <w:t xml:space="preserve">, </w:t>
      </w:r>
      <w:proofErr w:type="spellStart"/>
      <w:r w:rsidRPr="00336CEC">
        <w:rPr>
          <w:szCs w:val="23"/>
        </w:rPr>
        <w:t>hyperlipasemia</w:t>
      </w:r>
      <w:proofErr w:type="spellEnd"/>
      <w:r w:rsidRPr="00336CEC">
        <w:rPr>
          <w:szCs w:val="23"/>
        </w:rPr>
        <w:t>). These reactions are often transitory. Some late-onset neurological disorders have been reported (hypertonia, convulsion, abnormal behaviour). Whether the neurological disorders are transient or permanent is currently unknown. Any child exposed in utero to nucleoside and nucleotide analogues, even HIV</w:t>
      </w:r>
      <w:r w:rsidR="00567D06">
        <w:rPr>
          <w:szCs w:val="23"/>
        </w:rPr>
        <w:t xml:space="preserve"> </w:t>
      </w:r>
      <w:r w:rsidRPr="00336CEC">
        <w:rPr>
          <w:szCs w:val="23"/>
        </w:rPr>
        <w:t>negative children, should have clinical and laboratory follow-up and should be fully investigated for possible mitochondrial dysfunction in case of relevant signs or symptoms. These findings do not affect current national recommendations to use antiretroviral therapy in pregnant women to prevent vertical transmission of HIV.</w:t>
      </w:r>
    </w:p>
    <w:p w:rsidR="00C63332" w:rsidRPr="00E40993" w:rsidRDefault="00242B97" w:rsidP="00CF3C5F">
      <w:pPr>
        <w:pStyle w:val="Heading2"/>
      </w:pPr>
      <w:r w:rsidRPr="00E40993">
        <w:t xml:space="preserve">Use in </w:t>
      </w:r>
      <w:r w:rsidR="00CF3C5F" w:rsidRPr="00E40993">
        <w:t>Lactation</w:t>
      </w:r>
    </w:p>
    <w:p w:rsidR="004979C8" w:rsidRPr="00E40993" w:rsidRDefault="004979C8" w:rsidP="00510C45">
      <w:pPr>
        <w:rPr>
          <w:bCs/>
          <w:iCs/>
          <w:lang w:val="en-GB"/>
        </w:rPr>
      </w:pPr>
      <w:r w:rsidRPr="00E40993">
        <w:rPr>
          <w:lang w:val="en-GB"/>
        </w:rPr>
        <w:t xml:space="preserve">Health experts recommend that where possible HIV infected women do not breast-feed their infants in order to avoid transmission of HIV. </w:t>
      </w:r>
      <w:r w:rsidRPr="00E40993">
        <w:rPr>
          <w:bCs/>
          <w:iCs/>
          <w:lang w:val="en-US"/>
        </w:rPr>
        <w:t xml:space="preserve">In settings where formula feeding is not feasible, </w:t>
      </w:r>
      <w:r w:rsidRPr="00E40993">
        <w:rPr>
          <w:bCs/>
          <w:iCs/>
          <w:lang w:val="en-GB"/>
        </w:rPr>
        <w:t>local official lactation and treatment guidelines should be followed when considering breast feeding during antiretroviral therapy.</w:t>
      </w:r>
    </w:p>
    <w:p w:rsidR="004979C8" w:rsidRPr="00E40993" w:rsidRDefault="004979C8" w:rsidP="00510C45">
      <w:pPr>
        <w:rPr>
          <w:lang w:val="en-GB"/>
        </w:rPr>
      </w:pPr>
      <w:r w:rsidRPr="00E40993">
        <w:rPr>
          <w:lang w:val="en-GB"/>
        </w:rPr>
        <w:t xml:space="preserve">It is expected that </w:t>
      </w:r>
      <w:proofErr w:type="spellStart"/>
      <w:r w:rsidRPr="00E40993">
        <w:rPr>
          <w:lang w:val="en-GB"/>
        </w:rPr>
        <w:t>dolutegravir</w:t>
      </w:r>
      <w:proofErr w:type="spellEnd"/>
      <w:r w:rsidRPr="00E40993">
        <w:rPr>
          <w:lang w:val="en-GB"/>
        </w:rPr>
        <w:t xml:space="preserve"> will be secreted into human milk based on animal data, although this has not been confirmed in humans. </w:t>
      </w:r>
    </w:p>
    <w:p w:rsidR="004979C8" w:rsidRPr="00E40993" w:rsidRDefault="004979C8" w:rsidP="00510C45">
      <w:pPr>
        <w:rPr>
          <w:lang w:val="en-GB"/>
        </w:rPr>
      </w:pPr>
      <w:r w:rsidRPr="00E40993">
        <w:rPr>
          <w:lang w:val="en-GB"/>
        </w:rPr>
        <w:t>In a study following repeat oral dose of either 150 mg lamivudine twice daily  (given in combination with 300</w:t>
      </w:r>
      <w:r w:rsidR="00263055">
        <w:rPr>
          <w:lang w:val="en-GB"/>
        </w:rPr>
        <w:t xml:space="preserve"> </w:t>
      </w:r>
      <w:r w:rsidRPr="00E40993">
        <w:rPr>
          <w:lang w:val="en-GB"/>
        </w:rPr>
        <w:t xml:space="preserve">mg </w:t>
      </w:r>
      <w:proofErr w:type="spellStart"/>
      <w:r w:rsidRPr="00E40993">
        <w:rPr>
          <w:lang w:val="en-GB"/>
        </w:rPr>
        <w:t>zidovudine</w:t>
      </w:r>
      <w:proofErr w:type="spellEnd"/>
      <w:r w:rsidRPr="00E40993">
        <w:rPr>
          <w:lang w:val="en-GB"/>
        </w:rPr>
        <w:t xml:space="preserve"> twice daily) or 300 mg lamivudine twice daily, lamivudine was excreted in human breast milk (0.5 to 8.2 </w:t>
      </w:r>
      <w:r w:rsidR="00263055">
        <w:rPr>
          <w:rFonts w:cs="Arial"/>
          <w:lang w:val="en-GB"/>
        </w:rPr>
        <w:t>µ</w:t>
      </w:r>
      <w:r w:rsidR="00263055">
        <w:rPr>
          <w:lang w:val="en-GB"/>
        </w:rPr>
        <w:t>g</w:t>
      </w:r>
      <w:r w:rsidRPr="00E40993">
        <w:rPr>
          <w:lang w:val="en-GB"/>
        </w:rPr>
        <w:t xml:space="preserve">/ml) at similar concentrations to those found in serum. In other studies following repeat oral dose of 150 mg lamivudine twice daily (given either in combination with 300 mg </w:t>
      </w:r>
      <w:proofErr w:type="spellStart"/>
      <w:r w:rsidRPr="00E40993">
        <w:rPr>
          <w:lang w:val="en-GB"/>
        </w:rPr>
        <w:t>zidovudine</w:t>
      </w:r>
      <w:proofErr w:type="spellEnd"/>
      <w:r w:rsidRPr="00E40993">
        <w:rPr>
          <w:lang w:val="en-GB"/>
        </w:rPr>
        <w:t xml:space="preserve"> or as </w:t>
      </w:r>
      <w:r w:rsidR="00020A7D" w:rsidRPr="00E40993">
        <w:rPr>
          <w:lang w:val="en-GB"/>
        </w:rPr>
        <w:t>COMBIVIR</w:t>
      </w:r>
      <w:r w:rsidRPr="00E40993">
        <w:rPr>
          <w:lang w:val="en-GB"/>
        </w:rPr>
        <w:t xml:space="preserve"> or T</w:t>
      </w:r>
      <w:r w:rsidR="00020A7D" w:rsidRPr="00E40993">
        <w:rPr>
          <w:lang w:val="en-GB"/>
        </w:rPr>
        <w:t>RIZIVIR</w:t>
      </w:r>
      <w:r w:rsidRPr="00E40993">
        <w:rPr>
          <w:lang w:val="en-GB"/>
        </w:rPr>
        <w:t xml:space="preserve">) the </w:t>
      </w:r>
      <w:r w:rsidR="002A339A">
        <w:rPr>
          <w:lang w:val="en-GB"/>
        </w:rPr>
        <w:t xml:space="preserve">breast milk: </w:t>
      </w:r>
      <w:r w:rsidRPr="00E40993">
        <w:rPr>
          <w:lang w:val="en-GB"/>
        </w:rPr>
        <w:t xml:space="preserve">maternal plasma ratio ranged between 0.6 and 3.3. In a study after repeat oral administration of 300 mg </w:t>
      </w:r>
      <w:proofErr w:type="spellStart"/>
      <w:r w:rsidRPr="00E40993">
        <w:rPr>
          <w:lang w:val="en-GB"/>
        </w:rPr>
        <w:t>abacavir</w:t>
      </w:r>
      <w:proofErr w:type="spellEnd"/>
      <w:r w:rsidRPr="00E40993">
        <w:rPr>
          <w:lang w:val="en-GB"/>
        </w:rPr>
        <w:t xml:space="preserve"> twice daily (given as </w:t>
      </w:r>
      <w:proofErr w:type="spellStart"/>
      <w:r w:rsidRPr="00E40993">
        <w:rPr>
          <w:lang w:val="en-GB"/>
        </w:rPr>
        <w:t>Trizivir</w:t>
      </w:r>
      <w:proofErr w:type="spellEnd"/>
      <w:r w:rsidRPr="00E40993">
        <w:rPr>
          <w:lang w:val="en-GB"/>
        </w:rPr>
        <w:t xml:space="preserve">), the </w:t>
      </w:r>
      <w:r w:rsidR="002A339A">
        <w:rPr>
          <w:lang w:val="en-GB"/>
        </w:rPr>
        <w:t xml:space="preserve">breast milk: </w:t>
      </w:r>
      <w:r w:rsidRPr="00E40993">
        <w:rPr>
          <w:lang w:val="en-GB"/>
        </w:rPr>
        <w:t xml:space="preserve">maternal plasma ratio was 0.9. No pharmacokinetic studies were conducted with </w:t>
      </w:r>
      <w:proofErr w:type="spellStart"/>
      <w:r w:rsidRPr="00E40993">
        <w:rPr>
          <w:lang w:val="en-GB"/>
        </w:rPr>
        <w:t>abacavir</w:t>
      </w:r>
      <w:proofErr w:type="spellEnd"/>
      <w:r w:rsidRPr="00E40993">
        <w:rPr>
          <w:lang w:val="en-GB"/>
        </w:rPr>
        <w:t xml:space="preserve"> once daily oral administration. Lamivudine median infant serum concentrations ranged between 18 and 28 ng/mL and were not detectable in one of the studies (assay sensitivity 7 ng/mL). Most infants (8 out of 9) had non-detectable levels of </w:t>
      </w:r>
      <w:proofErr w:type="spellStart"/>
      <w:r w:rsidRPr="00E40993">
        <w:rPr>
          <w:lang w:val="en-GB"/>
        </w:rPr>
        <w:t>abacavir</w:t>
      </w:r>
      <w:proofErr w:type="spellEnd"/>
      <w:r w:rsidRPr="00E40993">
        <w:rPr>
          <w:lang w:val="en-GB"/>
        </w:rPr>
        <w:t xml:space="preserve"> (assay sensitivity 16 ng/mL). Intracellular </w:t>
      </w:r>
      <w:proofErr w:type="spellStart"/>
      <w:r w:rsidRPr="00E40993">
        <w:rPr>
          <w:lang w:val="en-GB"/>
        </w:rPr>
        <w:t>carbovir</w:t>
      </w:r>
      <w:proofErr w:type="spellEnd"/>
      <w:r w:rsidRPr="00E40993">
        <w:rPr>
          <w:lang w:val="en-GB"/>
        </w:rPr>
        <w:t xml:space="preserve"> and lamivudine triphosphate (active metabolites of </w:t>
      </w:r>
      <w:proofErr w:type="spellStart"/>
      <w:r w:rsidRPr="00E40993">
        <w:rPr>
          <w:lang w:val="en-GB"/>
        </w:rPr>
        <w:t>abacavir</w:t>
      </w:r>
      <w:proofErr w:type="spellEnd"/>
      <w:r w:rsidRPr="00E40993">
        <w:rPr>
          <w:lang w:val="en-GB"/>
        </w:rPr>
        <w:t xml:space="preserve"> and lamivudine) levels in breastfed infants were not measured therefore the clinical relevance of the serum concentrations of the parent compounds measured is unknown.</w:t>
      </w:r>
    </w:p>
    <w:p w:rsidR="00242B97" w:rsidRPr="00E40993" w:rsidRDefault="00CF3C5F" w:rsidP="00CF3C5F">
      <w:pPr>
        <w:pStyle w:val="Heading2"/>
      </w:pPr>
      <w:r w:rsidRPr="00E40993">
        <w:t>Paediatric Use</w:t>
      </w:r>
    </w:p>
    <w:p w:rsidR="004D4DFC" w:rsidRPr="00E40993" w:rsidRDefault="004D4DFC" w:rsidP="00510C45">
      <w:pPr>
        <w:rPr>
          <w:rFonts w:eastAsia="MS Mincho"/>
          <w:lang w:eastAsia="en-US"/>
        </w:rPr>
      </w:pPr>
      <w:r w:rsidRPr="00E40993">
        <w:rPr>
          <w:rFonts w:eastAsia="MS Mincho"/>
          <w:lang w:eastAsia="en-US"/>
        </w:rPr>
        <w:t>TRIUMEQ is not recommended for treatment of children less than 12 years of age as the necessary dose adjustment cannot be made. Clinical data is currently not available for this combination. Physicians should refer to the individual product information for TIVICAY</w:t>
      </w:r>
      <w:r w:rsidR="002A0499">
        <w:rPr>
          <w:rFonts w:eastAsia="MS Mincho"/>
          <w:lang w:eastAsia="en-US"/>
        </w:rPr>
        <w:t xml:space="preserve"> [</w:t>
      </w:r>
      <w:proofErr w:type="spellStart"/>
      <w:r w:rsidR="002A0499">
        <w:rPr>
          <w:rFonts w:eastAsia="MS Mincho"/>
          <w:lang w:eastAsia="en-US"/>
        </w:rPr>
        <w:t>dolutegravir</w:t>
      </w:r>
      <w:proofErr w:type="spellEnd"/>
      <w:r w:rsidR="002A0499">
        <w:rPr>
          <w:rFonts w:eastAsia="MS Mincho"/>
          <w:lang w:eastAsia="en-US"/>
        </w:rPr>
        <w:t>]</w:t>
      </w:r>
      <w:r w:rsidRPr="00E40993">
        <w:rPr>
          <w:rFonts w:eastAsia="MS Mincho"/>
          <w:lang w:eastAsia="en-US"/>
        </w:rPr>
        <w:t>, ZIA</w:t>
      </w:r>
      <w:smartTag w:uri="schemas-GSKSiteLocations-com/fourthcoffee" w:element="flavor">
        <w:r w:rsidRPr="00E40993">
          <w:rPr>
            <w:rFonts w:eastAsia="MS Mincho"/>
            <w:lang w:eastAsia="en-US"/>
          </w:rPr>
          <w:t>GEN</w:t>
        </w:r>
      </w:smartTag>
      <w:r w:rsidRPr="00E40993">
        <w:rPr>
          <w:rFonts w:eastAsia="MS Mincho"/>
          <w:lang w:eastAsia="en-US"/>
        </w:rPr>
        <w:t xml:space="preserve"> </w:t>
      </w:r>
      <w:r w:rsidR="002A0499">
        <w:rPr>
          <w:rFonts w:eastAsia="MS Mincho"/>
          <w:lang w:eastAsia="en-US"/>
        </w:rPr>
        <w:t>[</w:t>
      </w:r>
      <w:proofErr w:type="spellStart"/>
      <w:r w:rsidR="002A0499">
        <w:rPr>
          <w:rFonts w:eastAsia="MS Mincho"/>
          <w:lang w:eastAsia="en-US"/>
        </w:rPr>
        <w:t>abacavir</w:t>
      </w:r>
      <w:proofErr w:type="spellEnd"/>
      <w:r w:rsidR="002A0499">
        <w:rPr>
          <w:rFonts w:eastAsia="MS Mincho"/>
          <w:lang w:eastAsia="en-US"/>
        </w:rPr>
        <w:t xml:space="preserve">] </w:t>
      </w:r>
      <w:r w:rsidRPr="00E40993">
        <w:rPr>
          <w:rFonts w:eastAsia="MS Mincho"/>
          <w:lang w:eastAsia="en-US"/>
        </w:rPr>
        <w:t>and 3TC</w:t>
      </w:r>
      <w:r w:rsidR="002A0499">
        <w:rPr>
          <w:rFonts w:eastAsia="MS Mincho"/>
          <w:lang w:eastAsia="en-US"/>
        </w:rPr>
        <w:t xml:space="preserve"> [lamivudine]</w:t>
      </w:r>
      <w:r w:rsidRPr="00E40993">
        <w:rPr>
          <w:rFonts w:eastAsia="MS Mincho"/>
          <w:lang w:eastAsia="en-US"/>
        </w:rPr>
        <w:t>.</w:t>
      </w:r>
    </w:p>
    <w:p w:rsidR="00242B97" w:rsidRPr="00E40993" w:rsidRDefault="00242B97" w:rsidP="00CF3C5F">
      <w:pPr>
        <w:pStyle w:val="Heading2"/>
      </w:pPr>
      <w:r w:rsidRPr="00E40993">
        <w:t xml:space="preserve">Use in </w:t>
      </w:r>
      <w:r w:rsidR="00A93928" w:rsidRPr="00E40993">
        <w:t xml:space="preserve">the </w:t>
      </w:r>
      <w:r w:rsidR="00CF3C5F" w:rsidRPr="00E40993">
        <w:t>Elderly</w:t>
      </w:r>
    </w:p>
    <w:p w:rsidR="00661E0C" w:rsidRPr="00E40993" w:rsidRDefault="00661E0C" w:rsidP="00510C45">
      <w:r w:rsidRPr="00E40993">
        <w:t xml:space="preserve">There are limited data available on the use of </w:t>
      </w:r>
      <w:proofErr w:type="spellStart"/>
      <w:r w:rsidRPr="00E40993">
        <w:t>dolutegravir</w:t>
      </w:r>
      <w:proofErr w:type="spellEnd"/>
      <w:r w:rsidRPr="00E40993">
        <w:t xml:space="preserve">, </w:t>
      </w:r>
      <w:proofErr w:type="spellStart"/>
      <w:r w:rsidRPr="00E40993">
        <w:t>abacavir</w:t>
      </w:r>
      <w:proofErr w:type="spellEnd"/>
      <w:r w:rsidRPr="00E40993">
        <w:t xml:space="preserve"> and lamivudine in </w:t>
      </w:r>
      <w:r w:rsidR="007C720C">
        <w:t>patient</w:t>
      </w:r>
      <w:r w:rsidRPr="00E40993">
        <w:t xml:space="preserve">s aged 65 years and over.  However, there is no evidence that elderly </w:t>
      </w:r>
      <w:r w:rsidR="007C720C">
        <w:t>patient</w:t>
      </w:r>
      <w:r w:rsidRPr="00E40993">
        <w:t xml:space="preserve">s require a different dose than younger adult </w:t>
      </w:r>
      <w:r w:rsidR="007C720C">
        <w:t>patient</w:t>
      </w:r>
      <w:r w:rsidRPr="00E40993">
        <w:t>s (</w:t>
      </w:r>
      <w:r w:rsidRPr="00E40993">
        <w:rPr>
          <w:i/>
        </w:rPr>
        <w:t xml:space="preserve">see Pharmacokinetics – Special </w:t>
      </w:r>
      <w:r w:rsidR="007C720C">
        <w:rPr>
          <w:i/>
        </w:rPr>
        <w:t>Patient</w:t>
      </w:r>
      <w:r w:rsidRPr="00E40993">
        <w:rPr>
          <w:i/>
        </w:rPr>
        <w:t xml:space="preserve"> Populations</w:t>
      </w:r>
      <w:r w:rsidRPr="00E40993">
        <w:t>).</w:t>
      </w:r>
      <w:r w:rsidRPr="00E40993">
        <w:rPr>
          <w:rFonts w:eastAsia="MS Mincho"/>
        </w:rPr>
        <w:t xml:space="preserve"> </w:t>
      </w:r>
      <w:r w:rsidRPr="00E40993">
        <w:t xml:space="preserve">When treating elderly </w:t>
      </w:r>
      <w:r w:rsidR="007C720C">
        <w:t>patient</w:t>
      </w:r>
      <w:r w:rsidRPr="00E40993">
        <w:t>s, consideration needs to be given to the greater frequency of decreased hepatic, renal and cardiac function, concomitant medicinal products or disease.</w:t>
      </w:r>
    </w:p>
    <w:p w:rsidR="00553D40" w:rsidRPr="00E40993" w:rsidRDefault="00553D40" w:rsidP="00CF3C5F">
      <w:pPr>
        <w:pStyle w:val="Heading2"/>
        <w:rPr>
          <w:noProof/>
        </w:rPr>
      </w:pPr>
      <w:r w:rsidRPr="00E40993">
        <w:rPr>
          <w:noProof/>
        </w:rPr>
        <w:t xml:space="preserve">Effects on </w:t>
      </w:r>
      <w:r w:rsidR="00E92191">
        <w:rPr>
          <w:noProof/>
        </w:rPr>
        <w:t>A</w:t>
      </w:r>
      <w:r w:rsidRPr="00E40993">
        <w:rPr>
          <w:noProof/>
        </w:rPr>
        <w:t>b</w:t>
      </w:r>
      <w:r w:rsidR="00CF3C5F" w:rsidRPr="00E40993">
        <w:rPr>
          <w:noProof/>
        </w:rPr>
        <w:t xml:space="preserve">ility to </w:t>
      </w:r>
      <w:r w:rsidR="00E92191">
        <w:rPr>
          <w:noProof/>
        </w:rPr>
        <w:t>D</w:t>
      </w:r>
      <w:r w:rsidR="00CF3C5F" w:rsidRPr="00E40993">
        <w:rPr>
          <w:noProof/>
        </w:rPr>
        <w:t xml:space="preserve">rive and </w:t>
      </w:r>
      <w:r w:rsidR="00E92191">
        <w:rPr>
          <w:noProof/>
        </w:rPr>
        <w:t>U</w:t>
      </w:r>
      <w:r w:rsidR="00CF3C5F" w:rsidRPr="00E40993">
        <w:rPr>
          <w:noProof/>
        </w:rPr>
        <w:t xml:space="preserve">se </w:t>
      </w:r>
      <w:r w:rsidR="00E92191">
        <w:rPr>
          <w:noProof/>
        </w:rPr>
        <w:t>M</w:t>
      </w:r>
      <w:r w:rsidR="00CF3C5F" w:rsidRPr="00E40993">
        <w:rPr>
          <w:noProof/>
        </w:rPr>
        <w:t>achines</w:t>
      </w:r>
    </w:p>
    <w:p w:rsidR="00553D40" w:rsidRPr="00E40993" w:rsidRDefault="00553D40" w:rsidP="00510C45">
      <w:r w:rsidRPr="00E40993">
        <w:rPr>
          <w:color w:val="000000" w:themeColor="text1"/>
        </w:rPr>
        <w:t xml:space="preserve">There have been no studies to investigate the effect of </w:t>
      </w:r>
      <w:proofErr w:type="spellStart"/>
      <w:r w:rsidRPr="00E40993">
        <w:rPr>
          <w:color w:val="000000" w:themeColor="text1"/>
        </w:rPr>
        <w:t>dolutegravir</w:t>
      </w:r>
      <w:proofErr w:type="spellEnd"/>
      <w:r w:rsidRPr="00E40993">
        <w:rPr>
          <w:color w:val="000000" w:themeColor="text1"/>
        </w:rPr>
        <w:t xml:space="preserve">, </w:t>
      </w:r>
      <w:proofErr w:type="spellStart"/>
      <w:r w:rsidRPr="00E40993">
        <w:rPr>
          <w:color w:val="000000" w:themeColor="text1"/>
        </w:rPr>
        <w:t>abacavir</w:t>
      </w:r>
      <w:proofErr w:type="spellEnd"/>
      <w:r w:rsidRPr="00E40993">
        <w:rPr>
          <w:color w:val="000000" w:themeColor="text1"/>
        </w:rPr>
        <w:t xml:space="preserve"> or lamivudine, on driving performance</w:t>
      </w:r>
      <w:r w:rsidRPr="00E40993">
        <w:t xml:space="preserve"> or the ability to operate machinery. A detrimental effect on such activities would not be anticipated given the pharmacology of these medicinal products. The clinical status of the </w:t>
      </w:r>
      <w:r w:rsidR="007C720C">
        <w:t>patient</w:t>
      </w:r>
      <w:r w:rsidRPr="00E40993">
        <w:t xml:space="preserve"> and the adverse event profile of </w:t>
      </w:r>
      <w:r w:rsidR="00146BFC" w:rsidRPr="00E40993">
        <w:rPr>
          <w:rFonts w:eastAsia="MS Mincho"/>
          <w:lang w:eastAsia="en-US"/>
        </w:rPr>
        <w:t>TRIUMEQ</w:t>
      </w:r>
      <w:r w:rsidRPr="00E40993">
        <w:t xml:space="preserve"> should be borne in mind when considering the </w:t>
      </w:r>
      <w:r w:rsidR="007C720C">
        <w:t>patient</w:t>
      </w:r>
      <w:r w:rsidRPr="00E40993">
        <w:t>'s ability to drive or operate machinery.</w:t>
      </w:r>
    </w:p>
    <w:p w:rsidR="00E81E59" w:rsidRPr="00E40993" w:rsidRDefault="00CF3C5F" w:rsidP="00CF3C5F">
      <w:pPr>
        <w:pStyle w:val="Heading2"/>
      </w:pPr>
      <w:proofErr w:type="spellStart"/>
      <w:r w:rsidRPr="00E40993">
        <w:t>Genotoxicity</w:t>
      </w:r>
      <w:proofErr w:type="spellEnd"/>
    </w:p>
    <w:p w:rsidR="00D20656" w:rsidRDefault="00D20656" w:rsidP="00510C45">
      <w:pPr>
        <w:rPr>
          <w:rFonts w:eastAsia="MS Mincho"/>
          <w:lang w:eastAsia="en-US"/>
        </w:rPr>
      </w:pPr>
      <w:r>
        <w:rPr>
          <w:rFonts w:eastAsia="MS Mincho"/>
          <w:lang w:eastAsia="en-US"/>
        </w:rPr>
        <w:t xml:space="preserve">No </w:t>
      </w:r>
      <w:proofErr w:type="spellStart"/>
      <w:r>
        <w:rPr>
          <w:rFonts w:eastAsia="MS Mincho"/>
          <w:lang w:eastAsia="en-US"/>
        </w:rPr>
        <w:t>genotoxicity</w:t>
      </w:r>
      <w:proofErr w:type="spellEnd"/>
      <w:r>
        <w:rPr>
          <w:rFonts w:eastAsia="MS Mincho"/>
          <w:lang w:eastAsia="en-US"/>
        </w:rPr>
        <w:t xml:space="preserve"> studies have been conducted with the combination of </w:t>
      </w:r>
      <w:proofErr w:type="spellStart"/>
      <w:r>
        <w:rPr>
          <w:rFonts w:eastAsia="MS Mincho"/>
          <w:lang w:eastAsia="en-US"/>
        </w:rPr>
        <w:t>dolutegravir</w:t>
      </w:r>
      <w:proofErr w:type="spellEnd"/>
      <w:r>
        <w:rPr>
          <w:rFonts w:eastAsia="MS Mincho"/>
          <w:lang w:eastAsia="en-US"/>
        </w:rPr>
        <w:t xml:space="preserve">, </w:t>
      </w:r>
      <w:proofErr w:type="spellStart"/>
      <w:r>
        <w:rPr>
          <w:rFonts w:eastAsia="MS Mincho"/>
          <w:lang w:eastAsia="en-US"/>
        </w:rPr>
        <w:t>abacavir</w:t>
      </w:r>
      <w:proofErr w:type="spellEnd"/>
      <w:r>
        <w:rPr>
          <w:rFonts w:eastAsia="MS Mincho"/>
          <w:lang w:eastAsia="en-US"/>
        </w:rPr>
        <w:t xml:space="preserve"> and lamivudine.</w:t>
      </w:r>
    </w:p>
    <w:p w:rsidR="002771DC" w:rsidRPr="00E40993" w:rsidRDefault="005B043B" w:rsidP="00510C45">
      <w:pPr>
        <w:rPr>
          <w:rFonts w:eastAsia="MS Mincho"/>
          <w:lang w:eastAsia="en-US"/>
        </w:rPr>
      </w:pPr>
      <w:proofErr w:type="spellStart"/>
      <w:r w:rsidRPr="00E40993">
        <w:rPr>
          <w:rFonts w:eastAsia="MS Mincho"/>
          <w:lang w:eastAsia="en-US"/>
        </w:rPr>
        <w:t>Dolutegravir</w:t>
      </w:r>
      <w:proofErr w:type="spellEnd"/>
      <w:r w:rsidRPr="00E40993">
        <w:rPr>
          <w:rFonts w:eastAsia="MS Mincho"/>
          <w:lang w:eastAsia="en-US"/>
        </w:rPr>
        <w:t xml:space="preserve"> was not mutagenic or </w:t>
      </w:r>
      <w:proofErr w:type="spellStart"/>
      <w:r w:rsidRPr="00E40993">
        <w:rPr>
          <w:rFonts w:eastAsia="MS Mincho"/>
          <w:lang w:eastAsia="en-US"/>
        </w:rPr>
        <w:t>clastogenic</w:t>
      </w:r>
      <w:proofErr w:type="spellEnd"/>
      <w:r w:rsidRPr="00E40993">
        <w:rPr>
          <w:rFonts w:eastAsia="MS Mincho"/>
          <w:lang w:eastAsia="en-US"/>
        </w:rPr>
        <w:t xml:space="preserve"> using </w:t>
      </w:r>
      <w:r w:rsidR="00FD0B6C" w:rsidRPr="00FD0B6C">
        <w:rPr>
          <w:rFonts w:eastAsia="MS Mincho"/>
          <w:i/>
          <w:lang w:eastAsia="en-US"/>
        </w:rPr>
        <w:t>in vi</w:t>
      </w:r>
      <w:r w:rsidR="00FD0B6C">
        <w:rPr>
          <w:rFonts w:eastAsia="MS Mincho"/>
          <w:i/>
          <w:lang w:eastAsia="en-US"/>
        </w:rPr>
        <w:t>tr</w:t>
      </w:r>
      <w:r w:rsidR="00FD0B6C" w:rsidRPr="00FD0B6C">
        <w:rPr>
          <w:rFonts w:eastAsia="MS Mincho"/>
          <w:i/>
          <w:lang w:eastAsia="en-US"/>
        </w:rPr>
        <w:t>o</w:t>
      </w:r>
      <w:r w:rsidRPr="00E40993">
        <w:rPr>
          <w:rFonts w:eastAsia="MS Mincho"/>
          <w:lang w:eastAsia="en-US"/>
        </w:rPr>
        <w:t xml:space="preserve"> tests in bacteria and cultured mammalian cells, and an </w:t>
      </w:r>
      <w:r w:rsidR="00542F1F" w:rsidRPr="00542F1F">
        <w:rPr>
          <w:rFonts w:eastAsia="MS Mincho"/>
          <w:i/>
          <w:lang w:eastAsia="en-US"/>
        </w:rPr>
        <w:t>in vivo</w:t>
      </w:r>
      <w:r w:rsidRPr="00E40993">
        <w:rPr>
          <w:rFonts w:eastAsia="MS Mincho"/>
          <w:lang w:eastAsia="en-US"/>
        </w:rPr>
        <w:t xml:space="preserve"> rodent micronucleus assay. </w:t>
      </w:r>
    </w:p>
    <w:p w:rsidR="00A44ED5" w:rsidRDefault="0011319F" w:rsidP="007B30F0">
      <w:pPr>
        <w:rPr>
          <w:color w:val="000000"/>
        </w:rPr>
      </w:pPr>
      <w:r w:rsidRPr="00E40993">
        <w:t xml:space="preserve">Neither </w:t>
      </w:r>
      <w:proofErr w:type="spellStart"/>
      <w:r w:rsidRPr="00E40993">
        <w:t>abacavir</w:t>
      </w:r>
      <w:proofErr w:type="spellEnd"/>
      <w:r w:rsidRPr="00E40993">
        <w:t xml:space="preserve"> nor lamivudine were mutagenic in bacterial tests, but </w:t>
      </w:r>
      <w:r w:rsidR="007B30F0">
        <w:t>both induced mutations in a</w:t>
      </w:r>
      <w:r w:rsidRPr="00E40993">
        <w:t xml:space="preserve"> mouse lymphoma assay</w:t>
      </w:r>
      <w:r w:rsidR="007B30F0">
        <w:t xml:space="preserve"> and were </w:t>
      </w:r>
      <w:proofErr w:type="spellStart"/>
      <w:r w:rsidR="007B30F0">
        <w:t>clastogenic</w:t>
      </w:r>
      <w:proofErr w:type="spellEnd"/>
      <w:r w:rsidR="007B30F0">
        <w:t xml:space="preserve"> in human peripheral lymphocytes </w:t>
      </w:r>
      <w:r w:rsidR="007B30F0">
        <w:rPr>
          <w:i/>
        </w:rPr>
        <w:t>in vitro</w:t>
      </w:r>
      <w:r w:rsidRPr="00E40993">
        <w:t xml:space="preserve">. </w:t>
      </w:r>
      <w:r w:rsidR="00A44ED5">
        <w:rPr>
          <w:color w:val="000000"/>
        </w:rPr>
        <w:t xml:space="preserve">In rats, lamivudine did not cause chromosomal damage in bone marrow cells </w:t>
      </w:r>
      <w:r w:rsidR="00A44ED5">
        <w:rPr>
          <w:i/>
          <w:color w:val="000000"/>
        </w:rPr>
        <w:t>in vivo</w:t>
      </w:r>
      <w:r w:rsidR="00A44ED5">
        <w:rPr>
          <w:color w:val="000000"/>
        </w:rPr>
        <w:t xml:space="preserve"> or cause DNA damage in primary hepatocytes. </w:t>
      </w:r>
      <w:r w:rsidR="007B30F0">
        <w:rPr>
          <w:color w:val="000000"/>
        </w:rPr>
        <w:t xml:space="preserve"> </w:t>
      </w:r>
      <w:proofErr w:type="spellStart"/>
      <w:r w:rsidR="007B30F0">
        <w:rPr>
          <w:color w:val="000000"/>
        </w:rPr>
        <w:t>Abacavir</w:t>
      </w:r>
      <w:proofErr w:type="spellEnd"/>
      <w:r w:rsidR="007B30F0">
        <w:rPr>
          <w:color w:val="000000"/>
        </w:rPr>
        <w:t xml:space="preserve"> was </w:t>
      </w:r>
      <w:proofErr w:type="spellStart"/>
      <w:r w:rsidR="007B30F0">
        <w:rPr>
          <w:color w:val="000000"/>
        </w:rPr>
        <w:t>clastogenic</w:t>
      </w:r>
      <w:proofErr w:type="spellEnd"/>
      <w:r w:rsidR="007B30F0">
        <w:rPr>
          <w:color w:val="000000"/>
        </w:rPr>
        <w:t xml:space="preserve"> in an vivo micronucleus assay in mice, but not in rats when tested in combination with lamivudine at systemic exposures corresponding to 86 and 31 times the clinical exposure level for ABC and 3TC, respectively.</w:t>
      </w:r>
    </w:p>
    <w:p w:rsidR="00A44ED5" w:rsidRPr="00E40993" w:rsidRDefault="00A44ED5" w:rsidP="00510C45"/>
    <w:p w:rsidR="000A0D8B" w:rsidRPr="00E40993" w:rsidRDefault="00242B97" w:rsidP="00CF3C5F">
      <w:pPr>
        <w:pStyle w:val="Heading2"/>
        <w:rPr>
          <w:rFonts w:eastAsia="MS Mincho"/>
          <w:lang w:eastAsia="en-US"/>
        </w:rPr>
      </w:pPr>
      <w:r w:rsidRPr="00E40993">
        <w:t>Carcinogenicity</w:t>
      </w:r>
    </w:p>
    <w:p w:rsidR="00A44ED5" w:rsidRDefault="00A44ED5" w:rsidP="00510C45">
      <w:pPr>
        <w:rPr>
          <w:rFonts w:eastAsia="MS Mincho"/>
          <w:lang w:eastAsia="en-US"/>
        </w:rPr>
      </w:pPr>
      <w:r>
        <w:rPr>
          <w:rFonts w:eastAsia="MS Mincho"/>
          <w:lang w:eastAsia="en-US"/>
        </w:rPr>
        <w:t xml:space="preserve">No carcinogenicity studies have been conducted with the combination of </w:t>
      </w:r>
      <w:proofErr w:type="spellStart"/>
      <w:r>
        <w:rPr>
          <w:rFonts w:eastAsia="MS Mincho"/>
          <w:lang w:eastAsia="en-US"/>
        </w:rPr>
        <w:t>dolutegravir</w:t>
      </w:r>
      <w:proofErr w:type="spellEnd"/>
      <w:r>
        <w:rPr>
          <w:rFonts w:eastAsia="MS Mincho"/>
          <w:lang w:eastAsia="en-US"/>
        </w:rPr>
        <w:t xml:space="preserve">, </w:t>
      </w:r>
      <w:proofErr w:type="spellStart"/>
      <w:r>
        <w:rPr>
          <w:rFonts w:eastAsia="MS Mincho"/>
          <w:lang w:eastAsia="en-US"/>
        </w:rPr>
        <w:t>abacavir</w:t>
      </w:r>
      <w:proofErr w:type="spellEnd"/>
      <w:r>
        <w:rPr>
          <w:rFonts w:eastAsia="MS Mincho"/>
          <w:lang w:eastAsia="en-US"/>
        </w:rPr>
        <w:t xml:space="preserve"> and lamivudine.</w:t>
      </w:r>
    </w:p>
    <w:p w:rsidR="000A0D8B" w:rsidRPr="00E40993" w:rsidRDefault="009E7A57" w:rsidP="00510C45">
      <w:pPr>
        <w:rPr>
          <w:rFonts w:eastAsia="MS Mincho"/>
          <w:lang w:eastAsia="en-US"/>
        </w:rPr>
      </w:pPr>
      <w:proofErr w:type="spellStart"/>
      <w:r w:rsidRPr="00E40993">
        <w:rPr>
          <w:rFonts w:eastAsia="MS Mincho"/>
          <w:lang w:eastAsia="en-US"/>
        </w:rPr>
        <w:t>Dolutegravir</w:t>
      </w:r>
      <w:proofErr w:type="spellEnd"/>
      <w:r w:rsidR="000A0D8B" w:rsidRPr="00E40993">
        <w:rPr>
          <w:rFonts w:eastAsia="MS Mincho"/>
          <w:lang w:eastAsia="en-US"/>
        </w:rPr>
        <w:t xml:space="preserve"> was not carcinogenic in long term studies in the mouse and rat</w:t>
      </w:r>
      <w:r w:rsidR="00A44ED5">
        <w:rPr>
          <w:rFonts w:eastAsia="MS Mincho"/>
          <w:lang w:eastAsia="en-US"/>
        </w:rPr>
        <w:t xml:space="preserve"> (respectively, 27 and 23 times the 50 mg human clinical exposure when </w:t>
      </w:r>
      <w:proofErr w:type="spellStart"/>
      <w:r w:rsidR="00A44ED5">
        <w:rPr>
          <w:rFonts w:eastAsia="MS Mincho"/>
          <w:lang w:eastAsia="en-US"/>
        </w:rPr>
        <w:t>dolutegravir</w:t>
      </w:r>
      <w:proofErr w:type="spellEnd"/>
      <w:r w:rsidR="00A44ED5">
        <w:rPr>
          <w:rFonts w:eastAsia="MS Mincho"/>
          <w:lang w:eastAsia="en-US"/>
        </w:rPr>
        <w:t xml:space="preserve"> is administered in combination with </w:t>
      </w:r>
      <w:proofErr w:type="spellStart"/>
      <w:r w:rsidR="00A44ED5">
        <w:rPr>
          <w:rFonts w:eastAsia="MS Mincho"/>
          <w:lang w:eastAsia="en-US"/>
        </w:rPr>
        <w:t>abacavir</w:t>
      </w:r>
      <w:proofErr w:type="spellEnd"/>
      <w:r w:rsidR="00A44ED5">
        <w:rPr>
          <w:rFonts w:eastAsia="MS Mincho"/>
          <w:lang w:eastAsia="en-US"/>
        </w:rPr>
        <w:t xml:space="preserve"> and lamivudine, based on AUC)</w:t>
      </w:r>
      <w:r w:rsidR="000A0D8B" w:rsidRPr="00E40993">
        <w:rPr>
          <w:rFonts w:eastAsia="MS Mincho"/>
          <w:lang w:eastAsia="en-US"/>
        </w:rPr>
        <w:t>.</w:t>
      </w:r>
    </w:p>
    <w:p w:rsidR="00553D40" w:rsidRPr="00E40993" w:rsidRDefault="00553D40" w:rsidP="00510C45">
      <w:pPr>
        <w:rPr>
          <w:rFonts w:eastAsia="MS Mincho"/>
          <w:lang w:val="en-GB" w:eastAsia="en-US"/>
        </w:rPr>
      </w:pPr>
      <w:r w:rsidRPr="00E40993">
        <w:rPr>
          <w:rFonts w:eastAsia="MS Mincho"/>
          <w:lang w:val="en-GB" w:eastAsia="en-US"/>
        </w:rPr>
        <w:t xml:space="preserve">Carcinogenicity studies with orally administered </w:t>
      </w:r>
      <w:proofErr w:type="spellStart"/>
      <w:r w:rsidRPr="00E40993">
        <w:rPr>
          <w:rFonts w:eastAsia="MS Mincho"/>
          <w:lang w:val="en-GB" w:eastAsia="en-US"/>
        </w:rPr>
        <w:t>abacavir</w:t>
      </w:r>
      <w:proofErr w:type="spellEnd"/>
      <w:r w:rsidRPr="00E40993">
        <w:rPr>
          <w:rFonts w:eastAsia="MS Mincho"/>
          <w:lang w:val="en-GB" w:eastAsia="en-US"/>
        </w:rPr>
        <w:t xml:space="preserve"> in mice and rats showed an increase in the incidence of malignant and non-malignant tumours. Malignant tumours occurred in the preputial gland of males and the clitoral gland of females of both species, and in the liver, urinary bladder, lymph nodes and the </w:t>
      </w:r>
      <w:proofErr w:type="spellStart"/>
      <w:r w:rsidRPr="00E40993">
        <w:rPr>
          <w:rFonts w:eastAsia="MS Mincho"/>
          <w:lang w:val="en-GB" w:eastAsia="en-US"/>
        </w:rPr>
        <w:t>subcutis</w:t>
      </w:r>
      <w:proofErr w:type="spellEnd"/>
      <w:r w:rsidRPr="00E40993">
        <w:rPr>
          <w:rFonts w:eastAsia="MS Mincho"/>
          <w:lang w:val="en-GB" w:eastAsia="en-US"/>
        </w:rPr>
        <w:t xml:space="preserve"> of female rats.</w:t>
      </w:r>
      <w:r w:rsidR="00A44ED5">
        <w:rPr>
          <w:rFonts w:eastAsia="MS Mincho"/>
          <w:lang w:val="en-GB" w:eastAsia="en-US"/>
        </w:rPr>
        <w:t xml:space="preserve"> </w:t>
      </w:r>
      <w:proofErr w:type="spellStart"/>
      <w:r w:rsidR="00A44ED5">
        <w:rPr>
          <w:rFonts w:eastAsia="MS Mincho"/>
          <w:lang w:val="en-GB" w:eastAsia="en-US"/>
        </w:rPr>
        <w:t>Nonmalignant</w:t>
      </w:r>
      <w:proofErr w:type="spellEnd"/>
      <w:r w:rsidR="00A44ED5">
        <w:rPr>
          <w:rFonts w:eastAsia="MS Mincho"/>
          <w:lang w:val="en-GB" w:eastAsia="en-US"/>
        </w:rPr>
        <w:t xml:space="preserve"> tumours occurred in the liver of mice and rats, </w:t>
      </w:r>
      <w:proofErr w:type="spellStart"/>
      <w:r w:rsidR="00A44ED5">
        <w:rPr>
          <w:rFonts w:eastAsia="MS Mincho"/>
          <w:lang w:val="en-GB" w:eastAsia="en-US"/>
        </w:rPr>
        <w:t>Harderian</w:t>
      </w:r>
      <w:proofErr w:type="spellEnd"/>
      <w:r w:rsidR="00A44ED5">
        <w:rPr>
          <w:rFonts w:eastAsia="MS Mincho"/>
          <w:lang w:val="en-GB" w:eastAsia="en-US"/>
        </w:rPr>
        <w:t xml:space="preserve"> gland of female mice, and thyroid gland of rats.  In rats, there were also increased incidences of </w:t>
      </w:r>
      <w:proofErr w:type="spellStart"/>
      <w:r w:rsidR="00A44ED5">
        <w:rPr>
          <w:rFonts w:eastAsia="MS Mincho"/>
          <w:lang w:val="en-GB" w:eastAsia="en-US"/>
        </w:rPr>
        <w:t>urothelial</w:t>
      </w:r>
      <w:proofErr w:type="spellEnd"/>
      <w:r w:rsidR="00A44ED5">
        <w:rPr>
          <w:rFonts w:eastAsia="MS Mincho"/>
          <w:lang w:val="en-GB" w:eastAsia="en-US"/>
        </w:rPr>
        <w:t xml:space="preserve"> hyperplasia and urinary bladder tumours, associated with increased urinary calculi.</w:t>
      </w:r>
    </w:p>
    <w:p w:rsidR="00553D40" w:rsidRDefault="00553D40" w:rsidP="00510C45">
      <w:pPr>
        <w:rPr>
          <w:rFonts w:eastAsia="MS Mincho"/>
          <w:lang w:val="en-GB" w:eastAsia="en-US"/>
        </w:rPr>
      </w:pPr>
      <w:r w:rsidRPr="00E40993">
        <w:rPr>
          <w:rFonts w:eastAsia="MS Mincho"/>
          <w:lang w:val="en-GB" w:eastAsia="en-US"/>
        </w:rPr>
        <w:t xml:space="preserve">The majority of these tumours occurred at the highest </w:t>
      </w:r>
      <w:proofErr w:type="spellStart"/>
      <w:r w:rsidRPr="00E40993">
        <w:rPr>
          <w:rFonts w:eastAsia="MS Mincho"/>
          <w:lang w:val="en-GB" w:eastAsia="en-US"/>
        </w:rPr>
        <w:t>abacavir</w:t>
      </w:r>
      <w:proofErr w:type="spellEnd"/>
      <w:r w:rsidRPr="00E40993">
        <w:rPr>
          <w:rFonts w:eastAsia="MS Mincho"/>
          <w:lang w:val="en-GB" w:eastAsia="en-US"/>
        </w:rPr>
        <w:t xml:space="preserve"> dose of 330 mg/kg/day in mice and 600 mg/kg/day in rats. These dose levels were equivalent to 21 to </w:t>
      </w:r>
      <w:r w:rsidR="00A44ED5">
        <w:rPr>
          <w:rFonts w:eastAsia="MS Mincho"/>
          <w:lang w:val="en-GB" w:eastAsia="en-US"/>
        </w:rPr>
        <w:t>30</w:t>
      </w:r>
      <w:r w:rsidR="00A44ED5" w:rsidRPr="00E40993">
        <w:rPr>
          <w:rFonts w:eastAsia="MS Mincho"/>
          <w:lang w:val="en-GB" w:eastAsia="en-US"/>
        </w:rPr>
        <w:t xml:space="preserve"> </w:t>
      </w:r>
      <w:r w:rsidRPr="00E40993">
        <w:rPr>
          <w:rFonts w:eastAsia="MS Mincho"/>
          <w:lang w:val="en-GB" w:eastAsia="en-US"/>
        </w:rPr>
        <w:t xml:space="preserve">times the expected systemic exposure in humans when </w:t>
      </w:r>
      <w:proofErr w:type="spellStart"/>
      <w:r w:rsidRPr="00E40993">
        <w:rPr>
          <w:rFonts w:eastAsia="MS Mincho"/>
          <w:lang w:val="en-GB" w:eastAsia="en-US"/>
        </w:rPr>
        <w:t>abacavir</w:t>
      </w:r>
      <w:proofErr w:type="spellEnd"/>
      <w:r w:rsidRPr="00E40993">
        <w:rPr>
          <w:rFonts w:eastAsia="MS Mincho"/>
          <w:lang w:val="en-GB" w:eastAsia="en-US"/>
        </w:rPr>
        <w:t xml:space="preserve"> is administered in combination with </w:t>
      </w:r>
      <w:proofErr w:type="spellStart"/>
      <w:r w:rsidRPr="00E40993">
        <w:rPr>
          <w:rFonts w:eastAsia="MS Mincho"/>
          <w:lang w:val="en-GB" w:eastAsia="en-US"/>
        </w:rPr>
        <w:t>dolutegravir</w:t>
      </w:r>
      <w:proofErr w:type="spellEnd"/>
      <w:r w:rsidRPr="00E40993">
        <w:rPr>
          <w:rFonts w:eastAsia="MS Mincho"/>
          <w:lang w:val="en-GB" w:eastAsia="en-US"/>
        </w:rPr>
        <w:t xml:space="preserve"> and lamivudine. The exception was preputial gland tumours in mice which occurred at a dose of 110 mg/kg. Exposure at this dose is approximately 5 times the expected human systemic exposure. </w:t>
      </w:r>
      <w:r w:rsidR="00346F5B">
        <w:rPr>
          <w:rFonts w:eastAsia="MS Mincho"/>
          <w:lang w:val="en-GB" w:eastAsia="en-US"/>
        </w:rPr>
        <w:t xml:space="preserve">  The carcinogenic potential in humans is unknown.</w:t>
      </w:r>
    </w:p>
    <w:p w:rsidR="007C78E6" w:rsidRPr="008B32FC" w:rsidRDefault="007C78E6" w:rsidP="007C78E6">
      <w:pPr>
        <w:pStyle w:val="BodyText3"/>
        <w:rPr>
          <w:rFonts w:ascii="Arial" w:hAnsi="Arial"/>
          <w:strike w:val="0"/>
        </w:rPr>
      </w:pPr>
      <w:r w:rsidRPr="008B32FC">
        <w:rPr>
          <w:rFonts w:ascii="Arial" w:hAnsi="Arial"/>
          <w:strike w:val="0"/>
        </w:rPr>
        <w:t>When lamivudine was administered orally to separate groups of rodents at doses up to 2000 times (mice and male rats) and 3000 (female rats) mg/kg/day, there was no evidence of a carcinogenic effect due to lamivudine in the mouse study.  In the rat study there was an increased incidence of endometrial tumours at the highest dose (approximately 70 times the estimated human exposure at the recommended therapeutic dose of one tablet twice daily, based on AUC).  However, the relationship of this increase to treatment is uncertain.</w:t>
      </w:r>
    </w:p>
    <w:p w:rsidR="007C78E6" w:rsidRPr="00E40993" w:rsidRDefault="007C78E6" w:rsidP="00510C45">
      <w:pPr>
        <w:rPr>
          <w:rFonts w:eastAsia="MS Mincho"/>
          <w:lang w:val="en-GB" w:eastAsia="en-US"/>
        </w:rPr>
      </w:pPr>
    </w:p>
    <w:p w:rsidR="005B043B" w:rsidRPr="00E40993" w:rsidRDefault="00553D40" w:rsidP="00CF3C5F">
      <w:pPr>
        <w:pStyle w:val="Heading2"/>
        <w:rPr>
          <w:noProof/>
        </w:rPr>
      </w:pPr>
      <w:r w:rsidRPr="00E40993">
        <w:rPr>
          <w:noProof/>
        </w:rPr>
        <w:t>Animal Toxicology</w:t>
      </w:r>
    </w:p>
    <w:p w:rsidR="00553D40" w:rsidRPr="00E40993" w:rsidRDefault="00553D40" w:rsidP="00510C45">
      <w:r w:rsidRPr="00E40993">
        <w:t xml:space="preserve">The effect of prolonged daily treatment with high doses of </w:t>
      </w:r>
      <w:proofErr w:type="spellStart"/>
      <w:r w:rsidRPr="00E40993">
        <w:t>dolutegravir</w:t>
      </w:r>
      <w:proofErr w:type="spellEnd"/>
      <w:r w:rsidRPr="00E40993">
        <w:t xml:space="preserve"> has been evaluated in repeat oral dose toxicity studies in rats (up to 26 weeks) and in monkeys (up to 38 weeks).  The primary effect of </w:t>
      </w:r>
      <w:proofErr w:type="spellStart"/>
      <w:r w:rsidRPr="00E40993">
        <w:t>dolutegravir</w:t>
      </w:r>
      <w:proofErr w:type="spellEnd"/>
      <w:r w:rsidRPr="00E40993">
        <w:t xml:space="preserve"> was gastrointestinal intolerance or irritation in rats and monkeys at doses that produce systemic exposures approximately 38 and 1.5 times the 50 mg human clinical exposure when </w:t>
      </w:r>
      <w:proofErr w:type="spellStart"/>
      <w:r w:rsidRPr="00E40993">
        <w:t>dolutegravir</w:t>
      </w:r>
      <w:proofErr w:type="spellEnd"/>
      <w:r w:rsidRPr="00E40993">
        <w:t xml:space="preserve"> is administered in combination with </w:t>
      </w:r>
      <w:proofErr w:type="spellStart"/>
      <w:r w:rsidRPr="00E40993">
        <w:t>abacavir</w:t>
      </w:r>
      <w:proofErr w:type="spellEnd"/>
      <w:r w:rsidRPr="00E40993">
        <w:t xml:space="preserve"> and lamivudine, based on AUC, respectively.  Because gastrointestinal (GI) intolerance is considered to be due to local drug administration, mg/kg or mg/m</w:t>
      </w:r>
      <w:r w:rsidRPr="00E40993">
        <w:rPr>
          <w:vertAlign w:val="superscript"/>
        </w:rPr>
        <w:t>2</w:t>
      </w:r>
      <w:r w:rsidRPr="00E40993">
        <w:t xml:space="preserve"> metrics are appropriate determinates of safety cover for this toxicity.  GI intolerance in monkeys occurred at 30 times the human mg/kg equivalent dose (based on 50 kg human), and 11 times the human mg/m</w:t>
      </w:r>
      <w:r w:rsidRPr="00E40993">
        <w:rPr>
          <w:vertAlign w:val="superscript"/>
        </w:rPr>
        <w:t>2</w:t>
      </w:r>
      <w:r w:rsidRPr="00E40993">
        <w:t xml:space="preserve"> equivalent dose for a total daily clinical dose of 50 mg.</w:t>
      </w:r>
    </w:p>
    <w:p w:rsidR="00553D40" w:rsidRPr="00E40993" w:rsidRDefault="00553D40" w:rsidP="00510C45">
      <w:pPr>
        <w:rPr>
          <w:color w:val="000000" w:themeColor="text1"/>
        </w:rPr>
      </w:pPr>
      <w:r w:rsidRPr="00E40993">
        <w:rPr>
          <w:color w:val="000000" w:themeColor="text1"/>
        </w:rPr>
        <w:t xml:space="preserve">Mild myocardial degeneration in the heart of mice and rats was observed following administration of </w:t>
      </w:r>
      <w:proofErr w:type="spellStart"/>
      <w:r w:rsidRPr="00E40993">
        <w:rPr>
          <w:color w:val="000000" w:themeColor="text1"/>
        </w:rPr>
        <w:t>abacavir</w:t>
      </w:r>
      <w:proofErr w:type="spellEnd"/>
      <w:r w:rsidRPr="00E40993">
        <w:rPr>
          <w:color w:val="000000" w:themeColor="text1"/>
        </w:rPr>
        <w:t xml:space="preserve"> for two years. The systemic exposures were equivalent to 7 to </w:t>
      </w:r>
      <w:r w:rsidR="00A44ED5">
        <w:rPr>
          <w:color w:val="000000" w:themeColor="text1"/>
        </w:rPr>
        <w:t>19</w:t>
      </w:r>
      <w:r w:rsidR="00A44ED5" w:rsidRPr="00E40993">
        <w:rPr>
          <w:color w:val="000000" w:themeColor="text1"/>
        </w:rPr>
        <w:t xml:space="preserve"> </w:t>
      </w:r>
      <w:r w:rsidRPr="00E40993">
        <w:rPr>
          <w:color w:val="000000" w:themeColor="text1"/>
        </w:rPr>
        <w:t xml:space="preserve">times human exposure at 600 mg when </w:t>
      </w:r>
      <w:proofErr w:type="spellStart"/>
      <w:r w:rsidRPr="00E40993">
        <w:rPr>
          <w:color w:val="000000" w:themeColor="text1"/>
        </w:rPr>
        <w:t>abacavir</w:t>
      </w:r>
      <w:proofErr w:type="spellEnd"/>
      <w:r w:rsidRPr="00E40993">
        <w:rPr>
          <w:color w:val="000000" w:themeColor="text1"/>
        </w:rPr>
        <w:t xml:space="preserve"> is administered in combination with </w:t>
      </w:r>
      <w:proofErr w:type="spellStart"/>
      <w:r w:rsidRPr="00E40993">
        <w:rPr>
          <w:color w:val="000000" w:themeColor="text1"/>
        </w:rPr>
        <w:t>dolutegravir</w:t>
      </w:r>
      <w:proofErr w:type="spellEnd"/>
      <w:r w:rsidRPr="00E40993">
        <w:rPr>
          <w:color w:val="000000" w:themeColor="text1"/>
        </w:rPr>
        <w:t xml:space="preserve"> and lamivudine. The clinical relevance of this finding has not been determined.</w:t>
      </w:r>
    </w:p>
    <w:p w:rsidR="00CF3C5F" w:rsidRPr="00E40993" w:rsidRDefault="00CF3C5F" w:rsidP="00553D40">
      <w:pPr>
        <w:rPr>
          <w:color w:val="000000" w:themeColor="text1"/>
        </w:rPr>
      </w:pPr>
    </w:p>
    <w:p w:rsidR="00E81E59" w:rsidRDefault="00E81E59" w:rsidP="0045447B">
      <w:pPr>
        <w:pStyle w:val="Heading1"/>
      </w:pPr>
      <w:r w:rsidRPr="00E40993">
        <w:t xml:space="preserve">INTERACTIONS WITH </w:t>
      </w:r>
      <w:r w:rsidR="004F640B" w:rsidRPr="00E40993">
        <w:t>OTHER MEDICINES</w:t>
      </w:r>
    </w:p>
    <w:p w:rsidR="00240DC2" w:rsidRPr="00E40993" w:rsidRDefault="00240DC2" w:rsidP="00240DC2">
      <w:pPr>
        <w:rPr>
          <w:i/>
          <w:lang w:val="en-GB"/>
        </w:rPr>
      </w:pPr>
      <w:r w:rsidRPr="00E40993">
        <w:rPr>
          <w:lang w:val="en-GB"/>
        </w:rPr>
        <w:t xml:space="preserve">Caution should be given to co-administering medications (prescription and non-prescription) that may change the exposure of </w:t>
      </w:r>
      <w:proofErr w:type="spellStart"/>
      <w:r w:rsidRPr="00E40993">
        <w:rPr>
          <w:lang w:val="en-GB"/>
        </w:rPr>
        <w:t>dolutegravir</w:t>
      </w:r>
      <w:proofErr w:type="spellEnd"/>
      <w:r w:rsidRPr="00E40993">
        <w:rPr>
          <w:lang w:val="en-GB"/>
        </w:rPr>
        <w:t xml:space="preserve">, </w:t>
      </w:r>
      <w:proofErr w:type="spellStart"/>
      <w:r w:rsidRPr="00E40993">
        <w:rPr>
          <w:lang w:val="en-GB"/>
        </w:rPr>
        <w:t>abacavir</w:t>
      </w:r>
      <w:proofErr w:type="spellEnd"/>
      <w:r w:rsidRPr="00E40993">
        <w:rPr>
          <w:lang w:val="en-GB"/>
        </w:rPr>
        <w:t xml:space="preserve">, lamivudine or medications that may have their exposure changed by </w:t>
      </w:r>
      <w:r w:rsidRPr="00E40993">
        <w:t>TRIUMEQ</w:t>
      </w:r>
      <w:r>
        <w:t>.</w:t>
      </w:r>
    </w:p>
    <w:p w:rsidR="00240DC2" w:rsidRPr="00E40993" w:rsidRDefault="00240DC2" w:rsidP="00240DC2">
      <w:pPr>
        <w:rPr>
          <w:lang w:val="en-GB"/>
        </w:rPr>
      </w:pPr>
      <w:r w:rsidRPr="00E40993">
        <w:rPr>
          <w:lang w:val="en-GB"/>
        </w:rPr>
        <w:t xml:space="preserve">The co-administration of </w:t>
      </w:r>
      <w:proofErr w:type="spellStart"/>
      <w:r w:rsidRPr="00E40993">
        <w:rPr>
          <w:lang w:val="en-GB"/>
        </w:rPr>
        <w:t>dolutegravir</w:t>
      </w:r>
      <w:proofErr w:type="spellEnd"/>
      <w:r w:rsidRPr="00E40993">
        <w:rPr>
          <w:lang w:val="en-GB"/>
        </w:rPr>
        <w:t xml:space="preserve"> with </w:t>
      </w:r>
      <w:proofErr w:type="spellStart"/>
      <w:r w:rsidRPr="00E40993">
        <w:rPr>
          <w:lang w:val="en-GB"/>
        </w:rPr>
        <w:t>etravirine</w:t>
      </w:r>
      <w:proofErr w:type="spellEnd"/>
      <w:r w:rsidRPr="00E40993">
        <w:rPr>
          <w:lang w:val="en-GB"/>
        </w:rPr>
        <w:t xml:space="preserve"> (ETR) is not recommended unless the </w:t>
      </w:r>
      <w:r>
        <w:rPr>
          <w:lang w:val="en-GB"/>
        </w:rPr>
        <w:t>patient</w:t>
      </w:r>
      <w:r w:rsidRPr="00E40993">
        <w:rPr>
          <w:lang w:val="en-GB"/>
        </w:rPr>
        <w:t xml:space="preserve"> is also receiving concomitant </w:t>
      </w:r>
      <w:proofErr w:type="spellStart"/>
      <w:r w:rsidRPr="00E40993">
        <w:rPr>
          <w:lang w:val="en-GB"/>
        </w:rPr>
        <w:t>atazanavir</w:t>
      </w:r>
      <w:proofErr w:type="spellEnd"/>
      <w:r w:rsidRPr="00E40993">
        <w:rPr>
          <w:lang w:val="en-GB"/>
        </w:rPr>
        <w:t xml:space="preserve"> + ritonavir (ATV+RTV), </w:t>
      </w:r>
      <w:proofErr w:type="spellStart"/>
      <w:r w:rsidRPr="00E40993">
        <w:rPr>
          <w:lang w:val="en-GB"/>
        </w:rPr>
        <w:t>lopinavir</w:t>
      </w:r>
      <w:proofErr w:type="spellEnd"/>
      <w:r w:rsidRPr="00E40993">
        <w:rPr>
          <w:lang w:val="en-GB"/>
        </w:rPr>
        <w:t xml:space="preserve"> + ritonavir (LPV+RTV) or </w:t>
      </w:r>
      <w:proofErr w:type="spellStart"/>
      <w:r w:rsidRPr="00E40993">
        <w:rPr>
          <w:lang w:val="en-GB"/>
        </w:rPr>
        <w:t>darunavir</w:t>
      </w:r>
      <w:proofErr w:type="spellEnd"/>
      <w:r w:rsidRPr="00E40993">
        <w:rPr>
          <w:lang w:val="en-GB"/>
        </w:rPr>
        <w:t xml:space="preserve"> + ritonavir (DRV+RTV).</w:t>
      </w:r>
    </w:p>
    <w:p w:rsidR="00240DC2" w:rsidRPr="00E40993" w:rsidRDefault="00240DC2" w:rsidP="00240DC2">
      <w:pPr>
        <w:rPr>
          <w:lang w:val="en-GB"/>
        </w:rPr>
      </w:pPr>
      <w:proofErr w:type="spellStart"/>
      <w:r w:rsidRPr="00E40993">
        <w:rPr>
          <w:lang w:val="en-GB"/>
        </w:rPr>
        <w:t>Dolutegravir</w:t>
      </w:r>
      <w:proofErr w:type="spellEnd"/>
      <w:r w:rsidRPr="00E40993">
        <w:rPr>
          <w:lang w:val="en-GB"/>
        </w:rPr>
        <w:t xml:space="preserve"> should not be co-administered with polyvalent </w:t>
      </w:r>
      <w:proofErr w:type="spellStart"/>
      <w:r w:rsidRPr="00E40993">
        <w:rPr>
          <w:lang w:val="en-GB"/>
        </w:rPr>
        <w:t>cation</w:t>
      </w:r>
      <w:proofErr w:type="spellEnd"/>
      <w:r w:rsidRPr="00E40993">
        <w:rPr>
          <w:lang w:val="en-GB"/>
        </w:rPr>
        <w:t xml:space="preserve">-containing antacids. </w:t>
      </w:r>
      <w:proofErr w:type="spellStart"/>
      <w:r w:rsidRPr="00E40993">
        <w:rPr>
          <w:lang w:val="en-GB"/>
        </w:rPr>
        <w:t>Dolutegravir</w:t>
      </w:r>
      <w:proofErr w:type="spellEnd"/>
      <w:r w:rsidRPr="00E40993">
        <w:rPr>
          <w:lang w:val="en-GB"/>
        </w:rPr>
        <w:t xml:space="preserve"> is recommended to be administered 2 hours before or 6 hours after these agents.</w:t>
      </w:r>
    </w:p>
    <w:p w:rsidR="00240DC2" w:rsidRPr="00E40993" w:rsidRDefault="00240DC2" w:rsidP="00240DC2">
      <w:pPr>
        <w:rPr>
          <w:lang w:val="en-GB"/>
        </w:rPr>
      </w:pPr>
      <w:r w:rsidRPr="00E40993">
        <w:t>TRIUMEQ</w:t>
      </w:r>
      <w:r w:rsidRPr="00E40993">
        <w:rPr>
          <w:lang w:val="en-GB"/>
        </w:rPr>
        <w:t xml:space="preserve"> is recommended to be administered 2 hours before or 6 hours after taking calcium or iron supplements, or alternatively, administered with food.</w:t>
      </w:r>
    </w:p>
    <w:p w:rsidR="00240DC2" w:rsidRPr="00E40993" w:rsidRDefault="00240DC2" w:rsidP="00240DC2">
      <w:pPr>
        <w:rPr>
          <w:lang w:val="en-GB"/>
        </w:rPr>
      </w:pPr>
      <w:r w:rsidRPr="00E40993">
        <w:rPr>
          <w:lang w:val="en-GB"/>
        </w:rPr>
        <w:t xml:space="preserve">Metformin concentrations may be increased by </w:t>
      </w:r>
      <w:r w:rsidRPr="00E40993">
        <w:t>TRIUMEQ</w:t>
      </w:r>
      <w:r w:rsidRPr="00E40993">
        <w:rPr>
          <w:lang w:val="en-GB"/>
        </w:rPr>
        <w:t xml:space="preserve">. Lower metformin doses may be considered for </w:t>
      </w:r>
      <w:r>
        <w:rPr>
          <w:lang w:val="en-GB"/>
        </w:rPr>
        <w:t>patient</w:t>
      </w:r>
      <w:r w:rsidRPr="00E40993">
        <w:rPr>
          <w:lang w:val="en-GB"/>
        </w:rPr>
        <w:t xml:space="preserve">s treated with </w:t>
      </w:r>
      <w:proofErr w:type="spellStart"/>
      <w:r w:rsidRPr="00E40993">
        <w:rPr>
          <w:lang w:val="en-GB"/>
        </w:rPr>
        <w:t>dolutegravir</w:t>
      </w:r>
      <w:proofErr w:type="spellEnd"/>
      <w:r w:rsidRPr="00E40993">
        <w:rPr>
          <w:lang w:val="en-GB"/>
        </w:rPr>
        <w:t xml:space="preserve"> and metformin.</w:t>
      </w:r>
    </w:p>
    <w:p w:rsidR="00240DC2" w:rsidRPr="00E40993" w:rsidRDefault="00240DC2" w:rsidP="00240DC2">
      <w:pPr>
        <w:rPr>
          <w:lang w:val="en-GB"/>
        </w:rPr>
      </w:pPr>
      <w:r w:rsidRPr="00E40993">
        <w:t>TRIUMEQ</w:t>
      </w:r>
      <w:r w:rsidRPr="00E40993">
        <w:rPr>
          <w:lang w:val="en-GB"/>
        </w:rPr>
        <w:t xml:space="preserve"> should not be administered concurrently with other medicinal products containing any of the same active components (</w:t>
      </w:r>
      <w:proofErr w:type="spellStart"/>
      <w:r w:rsidRPr="00E40993">
        <w:rPr>
          <w:lang w:val="en-GB"/>
        </w:rPr>
        <w:t>dolutegravir</w:t>
      </w:r>
      <w:proofErr w:type="spellEnd"/>
      <w:r w:rsidRPr="00E40993">
        <w:rPr>
          <w:lang w:val="en-GB"/>
        </w:rPr>
        <w:t xml:space="preserve">, </w:t>
      </w:r>
      <w:proofErr w:type="spellStart"/>
      <w:r w:rsidRPr="00E40993">
        <w:rPr>
          <w:lang w:val="en-GB"/>
        </w:rPr>
        <w:t>abacavir</w:t>
      </w:r>
      <w:proofErr w:type="spellEnd"/>
      <w:r w:rsidRPr="00E40993">
        <w:rPr>
          <w:lang w:val="en-GB"/>
        </w:rPr>
        <w:t>, and/or lamivudine).</w:t>
      </w:r>
    </w:p>
    <w:p w:rsidR="00240DC2" w:rsidRPr="00240DC2" w:rsidRDefault="00240DC2" w:rsidP="00240DC2">
      <w:r w:rsidRPr="00E40993">
        <w:rPr>
          <w:lang w:val="en-GB"/>
        </w:rPr>
        <w:t xml:space="preserve">Since the recommended dose of </w:t>
      </w:r>
      <w:proofErr w:type="spellStart"/>
      <w:r w:rsidRPr="00E40993">
        <w:rPr>
          <w:lang w:val="en-GB"/>
        </w:rPr>
        <w:t>dolutegravir</w:t>
      </w:r>
      <w:proofErr w:type="spellEnd"/>
      <w:r w:rsidRPr="00E40993">
        <w:rPr>
          <w:lang w:val="en-GB"/>
        </w:rPr>
        <w:t xml:space="preserve"> is 50 mg twice daily for </w:t>
      </w:r>
      <w:r>
        <w:rPr>
          <w:lang w:val="en-GB"/>
        </w:rPr>
        <w:t>patient</w:t>
      </w:r>
      <w:r w:rsidRPr="00E40993">
        <w:rPr>
          <w:lang w:val="en-GB"/>
        </w:rPr>
        <w:t xml:space="preserve">s taking </w:t>
      </w:r>
      <w:proofErr w:type="spellStart"/>
      <w:r w:rsidRPr="00E40993">
        <w:rPr>
          <w:lang w:val="en-GB"/>
        </w:rPr>
        <w:t>efavirenz</w:t>
      </w:r>
      <w:proofErr w:type="spellEnd"/>
      <w:r w:rsidRPr="00E40993">
        <w:rPr>
          <w:lang w:val="en-GB"/>
        </w:rPr>
        <w:t xml:space="preserve">, </w:t>
      </w:r>
      <w:proofErr w:type="spellStart"/>
      <w:r w:rsidRPr="00E40993">
        <w:rPr>
          <w:lang w:val="en-GB"/>
        </w:rPr>
        <w:t>nevirapine</w:t>
      </w:r>
      <w:proofErr w:type="spellEnd"/>
      <w:r w:rsidRPr="00E40993">
        <w:rPr>
          <w:lang w:val="en-GB"/>
        </w:rPr>
        <w:t xml:space="preserve">, rifampicin and </w:t>
      </w:r>
      <w:proofErr w:type="spellStart"/>
      <w:r w:rsidRPr="00E40993">
        <w:rPr>
          <w:lang w:val="en-GB"/>
        </w:rPr>
        <w:t>tipranavir</w:t>
      </w:r>
      <w:proofErr w:type="spellEnd"/>
      <w:r w:rsidRPr="00E40993">
        <w:rPr>
          <w:lang w:val="en-GB"/>
        </w:rPr>
        <w:t xml:space="preserve">/ritonavir, the use of </w:t>
      </w:r>
      <w:r w:rsidRPr="00E40993">
        <w:t>TRIUMEQ</w:t>
      </w:r>
      <w:r w:rsidRPr="00E40993">
        <w:rPr>
          <w:lang w:val="en-GB"/>
        </w:rPr>
        <w:t xml:space="preserve"> is not recommended for </w:t>
      </w:r>
      <w:r>
        <w:rPr>
          <w:lang w:val="en-GB"/>
        </w:rPr>
        <w:t>patient</w:t>
      </w:r>
      <w:r w:rsidRPr="00E40993">
        <w:rPr>
          <w:lang w:val="en-GB"/>
        </w:rPr>
        <w:t>s taking these medicines.</w:t>
      </w:r>
    </w:p>
    <w:p w:rsidR="007D7826" w:rsidRPr="00E40993" w:rsidRDefault="007D7826" w:rsidP="00510C45">
      <w:r w:rsidRPr="00E40993">
        <w:t xml:space="preserve">As </w:t>
      </w:r>
      <w:r w:rsidR="00146BFC" w:rsidRPr="00E40993">
        <w:rPr>
          <w:rFonts w:eastAsia="MS Mincho"/>
          <w:lang w:eastAsia="en-US"/>
        </w:rPr>
        <w:t>TRIUMEQ</w:t>
      </w:r>
      <w:r w:rsidRPr="00E40993">
        <w:t xml:space="preserve"> contains </w:t>
      </w:r>
      <w:proofErr w:type="spellStart"/>
      <w:r w:rsidRPr="00E40993">
        <w:t>dolutegravir</w:t>
      </w:r>
      <w:proofErr w:type="spellEnd"/>
      <w:r w:rsidRPr="00E40993">
        <w:t xml:space="preserve">, </w:t>
      </w:r>
      <w:proofErr w:type="spellStart"/>
      <w:r w:rsidRPr="00E40993">
        <w:t>abacavir</w:t>
      </w:r>
      <w:proofErr w:type="spellEnd"/>
      <w:r w:rsidRPr="00E40993">
        <w:t xml:space="preserve"> and lamivudine, any interactions that have been identified with these agents individually may occur with </w:t>
      </w:r>
      <w:r w:rsidR="00146BFC" w:rsidRPr="00E40993">
        <w:rPr>
          <w:rFonts w:eastAsia="MS Mincho"/>
          <w:lang w:eastAsia="en-US"/>
        </w:rPr>
        <w:t>TRIUMEQ</w:t>
      </w:r>
      <w:r w:rsidRPr="00E40993">
        <w:t xml:space="preserve">. Due to the different routes of metabolism and elimination, no clinically significant drug interactions are expected between </w:t>
      </w:r>
      <w:proofErr w:type="spellStart"/>
      <w:r w:rsidRPr="00E40993">
        <w:t>dolutegravir</w:t>
      </w:r>
      <w:proofErr w:type="spellEnd"/>
      <w:r w:rsidRPr="00E40993">
        <w:t xml:space="preserve">, </w:t>
      </w:r>
      <w:proofErr w:type="spellStart"/>
      <w:r w:rsidRPr="00E40993">
        <w:t>abacavir</w:t>
      </w:r>
      <w:proofErr w:type="spellEnd"/>
      <w:r w:rsidRPr="00E40993">
        <w:t xml:space="preserve"> and lamivudine. In a cross study comparison, </w:t>
      </w:r>
      <w:proofErr w:type="spellStart"/>
      <w:r w:rsidRPr="00E40993">
        <w:t>abacavir</w:t>
      </w:r>
      <w:proofErr w:type="spellEnd"/>
      <w:r w:rsidRPr="00E40993">
        <w:t xml:space="preserve"> and lamivudine exposures were similar when given as </w:t>
      </w:r>
      <w:r w:rsidR="00146BFC" w:rsidRPr="00E40993">
        <w:rPr>
          <w:rFonts w:eastAsia="MS Mincho"/>
          <w:lang w:eastAsia="en-US"/>
        </w:rPr>
        <w:t>TRIUMEQ</w:t>
      </w:r>
      <w:r w:rsidRPr="00E40993">
        <w:t xml:space="preserve"> compared to </w:t>
      </w:r>
      <w:r w:rsidR="003A6F2C">
        <w:t>ABC/3TC</w:t>
      </w:r>
      <w:r w:rsidRPr="00E40993">
        <w:t xml:space="preserve"> alone.</w:t>
      </w:r>
      <w:r w:rsidRPr="00E40993">
        <w:rPr>
          <w:strike/>
        </w:rPr>
        <w:t xml:space="preserve"> </w:t>
      </w:r>
    </w:p>
    <w:p w:rsidR="00272FD4" w:rsidRPr="00E40993" w:rsidRDefault="00272FD4" w:rsidP="00CF3C5F">
      <w:pPr>
        <w:pStyle w:val="Heading2"/>
        <w:rPr>
          <w:lang w:eastAsia="en-US"/>
        </w:rPr>
      </w:pPr>
      <w:r w:rsidRPr="00E40993">
        <w:rPr>
          <w:lang w:eastAsia="en-US"/>
        </w:rPr>
        <w:t>Effect of T</w:t>
      </w:r>
      <w:r w:rsidR="007D7826" w:rsidRPr="00E40993">
        <w:rPr>
          <w:lang w:eastAsia="en-US"/>
        </w:rPr>
        <w:t>RIUMEQ</w:t>
      </w:r>
      <w:r w:rsidRPr="00E40993">
        <w:rPr>
          <w:lang w:eastAsia="en-US"/>
        </w:rPr>
        <w:t xml:space="preserve"> on the Pharmacokinetics of Other Agents</w:t>
      </w:r>
    </w:p>
    <w:p w:rsidR="00DD5B41" w:rsidRDefault="00DD5B41" w:rsidP="00DD5B41">
      <w:pPr>
        <w:rPr>
          <w:i/>
        </w:rPr>
      </w:pPr>
      <w:r w:rsidRPr="00FD0B6C">
        <w:rPr>
          <w:i/>
        </w:rPr>
        <w:t>In vi</w:t>
      </w:r>
      <w:r>
        <w:rPr>
          <w:i/>
        </w:rPr>
        <w:t>tr</w:t>
      </w:r>
      <w:r w:rsidRPr="00FD0B6C">
        <w:rPr>
          <w:i/>
        </w:rPr>
        <w:t>o</w:t>
      </w:r>
      <w:r w:rsidRPr="00E40993">
        <w:t xml:space="preserve">, </w:t>
      </w:r>
      <w:proofErr w:type="spellStart"/>
      <w:r w:rsidRPr="00E40993">
        <w:t>dolutegravir</w:t>
      </w:r>
      <w:proofErr w:type="spellEnd"/>
      <w:r w:rsidRPr="00E40993">
        <w:t xml:space="preserve"> inhibited the </w:t>
      </w:r>
      <w:proofErr w:type="spellStart"/>
      <w:r w:rsidRPr="00E40993">
        <w:t>basolateral</w:t>
      </w:r>
      <w:proofErr w:type="spellEnd"/>
      <w:r w:rsidRPr="00E40993">
        <w:t xml:space="preserve"> renal transporters: organic anion transporter (OAT) 1 (IC50 = 2.12 </w:t>
      </w:r>
      <w:r w:rsidRPr="00E40993">
        <w:sym w:font="Symbol" w:char="F06D"/>
      </w:r>
      <w:r w:rsidRPr="00E40993">
        <w:t xml:space="preserve">M) and OAT3 (IC50 = 1.97 </w:t>
      </w:r>
      <w:r w:rsidRPr="00E40993">
        <w:sym w:font="Symbol" w:char="F06D"/>
      </w:r>
      <w:r w:rsidRPr="00E40993">
        <w:t xml:space="preserve">M).  However, </w:t>
      </w:r>
      <w:proofErr w:type="spellStart"/>
      <w:r w:rsidRPr="00E40993">
        <w:t>dolutegravir</w:t>
      </w:r>
      <w:proofErr w:type="spellEnd"/>
      <w:r w:rsidRPr="00E40993">
        <w:t xml:space="preserve"> had no notable effect on the pharmacokinetics </w:t>
      </w:r>
      <w:r w:rsidRPr="00542F1F">
        <w:rPr>
          <w:i/>
        </w:rPr>
        <w:t>in vivo</w:t>
      </w:r>
      <w:r w:rsidRPr="00E40993">
        <w:t xml:space="preserve"> of the OAT substrates </w:t>
      </w:r>
      <w:proofErr w:type="spellStart"/>
      <w:r w:rsidRPr="00E40993">
        <w:t>tenofovir</w:t>
      </w:r>
      <w:proofErr w:type="spellEnd"/>
      <w:r w:rsidRPr="00E40993">
        <w:t xml:space="preserve"> and para </w:t>
      </w:r>
      <w:proofErr w:type="spellStart"/>
      <w:r w:rsidRPr="00E40993">
        <w:t>aminohippurate</w:t>
      </w:r>
      <w:proofErr w:type="spellEnd"/>
      <w:r w:rsidRPr="00E40993">
        <w:t>, and therefore has low propensity to cause drug interactions via inhibition of OAT transporters.</w:t>
      </w:r>
      <w:r w:rsidRPr="00DD5B41">
        <w:rPr>
          <w:i/>
        </w:rPr>
        <w:t xml:space="preserve"> </w:t>
      </w:r>
    </w:p>
    <w:p w:rsidR="007D7826" w:rsidRPr="00E40993" w:rsidRDefault="00FD0B6C" w:rsidP="00510C45">
      <w:r w:rsidRPr="00FD0B6C">
        <w:rPr>
          <w:i/>
        </w:rPr>
        <w:t>In vi</w:t>
      </w:r>
      <w:r>
        <w:rPr>
          <w:i/>
        </w:rPr>
        <w:t>tr</w:t>
      </w:r>
      <w:r w:rsidRPr="00FD0B6C">
        <w:rPr>
          <w:i/>
        </w:rPr>
        <w:t>o</w:t>
      </w:r>
      <w:r w:rsidR="007D7826" w:rsidRPr="00E40993">
        <w:t xml:space="preserve">, </w:t>
      </w:r>
      <w:proofErr w:type="spellStart"/>
      <w:r w:rsidR="007D7826" w:rsidRPr="00E40993">
        <w:t>dolutegravir</w:t>
      </w:r>
      <w:proofErr w:type="spellEnd"/>
      <w:r w:rsidR="007D7826" w:rsidRPr="00E40993">
        <w:t xml:space="preserve"> inhibited the renal organic </w:t>
      </w:r>
      <w:proofErr w:type="spellStart"/>
      <w:r w:rsidR="007D7826" w:rsidRPr="00E40993">
        <w:t>cation</w:t>
      </w:r>
      <w:proofErr w:type="spellEnd"/>
      <w:r w:rsidR="007D7826" w:rsidRPr="00E40993">
        <w:t xml:space="preserve"> transporter 2 (OCT2) (IC50 = 1.93 µM), multidrug and toxin extrusion transporter (MATE) 1 (IC50 = 6.34 </w:t>
      </w:r>
      <w:r w:rsidR="007D7826" w:rsidRPr="00E40993">
        <w:sym w:font="Symbol" w:char="F06D"/>
      </w:r>
      <w:r w:rsidR="007D7826" w:rsidRPr="00E40993">
        <w:t xml:space="preserve">M) and MATE2-K (IC50 = 24.8 </w:t>
      </w:r>
      <w:r w:rsidR="007D7826" w:rsidRPr="00E40993">
        <w:sym w:font="Symbol" w:char="F06D"/>
      </w:r>
      <w:r w:rsidR="007D7826" w:rsidRPr="00E40993">
        <w:t xml:space="preserve">M). </w:t>
      </w:r>
      <w:r w:rsidR="00542F1F" w:rsidRPr="00542F1F">
        <w:rPr>
          <w:i/>
        </w:rPr>
        <w:t>In vivo</w:t>
      </w:r>
      <w:r w:rsidR="007D7826" w:rsidRPr="00E40993">
        <w:t xml:space="preserve">, </w:t>
      </w:r>
      <w:proofErr w:type="spellStart"/>
      <w:r w:rsidR="007D7826" w:rsidRPr="00E40993">
        <w:t>dolutegravir</w:t>
      </w:r>
      <w:proofErr w:type="spellEnd"/>
      <w:r w:rsidR="007D7826" w:rsidRPr="00E40993">
        <w:t xml:space="preserve"> may increase plasma concentrations of drugs in which excretion is dependent upon OCT2 or MATE1 (</w:t>
      </w:r>
      <w:proofErr w:type="spellStart"/>
      <w:r w:rsidR="007D7826" w:rsidRPr="00E40993">
        <w:t>dofetilide</w:t>
      </w:r>
      <w:proofErr w:type="spellEnd"/>
      <w:r w:rsidR="007D7826" w:rsidRPr="00E40993">
        <w:t xml:space="preserve"> or metformin) (see</w:t>
      </w:r>
      <w:r w:rsidR="00146BFC" w:rsidRPr="00E40993">
        <w:t xml:space="preserve"> Table 3</w:t>
      </w:r>
      <w:r w:rsidR="00854D12">
        <w:t>)</w:t>
      </w:r>
      <w:r w:rsidR="007D7826" w:rsidRPr="00E40993">
        <w:t>.</w:t>
      </w:r>
      <w:r w:rsidR="0019756D">
        <w:t xml:space="preserve"> </w:t>
      </w:r>
      <w:r w:rsidR="0019756D" w:rsidRPr="00E40993">
        <w:t xml:space="preserve">Given </w:t>
      </w:r>
      <w:proofErr w:type="spellStart"/>
      <w:r w:rsidR="0019756D" w:rsidRPr="00E40993">
        <w:t>dolutegravir’s</w:t>
      </w:r>
      <w:proofErr w:type="spellEnd"/>
      <w:r w:rsidR="0019756D" w:rsidRPr="00E40993">
        <w:t xml:space="preserve"> </w:t>
      </w:r>
      <w:r w:rsidR="0019756D" w:rsidRPr="00542F1F">
        <w:rPr>
          <w:i/>
        </w:rPr>
        <w:t>in vivo</w:t>
      </w:r>
      <w:r w:rsidR="0019756D" w:rsidRPr="00E40993">
        <w:t xml:space="preserve"> exposure, it has a low potential to affect the transport of MATE2-K substrates </w:t>
      </w:r>
      <w:r w:rsidR="0019756D" w:rsidRPr="00542F1F">
        <w:rPr>
          <w:i/>
        </w:rPr>
        <w:t>in vivo</w:t>
      </w:r>
      <w:r w:rsidR="0019756D" w:rsidRPr="00E40993">
        <w:t xml:space="preserve">.  </w:t>
      </w:r>
    </w:p>
    <w:p w:rsidR="00DD5B41" w:rsidRPr="00E40993" w:rsidRDefault="00DD5B41" w:rsidP="00DD5B41">
      <w:r w:rsidRPr="00FD0B6C">
        <w:rPr>
          <w:i/>
        </w:rPr>
        <w:t>In vi</w:t>
      </w:r>
      <w:r>
        <w:rPr>
          <w:i/>
        </w:rPr>
        <w:t>tr</w:t>
      </w:r>
      <w:r w:rsidRPr="00FD0B6C">
        <w:rPr>
          <w:i/>
        </w:rPr>
        <w:t>o</w:t>
      </w:r>
      <w:r w:rsidRPr="00E40993">
        <w:t xml:space="preserve">, </w:t>
      </w:r>
      <w:proofErr w:type="spellStart"/>
      <w:r w:rsidRPr="00E40993">
        <w:t>dolutegravir</w:t>
      </w:r>
      <w:proofErr w:type="spellEnd"/>
      <w:r w:rsidRPr="00E40993">
        <w:t xml:space="preserve"> demonstrated no direct, or weak inhibition (IC50&gt;50 </w:t>
      </w:r>
      <w:proofErr w:type="spellStart"/>
      <w:r w:rsidRPr="00E40993">
        <w:t>μM</w:t>
      </w:r>
      <w:proofErr w:type="spellEnd"/>
      <w:r w:rsidRPr="00E40993">
        <w:t xml:space="preserve">) of the enzymes cytochrome P450 (CYP)1A2, CYP2A6, CYP2B6, CYP2C8, CYP2C9, CYP2C19, CYP2D6 CYP3A, uridine diphosphate </w:t>
      </w:r>
      <w:proofErr w:type="spellStart"/>
      <w:r w:rsidRPr="00E40993">
        <w:t>glucuronosyl</w:t>
      </w:r>
      <w:proofErr w:type="spellEnd"/>
      <w:r w:rsidRPr="00E40993">
        <w:t xml:space="preserve"> </w:t>
      </w:r>
      <w:proofErr w:type="spellStart"/>
      <w:r w:rsidRPr="00E40993">
        <w:t>transferase</w:t>
      </w:r>
      <w:proofErr w:type="spellEnd"/>
      <w:r w:rsidRPr="00E40993">
        <w:t xml:space="preserve"> (UGT)1A1 or UGT2B7, or the transporters </w:t>
      </w:r>
      <w:proofErr w:type="spellStart"/>
      <w:r w:rsidRPr="00E40993">
        <w:t>Pgp</w:t>
      </w:r>
      <w:proofErr w:type="spellEnd"/>
      <w:r w:rsidRPr="00E40993">
        <w:t xml:space="preserve">, BCRP, BSEP, OATP1B1, OATP1B3, OCT1 MRP2, or MRP4. </w:t>
      </w:r>
      <w:r w:rsidRPr="00FD0B6C">
        <w:rPr>
          <w:i/>
        </w:rPr>
        <w:t>In vi</w:t>
      </w:r>
      <w:r>
        <w:rPr>
          <w:i/>
        </w:rPr>
        <w:t>tr</w:t>
      </w:r>
      <w:r w:rsidRPr="00FD0B6C">
        <w:rPr>
          <w:i/>
        </w:rPr>
        <w:t>o</w:t>
      </w:r>
      <w:r w:rsidRPr="00E40993">
        <w:t xml:space="preserve">, </w:t>
      </w:r>
      <w:proofErr w:type="spellStart"/>
      <w:r w:rsidRPr="00E40993">
        <w:t>dolutegravir</w:t>
      </w:r>
      <w:proofErr w:type="spellEnd"/>
      <w:r w:rsidRPr="00E40993">
        <w:t xml:space="preserve"> did not induce CYP1A2, CYP2B6 or CYP3A4.  Based on these data, </w:t>
      </w:r>
      <w:proofErr w:type="spellStart"/>
      <w:r w:rsidRPr="00E40993">
        <w:t>dolutegravir</w:t>
      </w:r>
      <w:proofErr w:type="spellEnd"/>
      <w:r w:rsidRPr="00E40993">
        <w:t xml:space="preserve"> is not expected to affect the pharmacokinetics of drugs that are substrates of these enzymes or transporters.</w:t>
      </w:r>
    </w:p>
    <w:p w:rsidR="001679F8" w:rsidRDefault="001679F8" w:rsidP="00510C45">
      <w:r>
        <w:t xml:space="preserve">In drug interaction studies, </w:t>
      </w:r>
      <w:proofErr w:type="spellStart"/>
      <w:r>
        <w:t>dolutegravir</w:t>
      </w:r>
      <w:proofErr w:type="spellEnd"/>
      <w:r>
        <w:t xml:space="preserve"> did not have a clinically relevant effect on the pharmacokinetics of the following: </w:t>
      </w:r>
      <w:proofErr w:type="spellStart"/>
      <w:r>
        <w:t>tenofovir</w:t>
      </w:r>
      <w:proofErr w:type="spellEnd"/>
      <w:r>
        <w:t xml:space="preserve">, methadone, </w:t>
      </w:r>
      <w:proofErr w:type="spellStart"/>
      <w:r>
        <w:t>efavirenz</w:t>
      </w:r>
      <w:proofErr w:type="spellEnd"/>
      <w:r>
        <w:t xml:space="preserve">, </w:t>
      </w:r>
      <w:proofErr w:type="spellStart"/>
      <w:r>
        <w:t>lopinavir</w:t>
      </w:r>
      <w:proofErr w:type="spellEnd"/>
      <w:r>
        <w:t xml:space="preserve">, </w:t>
      </w:r>
      <w:proofErr w:type="spellStart"/>
      <w:r>
        <w:t>atazanvir</w:t>
      </w:r>
      <w:proofErr w:type="spellEnd"/>
      <w:r>
        <w:t xml:space="preserve">, </w:t>
      </w:r>
      <w:proofErr w:type="spellStart"/>
      <w:r>
        <w:t>darunavir</w:t>
      </w:r>
      <w:proofErr w:type="spellEnd"/>
      <w:r>
        <w:t xml:space="preserve">, </w:t>
      </w:r>
      <w:proofErr w:type="spellStart"/>
      <w:r>
        <w:t>etravirine</w:t>
      </w:r>
      <w:proofErr w:type="spellEnd"/>
      <w:r>
        <w:t xml:space="preserve">, </w:t>
      </w:r>
      <w:proofErr w:type="spellStart"/>
      <w:r>
        <w:t>fosamprenavir</w:t>
      </w:r>
      <w:proofErr w:type="spellEnd"/>
      <w:r>
        <w:t xml:space="preserve">, and oral contraceptives containing </w:t>
      </w:r>
      <w:proofErr w:type="spellStart"/>
      <w:r w:rsidR="009D1DB1">
        <w:t>norelgestromin</w:t>
      </w:r>
      <w:proofErr w:type="spellEnd"/>
      <w:r w:rsidR="009D1DB1">
        <w:t xml:space="preserve"> and </w:t>
      </w:r>
      <w:proofErr w:type="spellStart"/>
      <w:r>
        <w:t>ethinyl</w:t>
      </w:r>
      <w:proofErr w:type="spellEnd"/>
      <w:r>
        <w:t xml:space="preserve"> </w:t>
      </w:r>
      <w:proofErr w:type="spellStart"/>
      <w:r>
        <w:t>estradiol</w:t>
      </w:r>
      <w:proofErr w:type="spellEnd"/>
      <w:r>
        <w:t>.</w:t>
      </w:r>
    </w:p>
    <w:p w:rsidR="007D7826" w:rsidRPr="00E40993" w:rsidRDefault="00DD5B41" w:rsidP="00510C45">
      <w:proofErr w:type="spellStart"/>
      <w:r>
        <w:t>Abacavir</w:t>
      </w:r>
      <w:proofErr w:type="spellEnd"/>
      <w:r>
        <w:t xml:space="preserve"> and lamivudine are not significantly metabolised by cytochrome P450 enzymes (such as CYP 3A4, CYP 2C9 or CYP 2D6) nor do they inhibit or induce this enzyme system.  Therefore, there is little potential for interactions with other medicinal products metabolised by major P450 enzymes.</w:t>
      </w:r>
    </w:p>
    <w:p w:rsidR="0093535E" w:rsidRPr="00E40993" w:rsidRDefault="0093535E" w:rsidP="00CF3C5F">
      <w:pPr>
        <w:pStyle w:val="Heading2"/>
      </w:pPr>
      <w:r w:rsidRPr="00E40993">
        <w:rPr>
          <w:lang w:eastAsia="en-US"/>
        </w:rPr>
        <w:t xml:space="preserve">Effect of Other Agents on the Pharmacokinetics of </w:t>
      </w:r>
      <w:r w:rsidR="00C8561F" w:rsidRPr="00E40993">
        <w:rPr>
          <w:lang w:eastAsia="en-US"/>
        </w:rPr>
        <w:t>T</w:t>
      </w:r>
      <w:r w:rsidR="00694B42" w:rsidRPr="00E40993">
        <w:rPr>
          <w:lang w:eastAsia="en-US"/>
        </w:rPr>
        <w:t>RIUMEQ</w:t>
      </w:r>
    </w:p>
    <w:p w:rsidR="00694B42" w:rsidRPr="00E40993" w:rsidRDefault="00694B42" w:rsidP="00510C45">
      <w:proofErr w:type="spellStart"/>
      <w:r w:rsidRPr="00E40993">
        <w:t>Dolutegravir</w:t>
      </w:r>
      <w:proofErr w:type="spellEnd"/>
      <w:r w:rsidRPr="00E40993">
        <w:t xml:space="preserve"> is eliminated mainly through metabolism by UGT1A1. </w:t>
      </w:r>
      <w:proofErr w:type="spellStart"/>
      <w:r w:rsidRPr="00E40993">
        <w:t>Dolutegravir</w:t>
      </w:r>
      <w:proofErr w:type="spellEnd"/>
      <w:r w:rsidRPr="00E40993">
        <w:t xml:space="preserve"> is also a substrate of UGT1A3, UGT1A9, CYP3A4, </w:t>
      </w:r>
      <w:proofErr w:type="spellStart"/>
      <w:r w:rsidRPr="00E40993">
        <w:t>Pgp</w:t>
      </w:r>
      <w:proofErr w:type="spellEnd"/>
      <w:r w:rsidRPr="00E40993">
        <w:t xml:space="preserve">, and BCRP; therefore drugs that induce these enzymes or transporters may theoretically decrease </w:t>
      </w:r>
      <w:proofErr w:type="spellStart"/>
      <w:r w:rsidRPr="00E40993">
        <w:t>dolutegravir</w:t>
      </w:r>
      <w:proofErr w:type="spellEnd"/>
      <w:r w:rsidRPr="00E40993">
        <w:t xml:space="preserve"> plasma concentration and reduce the therapeutic effect of </w:t>
      </w:r>
      <w:proofErr w:type="spellStart"/>
      <w:r w:rsidRPr="00E40993">
        <w:t>dolutegravir</w:t>
      </w:r>
      <w:proofErr w:type="spellEnd"/>
      <w:r w:rsidRPr="00E40993">
        <w:t xml:space="preserve">. Co-administration of </w:t>
      </w:r>
      <w:proofErr w:type="spellStart"/>
      <w:r w:rsidRPr="00E40993">
        <w:t>dolutegravir</w:t>
      </w:r>
      <w:proofErr w:type="spellEnd"/>
      <w:r w:rsidRPr="00E40993">
        <w:t xml:space="preserve"> and other drugs that inhibit UGT1A1, UGT1A3, UGT1A9, CYP3A4, and/or </w:t>
      </w:r>
      <w:r w:rsidR="00854D12" w:rsidRPr="00E40993">
        <w:t>P</w:t>
      </w:r>
      <w:r w:rsidR="00854D12">
        <w:t>GP</w:t>
      </w:r>
      <w:r w:rsidR="00854D12" w:rsidRPr="00E40993">
        <w:t xml:space="preserve"> </w:t>
      </w:r>
      <w:r w:rsidRPr="00E40993">
        <w:t xml:space="preserve">may increase </w:t>
      </w:r>
      <w:proofErr w:type="spellStart"/>
      <w:r w:rsidRPr="00E40993">
        <w:t>dolutegravir</w:t>
      </w:r>
      <w:proofErr w:type="spellEnd"/>
      <w:r w:rsidRPr="00E40993">
        <w:t xml:space="preserve"> plasma concentration (see Table </w:t>
      </w:r>
      <w:r w:rsidR="0045447B" w:rsidRPr="00E40993">
        <w:t>3</w:t>
      </w:r>
      <w:r w:rsidRPr="00E40993">
        <w:t>).</w:t>
      </w:r>
    </w:p>
    <w:p w:rsidR="00694B42" w:rsidRPr="00E40993" w:rsidRDefault="00694B42" w:rsidP="00510C45">
      <w:proofErr w:type="spellStart"/>
      <w:r w:rsidRPr="00E40993">
        <w:t>Efavirenz</w:t>
      </w:r>
      <w:proofErr w:type="spellEnd"/>
      <w:r w:rsidRPr="00E40993">
        <w:t xml:space="preserve">, </w:t>
      </w:r>
      <w:proofErr w:type="spellStart"/>
      <w:r w:rsidRPr="00E40993">
        <w:t>nevirapine</w:t>
      </w:r>
      <w:proofErr w:type="spellEnd"/>
      <w:r w:rsidRPr="00E40993">
        <w:t xml:space="preserve">, rifampicin and </w:t>
      </w:r>
      <w:proofErr w:type="spellStart"/>
      <w:r w:rsidRPr="00E40993">
        <w:t>tipranavir</w:t>
      </w:r>
      <w:proofErr w:type="spellEnd"/>
      <w:r w:rsidRPr="00E40993">
        <w:t xml:space="preserve">/ritonavir each reduced the plasma concentrations of </w:t>
      </w:r>
      <w:proofErr w:type="spellStart"/>
      <w:r w:rsidRPr="00E40993">
        <w:t>dolutegravir</w:t>
      </w:r>
      <w:proofErr w:type="spellEnd"/>
      <w:r w:rsidRPr="00E40993">
        <w:t xml:space="preserve"> significantly, and require </w:t>
      </w:r>
      <w:proofErr w:type="spellStart"/>
      <w:r w:rsidRPr="00E40993">
        <w:t>dolutegravir</w:t>
      </w:r>
      <w:proofErr w:type="spellEnd"/>
      <w:r w:rsidRPr="00E40993">
        <w:t xml:space="preserve"> dose adjustment to 50 mg twice daily. </w:t>
      </w:r>
      <w:proofErr w:type="spellStart"/>
      <w:r w:rsidRPr="00E40993">
        <w:t>Etravirine</w:t>
      </w:r>
      <w:proofErr w:type="spellEnd"/>
      <w:r w:rsidRPr="00E40993">
        <w:t xml:space="preserve"> also reduced plasma concentrations, but the effect of </w:t>
      </w:r>
      <w:proofErr w:type="spellStart"/>
      <w:r w:rsidRPr="00E40993">
        <w:t>etravirine</w:t>
      </w:r>
      <w:proofErr w:type="spellEnd"/>
      <w:r w:rsidRPr="00E40993">
        <w:t xml:space="preserve"> was mitigated by co-administration of the CYP3A4 inhibitors </w:t>
      </w:r>
      <w:proofErr w:type="spellStart"/>
      <w:r w:rsidRPr="00E40993">
        <w:t>lopinavir</w:t>
      </w:r>
      <w:proofErr w:type="spellEnd"/>
      <w:r w:rsidRPr="00E40993">
        <w:t xml:space="preserve">/ritonavir, </w:t>
      </w:r>
      <w:proofErr w:type="spellStart"/>
      <w:r w:rsidRPr="00E40993">
        <w:t>darunavir</w:t>
      </w:r>
      <w:proofErr w:type="spellEnd"/>
      <w:r w:rsidRPr="00E40993">
        <w:t xml:space="preserve">/ritonavir, and is expected to be mitigated by </w:t>
      </w:r>
      <w:proofErr w:type="spellStart"/>
      <w:r w:rsidRPr="00E40993">
        <w:t>atazanavir</w:t>
      </w:r>
      <w:proofErr w:type="spellEnd"/>
      <w:r w:rsidRPr="00E40993">
        <w:t xml:space="preserve">/ritonavir. Therefore no </w:t>
      </w:r>
      <w:proofErr w:type="spellStart"/>
      <w:r w:rsidRPr="00E40993">
        <w:t>dolutegravir</w:t>
      </w:r>
      <w:proofErr w:type="spellEnd"/>
      <w:r w:rsidRPr="00E40993">
        <w:t xml:space="preserve"> dose adjustment is necessary when co-administered with </w:t>
      </w:r>
      <w:proofErr w:type="spellStart"/>
      <w:r w:rsidRPr="00E40993">
        <w:t>etravirine</w:t>
      </w:r>
      <w:proofErr w:type="spellEnd"/>
      <w:r w:rsidRPr="00E40993">
        <w:t xml:space="preserve"> and either </w:t>
      </w:r>
      <w:proofErr w:type="spellStart"/>
      <w:r w:rsidRPr="00E40993">
        <w:t>lopinavir</w:t>
      </w:r>
      <w:proofErr w:type="spellEnd"/>
      <w:r w:rsidRPr="00E40993">
        <w:t xml:space="preserve">/ritonavir, </w:t>
      </w:r>
      <w:proofErr w:type="spellStart"/>
      <w:r w:rsidRPr="00E40993">
        <w:t>darunavir</w:t>
      </w:r>
      <w:proofErr w:type="spellEnd"/>
      <w:r w:rsidRPr="00E40993">
        <w:t xml:space="preserve">/ritonavir, or </w:t>
      </w:r>
      <w:proofErr w:type="spellStart"/>
      <w:r w:rsidRPr="00E40993">
        <w:t>atazanavir</w:t>
      </w:r>
      <w:proofErr w:type="spellEnd"/>
      <w:r w:rsidRPr="00E40993">
        <w:t xml:space="preserve">/ritonavir.  Another inducer, </w:t>
      </w:r>
      <w:proofErr w:type="spellStart"/>
      <w:r w:rsidRPr="00E40993">
        <w:t>fosamprenavir</w:t>
      </w:r>
      <w:proofErr w:type="spellEnd"/>
      <w:r w:rsidRPr="00E40993">
        <w:t xml:space="preserve"> in combination with ritonavir decreased plasma concentrations of </w:t>
      </w:r>
      <w:proofErr w:type="spellStart"/>
      <w:r w:rsidRPr="00E40993">
        <w:t>dolutegravir</w:t>
      </w:r>
      <w:proofErr w:type="spellEnd"/>
      <w:r w:rsidRPr="00E40993">
        <w:t xml:space="preserve"> but does not require a dosage adjustment of </w:t>
      </w:r>
      <w:proofErr w:type="spellStart"/>
      <w:r w:rsidRPr="00E40993">
        <w:t>dolutegravir</w:t>
      </w:r>
      <w:proofErr w:type="spellEnd"/>
      <w:r w:rsidRPr="00E40993">
        <w:t xml:space="preserve">.  A drug interaction study with the UGT1A1 inhibitor, </w:t>
      </w:r>
      <w:proofErr w:type="spellStart"/>
      <w:r w:rsidRPr="00E40993">
        <w:t>atazanavir</w:t>
      </w:r>
      <w:proofErr w:type="spellEnd"/>
      <w:r w:rsidRPr="00E40993">
        <w:t xml:space="preserve">, did not result in a clinically meaningful increase in the plasma concentrations of </w:t>
      </w:r>
      <w:proofErr w:type="spellStart"/>
      <w:r w:rsidRPr="00E40993">
        <w:t>dolutegravir</w:t>
      </w:r>
      <w:proofErr w:type="spellEnd"/>
      <w:r w:rsidRPr="00E40993">
        <w:t xml:space="preserve">.  </w:t>
      </w:r>
      <w:proofErr w:type="spellStart"/>
      <w:r w:rsidRPr="00E40993">
        <w:t>Tenofovir</w:t>
      </w:r>
      <w:proofErr w:type="spellEnd"/>
      <w:r w:rsidRPr="00E40993">
        <w:t xml:space="preserve">, ritonavir, </w:t>
      </w:r>
      <w:proofErr w:type="spellStart"/>
      <w:r w:rsidRPr="00E40993">
        <w:t>lopinavir</w:t>
      </w:r>
      <w:proofErr w:type="spellEnd"/>
      <w:r w:rsidRPr="00E40993">
        <w:t>/ritonavir</w:t>
      </w:r>
      <w:r w:rsidR="0058761C">
        <w:t xml:space="preserve"> and</w:t>
      </w:r>
      <w:r w:rsidRPr="00E40993">
        <w:t xml:space="preserve"> </w:t>
      </w:r>
      <w:proofErr w:type="spellStart"/>
      <w:r w:rsidRPr="00E40993">
        <w:t>darunavir</w:t>
      </w:r>
      <w:proofErr w:type="spellEnd"/>
      <w:r w:rsidRPr="00E40993">
        <w:t xml:space="preserve">/ritonavir had no or a minimal effect on </w:t>
      </w:r>
      <w:proofErr w:type="spellStart"/>
      <w:r w:rsidRPr="00E40993">
        <w:t>dolutegravir</w:t>
      </w:r>
      <w:proofErr w:type="spellEnd"/>
      <w:r w:rsidRPr="00E40993">
        <w:t xml:space="preserve"> pharmacokinetics, therefore no </w:t>
      </w:r>
      <w:proofErr w:type="spellStart"/>
      <w:r w:rsidRPr="00E40993">
        <w:t>dolutegravir</w:t>
      </w:r>
      <w:proofErr w:type="spellEnd"/>
      <w:r w:rsidRPr="00E40993">
        <w:t xml:space="preserve"> dose adjustment is required when co-administered with these drugs.</w:t>
      </w:r>
    </w:p>
    <w:p w:rsidR="0058761C" w:rsidRDefault="00694B42" w:rsidP="00510C45">
      <w:r w:rsidRPr="00E40993">
        <w:t xml:space="preserve">The likelihood of metabolic interactions with </w:t>
      </w:r>
      <w:proofErr w:type="spellStart"/>
      <w:r w:rsidRPr="00E40993">
        <w:t>abacavir</w:t>
      </w:r>
      <w:proofErr w:type="spellEnd"/>
      <w:r w:rsidRPr="00E40993">
        <w:t xml:space="preserve"> and lamivudine is low. </w:t>
      </w:r>
      <w:proofErr w:type="spellStart"/>
      <w:r w:rsidRPr="00E40993">
        <w:t>Abacavir</w:t>
      </w:r>
      <w:proofErr w:type="spellEnd"/>
      <w:r w:rsidRPr="00E40993">
        <w:t xml:space="preserve"> and lamivudine are not significantly metabolised by CYP enzymes. The primary pathways of </w:t>
      </w:r>
      <w:proofErr w:type="spellStart"/>
      <w:r w:rsidRPr="00E40993">
        <w:t>abacavir</w:t>
      </w:r>
      <w:proofErr w:type="spellEnd"/>
      <w:r w:rsidRPr="00E40993">
        <w:t xml:space="preserve"> metabolism in human are by alcohol dehydrogenase and by </w:t>
      </w:r>
      <w:proofErr w:type="spellStart"/>
      <w:r w:rsidRPr="00E40993">
        <w:t>glucuronidation</w:t>
      </w:r>
      <w:proofErr w:type="spellEnd"/>
      <w:r w:rsidRPr="00E40993">
        <w:t xml:space="preserve"> to produce the 5’-carboxylic acid and 5’-glucuronide which account for about 66% of the administered dose. These metabolites are excreted in the urine.  </w:t>
      </w:r>
    </w:p>
    <w:p w:rsidR="00694B42" w:rsidRPr="00E40993" w:rsidRDefault="00694B42" w:rsidP="00510C45">
      <w:r w:rsidRPr="00E40993">
        <w:t>The likelihood of metabolic interactions with lamivudine is low due to limited metabolism and plasma protein binding, and almost complete renal clearance. Lamivudine is predominantly eliminated by active organic cationic secretion. The possibility of interactions with other medicinal products administered concurrently should be considered, particularly when the main route of elimination is renal.</w:t>
      </w:r>
    </w:p>
    <w:p w:rsidR="00694B42" w:rsidRPr="00E40993" w:rsidRDefault="008A5B7A" w:rsidP="00510C45">
      <w:r w:rsidRPr="00E40993">
        <w:rPr>
          <w:rFonts w:eastAsia="MS Mincho"/>
          <w:lang w:eastAsia="en-US"/>
        </w:rPr>
        <w:t>TRIUMEQ</w:t>
      </w:r>
      <w:r w:rsidR="00694B42" w:rsidRPr="00E40993">
        <w:rPr>
          <w:szCs w:val="24"/>
          <w:lang w:val="en-US"/>
        </w:rPr>
        <w:t xml:space="preserve"> is a fixed-dose tablet and should not be prescribed for </w:t>
      </w:r>
      <w:r w:rsidR="007C720C">
        <w:rPr>
          <w:szCs w:val="24"/>
          <w:lang w:val="en-US"/>
        </w:rPr>
        <w:t>patient</w:t>
      </w:r>
      <w:r w:rsidR="00694B42" w:rsidRPr="00E40993">
        <w:rPr>
          <w:szCs w:val="24"/>
          <w:lang w:val="en-US"/>
        </w:rPr>
        <w:t xml:space="preserve">s requiring dosage adjustments due to interacting concomitant medications. </w:t>
      </w:r>
      <w:r w:rsidR="00694B42" w:rsidRPr="00E40993">
        <w:t>Separat</w:t>
      </w:r>
      <w:r w:rsidRPr="00E40993">
        <w:t xml:space="preserve">e preparations of </w:t>
      </w:r>
      <w:proofErr w:type="spellStart"/>
      <w:r w:rsidRPr="00E40993">
        <w:t>dolutegravir</w:t>
      </w:r>
      <w:proofErr w:type="spellEnd"/>
      <w:r w:rsidRPr="00E40993">
        <w:t xml:space="preserve"> (</w:t>
      </w:r>
      <w:r w:rsidR="00694B42" w:rsidRPr="00E40993">
        <w:t>TIVI</w:t>
      </w:r>
      <w:r w:rsidRPr="00E40993">
        <w:t>CAY</w:t>
      </w:r>
      <w:r w:rsidR="00694B42" w:rsidRPr="00E40993">
        <w:t xml:space="preserve">), </w:t>
      </w:r>
      <w:proofErr w:type="spellStart"/>
      <w:r w:rsidR="00694B42" w:rsidRPr="00E40993">
        <w:t>abacavir</w:t>
      </w:r>
      <w:proofErr w:type="spellEnd"/>
      <w:r w:rsidR="00694B42" w:rsidRPr="00E40993">
        <w:t xml:space="preserve"> (ZIA</w:t>
      </w:r>
      <w:smartTag w:uri="schemas-GSKSiteLocations-com/fourthcoffee" w:element="flavor">
        <w:r w:rsidR="00694B42" w:rsidRPr="00E40993">
          <w:t>GEN</w:t>
        </w:r>
      </w:smartTag>
      <w:r w:rsidR="00694B42" w:rsidRPr="00E40993">
        <w:t>) or lamivudine (</w:t>
      </w:r>
      <w:r w:rsidRPr="00E40993">
        <w:t>3TC</w:t>
      </w:r>
      <w:r w:rsidR="00694B42" w:rsidRPr="00E40993">
        <w:t>) should be administered in cases where dose adjustment is required. In these cases the physician should refer to the individual product information for these medicinal products.</w:t>
      </w:r>
    </w:p>
    <w:p w:rsidR="00694B42" w:rsidRPr="00E40993" w:rsidRDefault="00694B42" w:rsidP="00510C45">
      <w:r w:rsidRPr="00E40993">
        <w:t xml:space="preserve">Selected drug interactions are presented in Tables </w:t>
      </w:r>
      <w:r w:rsidR="0045447B" w:rsidRPr="00E40993">
        <w:t>3</w:t>
      </w:r>
      <w:r w:rsidRPr="00E40993">
        <w:t xml:space="preserve">, </w:t>
      </w:r>
      <w:r w:rsidR="0045447B" w:rsidRPr="00E40993">
        <w:t>4</w:t>
      </w:r>
      <w:r w:rsidRPr="00E40993">
        <w:t xml:space="preserve"> and </w:t>
      </w:r>
      <w:r w:rsidR="0045447B" w:rsidRPr="00E40993">
        <w:t>5</w:t>
      </w:r>
      <w:r w:rsidRPr="00E40993">
        <w:t>.  Recommendations are based on either drug interaction studies or predicted interactions due to the expected magnitude of interaction and potential for serious adverse events or loss of efficacy.</w:t>
      </w:r>
    </w:p>
    <w:p w:rsidR="008A5B7A" w:rsidRPr="00E40993" w:rsidRDefault="008A5B7A" w:rsidP="008A5B7A"/>
    <w:p w:rsidR="00694B42" w:rsidRPr="00E40993" w:rsidRDefault="00694B42" w:rsidP="008A5B7A">
      <w:pPr>
        <w:ind w:left="567"/>
      </w:pPr>
      <w:r w:rsidRPr="00E40993">
        <w:rPr>
          <w:rFonts w:cs="Arial"/>
          <w:b/>
          <w:bCs/>
          <w:szCs w:val="22"/>
        </w:rPr>
        <w:t xml:space="preserve">Table </w:t>
      </w:r>
      <w:r w:rsidR="0045447B" w:rsidRPr="00E40993">
        <w:rPr>
          <w:rFonts w:cs="Arial"/>
          <w:b/>
          <w:bCs/>
          <w:szCs w:val="22"/>
        </w:rPr>
        <w:t>3</w:t>
      </w:r>
      <w:r w:rsidRPr="00E40993">
        <w:rPr>
          <w:rFonts w:cs="Arial"/>
          <w:b/>
          <w:bCs/>
          <w:szCs w:val="22"/>
        </w:rPr>
        <w:tab/>
        <w:t xml:space="preserve">Drug Interactions studied with </w:t>
      </w:r>
      <w:proofErr w:type="spellStart"/>
      <w:r w:rsidRPr="00E40993">
        <w:rPr>
          <w:rFonts w:cs="Arial"/>
          <w:b/>
          <w:bCs/>
          <w:szCs w:val="22"/>
        </w:rPr>
        <w:t>dolutegravir</w:t>
      </w:r>
      <w:proofErr w:type="spellEnd"/>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764"/>
        <w:gridCol w:w="3863"/>
      </w:tblGrid>
      <w:tr w:rsidR="00694B42" w:rsidRPr="00E40993" w:rsidTr="00524EED">
        <w:tc>
          <w:tcPr>
            <w:tcW w:w="2235" w:type="dxa"/>
          </w:tcPr>
          <w:p w:rsidR="005D4367" w:rsidRDefault="00694B42">
            <w:pPr>
              <w:spacing w:after="0"/>
              <w:jc w:val="left"/>
              <w:rPr>
                <w:b/>
              </w:rPr>
            </w:pPr>
            <w:r w:rsidRPr="00E40993">
              <w:rPr>
                <w:b/>
              </w:rPr>
              <w:t>Concomitant Drug Class:</w:t>
            </w:r>
            <w:r w:rsidRPr="00E40993">
              <w:rPr>
                <w:b/>
              </w:rPr>
              <w:br/>
              <w:t>Drug Name</w:t>
            </w:r>
          </w:p>
        </w:tc>
        <w:tc>
          <w:tcPr>
            <w:tcW w:w="2764" w:type="dxa"/>
          </w:tcPr>
          <w:p w:rsidR="005D4367" w:rsidRDefault="00694B42">
            <w:pPr>
              <w:spacing w:after="0"/>
              <w:jc w:val="left"/>
              <w:rPr>
                <w:b/>
              </w:rPr>
            </w:pPr>
            <w:r w:rsidRPr="00E40993">
              <w:rPr>
                <w:b/>
              </w:rPr>
              <w:t xml:space="preserve">Effect on Concentration of </w:t>
            </w:r>
            <w:proofErr w:type="spellStart"/>
            <w:r w:rsidRPr="00E40993">
              <w:rPr>
                <w:b/>
              </w:rPr>
              <w:t>Dolutegravir</w:t>
            </w:r>
            <w:proofErr w:type="spellEnd"/>
            <w:r w:rsidRPr="00E40993">
              <w:rPr>
                <w:b/>
              </w:rPr>
              <w:t xml:space="preserve"> or Concomitant Drug</w:t>
            </w:r>
          </w:p>
        </w:tc>
        <w:tc>
          <w:tcPr>
            <w:tcW w:w="3863" w:type="dxa"/>
          </w:tcPr>
          <w:p w:rsidR="005D4367" w:rsidRDefault="00694B42">
            <w:pPr>
              <w:spacing w:after="0"/>
              <w:rPr>
                <w:b/>
              </w:rPr>
            </w:pPr>
            <w:r w:rsidRPr="00E40993">
              <w:rPr>
                <w:b/>
              </w:rPr>
              <w:t>Clinical Comment</w:t>
            </w:r>
          </w:p>
        </w:tc>
      </w:tr>
      <w:tr w:rsidR="00694B42" w:rsidRPr="00E40993" w:rsidTr="00524EED">
        <w:tc>
          <w:tcPr>
            <w:tcW w:w="8862" w:type="dxa"/>
            <w:gridSpan w:val="3"/>
          </w:tcPr>
          <w:p w:rsidR="005D4367" w:rsidRDefault="00694B42">
            <w:pPr>
              <w:spacing w:after="0"/>
              <w:rPr>
                <w:b/>
              </w:rPr>
            </w:pPr>
            <w:r w:rsidRPr="00E40993">
              <w:rPr>
                <w:b/>
              </w:rPr>
              <w:t>HIV-1 Antiviral Agents</w:t>
            </w:r>
          </w:p>
        </w:tc>
      </w:tr>
      <w:tr w:rsidR="00694B42" w:rsidRPr="00E40993" w:rsidTr="00524EED">
        <w:tc>
          <w:tcPr>
            <w:tcW w:w="2235" w:type="dxa"/>
          </w:tcPr>
          <w:p w:rsidR="005D4367" w:rsidRDefault="00694B42">
            <w:pPr>
              <w:spacing w:after="0"/>
              <w:jc w:val="left"/>
              <w:rPr>
                <w:lang w:val="fr-FR"/>
              </w:rPr>
            </w:pPr>
            <w:r w:rsidRPr="00E40993">
              <w:rPr>
                <w:lang w:val="fr-FR"/>
              </w:rPr>
              <w:t>Non-</w:t>
            </w:r>
            <w:proofErr w:type="spellStart"/>
            <w:r w:rsidRPr="00E40993">
              <w:rPr>
                <w:lang w:val="fr-FR"/>
              </w:rPr>
              <w:t>nucleoside</w:t>
            </w:r>
            <w:proofErr w:type="spellEnd"/>
            <w:r w:rsidRPr="00E40993">
              <w:rPr>
                <w:lang w:val="fr-FR"/>
              </w:rPr>
              <w:t xml:space="preserve"> Reverse Transcriptase </w:t>
            </w:r>
            <w:proofErr w:type="spellStart"/>
            <w:r w:rsidRPr="00E40993">
              <w:rPr>
                <w:lang w:val="fr-FR"/>
              </w:rPr>
              <w:t>Inhibitor</w:t>
            </w:r>
            <w:proofErr w:type="spellEnd"/>
            <w:r w:rsidRPr="00E40993">
              <w:rPr>
                <w:lang w:val="fr-FR"/>
              </w:rPr>
              <w:t>:</w:t>
            </w:r>
            <w:r w:rsidRPr="00E40993">
              <w:rPr>
                <w:lang w:val="fr-FR"/>
              </w:rPr>
              <w:br/>
            </w:r>
            <w:proofErr w:type="spellStart"/>
            <w:r w:rsidRPr="00E40993">
              <w:rPr>
                <w:lang w:val="fr-FR"/>
              </w:rPr>
              <w:t>Etravirine</w:t>
            </w:r>
            <w:proofErr w:type="spellEnd"/>
            <w:r w:rsidRPr="00E40993">
              <w:rPr>
                <w:lang w:val="fr-FR"/>
              </w:rPr>
              <w:t xml:space="preserve"> (ETR)</w:t>
            </w:r>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F"/>
            </w:r>
            <w:r w:rsidRPr="00E40993">
              <w:br/>
              <w:t xml:space="preserve">AUC </w:t>
            </w:r>
            <w:r w:rsidRPr="00E40993">
              <w:sym w:font="Symbol" w:char="F0AF"/>
            </w:r>
            <w:r w:rsidRPr="00E40993">
              <w:t xml:space="preserve"> 71%</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52%</w:t>
            </w:r>
            <w:r w:rsidRPr="00E40993">
              <w:br/>
              <w:t>C</w:t>
            </w:r>
            <w:r w:rsidRPr="00E40993">
              <w:sym w:font="Symbol" w:char="F074"/>
            </w:r>
            <w:r w:rsidRPr="00E40993">
              <w:t xml:space="preserve"> </w:t>
            </w:r>
            <w:r w:rsidRPr="00E40993">
              <w:sym w:font="Symbol" w:char="F0AF"/>
            </w:r>
            <w:r w:rsidRPr="00E40993">
              <w:t xml:space="preserve"> 88%</w:t>
            </w:r>
          </w:p>
          <w:p w:rsidR="005D4367" w:rsidRDefault="00694B42">
            <w:pPr>
              <w:spacing w:after="0"/>
              <w:jc w:val="left"/>
            </w:pPr>
            <w:r w:rsidRPr="00E40993">
              <w:t xml:space="preserve">ETR </w:t>
            </w:r>
            <w:r w:rsidRPr="00E40993">
              <w:sym w:font="Symbol" w:char="F0AB"/>
            </w:r>
          </w:p>
        </w:tc>
        <w:tc>
          <w:tcPr>
            <w:tcW w:w="3863" w:type="dxa"/>
          </w:tcPr>
          <w:p w:rsidR="005D4367" w:rsidRDefault="00694B42">
            <w:pPr>
              <w:spacing w:after="0"/>
              <w:jc w:val="left"/>
            </w:pPr>
            <w:proofErr w:type="spellStart"/>
            <w:r w:rsidRPr="00E40993">
              <w:t>Etravirine</w:t>
            </w:r>
            <w:proofErr w:type="spellEnd"/>
            <w:r w:rsidRPr="00E40993">
              <w:t xml:space="preserve"> decreased plasma </w:t>
            </w:r>
            <w:proofErr w:type="spellStart"/>
            <w:r w:rsidRPr="00E40993">
              <w:t>dolutegravir</w:t>
            </w:r>
            <w:proofErr w:type="spellEnd"/>
            <w:r w:rsidRPr="00E40993">
              <w:t xml:space="preserve"> concentration, which may result in loss of </w:t>
            </w:r>
            <w:proofErr w:type="spellStart"/>
            <w:r w:rsidRPr="00E40993">
              <w:t>virologic</w:t>
            </w:r>
            <w:proofErr w:type="spellEnd"/>
            <w:r w:rsidRPr="00E40993">
              <w:t xml:space="preserve"> response and possible resistance to </w:t>
            </w:r>
            <w:proofErr w:type="spellStart"/>
            <w:r w:rsidRPr="00E40993">
              <w:t>dolutegravir</w:t>
            </w:r>
            <w:proofErr w:type="spellEnd"/>
            <w:r w:rsidRPr="00E40993">
              <w:t xml:space="preserve">. </w:t>
            </w:r>
            <w:r w:rsidR="008A5B7A" w:rsidRPr="00E40993">
              <w:t>TRIUMEQ</w:t>
            </w:r>
            <w:r w:rsidRPr="00E40993">
              <w:t xml:space="preserve"> should not be used with </w:t>
            </w:r>
            <w:proofErr w:type="spellStart"/>
            <w:r w:rsidRPr="00E40993">
              <w:t>etravirine</w:t>
            </w:r>
            <w:proofErr w:type="spellEnd"/>
            <w:r w:rsidRPr="00E40993">
              <w:t xml:space="preserve"> without co-administration of </w:t>
            </w:r>
            <w:proofErr w:type="spellStart"/>
            <w:r w:rsidRPr="00E40993">
              <w:t>atazanavir</w:t>
            </w:r>
            <w:proofErr w:type="spellEnd"/>
            <w:r w:rsidRPr="00E40993">
              <w:t xml:space="preserve">/ritonavir, </w:t>
            </w:r>
            <w:proofErr w:type="spellStart"/>
            <w:r w:rsidRPr="00E40993">
              <w:t>darunavir</w:t>
            </w:r>
            <w:proofErr w:type="spellEnd"/>
            <w:r w:rsidRPr="00E40993">
              <w:t xml:space="preserve">/ritonavir or </w:t>
            </w:r>
            <w:proofErr w:type="spellStart"/>
            <w:r w:rsidRPr="00E40993">
              <w:t>lopinavir</w:t>
            </w:r>
            <w:proofErr w:type="spellEnd"/>
            <w:r w:rsidRPr="00E40993">
              <w:t xml:space="preserve">/ritonavir. </w:t>
            </w:r>
          </w:p>
        </w:tc>
      </w:tr>
      <w:tr w:rsidR="00694B42" w:rsidRPr="00E40993" w:rsidTr="00524EED">
        <w:tc>
          <w:tcPr>
            <w:tcW w:w="2235" w:type="dxa"/>
          </w:tcPr>
          <w:p w:rsidR="005D4367" w:rsidRDefault="00694B42">
            <w:pPr>
              <w:spacing w:after="0"/>
              <w:jc w:val="left"/>
            </w:pPr>
            <w:r w:rsidRPr="00E40993">
              <w:t>Non-nucleoside Reverse Transcriptase Inhibitor:</w:t>
            </w:r>
            <w:r w:rsidRPr="00E40993">
              <w:br/>
            </w:r>
            <w:proofErr w:type="spellStart"/>
            <w:r w:rsidRPr="00E40993">
              <w:t>Efavirenz</w:t>
            </w:r>
            <w:proofErr w:type="spellEnd"/>
            <w:r w:rsidRPr="00E40993">
              <w:t xml:space="preserve"> (EFV)</w:t>
            </w:r>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F"/>
            </w:r>
            <w:r w:rsidRPr="00E40993">
              <w:br/>
              <w:t xml:space="preserve">AUC </w:t>
            </w:r>
            <w:r w:rsidRPr="00E40993">
              <w:sym w:font="Symbol" w:char="F0AF"/>
            </w:r>
            <w:r w:rsidRPr="00E40993">
              <w:t xml:space="preserve"> 57%</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39%</w:t>
            </w:r>
            <w:r w:rsidRPr="00E40993">
              <w:br/>
              <w:t>C</w:t>
            </w:r>
            <w:r w:rsidRPr="00E40993">
              <w:sym w:font="Symbol" w:char="F074"/>
            </w:r>
            <w:r w:rsidRPr="00E40993">
              <w:t xml:space="preserve"> </w:t>
            </w:r>
            <w:r w:rsidRPr="00E40993">
              <w:sym w:font="Symbol" w:char="F0AF"/>
            </w:r>
            <w:r w:rsidRPr="00E40993">
              <w:t xml:space="preserve"> 75%</w:t>
            </w:r>
          </w:p>
          <w:p w:rsidR="005D4367" w:rsidRDefault="00694B42">
            <w:pPr>
              <w:spacing w:after="0"/>
              <w:jc w:val="left"/>
            </w:pPr>
            <w:r w:rsidRPr="00E40993">
              <w:t xml:space="preserve">EFV </w:t>
            </w:r>
            <w:r w:rsidRPr="00E40993">
              <w:sym w:font="Symbol" w:char="F0AB"/>
            </w:r>
          </w:p>
        </w:tc>
        <w:tc>
          <w:tcPr>
            <w:tcW w:w="3863" w:type="dxa"/>
          </w:tcPr>
          <w:p w:rsidR="005D4367" w:rsidRDefault="00694B42">
            <w:pPr>
              <w:spacing w:after="0"/>
              <w:jc w:val="left"/>
            </w:pPr>
            <w:proofErr w:type="spellStart"/>
            <w:r w:rsidRPr="00E40993">
              <w:t>Efavirenz</w:t>
            </w:r>
            <w:proofErr w:type="spellEnd"/>
            <w:r w:rsidRPr="00E40993">
              <w:t xml:space="preserve"> decreased </w:t>
            </w:r>
            <w:proofErr w:type="spellStart"/>
            <w:r w:rsidRPr="00E40993">
              <w:t>dolutegravir</w:t>
            </w:r>
            <w:proofErr w:type="spellEnd"/>
            <w:r w:rsidRPr="00E40993">
              <w:t xml:space="preserve"> plasma concentrations. Since the dose of </w:t>
            </w:r>
            <w:proofErr w:type="spellStart"/>
            <w:r w:rsidRPr="00E40993">
              <w:t>dolutegravir</w:t>
            </w:r>
            <w:proofErr w:type="spellEnd"/>
            <w:r w:rsidRPr="00E40993">
              <w:t xml:space="preserve"> is 50 mg twice daily when co-administered with </w:t>
            </w:r>
            <w:proofErr w:type="spellStart"/>
            <w:r w:rsidRPr="00E40993">
              <w:t>efavirenz</w:t>
            </w:r>
            <w:proofErr w:type="spellEnd"/>
            <w:r w:rsidRPr="00E40993">
              <w:t xml:space="preserve"> the co-administration of </w:t>
            </w:r>
            <w:proofErr w:type="spellStart"/>
            <w:r w:rsidRPr="00E40993">
              <w:t>efavirenz</w:t>
            </w:r>
            <w:proofErr w:type="spellEnd"/>
            <w:r w:rsidRPr="00E40993">
              <w:t xml:space="preserve"> with </w:t>
            </w:r>
            <w:r w:rsidR="008A5B7A" w:rsidRPr="00E40993">
              <w:t>TRIUMEQ</w:t>
            </w:r>
            <w:r w:rsidRPr="00E40993">
              <w:t xml:space="preserve"> is not recommended.</w:t>
            </w:r>
          </w:p>
        </w:tc>
      </w:tr>
      <w:tr w:rsidR="00694B42" w:rsidRPr="00E40993" w:rsidTr="00524EED">
        <w:tc>
          <w:tcPr>
            <w:tcW w:w="2235" w:type="dxa"/>
          </w:tcPr>
          <w:p w:rsidR="005D4367" w:rsidRDefault="00694B42">
            <w:pPr>
              <w:spacing w:after="0"/>
              <w:jc w:val="left"/>
            </w:pPr>
            <w:r w:rsidRPr="00E40993">
              <w:t>Non-nucleoside Reverse Transcriptase Inhibitor:</w:t>
            </w:r>
            <w:r w:rsidRPr="00E40993">
              <w:br/>
            </w:r>
            <w:proofErr w:type="spellStart"/>
            <w:r w:rsidRPr="00E40993">
              <w:t>Nevirapine</w:t>
            </w:r>
            <w:proofErr w:type="spellEnd"/>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F"/>
            </w:r>
          </w:p>
        </w:tc>
        <w:tc>
          <w:tcPr>
            <w:tcW w:w="3863" w:type="dxa"/>
          </w:tcPr>
          <w:p w:rsidR="005D4367" w:rsidRDefault="00694B42">
            <w:pPr>
              <w:spacing w:after="0"/>
              <w:jc w:val="left"/>
            </w:pPr>
            <w:r w:rsidRPr="00E40993">
              <w:t xml:space="preserve">Co-administration with </w:t>
            </w:r>
            <w:proofErr w:type="spellStart"/>
            <w:r w:rsidRPr="00E40993">
              <w:t>nevirapine</w:t>
            </w:r>
            <w:proofErr w:type="spellEnd"/>
            <w:r w:rsidRPr="00E40993">
              <w:t xml:space="preserve"> has the potential to decrease </w:t>
            </w:r>
            <w:proofErr w:type="spellStart"/>
            <w:r w:rsidRPr="00E40993">
              <w:t>dolutegravir</w:t>
            </w:r>
            <w:proofErr w:type="spellEnd"/>
            <w:r w:rsidRPr="00E40993">
              <w:t xml:space="preserve"> plasma concentration due to enzyme induction and has not been studied. Effect of </w:t>
            </w:r>
            <w:proofErr w:type="spellStart"/>
            <w:r w:rsidRPr="00E40993">
              <w:t>nevirapine</w:t>
            </w:r>
            <w:proofErr w:type="spellEnd"/>
            <w:r w:rsidRPr="00E40993">
              <w:t xml:space="preserve"> on </w:t>
            </w:r>
            <w:proofErr w:type="spellStart"/>
            <w:r w:rsidRPr="00E40993">
              <w:t>dolutegravir</w:t>
            </w:r>
            <w:proofErr w:type="spellEnd"/>
            <w:r w:rsidRPr="00E40993">
              <w:t xml:space="preserve"> exposure is likely similar to or less than that of </w:t>
            </w:r>
            <w:proofErr w:type="spellStart"/>
            <w:r w:rsidRPr="00E40993">
              <w:t>efavirenz</w:t>
            </w:r>
            <w:proofErr w:type="spellEnd"/>
            <w:r w:rsidRPr="00E40993">
              <w:t xml:space="preserve">. Since the dose of </w:t>
            </w:r>
            <w:proofErr w:type="spellStart"/>
            <w:r w:rsidRPr="00E40993">
              <w:t>dolutegravir</w:t>
            </w:r>
            <w:proofErr w:type="spellEnd"/>
            <w:r w:rsidRPr="00E40993">
              <w:t xml:space="preserve"> is 50 mg twice daily when co-administered with </w:t>
            </w:r>
            <w:proofErr w:type="spellStart"/>
            <w:r w:rsidRPr="00E40993">
              <w:t>nevirapine</w:t>
            </w:r>
            <w:proofErr w:type="spellEnd"/>
            <w:r w:rsidRPr="00E40993">
              <w:t xml:space="preserve">, the co-administration of </w:t>
            </w:r>
            <w:proofErr w:type="spellStart"/>
            <w:r w:rsidRPr="00E40993">
              <w:t>nevirapine</w:t>
            </w:r>
            <w:proofErr w:type="spellEnd"/>
            <w:r w:rsidRPr="00E40993">
              <w:t xml:space="preserve"> with </w:t>
            </w:r>
            <w:r w:rsidR="008A5B7A" w:rsidRPr="00E40993">
              <w:t>TRIUMEQ</w:t>
            </w:r>
            <w:r w:rsidRPr="00E40993">
              <w:t xml:space="preserve"> is not recommended. </w:t>
            </w:r>
          </w:p>
        </w:tc>
      </w:tr>
      <w:tr w:rsidR="00694B42" w:rsidRPr="00E40993" w:rsidTr="00524EED">
        <w:tc>
          <w:tcPr>
            <w:tcW w:w="2235" w:type="dxa"/>
          </w:tcPr>
          <w:p w:rsidR="005D4367" w:rsidRDefault="00694B42">
            <w:pPr>
              <w:spacing w:after="0"/>
              <w:jc w:val="left"/>
            </w:pPr>
            <w:r w:rsidRPr="00E40993">
              <w:t>Protease Inhibitor:</w:t>
            </w:r>
            <w:r w:rsidRPr="00E40993">
              <w:br/>
            </w:r>
            <w:proofErr w:type="spellStart"/>
            <w:r w:rsidRPr="00E40993">
              <w:t>Atazanavir</w:t>
            </w:r>
            <w:proofErr w:type="spellEnd"/>
            <w:r w:rsidRPr="00E40993">
              <w:t xml:space="preserve"> (ATV)</w:t>
            </w:r>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D"/>
            </w:r>
            <w:r w:rsidRPr="00E40993">
              <w:br/>
              <w:t xml:space="preserve">AUC </w:t>
            </w:r>
            <w:r w:rsidRPr="00E40993">
              <w:sym w:font="Symbol" w:char="F0AD"/>
            </w:r>
            <w:r w:rsidRPr="00E40993">
              <w:t xml:space="preserve"> 91%</w:t>
            </w:r>
            <w:r w:rsidRPr="00E40993">
              <w:br/>
            </w:r>
            <w:proofErr w:type="spellStart"/>
            <w:r w:rsidRPr="00E40993">
              <w:t>C</w:t>
            </w:r>
            <w:r w:rsidRPr="00E40993">
              <w:rPr>
                <w:vertAlign w:val="subscript"/>
              </w:rPr>
              <w:t>max</w:t>
            </w:r>
            <w:proofErr w:type="spellEnd"/>
            <w:r w:rsidRPr="00E40993">
              <w:t xml:space="preserve"> </w:t>
            </w:r>
            <w:r w:rsidRPr="00E40993">
              <w:sym w:font="Symbol" w:char="F0AD"/>
            </w:r>
            <w:r w:rsidRPr="00E40993">
              <w:t xml:space="preserve"> 49%</w:t>
            </w:r>
            <w:r w:rsidRPr="00E40993">
              <w:br/>
              <w:t>C</w:t>
            </w:r>
            <w:r w:rsidRPr="00E40993">
              <w:sym w:font="Symbol" w:char="F074"/>
            </w:r>
            <w:r w:rsidRPr="00E40993">
              <w:t xml:space="preserve"> </w:t>
            </w:r>
            <w:r w:rsidRPr="00E40993">
              <w:sym w:font="Symbol" w:char="F0AD"/>
            </w:r>
            <w:r w:rsidRPr="00E40993">
              <w:t xml:space="preserve"> 180%</w:t>
            </w:r>
          </w:p>
          <w:p w:rsidR="005D4367" w:rsidRDefault="00694B42">
            <w:pPr>
              <w:spacing w:after="0"/>
              <w:jc w:val="left"/>
            </w:pPr>
            <w:r w:rsidRPr="00E40993">
              <w:t xml:space="preserve">ATV </w:t>
            </w:r>
            <w:r w:rsidRPr="00E40993">
              <w:sym w:font="Symbol" w:char="F0AB"/>
            </w:r>
            <w:r w:rsidRPr="00E40993">
              <w:br/>
            </w:r>
          </w:p>
        </w:tc>
        <w:tc>
          <w:tcPr>
            <w:tcW w:w="3863" w:type="dxa"/>
          </w:tcPr>
          <w:p w:rsidR="005D4367" w:rsidRDefault="00694B42">
            <w:pPr>
              <w:spacing w:after="0"/>
              <w:jc w:val="left"/>
            </w:pPr>
            <w:proofErr w:type="spellStart"/>
            <w:r w:rsidRPr="00E40993">
              <w:t>Atazanavir</w:t>
            </w:r>
            <w:proofErr w:type="spellEnd"/>
            <w:r w:rsidRPr="00E40993">
              <w:t xml:space="preserve"> increased </w:t>
            </w:r>
            <w:proofErr w:type="spellStart"/>
            <w:r w:rsidRPr="00E40993">
              <w:t>dolutegravir</w:t>
            </w:r>
            <w:proofErr w:type="spellEnd"/>
            <w:r w:rsidRPr="00E40993">
              <w:t xml:space="preserve"> plasma concentration.  No dose adjustment is necessary.</w:t>
            </w:r>
          </w:p>
        </w:tc>
      </w:tr>
      <w:tr w:rsidR="00694B42" w:rsidRPr="00E40993" w:rsidTr="00524EED">
        <w:tc>
          <w:tcPr>
            <w:tcW w:w="2235" w:type="dxa"/>
          </w:tcPr>
          <w:p w:rsidR="005D4367" w:rsidRDefault="00694B42">
            <w:pPr>
              <w:spacing w:after="0"/>
              <w:jc w:val="left"/>
            </w:pPr>
            <w:r w:rsidRPr="00E40993">
              <w:t>Protease Inhibitor:</w:t>
            </w:r>
            <w:r w:rsidRPr="00E40993">
              <w:br/>
            </w:r>
            <w:proofErr w:type="spellStart"/>
            <w:r w:rsidRPr="00E40993">
              <w:t>Atazanavir</w:t>
            </w:r>
            <w:proofErr w:type="spellEnd"/>
            <w:r w:rsidRPr="00E40993">
              <w:t>/ritonavir (ATV+RTV)</w:t>
            </w:r>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D"/>
            </w:r>
            <w:r w:rsidRPr="00E40993">
              <w:br/>
              <w:t xml:space="preserve">AUC </w:t>
            </w:r>
            <w:r w:rsidRPr="00E40993">
              <w:sym w:font="Symbol" w:char="F0AD"/>
            </w:r>
            <w:r w:rsidRPr="00E40993">
              <w:t xml:space="preserve"> 62%</w:t>
            </w:r>
            <w:r w:rsidRPr="00E40993">
              <w:br/>
            </w:r>
            <w:proofErr w:type="spellStart"/>
            <w:r w:rsidRPr="00E40993">
              <w:t>C</w:t>
            </w:r>
            <w:r w:rsidRPr="00E40993">
              <w:rPr>
                <w:vertAlign w:val="subscript"/>
              </w:rPr>
              <w:t>max</w:t>
            </w:r>
            <w:proofErr w:type="spellEnd"/>
            <w:r w:rsidRPr="00E40993">
              <w:t xml:space="preserve"> </w:t>
            </w:r>
            <w:r w:rsidRPr="00E40993">
              <w:sym w:font="Symbol" w:char="F0AD"/>
            </w:r>
            <w:r w:rsidRPr="00E40993">
              <w:t xml:space="preserve"> 33%</w:t>
            </w:r>
            <w:r w:rsidRPr="00E40993">
              <w:br/>
              <w:t>C</w:t>
            </w:r>
            <w:r w:rsidRPr="00E40993">
              <w:sym w:font="Symbol" w:char="F074"/>
            </w:r>
            <w:r w:rsidRPr="00E40993">
              <w:t xml:space="preserve"> </w:t>
            </w:r>
            <w:r w:rsidRPr="00E40993">
              <w:sym w:font="Symbol" w:char="F0AD"/>
            </w:r>
            <w:r w:rsidRPr="00E40993">
              <w:t xml:space="preserve"> 121%</w:t>
            </w:r>
          </w:p>
          <w:p w:rsidR="005D4367" w:rsidRDefault="00694B42">
            <w:pPr>
              <w:spacing w:after="0"/>
              <w:jc w:val="left"/>
            </w:pPr>
            <w:r w:rsidRPr="00E40993">
              <w:t xml:space="preserve">ATV </w:t>
            </w:r>
            <w:r w:rsidRPr="00E40993">
              <w:sym w:font="Symbol" w:char="F0AB"/>
            </w:r>
            <w:r w:rsidRPr="00E40993">
              <w:br/>
              <w:t xml:space="preserve">RTV </w:t>
            </w:r>
            <w:r w:rsidRPr="00E40993">
              <w:sym w:font="Symbol" w:char="F0AB"/>
            </w:r>
          </w:p>
        </w:tc>
        <w:tc>
          <w:tcPr>
            <w:tcW w:w="3863" w:type="dxa"/>
          </w:tcPr>
          <w:p w:rsidR="005D4367" w:rsidRDefault="00694B42">
            <w:pPr>
              <w:spacing w:after="0"/>
              <w:jc w:val="left"/>
            </w:pPr>
            <w:proofErr w:type="spellStart"/>
            <w:r w:rsidRPr="00E40993">
              <w:t>Atazanavir</w:t>
            </w:r>
            <w:proofErr w:type="spellEnd"/>
            <w:r w:rsidRPr="00E40993">
              <w:t xml:space="preserve">/ritonavir increased </w:t>
            </w:r>
            <w:proofErr w:type="spellStart"/>
            <w:r w:rsidRPr="00E40993">
              <w:t>dolutegravir</w:t>
            </w:r>
            <w:proofErr w:type="spellEnd"/>
            <w:r w:rsidRPr="00E40993">
              <w:t xml:space="preserve"> plasma concentration. No dose adjustment is necessary.</w:t>
            </w:r>
          </w:p>
        </w:tc>
      </w:tr>
      <w:tr w:rsidR="00694B42" w:rsidRPr="00E40993" w:rsidTr="00524EED">
        <w:tc>
          <w:tcPr>
            <w:tcW w:w="2235" w:type="dxa"/>
          </w:tcPr>
          <w:p w:rsidR="005D4367" w:rsidRDefault="00694B42">
            <w:pPr>
              <w:spacing w:after="0"/>
              <w:jc w:val="left"/>
            </w:pPr>
            <w:r w:rsidRPr="00E40993">
              <w:t>Protease Inhibitor:</w:t>
            </w:r>
            <w:r w:rsidRPr="00E40993">
              <w:br/>
            </w:r>
            <w:proofErr w:type="spellStart"/>
            <w:r w:rsidRPr="00E40993">
              <w:t>Tipranavir</w:t>
            </w:r>
            <w:proofErr w:type="spellEnd"/>
            <w:r w:rsidRPr="00E40993">
              <w:t>/ritonavir (TPV+RTV)</w:t>
            </w:r>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F"/>
            </w:r>
            <w:r w:rsidRPr="00E40993">
              <w:br/>
              <w:t xml:space="preserve">AUC </w:t>
            </w:r>
            <w:r w:rsidRPr="00E40993">
              <w:sym w:font="Symbol" w:char="F0AF"/>
            </w:r>
            <w:r w:rsidRPr="00E40993">
              <w:t xml:space="preserve"> 59%</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47%</w:t>
            </w:r>
            <w:r w:rsidRPr="00E40993">
              <w:br/>
              <w:t>C</w:t>
            </w:r>
            <w:r w:rsidRPr="00E40993">
              <w:sym w:font="Symbol" w:char="F074"/>
            </w:r>
            <w:r w:rsidRPr="00E40993">
              <w:t xml:space="preserve"> </w:t>
            </w:r>
            <w:r w:rsidRPr="00E40993">
              <w:sym w:font="Symbol" w:char="F0AF"/>
            </w:r>
            <w:r w:rsidRPr="00E40993">
              <w:t xml:space="preserve"> 76%</w:t>
            </w:r>
          </w:p>
          <w:p w:rsidR="005D4367" w:rsidRDefault="00694B42">
            <w:pPr>
              <w:spacing w:after="0"/>
              <w:jc w:val="left"/>
            </w:pPr>
            <w:r w:rsidRPr="00E40993">
              <w:t xml:space="preserve">TPV </w:t>
            </w:r>
            <w:r w:rsidRPr="00E40993">
              <w:sym w:font="Symbol" w:char="F0AB"/>
            </w:r>
            <w:r w:rsidRPr="00E40993">
              <w:br/>
              <w:t xml:space="preserve">RTV </w:t>
            </w:r>
            <w:r w:rsidRPr="00E40993">
              <w:sym w:font="Symbol" w:char="F0AB"/>
            </w:r>
          </w:p>
        </w:tc>
        <w:tc>
          <w:tcPr>
            <w:tcW w:w="3863" w:type="dxa"/>
          </w:tcPr>
          <w:p w:rsidR="005D4367" w:rsidRDefault="00694B42">
            <w:pPr>
              <w:spacing w:after="0"/>
              <w:jc w:val="left"/>
            </w:pPr>
            <w:proofErr w:type="spellStart"/>
            <w:r w:rsidRPr="00E40993">
              <w:t>Tipranavir</w:t>
            </w:r>
            <w:proofErr w:type="spellEnd"/>
            <w:r w:rsidRPr="00E40993">
              <w:t xml:space="preserve">/ritonavir decreases </w:t>
            </w:r>
            <w:proofErr w:type="spellStart"/>
            <w:r w:rsidRPr="00E40993">
              <w:t>dolutegravir</w:t>
            </w:r>
            <w:proofErr w:type="spellEnd"/>
            <w:r w:rsidRPr="00E40993">
              <w:t xml:space="preserve"> concentrations. Since the dose of </w:t>
            </w:r>
            <w:proofErr w:type="spellStart"/>
            <w:r w:rsidRPr="00E40993">
              <w:t>dolutegravir</w:t>
            </w:r>
            <w:proofErr w:type="spellEnd"/>
            <w:r w:rsidRPr="00E40993">
              <w:t xml:space="preserve"> is 50 mg twice daily when co-administered with </w:t>
            </w:r>
            <w:proofErr w:type="spellStart"/>
            <w:r w:rsidRPr="00E40993">
              <w:t>tipranavir</w:t>
            </w:r>
            <w:proofErr w:type="spellEnd"/>
            <w:r w:rsidRPr="00E40993">
              <w:t xml:space="preserve">/ritonavir, the co-administration of </w:t>
            </w:r>
            <w:proofErr w:type="spellStart"/>
            <w:r w:rsidRPr="00E40993">
              <w:t>tipranavir</w:t>
            </w:r>
            <w:proofErr w:type="spellEnd"/>
            <w:r w:rsidRPr="00E40993">
              <w:t xml:space="preserve">/ritonavir with </w:t>
            </w:r>
            <w:r w:rsidR="008A5B7A" w:rsidRPr="00E40993">
              <w:t>TRIUMEQ</w:t>
            </w:r>
            <w:r w:rsidRPr="00E40993">
              <w:t xml:space="preserve"> is not recommended.</w:t>
            </w:r>
          </w:p>
        </w:tc>
      </w:tr>
      <w:tr w:rsidR="00694B42" w:rsidRPr="00E40993" w:rsidTr="00524EED">
        <w:tc>
          <w:tcPr>
            <w:tcW w:w="2235" w:type="dxa"/>
          </w:tcPr>
          <w:p w:rsidR="005D4367" w:rsidRDefault="00694B42">
            <w:pPr>
              <w:spacing w:after="0"/>
              <w:jc w:val="left"/>
            </w:pPr>
            <w:r w:rsidRPr="00E40993">
              <w:t>Protease Inhibitor:</w:t>
            </w:r>
            <w:r w:rsidRPr="00E40993">
              <w:br/>
            </w:r>
            <w:proofErr w:type="spellStart"/>
            <w:r w:rsidRPr="00E40993">
              <w:t>Fosamprenavir</w:t>
            </w:r>
            <w:proofErr w:type="spellEnd"/>
            <w:r w:rsidRPr="00E40993">
              <w:t>/ritonavir (FPV+RTV)</w:t>
            </w:r>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F"/>
            </w:r>
            <w:r w:rsidRPr="00E40993">
              <w:br/>
              <w:t xml:space="preserve">AUC </w:t>
            </w:r>
            <w:r w:rsidRPr="00E40993">
              <w:sym w:font="Symbol" w:char="F0AF"/>
            </w:r>
            <w:r w:rsidRPr="00E40993">
              <w:t xml:space="preserve"> 35%</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24%</w:t>
            </w:r>
            <w:r w:rsidRPr="00E40993">
              <w:br/>
              <w:t>C</w:t>
            </w:r>
            <w:r w:rsidRPr="00E40993">
              <w:sym w:font="Symbol" w:char="F074"/>
            </w:r>
            <w:r w:rsidRPr="00E40993">
              <w:t xml:space="preserve"> </w:t>
            </w:r>
            <w:r w:rsidRPr="00E40993">
              <w:sym w:font="Symbol" w:char="F0AF"/>
            </w:r>
            <w:r w:rsidRPr="00E40993">
              <w:t xml:space="preserve"> 49%</w:t>
            </w:r>
          </w:p>
          <w:p w:rsidR="005D4367" w:rsidRDefault="00694B42">
            <w:pPr>
              <w:spacing w:after="0"/>
              <w:jc w:val="left"/>
            </w:pPr>
            <w:r w:rsidRPr="00E40993">
              <w:t xml:space="preserve">FPV </w:t>
            </w:r>
            <w:r w:rsidRPr="00E40993">
              <w:sym w:font="Symbol" w:char="F0AB"/>
            </w:r>
            <w:r w:rsidRPr="00E40993">
              <w:br/>
              <w:t xml:space="preserve">RTV </w:t>
            </w:r>
            <w:r w:rsidRPr="00E40993">
              <w:sym w:font="Symbol" w:char="F0AB"/>
            </w:r>
          </w:p>
        </w:tc>
        <w:tc>
          <w:tcPr>
            <w:tcW w:w="3863" w:type="dxa"/>
          </w:tcPr>
          <w:p w:rsidR="005D4367" w:rsidRDefault="00694B42">
            <w:pPr>
              <w:spacing w:after="0"/>
              <w:jc w:val="left"/>
            </w:pPr>
            <w:proofErr w:type="spellStart"/>
            <w:r w:rsidRPr="00E40993">
              <w:t>Fosamprenavir</w:t>
            </w:r>
            <w:proofErr w:type="spellEnd"/>
            <w:r w:rsidRPr="00E40993">
              <w:t xml:space="preserve">/ritonavir decreases </w:t>
            </w:r>
            <w:proofErr w:type="spellStart"/>
            <w:r w:rsidRPr="00E40993">
              <w:t>dolutegravir</w:t>
            </w:r>
            <w:proofErr w:type="spellEnd"/>
            <w:r w:rsidRPr="00E40993">
              <w:t xml:space="preserve"> concentrations, but based on limited data, did not result in decreased efficacy in Phase III studies. No dose adjustment is necessary in INI-naïve </w:t>
            </w:r>
            <w:r w:rsidR="007C720C">
              <w:t>patient</w:t>
            </w:r>
            <w:r w:rsidRPr="00E40993">
              <w:t xml:space="preserve">s. </w:t>
            </w:r>
          </w:p>
        </w:tc>
      </w:tr>
      <w:tr w:rsidR="00694B42" w:rsidRPr="00E40993" w:rsidTr="00524EED">
        <w:tc>
          <w:tcPr>
            <w:tcW w:w="2235" w:type="dxa"/>
          </w:tcPr>
          <w:p w:rsidR="005D4367" w:rsidRDefault="00694B42">
            <w:pPr>
              <w:spacing w:after="0"/>
              <w:jc w:val="left"/>
            </w:pPr>
            <w:r w:rsidRPr="00E40993">
              <w:t>Protease Inhibitor:</w:t>
            </w:r>
            <w:r w:rsidRPr="00E40993">
              <w:br/>
            </w:r>
            <w:proofErr w:type="spellStart"/>
            <w:r w:rsidRPr="00E40993">
              <w:t>Nelfinavir</w:t>
            </w:r>
            <w:proofErr w:type="spellEnd"/>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B"/>
            </w:r>
          </w:p>
        </w:tc>
        <w:tc>
          <w:tcPr>
            <w:tcW w:w="3863" w:type="dxa"/>
          </w:tcPr>
          <w:p w:rsidR="005D4367" w:rsidRDefault="00694B42">
            <w:pPr>
              <w:spacing w:after="0"/>
              <w:jc w:val="left"/>
            </w:pPr>
            <w:r w:rsidRPr="00E40993">
              <w:t>This interaction has not been studied. Although an inhibitor of CYP3A4, based on data from other inhibitors, an increase is not expected.  No dose adjustment is necessary.</w:t>
            </w:r>
          </w:p>
        </w:tc>
      </w:tr>
      <w:tr w:rsidR="00694B42" w:rsidRPr="00E40993" w:rsidTr="00524EED">
        <w:tc>
          <w:tcPr>
            <w:tcW w:w="2235" w:type="dxa"/>
          </w:tcPr>
          <w:p w:rsidR="005D4367" w:rsidRDefault="00694B42">
            <w:pPr>
              <w:spacing w:after="0"/>
              <w:jc w:val="left"/>
            </w:pPr>
            <w:r w:rsidRPr="00E40993">
              <w:t>Protease Inhibitor:</w:t>
            </w:r>
            <w:r w:rsidRPr="00E40993">
              <w:br/>
            </w:r>
            <w:proofErr w:type="spellStart"/>
            <w:r w:rsidRPr="00E40993">
              <w:t>Darunavir</w:t>
            </w:r>
            <w:proofErr w:type="spellEnd"/>
            <w:r w:rsidRPr="00E40993">
              <w:t>/ritonavir (DRV+RTV)</w:t>
            </w:r>
          </w:p>
        </w:tc>
        <w:tc>
          <w:tcPr>
            <w:tcW w:w="2764" w:type="dxa"/>
          </w:tcPr>
          <w:p w:rsidR="005D4367" w:rsidRDefault="00694B42">
            <w:pPr>
              <w:spacing w:after="0"/>
              <w:jc w:val="left"/>
            </w:pPr>
            <w:proofErr w:type="spellStart"/>
            <w:r w:rsidRPr="00E40993">
              <w:rPr>
                <w:lang w:val="en-US"/>
              </w:rPr>
              <w:t>Dolutegravir</w:t>
            </w:r>
            <w:proofErr w:type="spellEnd"/>
            <w:r w:rsidRPr="00E40993">
              <w:rPr>
                <w:lang w:val="en-US"/>
              </w:rPr>
              <w:t xml:space="preserve"> </w:t>
            </w:r>
            <w:r w:rsidRPr="00E40993">
              <w:sym w:font="Symbol" w:char="F0AF"/>
            </w:r>
            <w:r w:rsidRPr="00E40993">
              <w:br/>
              <w:t xml:space="preserve">AUC </w:t>
            </w:r>
            <w:r w:rsidRPr="00E40993">
              <w:sym w:font="Symbol" w:char="F0AF"/>
            </w:r>
            <w:r w:rsidRPr="00E40993">
              <w:t xml:space="preserve"> 32% </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11%</w:t>
            </w:r>
            <w:r w:rsidRPr="00E40993">
              <w:br/>
              <w:t>C</w:t>
            </w:r>
            <w:r w:rsidRPr="00E40993">
              <w:sym w:font="Symbol" w:char="F074"/>
            </w:r>
            <w:r w:rsidRPr="00E40993">
              <w:t xml:space="preserve"> </w:t>
            </w:r>
            <w:r w:rsidRPr="00E40993">
              <w:sym w:font="Symbol" w:char="F0AF"/>
            </w:r>
            <w:r w:rsidRPr="00E40993">
              <w:t xml:space="preserve"> 38%</w:t>
            </w:r>
          </w:p>
        </w:tc>
        <w:tc>
          <w:tcPr>
            <w:tcW w:w="3863" w:type="dxa"/>
          </w:tcPr>
          <w:p w:rsidR="005D4367" w:rsidRDefault="00694B42">
            <w:pPr>
              <w:spacing w:after="0"/>
              <w:jc w:val="left"/>
            </w:pPr>
            <w:proofErr w:type="spellStart"/>
            <w:r w:rsidRPr="00E40993">
              <w:t>Darunavir</w:t>
            </w:r>
            <w:proofErr w:type="spellEnd"/>
            <w:r w:rsidRPr="00E40993">
              <w:t xml:space="preserve">/ritonavir did not change </w:t>
            </w:r>
            <w:proofErr w:type="spellStart"/>
            <w:r w:rsidRPr="00E40993">
              <w:t>dolutegravir</w:t>
            </w:r>
            <w:proofErr w:type="spellEnd"/>
            <w:r w:rsidRPr="00E40993">
              <w:t xml:space="preserve"> plasma concentration to a clinically relevant extent.  No dose adjustment is necessary.</w:t>
            </w:r>
          </w:p>
        </w:tc>
      </w:tr>
      <w:tr w:rsidR="00694B42" w:rsidRPr="00E40993" w:rsidTr="00524EED">
        <w:tc>
          <w:tcPr>
            <w:tcW w:w="2235" w:type="dxa"/>
          </w:tcPr>
          <w:p w:rsidR="005D4367" w:rsidRDefault="00694B42">
            <w:pPr>
              <w:spacing w:after="0"/>
              <w:jc w:val="left"/>
            </w:pPr>
            <w:r w:rsidRPr="00E40993">
              <w:t>Nucleoside Reverse Transcriptase Inhibitor:</w:t>
            </w:r>
            <w:r w:rsidRPr="00E40993">
              <w:br/>
            </w:r>
            <w:proofErr w:type="spellStart"/>
            <w:r w:rsidRPr="00E40993">
              <w:t>Tenofovir</w:t>
            </w:r>
            <w:proofErr w:type="spellEnd"/>
            <w:r w:rsidRPr="00E40993">
              <w:t xml:space="preserve"> (TDF)</w:t>
            </w:r>
          </w:p>
        </w:tc>
        <w:tc>
          <w:tcPr>
            <w:tcW w:w="2764" w:type="dxa"/>
          </w:tcPr>
          <w:p w:rsidR="005D4367" w:rsidRDefault="00694B42">
            <w:pPr>
              <w:spacing w:after="0"/>
              <w:jc w:val="left"/>
            </w:pPr>
            <w:proofErr w:type="spellStart"/>
            <w:r w:rsidRPr="00E40993">
              <w:rPr>
                <w:lang w:val="en-US"/>
              </w:rPr>
              <w:t>Dolutegravir</w:t>
            </w:r>
            <w:proofErr w:type="spellEnd"/>
            <w:r w:rsidRPr="00E40993">
              <w:rPr>
                <w:lang w:val="en-US"/>
              </w:rPr>
              <w:t xml:space="preserve"> </w:t>
            </w:r>
            <w:r w:rsidRPr="00E40993">
              <w:sym w:font="Symbol" w:char="F0AB"/>
            </w:r>
          </w:p>
        </w:tc>
        <w:tc>
          <w:tcPr>
            <w:tcW w:w="3863" w:type="dxa"/>
          </w:tcPr>
          <w:p w:rsidR="005D4367" w:rsidRDefault="00694B42">
            <w:pPr>
              <w:spacing w:after="0"/>
              <w:jc w:val="left"/>
            </w:pPr>
            <w:proofErr w:type="spellStart"/>
            <w:r w:rsidRPr="00E40993">
              <w:t>Tenofovir</w:t>
            </w:r>
            <w:proofErr w:type="spellEnd"/>
            <w:r w:rsidRPr="00E40993" w:rsidDel="0034228F">
              <w:t xml:space="preserve"> </w:t>
            </w:r>
            <w:r w:rsidRPr="00E40993">
              <w:t xml:space="preserve">did not change </w:t>
            </w:r>
            <w:proofErr w:type="spellStart"/>
            <w:r w:rsidRPr="00E40993">
              <w:t>dolutegravir</w:t>
            </w:r>
            <w:proofErr w:type="spellEnd"/>
            <w:r w:rsidRPr="00E40993">
              <w:t xml:space="preserve"> plasma concentration to a clinically relevant extent.  No dose adjustment is necessary.</w:t>
            </w:r>
          </w:p>
        </w:tc>
      </w:tr>
      <w:tr w:rsidR="00694B42" w:rsidRPr="00E40993" w:rsidTr="00524EED">
        <w:tc>
          <w:tcPr>
            <w:tcW w:w="2235" w:type="dxa"/>
          </w:tcPr>
          <w:p w:rsidR="005D4367" w:rsidRDefault="00694B42">
            <w:pPr>
              <w:spacing w:after="0"/>
              <w:jc w:val="left"/>
            </w:pPr>
            <w:r w:rsidRPr="00E40993">
              <w:t>Protease Inhibitor:</w:t>
            </w:r>
            <w:r w:rsidRPr="00E40993">
              <w:br/>
            </w:r>
            <w:proofErr w:type="spellStart"/>
            <w:r w:rsidRPr="00E40993">
              <w:t>Lopinavir</w:t>
            </w:r>
            <w:proofErr w:type="spellEnd"/>
            <w:r w:rsidRPr="00E40993">
              <w:t xml:space="preserve">/ritonavir + </w:t>
            </w:r>
            <w:proofErr w:type="spellStart"/>
            <w:r w:rsidRPr="00E40993">
              <w:t>Etravirine</w:t>
            </w:r>
            <w:proofErr w:type="spellEnd"/>
            <w:r w:rsidRPr="00E40993">
              <w:t xml:space="preserve"> (LPV/RTV+ETR)</w:t>
            </w:r>
          </w:p>
        </w:tc>
        <w:tc>
          <w:tcPr>
            <w:tcW w:w="2764" w:type="dxa"/>
          </w:tcPr>
          <w:p w:rsidR="005D4367" w:rsidRDefault="00694B42">
            <w:pPr>
              <w:spacing w:after="0"/>
              <w:jc w:val="left"/>
              <w:rPr>
                <w:lang w:val="en-US"/>
              </w:rPr>
            </w:pPr>
            <w:proofErr w:type="spellStart"/>
            <w:r w:rsidRPr="00E40993">
              <w:rPr>
                <w:lang w:val="en-US"/>
              </w:rPr>
              <w:t>Dolutegravir</w:t>
            </w:r>
            <w:proofErr w:type="spellEnd"/>
            <w:r w:rsidRPr="00E40993">
              <w:rPr>
                <w:lang w:val="en-US"/>
              </w:rPr>
              <w:t xml:space="preserve"> </w:t>
            </w:r>
            <w:r w:rsidRPr="00E40993">
              <w:sym w:font="Symbol" w:char="F0AB"/>
            </w:r>
            <w:r w:rsidRPr="00E40993">
              <w:rPr>
                <w:lang w:val="en-US"/>
              </w:rPr>
              <w:br/>
              <w:t xml:space="preserve">AUC </w:t>
            </w:r>
            <w:r w:rsidRPr="00E40993">
              <w:sym w:font="Symbol" w:char="F0AD"/>
            </w:r>
            <w:r w:rsidRPr="00E40993">
              <w:t xml:space="preserve"> 10%</w:t>
            </w:r>
            <w:r w:rsidRPr="00E40993">
              <w:rPr>
                <w:lang w:val="en-US"/>
              </w:rPr>
              <w:br/>
            </w:r>
            <w:proofErr w:type="spellStart"/>
            <w:r w:rsidRPr="00E40993">
              <w:rPr>
                <w:lang w:val="en-US"/>
              </w:rPr>
              <w:t>C</w:t>
            </w:r>
            <w:r w:rsidRPr="00E40993">
              <w:rPr>
                <w:vertAlign w:val="subscript"/>
                <w:lang w:val="en-US"/>
              </w:rPr>
              <w:t>max</w:t>
            </w:r>
            <w:proofErr w:type="spellEnd"/>
            <w:r w:rsidRPr="00E40993">
              <w:rPr>
                <w:lang w:val="en-US"/>
              </w:rPr>
              <w:t xml:space="preserve"> </w:t>
            </w:r>
            <w:r w:rsidRPr="00E40993">
              <w:sym w:font="Symbol" w:char="F0AD"/>
            </w:r>
            <w:r w:rsidRPr="00E40993">
              <w:t xml:space="preserve"> 7%</w:t>
            </w:r>
            <w:r w:rsidRPr="00E40993">
              <w:rPr>
                <w:lang w:val="en-US"/>
              </w:rPr>
              <w:br/>
              <w:t>C</w:t>
            </w:r>
            <w:r w:rsidRPr="00E40993">
              <w:sym w:font="Symbol" w:char="F074"/>
            </w:r>
            <w:r w:rsidRPr="00E40993">
              <w:rPr>
                <w:lang w:val="en-US"/>
              </w:rPr>
              <w:t xml:space="preserve"> </w:t>
            </w:r>
            <w:r w:rsidRPr="00E40993">
              <w:sym w:font="Symbol" w:char="F0AD"/>
            </w:r>
            <w:r w:rsidRPr="00E40993">
              <w:t xml:space="preserve"> 28%</w:t>
            </w:r>
          </w:p>
          <w:p w:rsidR="005D4367" w:rsidRDefault="00694B42">
            <w:pPr>
              <w:spacing w:after="0"/>
              <w:jc w:val="left"/>
            </w:pPr>
            <w:r w:rsidRPr="00E40993">
              <w:rPr>
                <w:lang w:val="en-US"/>
              </w:rPr>
              <w:t xml:space="preserve">LPV </w:t>
            </w:r>
            <w:r w:rsidRPr="00E40993">
              <w:sym w:font="Symbol" w:char="F0AB"/>
            </w:r>
            <w:r w:rsidRPr="00E40993">
              <w:rPr>
                <w:lang w:val="en-US"/>
              </w:rPr>
              <w:br/>
              <w:t xml:space="preserve">RTV </w:t>
            </w:r>
            <w:r w:rsidRPr="00E40993">
              <w:sym w:font="Symbol" w:char="F0AB"/>
            </w:r>
          </w:p>
        </w:tc>
        <w:tc>
          <w:tcPr>
            <w:tcW w:w="3863" w:type="dxa"/>
          </w:tcPr>
          <w:p w:rsidR="005D4367" w:rsidRDefault="00694B42">
            <w:pPr>
              <w:spacing w:after="0"/>
              <w:jc w:val="left"/>
            </w:pPr>
            <w:proofErr w:type="spellStart"/>
            <w:r w:rsidRPr="00E40993">
              <w:t>Lopinavir</w:t>
            </w:r>
            <w:proofErr w:type="spellEnd"/>
            <w:r w:rsidRPr="00E40993">
              <w:t xml:space="preserve">/ritonavir and </w:t>
            </w:r>
            <w:proofErr w:type="spellStart"/>
            <w:r w:rsidRPr="00E40993">
              <w:t>etravirine</w:t>
            </w:r>
            <w:proofErr w:type="spellEnd"/>
            <w:r w:rsidRPr="00E40993" w:rsidDel="0034228F">
              <w:t xml:space="preserve"> </w:t>
            </w:r>
            <w:r w:rsidRPr="00E40993">
              <w:t xml:space="preserve">did not change </w:t>
            </w:r>
            <w:proofErr w:type="spellStart"/>
            <w:r w:rsidRPr="00E40993">
              <w:t>dolutegravir</w:t>
            </w:r>
            <w:proofErr w:type="spellEnd"/>
            <w:r w:rsidRPr="00E40993">
              <w:t xml:space="preserve"> plasma concentration to a clinically relevant extent.  No dose adjustment is necessary.</w:t>
            </w:r>
          </w:p>
        </w:tc>
      </w:tr>
      <w:tr w:rsidR="00694B42" w:rsidRPr="00E40993" w:rsidTr="00524EED">
        <w:tc>
          <w:tcPr>
            <w:tcW w:w="2235" w:type="dxa"/>
          </w:tcPr>
          <w:p w:rsidR="005D4367" w:rsidRDefault="00694B42">
            <w:pPr>
              <w:spacing w:after="0"/>
              <w:jc w:val="left"/>
            </w:pPr>
            <w:r w:rsidRPr="00E40993">
              <w:t>Protease Inhibitor:</w:t>
            </w:r>
            <w:r w:rsidRPr="00E40993">
              <w:br/>
            </w:r>
            <w:proofErr w:type="spellStart"/>
            <w:r w:rsidRPr="00E40993">
              <w:t>Darunavir</w:t>
            </w:r>
            <w:proofErr w:type="spellEnd"/>
            <w:r w:rsidRPr="00E40993">
              <w:t xml:space="preserve">/ritonavir + </w:t>
            </w:r>
            <w:proofErr w:type="spellStart"/>
            <w:r w:rsidRPr="00E40993">
              <w:t>Etravirine</w:t>
            </w:r>
            <w:proofErr w:type="spellEnd"/>
            <w:r w:rsidRPr="00E40993">
              <w:t xml:space="preserve"> (DRV/RTV+ETR)</w:t>
            </w:r>
          </w:p>
        </w:tc>
        <w:tc>
          <w:tcPr>
            <w:tcW w:w="2764" w:type="dxa"/>
          </w:tcPr>
          <w:p w:rsidR="005D4367" w:rsidRDefault="00694B42">
            <w:pPr>
              <w:spacing w:after="0"/>
              <w:jc w:val="left"/>
              <w:rPr>
                <w:lang w:val="en-US"/>
              </w:rPr>
            </w:pPr>
            <w:proofErr w:type="spellStart"/>
            <w:r w:rsidRPr="00E40993">
              <w:rPr>
                <w:lang w:val="en-US"/>
              </w:rPr>
              <w:t>Dolutegravir</w:t>
            </w:r>
            <w:proofErr w:type="spellEnd"/>
            <w:r w:rsidRPr="00E40993">
              <w:rPr>
                <w:lang w:val="en-US"/>
              </w:rPr>
              <w:t xml:space="preserve"> </w:t>
            </w:r>
            <w:r w:rsidRPr="00E40993">
              <w:sym w:font="Symbol" w:char="F0AF"/>
            </w:r>
            <w:r w:rsidRPr="00E40993">
              <w:rPr>
                <w:lang w:val="en-US"/>
              </w:rPr>
              <w:br/>
              <w:t xml:space="preserve">AUC </w:t>
            </w:r>
            <w:r w:rsidRPr="00E40993">
              <w:sym w:font="Symbol" w:char="F0AF"/>
            </w:r>
            <w:r w:rsidRPr="00E40993">
              <w:rPr>
                <w:lang w:val="en-US"/>
              </w:rPr>
              <w:t xml:space="preserve"> 25%</w:t>
            </w:r>
            <w:r w:rsidRPr="00E40993">
              <w:rPr>
                <w:lang w:val="en-US"/>
              </w:rPr>
              <w:br/>
            </w:r>
            <w:proofErr w:type="spellStart"/>
            <w:r w:rsidRPr="00E40993">
              <w:rPr>
                <w:lang w:val="en-US"/>
              </w:rPr>
              <w:t>C</w:t>
            </w:r>
            <w:r w:rsidRPr="00E40993">
              <w:rPr>
                <w:vertAlign w:val="subscript"/>
                <w:lang w:val="en-US"/>
              </w:rPr>
              <w:t>max</w:t>
            </w:r>
            <w:proofErr w:type="spellEnd"/>
            <w:r w:rsidRPr="00E40993">
              <w:rPr>
                <w:lang w:val="en-US"/>
              </w:rPr>
              <w:t xml:space="preserve"> </w:t>
            </w:r>
            <w:r w:rsidRPr="00E40993">
              <w:sym w:font="Symbol" w:char="F0AF"/>
            </w:r>
            <w:r w:rsidRPr="00E40993">
              <w:rPr>
                <w:lang w:val="en-US"/>
              </w:rPr>
              <w:t xml:space="preserve"> 12%</w:t>
            </w:r>
            <w:r w:rsidRPr="00E40993">
              <w:rPr>
                <w:lang w:val="en-US"/>
              </w:rPr>
              <w:br/>
              <w:t>C</w:t>
            </w:r>
            <w:r w:rsidRPr="00E40993">
              <w:sym w:font="Symbol" w:char="F074"/>
            </w:r>
            <w:r w:rsidRPr="00E40993">
              <w:t xml:space="preserve"> </w:t>
            </w:r>
            <w:r w:rsidRPr="00E40993">
              <w:sym w:font="Symbol" w:char="F0AF"/>
            </w:r>
            <w:r w:rsidRPr="00E40993">
              <w:rPr>
                <w:lang w:val="en-US"/>
              </w:rPr>
              <w:t xml:space="preserve"> 36%</w:t>
            </w:r>
          </w:p>
          <w:p w:rsidR="005D4367" w:rsidRDefault="00694B42">
            <w:pPr>
              <w:spacing w:after="0"/>
              <w:jc w:val="left"/>
            </w:pPr>
            <w:r w:rsidRPr="00E40993">
              <w:rPr>
                <w:lang w:val="en-US"/>
              </w:rPr>
              <w:t xml:space="preserve">DRV </w:t>
            </w:r>
            <w:r w:rsidRPr="00E40993">
              <w:sym w:font="Symbol" w:char="F0AB"/>
            </w:r>
            <w:r w:rsidRPr="00E40993">
              <w:rPr>
                <w:lang w:val="en-US"/>
              </w:rPr>
              <w:br/>
              <w:t xml:space="preserve">RTV </w:t>
            </w:r>
            <w:r w:rsidRPr="00E40993">
              <w:sym w:font="Symbol" w:char="F0AB"/>
            </w:r>
          </w:p>
        </w:tc>
        <w:tc>
          <w:tcPr>
            <w:tcW w:w="3863" w:type="dxa"/>
          </w:tcPr>
          <w:p w:rsidR="005D4367" w:rsidRDefault="00694B42">
            <w:pPr>
              <w:spacing w:after="0"/>
              <w:jc w:val="left"/>
            </w:pPr>
            <w:proofErr w:type="spellStart"/>
            <w:r w:rsidRPr="00E40993">
              <w:t>Darunavir</w:t>
            </w:r>
            <w:proofErr w:type="spellEnd"/>
            <w:r w:rsidRPr="00E40993">
              <w:t xml:space="preserve">/ritonavir and </w:t>
            </w:r>
            <w:proofErr w:type="spellStart"/>
            <w:r w:rsidRPr="00E40993">
              <w:t>etravirine</w:t>
            </w:r>
            <w:proofErr w:type="spellEnd"/>
            <w:r w:rsidRPr="00E40993" w:rsidDel="0034228F">
              <w:t xml:space="preserve"> </w:t>
            </w:r>
            <w:r w:rsidRPr="00E40993">
              <w:t xml:space="preserve">did not change </w:t>
            </w:r>
            <w:proofErr w:type="spellStart"/>
            <w:r w:rsidRPr="00E40993">
              <w:t>dolutegravir</w:t>
            </w:r>
            <w:proofErr w:type="spellEnd"/>
            <w:r w:rsidRPr="00E40993">
              <w:t xml:space="preserve"> plasma concentration to a clinically relevant extent.  No dose adjustment is necessary.</w:t>
            </w:r>
          </w:p>
        </w:tc>
      </w:tr>
      <w:tr w:rsidR="00694B42" w:rsidRPr="00BA1329" w:rsidTr="00524EED">
        <w:tc>
          <w:tcPr>
            <w:tcW w:w="8862" w:type="dxa"/>
            <w:gridSpan w:val="3"/>
          </w:tcPr>
          <w:p w:rsidR="005D4367" w:rsidRDefault="00694B42">
            <w:pPr>
              <w:spacing w:after="0"/>
              <w:rPr>
                <w:b/>
              </w:rPr>
            </w:pPr>
            <w:r w:rsidRPr="00BA1329">
              <w:rPr>
                <w:b/>
              </w:rPr>
              <w:t>Other Agents</w:t>
            </w:r>
          </w:p>
        </w:tc>
      </w:tr>
      <w:tr w:rsidR="00694B42" w:rsidRPr="00E40993" w:rsidTr="00524EED">
        <w:tc>
          <w:tcPr>
            <w:tcW w:w="2235" w:type="dxa"/>
          </w:tcPr>
          <w:p w:rsidR="005D4367" w:rsidRDefault="00694B42">
            <w:pPr>
              <w:spacing w:after="0"/>
              <w:jc w:val="left"/>
            </w:pPr>
            <w:proofErr w:type="spellStart"/>
            <w:r w:rsidRPr="00E40993">
              <w:t>Dofetilide</w:t>
            </w:r>
            <w:proofErr w:type="spellEnd"/>
          </w:p>
          <w:p w:rsidR="005D4367" w:rsidRDefault="00694B42">
            <w:pPr>
              <w:spacing w:after="0"/>
              <w:jc w:val="left"/>
            </w:pPr>
            <w:proofErr w:type="spellStart"/>
            <w:r w:rsidRPr="00E40993">
              <w:t>Pilsicainide</w:t>
            </w:r>
            <w:proofErr w:type="spellEnd"/>
          </w:p>
        </w:tc>
        <w:tc>
          <w:tcPr>
            <w:tcW w:w="2764" w:type="dxa"/>
          </w:tcPr>
          <w:p w:rsidR="005D4367" w:rsidRDefault="00694B42">
            <w:pPr>
              <w:spacing w:after="0"/>
              <w:jc w:val="left"/>
            </w:pPr>
            <w:proofErr w:type="spellStart"/>
            <w:r w:rsidRPr="00E40993">
              <w:t>Dofetilide</w:t>
            </w:r>
            <w:proofErr w:type="spellEnd"/>
            <w:r w:rsidRPr="00E40993">
              <w:t xml:space="preserve"> </w:t>
            </w:r>
            <w:r w:rsidRPr="00E40993">
              <w:sym w:font="Symbol" w:char="F0AD"/>
            </w:r>
          </w:p>
          <w:p w:rsidR="005D4367" w:rsidRDefault="00694B42">
            <w:pPr>
              <w:spacing w:after="0"/>
              <w:jc w:val="left"/>
            </w:pPr>
            <w:proofErr w:type="spellStart"/>
            <w:r w:rsidRPr="00E40993">
              <w:t>Pilsicainide</w:t>
            </w:r>
            <w:proofErr w:type="spellEnd"/>
            <w:r w:rsidRPr="00E40993">
              <w:sym w:font="Symbol" w:char="F0AD"/>
            </w:r>
          </w:p>
        </w:tc>
        <w:tc>
          <w:tcPr>
            <w:tcW w:w="3863" w:type="dxa"/>
          </w:tcPr>
          <w:p w:rsidR="005D4367" w:rsidRDefault="00694B42">
            <w:pPr>
              <w:spacing w:after="0"/>
              <w:jc w:val="left"/>
            </w:pPr>
            <w:r w:rsidRPr="00E40993">
              <w:t xml:space="preserve">Co-administration of </w:t>
            </w:r>
            <w:proofErr w:type="spellStart"/>
            <w:r w:rsidRPr="00E40993">
              <w:t>dolutegravir</w:t>
            </w:r>
            <w:proofErr w:type="spellEnd"/>
            <w:r w:rsidRPr="00E40993">
              <w:t xml:space="preserve"> has the potential to increase </w:t>
            </w:r>
            <w:proofErr w:type="spellStart"/>
            <w:r w:rsidRPr="00E40993">
              <w:t>dofetilide</w:t>
            </w:r>
            <w:proofErr w:type="spellEnd"/>
            <w:r w:rsidRPr="00E40993">
              <w:t xml:space="preserve"> or </w:t>
            </w:r>
            <w:proofErr w:type="spellStart"/>
            <w:r w:rsidRPr="00E40993">
              <w:t>pilsicainide</w:t>
            </w:r>
            <w:proofErr w:type="spellEnd"/>
            <w:r w:rsidRPr="00E40993">
              <w:t xml:space="preserve"> plasma concentration via inhibition of OCT2 transporter; co-administration has not been studied. </w:t>
            </w:r>
            <w:proofErr w:type="spellStart"/>
            <w:r w:rsidRPr="00E40993">
              <w:t>Dofetilide</w:t>
            </w:r>
            <w:proofErr w:type="spellEnd"/>
            <w:r w:rsidRPr="00E40993">
              <w:t xml:space="preserve"> or </w:t>
            </w:r>
            <w:proofErr w:type="spellStart"/>
            <w:r w:rsidRPr="00E40993">
              <w:t>pilsicainide</w:t>
            </w:r>
            <w:proofErr w:type="spellEnd"/>
            <w:r w:rsidRPr="00E40993">
              <w:t xml:space="preserve"> co-administration with </w:t>
            </w:r>
            <w:proofErr w:type="spellStart"/>
            <w:r w:rsidRPr="00E40993">
              <w:t>dolutegravir</w:t>
            </w:r>
            <w:proofErr w:type="spellEnd"/>
            <w:r w:rsidRPr="00E40993">
              <w:t xml:space="preserve"> is contraindicated due to potential life-threatening toxicity caused by high </w:t>
            </w:r>
            <w:proofErr w:type="spellStart"/>
            <w:r w:rsidRPr="00E40993">
              <w:t>dofetilide</w:t>
            </w:r>
            <w:proofErr w:type="spellEnd"/>
            <w:r w:rsidRPr="00E40993">
              <w:t xml:space="preserve"> or </w:t>
            </w:r>
            <w:proofErr w:type="spellStart"/>
            <w:r w:rsidRPr="00E40993">
              <w:t>pilsicainide</w:t>
            </w:r>
            <w:proofErr w:type="spellEnd"/>
            <w:r w:rsidRPr="00E40993">
              <w:t xml:space="preserve"> concentration.</w:t>
            </w:r>
          </w:p>
        </w:tc>
      </w:tr>
      <w:tr w:rsidR="00694B42" w:rsidRPr="00E40993" w:rsidTr="00524EED">
        <w:tc>
          <w:tcPr>
            <w:tcW w:w="2235" w:type="dxa"/>
          </w:tcPr>
          <w:p w:rsidR="00694B42" w:rsidRPr="00E40993" w:rsidRDefault="00694B42" w:rsidP="005C4C1D">
            <w:pPr>
              <w:spacing w:after="0"/>
              <w:jc w:val="left"/>
            </w:pPr>
            <w:proofErr w:type="spellStart"/>
            <w:r w:rsidRPr="00E40993">
              <w:t>Oxcarbazepine</w:t>
            </w:r>
            <w:proofErr w:type="spellEnd"/>
          </w:p>
          <w:p w:rsidR="00694B42" w:rsidRPr="00E40993" w:rsidRDefault="00694B42" w:rsidP="005C4C1D">
            <w:pPr>
              <w:spacing w:after="0"/>
              <w:jc w:val="left"/>
            </w:pPr>
            <w:r w:rsidRPr="00E40993">
              <w:t>Phenytoin</w:t>
            </w:r>
          </w:p>
          <w:p w:rsidR="00567DA6" w:rsidRDefault="00694B42">
            <w:pPr>
              <w:spacing w:after="0"/>
              <w:jc w:val="left"/>
            </w:pPr>
            <w:r w:rsidRPr="00E40993">
              <w:t>Phenobarbital</w:t>
            </w:r>
          </w:p>
          <w:p w:rsidR="00567DA6" w:rsidRDefault="00694B42">
            <w:pPr>
              <w:spacing w:after="0"/>
              <w:jc w:val="left"/>
            </w:pPr>
            <w:r w:rsidRPr="00E40993">
              <w:t>Carbamazepine</w:t>
            </w:r>
          </w:p>
          <w:p w:rsidR="00567DA6" w:rsidRDefault="00694B42">
            <w:pPr>
              <w:spacing w:after="0"/>
              <w:jc w:val="left"/>
            </w:pPr>
            <w:r w:rsidRPr="00E40993">
              <w:t xml:space="preserve">St. John’s </w:t>
            </w:r>
            <w:proofErr w:type="spellStart"/>
            <w:r w:rsidRPr="00E40993">
              <w:t>wort</w:t>
            </w:r>
            <w:proofErr w:type="spellEnd"/>
          </w:p>
          <w:p w:rsidR="005D4367" w:rsidRDefault="005D4367">
            <w:pPr>
              <w:spacing w:after="0"/>
              <w:jc w:val="left"/>
            </w:pPr>
          </w:p>
        </w:tc>
        <w:tc>
          <w:tcPr>
            <w:tcW w:w="2764" w:type="dxa"/>
          </w:tcPr>
          <w:p w:rsidR="005D4367" w:rsidRDefault="00694B42">
            <w:pPr>
              <w:spacing w:after="0"/>
              <w:jc w:val="left"/>
            </w:pPr>
            <w:proofErr w:type="spellStart"/>
            <w:r w:rsidRPr="00E40993">
              <w:t>Dolutegravir</w:t>
            </w:r>
            <w:proofErr w:type="spellEnd"/>
            <w:r w:rsidRPr="00E40993">
              <w:sym w:font="Symbol" w:char="F0AF"/>
            </w:r>
          </w:p>
        </w:tc>
        <w:tc>
          <w:tcPr>
            <w:tcW w:w="3863" w:type="dxa"/>
          </w:tcPr>
          <w:p w:rsidR="005D4367" w:rsidRDefault="00694B42">
            <w:pPr>
              <w:spacing w:after="0"/>
              <w:jc w:val="left"/>
            </w:pPr>
            <w:r w:rsidRPr="00E40993">
              <w:t xml:space="preserve">Co-administration with these metabolic inducers may decrease </w:t>
            </w:r>
            <w:proofErr w:type="spellStart"/>
            <w:r w:rsidRPr="00E40993">
              <w:t>dolutegravir</w:t>
            </w:r>
            <w:proofErr w:type="spellEnd"/>
            <w:r w:rsidRPr="00E40993">
              <w:t xml:space="preserve"> plasma concentration and has not been studied. Co-administration with these metabolic inducers should be avoided.</w:t>
            </w:r>
          </w:p>
        </w:tc>
      </w:tr>
      <w:tr w:rsidR="00694B42" w:rsidRPr="00E40993" w:rsidTr="00524EED">
        <w:tc>
          <w:tcPr>
            <w:tcW w:w="2235" w:type="dxa"/>
          </w:tcPr>
          <w:p w:rsidR="005D4367" w:rsidRDefault="00694B42">
            <w:pPr>
              <w:spacing w:after="0"/>
              <w:jc w:val="left"/>
            </w:pPr>
            <w:r w:rsidRPr="00E40993">
              <w:t xml:space="preserve">Antacids containing polyvalent </w:t>
            </w:r>
            <w:proofErr w:type="spellStart"/>
            <w:r w:rsidRPr="00E40993">
              <w:t>cations</w:t>
            </w:r>
            <w:proofErr w:type="spellEnd"/>
            <w:r w:rsidRPr="00E40993">
              <w:t xml:space="preserve"> (e.g., Mg</w:t>
            </w:r>
            <w:r w:rsidRPr="00E40993">
              <w:rPr>
                <w:rFonts w:eastAsia="MS Mincho"/>
                <w:lang w:eastAsia="ja-JP"/>
              </w:rPr>
              <w:t>, Al</w:t>
            </w:r>
            <w:r w:rsidRPr="00E40993">
              <w:t>)</w:t>
            </w:r>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F"/>
            </w:r>
            <w:r w:rsidRPr="00E40993">
              <w:br/>
              <w:t xml:space="preserve">AUC </w:t>
            </w:r>
            <w:r w:rsidRPr="00E40993">
              <w:sym w:font="Symbol" w:char="F0AF"/>
            </w:r>
            <w:r w:rsidRPr="00E40993">
              <w:t xml:space="preserve"> 74% </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72%</w:t>
            </w:r>
            <w:r w:rsidRPr="00E40993">
              <w:br/>
              <w:t xml:space="preserve">C24 </w:t>
            </w:r>
            <w:r w:rsidRPr="00E40993">
              <w:sym w:font="Symbol" w:char="F0AF"/>
            </w:r>
            <w:r w:rsidRPr="00E40993">
              <w:t xml:space="preserve"> 74%</w:t>
            </w:r>
          </w:p>
        </w:tc>
        <w:tc>
          <w:tcPr>
            <w:tcW w:w="3863" w:type="dxa"/>
          </w:tcPr>
          <w:p w:rsidR="005D4367" w:rsidRDefault="00694B42">
            <w:pPr>
              <w:spacing w:after="0"/>
              <w:jc w:val="left"/>
            </w:pPr>
            <w:r w:rsidRPr="00E40993">
              <w:t xml:space="preserve">Co-administration of antacids containing polyvalent </w:t>
            </w:r>
            <w:proofErr w:type="spellStart"/>
            <w:r w:rsidRPr="00E40993">
              <w:t>cations</w:t>
            </w:r>
            <w:proofErr w:type="spellEnd"/>
            <w:r w:rsidRPr="00E40993">
              <w:t xml:space="preserve"> decreased </w:t>
            </w:r>
            <w:proofErr w:type="spellStart"/>
            <w:r w:rsidRPr="00E40993">
              <w:t>dolutegravir</w:t>
            </w:r>
            <w:proofErr w:type="spellEnd"/>
            <w:r w:rsidRPr="00E40993">
              <w:t xml:space="preserve"> plasma concentration. </w:t>
            </w:r>
            <w:proofErr w:type="spellStart"/>
            <w:r w:rsidRPr="00E40993">
              <w:t>Dolutegravir</w:t>
            </w:r>
            <w:proofErr w:type="spellEnd"/>
            <w:r w:rsidRPr="00E40993">
              <w:t xml:space="preserve"> is recommended to be administered 2 hours before or 6 hours after taking antacid products containing polyvalent </w:t>
            </w:r>
            <w:proofErr w:type="spellStart"/>
            <w:r w:rsidRPr="00E40993">
              <w:t>cations</w:t>
            </w:r>
            <w:proofErr w:type="spellEnd"/>
            <w:r w:rsidRPr="00E40993">
              <w:t xml:space="preserve">. </w:t>
            </w:r>
          </w:p>
        </w:tc>
      </w:tr>
      <w:tr w:rsidR="00694B42" w:rsidRPr="00E40993" w:rsidTr="00524EED">
        <w:tc>
          <w:tcPr>
            <w:tcW w:w="2235" w:type="dxa"/>
          </w:tcPr>
          <w:p w:rsidR="005D4367" w:rsidRDefault="00694B42">
            <w:pPr>
              <w:spacing w:after="0"/>
              <w:jc w:val="left"/>
            </w:pPr>
            <w:r w:rsidRPr="00E40993">
              <w:t>Calcium supplements</w:t>
            </w:r>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F"/>
            </w:r>
            <w:r w:rsidRPr="00E40993">
              <w:br/>
              <w:t xml:space="preserve">AUC </w:t>
            </w:r>
            <w:r w:rsidRPr="00E40993">
              <w:sym w:font="Symbol" w:char="F0AF"/>
            </w:r>
            <w:r w:rsidRPr="00E40993">
              <w:t xml:space="preserve"> 39% </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37%</w:t>
            </w:r>
            <w:r w:rsidRPr="00E40993">
              <w:br/>
              <w:t xml:space="preserve">C24 </w:t>
            </w:r>
            <w:r w:rsidRPr="00E40993">
              <w:sym w:font="Symbol" w:char="F0AF"/>
            </w:r>
            <w:r w:rsidRPr="00E40993">
              <w:t xml:space="preserve"> 39%</w:t>
            </w:r>
          </w:p>
        </w:tc>
        <w:tc>
          <w:tcPr>
            <w:tcW w:w="3863" w:type="dxa"/>
          </w:tcPr>
          <w:p w:rsidR="005D4367" w:rsidRDefault="008A5B7A">
            <w:pPr>
              <w:spacing w:after="0"/>
              <w:jc w:val="left"/>
            </w:pPr>
            <w:r w:rsidRPr="00E40993">
              <w:t>TRIUMEQ</w:t>
            </w:r>
            <w:r w:rsidR="00694B42" w:rsidRPr="00E40993">
              <w:t xml:space="preserve"> is recommended to be administered 2 hours before or 6 hours after taking products containing calcium, or alternatively, administer with food.</w:t>
            </w:r>
          </w:p>
        </w:tc>
      </w:tr>
      <w:tr w:rsidR="00694B42" w:rsidRPr="00E40993" w:rsidTr="00524EED">
        <w:tc>
          <w:tcPr>
            <w:tcW w:w="2235" w:type="dxa"/>
          </w:tcPr>
          <w:p w:rsidR="005D4367" w:rsidRDefault="00694B42">
            <w:pPr>
              <w:spacing w:after="0"/>
              <w:jc w:val="left"/>
            </w:pPr>
            <w:r w:rsidRPr="00E40993">
              <w:t>Iron supplements</w:t>
            </w:r>
          </w:p>
        </w:tc>
        <w:tc>
          <w:tcPr>
            <w:tcW w:w="2764" w:type="dxa"/>
          </w:tcPr>
          <w:p w:rsidR="005D4367" w:rsidRDefault="00694B42">
            <w:pPr>
              <w:spacing w:after="0"/>
              <w:jc w:val="left"/>
            </w:pPr>
            <w:proofErr w:type="spellStart"/>
            <w:r w:rsidRPr="00E40993">
              <w:t>Dolutegravir</w:t>
            </w:r>
            <w:proofErr w:type="spellEnd"/>
            <w:r w:rsidRPr="00E40993">
              <w:t xml:space="preserve"> </w:t>
            </w:r>
            <w:r w:rsidRPr="00E40993">
              <w:sym w:font="Symbol" w:char="F0AF"/>
            </w:r>
            <w:r w:rsidRPr="00E40993">
              <w:br/>
              <w:t xml:space="preserve">AUC </w:t>
            </w:r>
            <w:r w:rsidRPr="00E40993">
              <w:sym w:font="Symbol" w:char="F0AF"/>
            </w:r>
            <w:r w:rsidRPr="00E40993">
              <w:t xml:space="preserve"> 54% </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57%</w:t>
            </w:r>
            <w:r w:rsidRPr="00E40993">
              <w:br/>
              <w:t xml:space="preserve">C24 </w:t>
            </w:r>
            <w:r w:rsidRPr="00E40993">
              <w:sym w:font="Symbol" w:char="F0AF"/>
            </w:r>
            <w:r w:rsidRPr="00E40993">
              <w:t xml:space="preserve"> 56%</w:t>
            </w:r>
          </w:p>
        </w:tc>
        <w:tc>
          <w:tcPr>
            <w:tcW w:w="3863" w:type="dxa"/>
          </w:tcPr>
          <w:p w:rsidR="005D4367" w:rsidRDefault="008A5B7A">
            <w:pPr>
              <w:spacing w:after="0"/>
              <w:jc w:val="left"/>
            </w:pPr>
            <w:r w:rsidRPr="00E40993">
              <w:t>TRIUMEQ</w:t>
            </w:r>
            <w:r w:rsidR="00694B42" w:rsidRPr="00E40993">
              <w:t xml:space="preserve"> is recommended to be administered 2 hours before or 6 hours after taking products containing iron, or alternatively, administer with food.</w:t>
            </w:r>
          </w:p>
        </w:tc>
      </w:tr>
      <w:tr w:rsidR="00694B42" w:rsidRPr="00E40993" w:rsidTr="00524EED">
        <w:tc>
          <w:tcPr>
            <w:tcW w:w="2235" w:type="dxa"/>
          </w:tcPr>
          <w:p w:rsidR="005D4367" w:rsidRDefault="00694B42">
            <w:pPr>
              <w:spacing w:after="0"/>
              <w:jc w:val="left"/>
            </w:pPr>
            <w:r w:rsidRPr="00E40993">
              <w:t>Metformin</w:t>
            </w:r>
          </w:p>
        </w:tc>
        <w:tc>
          <w:tcPr>
            <w:tcW w:w="2764" w:type="dxa"/>
          </w:tcPr>
          <w:p w:rsidR="005D4367" w:rsidRDefault="00694B42">
            <w:pPr>
              <w:spacing w:after="0"/>
              <w:jc w:val="left"/>
            </w:pPr>
            <w:r w:rsidRPr="00E40993">
              <w:t xml:space="preserve">Metformin </w:t>
            </w:r>
            <w:r w:rsidRPr="00E40993">
              <w:sym w:font="Symbol" w:char="F0AD"/>
            </w:r>
          </w:p>
        </w:tc>
        <w:tc>
          <w:tcPr>
            <w:tcW w:w="3863" w:type="dxa"/>
          </w:tcPr>
          <w:p w:rsidR="005D4367" w:rsidRDefault="00694B42">
            <w:pPr>
              <w:spacing w:after="0"/>
              <w:jc w:val="left"/>
            </w:pPr>
            <w:r w:rsidRPr="00E40993">
              <w:t xml:space="preserve">Co-administration of </w:t>
            </w:r>
            <w:proofErr w:type="spellStart"/>
            <w:r w:rsidRPr="00E40993">
              <w:t>dolutegravir</w:t>
            </w:r>
            <w:proofErr w:type="spellEnd"/>
            <w:r w:rsidRPr="00E40993">
              <w:t xml:space="preserve"> has the potential to increase metformin plasma concentration via inhibition of OCT2 transporter; co-administration has not been studied.  Lower metformin doses may be considered for </w:t>
            </w:r>
            <w:r w:rsidR="007C720C">
              <w:t>patient</w:t>
            </w:r>
            <w:r w:rsidRPr="00E40993">
              <w:t xml:space="preserve">s treated with </w:t>
            </w:r>
            <w:proofErr w:type="spellStart"/>
            <w:r w:rsidRPr="00E40993">
              <w:t>dolutegravir</w:t>
            </w:r>
            <w:proofErr w:type="spellEnd"/>
            <w:r w:rsidRPr="00E40993">
              <w:t xml:space="preserve"> and metformin. </w:t>
            </w:r>
          </w:p>
        </w:tc>
      </w:tr>
      <w:tr w:rsidR="00694B42" w:rsidRPr="00E40993" w:rsidTr="00524EED">
        <w:tc>
          <w:tcPr>
            <w:tcW w:w="2235" w:type="dxa"/>
          </w:tcPr>
          <w:p w:rsidR="005D4367" w:rsidRDefault="00694B42">
            <w:pPr>
              <w:spacing w:after="0"/>
              <w:jc w:val="left"/>
            </w:pPr>
            <w:r w:rsidRPr="00E40993">
              <w:t>Rifampicin</w:t>
            </w:r>
          </w:p>
        </w:tc>
        <w:tc>
          <w:tcPr>
            <w:tcW w:w="2764" w:type="dxa"/>
          </w:tcPr>
          <w:p w:rsidR="005D4367" w:rsidRDefault="00694B42">
            <w:pPr>
              <w:spacing w:after="0"/>
              <w:jc w:val="left"/>
              <w:rPr>
                <w:rFonts w:eastAsia="MS Mincho"/>
                <w:lang w:eastAsia="ja-JP"/>
              </w:rPr>
            </w:pPr>
            <w:proofErr w:type="spellStart"/>
            <w:r w:rsidRPr="00E40993">
              <w:t>Dolutegravir</w:t>
            </w:r>
            <w:proofErr w:type="spellEnd"/>
            <w:r w:rsidRPr="00E40993">
              <w:t xml:space="preserve"> </w:t>
            </w:r>
            <w:r w:rsidRPr="00E40993">
              <w:sym w:font="Symbol" w:char="F0AF"/>
            </w:r>
            <w:r w:rsidRPr="00E40993">
              <w:br/>
              <w:t xml:space="preserve">AUC </w:t>
            </w:r>
            <w:r w:rsidRPr="00E40993">
              <w:sym w:font="Symbol" w:char="F0AF"/>
            </w:r>
            <w:r w:rsidRPr="00E40993">
              <w:t xml:space="preserve"> 54%</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43%</w:t>
            </w:r>
            <w:r w:rsidRPr="00E40993">
              <w:br/>
              <w:t>C</w:t>
            </w:r>
            <w:r w:rsidRPr="00E40993">
              <w:sym w:font="Symbol" w:char="F074"/>
            </w:r>
            <w:r w:rsidRPr="00E40993">
              <w:t xml:space="preserve"> </w:t>
            </w:r>
            <w:r w:rsidRPr="00E40993">
              <w:sym w:font="Symbol" w:char="F0AF"/>
            </w:r>
            <w:r w:rsidRPr="00E40993">
              <w:t xml:space="preserve"> 72%</w:t>
            </w:r>
          </w:p>
          <w:p w:rsidR="005D4367" w:rsidRDefault="005D4367">
            <w:pPr>
              <w:spacing w:after="0"/>
              <w:jc w:val="left"/>
            </w:pPr>
          </w:p>
        </w:tc>
        <w:tc>
          <w:tcPr>
            <w:tcW w:w="3863" w:type="dxa"/>
          </w:tcPr>
          <w:p w:rsidR="005D4367" w:rsidRDefault="00694B42">
            <w:pPr>
              <w:spacing w:after="0"/>
              <w:jc w:val="left"/>
            </w:pPr>
            <w:r w:rsidRPr="00E40993">
              <w:t xml:space="preserve">Rifampicin decreased </w:t>
            </w:r>
            <w:proofErr w:type="spellStart"/>
            <w:r w:rsidRPr="00E40993">
              <w:t>dolutegravir</w:t>
            </w:r>
            <w:proofErr w:type="spellEnd"/>
            <w:r w:rsidRPr="00E40993">
              <w:t xml:space="preserve"> plasma concentration. Since the dose of </w:t>
            </w:r>
            <w:proofErr w:type="spellStart"/>
            <w:r w:rsidRPr="00E40993">
              <w:t>dolutegravir</w:t>
            </w:r>
            <w:proofErr w:type="spellEnd"/>
            <w:r w:rsidRPr="00E40993">
              <w:t xml:space="preserve"> is 50 mg twice daily when co-administered with rifampicin, the co-administration of rifampicin with </w:t>
            </w:r>
            <w:r w:rsidR="008A5B7A" w:rsidRPr="00E40993">
              <w:t>TRIUMEQ</w:t>
            </w:r>
            <w:r w:rsidRPr="00E40993">
              <w:t xml:space="preserve"> is not recommended. </w:t>
            </w:r>
          </w:p>
        </w:tc>
      </w:tr>
      <w:tr w:rsidR="00694B42" w:rsidRPr="00E40993" w:rsidTr="00524EED">
        <w:tc>
          <w:tcPr>
            <w:tcW w:w="2235" w:type="dxa"/>
          </w:tcPr>
          <w:p w:rsidR="005D4367" w:rsidRDefault="00694B42">
            <w:pPr>
              <w:spacing w:after="0"/>
              <w:jc w:val="left"/>
            </w:pPr>
            <w:r w:rsidRPr="00E40993">
              <w:t>Oral contraceptives</w:t>
            </w:r>
          </w:p>
          <w:p w:rsidR="005D4367" w:rsidRDefault="00694B42">
            <w:pPr>
              <w:spacing w:after="0"/>
              <w:jc w:val="left"/>
            </w:pPr>
            <w:r w:rsidRPr="00E40993">
              <w:t>(</w:t>
            </w:r>
            <w:proofErr w:type="spellStart"/>
            <w:r w:rsidRPr="00E40993">
              <w:t>Ethinyl</w:t>
            </w:r>
            <w:proofErr w:type="spellEnd"/>
            <w:r w:rsidRPr="00E40993">
              <w:t xml:space="preserve"> </w:t>
            </w:r>
            <w:proofErr w:type="spellStart"/>
            <w:r w:rsidRPr="00E40993">
              <w:t>estradiol</w:t>
            </w:r>
            <w:proofErr w:type="spellEnd"/>
            <w:r w:rsidRPr="00E40993">
              <w:t xml:space="preserve"> (EE) and </w:t>
            </w:r>
            <w:proofErr w:type="spellStart"/>
            <w:r w:rsidRPr="00E40993">
              <w:t>Nor</w:t>
            </w:r>
            <w:r w:rsidR="00392076">
              <w:t>el</w:t>
            </w:r>
            <w:r w:rsidRPr="00E40993">
              <w:t>gestromin</w:t>
            </w:r>
            <w:proofErr w:type="spellEnd"/>
            <w:r w:rsidRPr="00E40993">
              <w:t xml:space="preserve"> (NGMN))</w:t>
            </w:r>
          </w:p>
        </w:tc>
        <w:tc>
          <w:tcPr>
            <w:tcW w:w="2764" w:type="dxa"/>
          </w:tcPr>
          <w:p w:rsidR="00694B42" w:rsidRPr="00E40993" w:rsidRDefault="00694B42" w:rsidP="005C4C1D">
            <w:pPr>
              <w:spacing w:after="0"/>
              <w:jc w:val="left"/>
            </w:pPr>
            <w:r w:rsidRPr="00E40993">
              <w:t xml:space="preserve">Effect of </w:t>
            </w:r>
            <w:proofErr w:type="spellStart"/>
            <w:r w:rsidRPr="00E40993">
              <w:t>dolutegravir</w:t>
            </w:r>
            <w:proofErr w:type="spellEnd"/>
            <w:r w:rsidRPr="00E40993">
              <w:t>:</w:t>
            </w:r>
          </w:p>
          <w:p w:rsidR="005D4367" w:rsidRDefault="00694B42">
            <w:pPr>
              <w:spacing w:after="0"/>
              <w:jc w:val="left"/>
            </w:pPr>
            <w:r w:rsidRPr="00E40993">
              <w:t xml:space="preserve">EE </w:t>
            </w:r>
            <w:r w:rsidRPr="00E40993">
              <w:sym w:font="Symbol" w:char="F0AB"/>
            </w:r>
            <w:r w:rsidRPr="00E40993">
              <w:br/>
              <w:t xml:space="preserve">AUC </w:t>
            </w:r>
            <w:r w:rsidRPr="00E40993">
              <w:sym w:font="Symbol" w:char="F0AD"/>
            </w:r>
            <w:r w:rsidRPr="00E40993">
              <w:t xml:space="preserve"> 3% </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1%</w:t>
            </w:r>
            <w:r w:rsidRPr="00E40993">
              <w:br/>
              <w:t>C</w:t>
            </w:r>
            <w:r w:rsidRPr="00E40993">
              <w:sym w:font="Symbol" w:char="F074"/>
            </w:r>
            <w:r w:rsidRPr="00E40993">
              <w:t xml:space="preserve"> </w:t>
            </w:r>
            <w:r w:rsidRPr="00E40993">
              <w:sym w:font="Symbol" w:char="F0AD"/>
            </w:r>
            <w:r w:rsidRPr="00E40993">
              <w:t xml:space="preserve"> 2%</w:t>
            </w:r>
          </w:p>
          <w:p w:rsidR="00694B42" w:rsidRPr="00E40993" w:rsidRDefault="00694B42" w:rsidP="005C4C1D">
            <w:pPr>
              <w:spacing w:after="0"/>
              <w:jc w:val="left"/>
            </w:pPr>
            <w:r w:rsidRPr="00E40993">
              <w:t xml:space="preserve">Effect of </w:t>
            </w:r>
            <w:proofErr w:type="spellStart"/>
            <w:r w:rsidRPr="00E40993">
              <w:t>dolutegravir</w:t>
            </w:r>
            <w:proofErr w:type="spellEnd"/>
            <w:r w:rsidRPr="00E40993">
              <w:t>:</w:t>
            </w:r>
          </w:p>
          <w:p w:rsidR="005D4367" w:rsidRDefault="00694B42">
            <w:pPr>
              <w:spacing w:after="0"/>
              <w:jc w:val="left"/>
            </w:pPr>
            <w:r w:rsidRPr="00E40993">
              <w:t xml:space="preserve">NGMN </w:t>
            </w:r>
            <w:r w:rsidRPr="00E40993">
              <w:sym w:font="Symbol" w:char="F0AB"/>
            </w:r>
            <w:r w:rsidRPr="00E40993">
              <w:br/>
              <w:t xml:space="preserve">AUC </w:t>
            </w:r>
            <w:r w:rsidRPr="00E40993">
              <w:sym w:font="Symbol" w:char="F0AF"/>
            </w:r>
            <w:r w:rsidRPr="00E40993">
              <w:t xml:space="preserve"> 2% </w:t>
            </w:r>
            <w:r w:rsidRPr="00E40993">
              <w:br/>
            </w:r>
            <w:proofErr w:type="spellStart"/>
            <w:r w:rsidRPr="00E40993">
              <w:t>C</w:t>
            </w:r>
            <w:r w:rsidRPr="00E40993">
              <w:rPr>
                <w:vertAlign w:val="subscript"/>
              </w:rPr>
              <w:t>max</w:t>
            </w:r>
            <w:proofErr w:type="spellEnd"/>
            <w:r w:rsidRPr="00E40993">
              <w:t xml:space="preserve"> </w:t>
            </w:r>
            <w:r w:rsidRPr="00E40993">
              <w:sym w:font="Symbol" w:char="F0AF"/>
            </w:r>
            <w:r w:rsidRPr="00E40993">
              <w:t xml:space="preserve"> 11%</w:t>
            </w:r>
            <w:r w:rsidRPr="00E40993">
              <w:br/>
              <w:t>C</w:t>
            </w:r>
            <w:r w:rsidRPr="00E40993">
              <w:sym w:font="Symbol" w:char="F074"/>
            </w:r>
            <w:r w:rsidRPr="00E40993">
              <w:t xml:space="preserve"> </w:t>
            </w:r>
            <w:r w:rsidRPr="00E40993">
              <w:sym w:font="Symbol" w:char="F0AF"/>
            </w:r>
            <w:r w:rsidRPr="00E40993">
              <w:t xml:space="preserve"> 7%</w:t>
            </w:r>
          </w:p>
        </w:tc>
        <w:tc>
          <w:tcPr>
            <w:tcW w:w="3863" w:type="dxa"/>
          </w:tcPr>
          <w:p w:rsidR="005D4367" w:rsidRDefault="00694B42">
            <w:pPr>
              <w:spacing w:after="0"/>
              <w:jc w:val="left"/>
            </w:pPr>
            <w:proofErr w:type="spellStart"/>
            <w:r w:rsidRPr="00E40993">
              <w:t>Dolutegravir</w:t>
            </w:r>
            <w:proofErr w:type="spellEnd"/>
            <w:r w:rsidRPr="00E40993">
              <w:t xml:space="preserve"> did not change </w:t>
            </w:r>
            <w:proofErr w:type="spellStart"/>
            <w:r w:rsidRPr="00E40993">
              <w:t>ethinyl</w:t>
            </w:r>
            <w:proofErr w:type="spellEnd"/>
            <w:r w:rsidRPr="00E40993">
              <w:t xml:space="preserve"> </w:t>
            </w:r>
            <w:proofErr w:type="spellStart"/>
            <w:r w:rsidRPr="00E40993">
              <w:t>estradiol</w:t>
            </w:r>
            <w:proofErr w:type="spellEnd"/>
            <w:r w:rsidRPr="00E40993">
              <w:t xml:space="preserve"> and </w:t>
            </w:r>
            <w:proofErr w:type="spellStart"/>
            <w:r w:rsidRPr="00E40993">
              <w:t>nor</w:t>
            </w:r>
            <w:r w:rsidR="00AF6402">
              <w:t>el</w:t>
            </w:r>
            <w:r w:rsidRPr="00E40993">
              <w:t>gestromin</w:t>
            </w:r>
            <w:proofErr w:type="spellEnd"/>
            <w:r w:rsidRPr="00E40993">
              <w:t xml:space="preserve"> plasma concentrations to a clinically relevant extent. No dose adjustment of oral contraceptives is necessary when co-administered with </w:t>
            </w:r>
            <w:proofErr w:type="spellStart"/>
            <w:r w:rsidRPr="00E40993">
              <w:t>dolutegravir</w:t>
            </w:r>
            <w:proofErr w:type="spellEnd"/>
            <w:r w:rsidRPr="00E40993">
              <w:t xml:space="preserve">. </w:t>
            </w:r>
          </w:p>
        </w:tc>
      </w:tr>
      <w:tr w:rsidR="00694B42" w:rsidRPr="00E40993" w:rsidTr="00524EED">
        <w:tc>
          <w:tcPr>
            <w:tcW w:w="2235" w:type="dxa"/>
          </w:tcPr>
          <w:p w:rsidR="005D4367" w:rsidRDefault="00694B42">
            <w:pPr>
              <w:spacing w:after="0"/>
            </w:pPr>
            <w:r w:rsidRPr="00E40993">
              <w:t xml:space="preserve">Methadone </w:t>
            </w:r>
          </w:p>
        </w:tc>
        <w:tc>
          <w:tcPr>
            <w:tcW w:w="2764" w:type="dxa"/>
          </w:tcPr>
          <w:p w:rsidR="00694B42" w:rsidRPr="00E40993" w:rsidRDefault="00694B42" w:rsidP="005C4C1D">
            <w:pPr>
              <w:spacing w:after="0"/>
            </w:pPr>
            <w:r w:rsidRPr="00E40993">
              <w:t xml:space="preserve">Effect of </w:t>
            </w:r>
            <w:proofErr w:type="spellStart"/>
            <w:r w:rsidRPr="00E40993">
              <w:t>dolutegravir</w:t>
            </w:r>
            <w:proofErr w:type="spellEnd"/>
            <w:r w:rsidRPr="00E40993">
              <w:t>:</w:t>
            </w:r>
          </w:p>
          <w:p w:rsidR="00B417FA" w:rsidRDefault="00694B42" w:rsidP="005C4C1D">
            <w:pPr>
              <w:spacing w:after="0"/>
              <w:jc w:val="left"/>
            </w:pPr>
            <w:r w:rsidRPr="00E40993">
              <w:t xml:space="preserve">Methadone </w:t>
            </w:r>
            <w:r w:rsidRPr="00E40993">
              <w:sym w:font="Symbol" w:char="F0AB"/>
            </w:r>
            <w:r w:rsidRPr="00E40993">
              <w:br/>
              <w:t xml:space="preserve">AUC </w:t>
            </w:r>
            <w:r w:rsidRPr="00E40993">
              <w:sym w:font="Symbol" w:char="F0AF"/>
            </w:r>
            <w:r w:rsidRPr="00E40993">
              <w:t xml:space="preserve"> 2% </w:t>
            </w:r>
            <w:r w:rsidRPr="00E40993">
              <w:br/>
            </w:r>
            <w:proofErr w:type="spellStart"/>
            <w:r w:rsidRPr="00E40993">
              <w:t>C</w:t>
            </w:r>
            <w:r w:rsidRPr="00E40993">
              <w:rPr>
                <w:vertAlign w:val="subscript"/>
              </w:rPr>
              <w:t>max</w:t>
            </w:r>
            <w:proofErr w:type="spellEnd"/>
            <w:r w:rsidRPr="00E40993">
              <w:t xml:space="preserve"> </w:t>
            </w:r>
            <w:r w:rsidRPr="00E40993">
              <w:sym w:font="Symbol" w:char="F0AB"/>
            </w:r>
            <w:r w:rsidRPr="00E40993">
              <w:t xml:space="preserve"> 0%</w:t>
            </w:r>
            <w:r w:rsidRPr="00E40993">
              <w:br/>
              <w:t>C</w:t>
            </w:r>
            <w:r w:rsidRPr="00E40993">
              <w:sym w:font="Symbol" w:char="F074"/>
            </w:r>
            <w:r w:rsidRPr="00E40993">
              <w:t xml:space="preserve"> </w:t>
            </w:r>
            <w:r w:rsidRPr="00E40993">
              <w:sym w:font="Symbol" w:char="F0AF"/>
            </w:r>
            <w:r w:rsidRPr="00E40993">
              <w:t xml:space="preserve"> 1%</w:t>
            </w:r>
          </w:p>
        </w:tc>
        <w:tc>
          <w:tcPr>
            <w:tcW w:w="3863" w:type="dxa"/>
          </w:tcPr>
          <w:p w:rsidR="005D4367" w:rsidRDefault="00694B42">
            <w:pPr>
              <w:spacing w:after="0"/>
              <w:jc w:val="left"/>
            </w:pPr>
            <w:proofErr w:type="spellStart"/>
            <w:r w:rsidRPr="00E40993">
              <w:t>Dolutegravir</w:t>
            </w:r>
            <w:proofErr w:type="spellEnd"/>
            <w:r w:rsidRPr="00E40993">
              <w:t xml:space="preserve"> did not change methadone plasma concentrations to a clinically relevant extent. No dose adjustment of methadone is necessary when co-administered with </w:t>
            </w:r>
            <w:proofErr w:type="spellStart"/>
            <w:r w:rsidRPr="00E40993">
              <w:t>dolutegravir</w:t>
            </w:r>
            <w:proofErr w:type="spellEnd"/>
            <w:r w:rsidRPr="00E40993">
              <w:t xml:space="preserve">. </w:t>
            </w:r>
          </w:p>
        </w:tc>
      </w:tr>
    </w:tbl>
    <w:p w:rsidR="005D4367" w:rsidRDefault="00532C37">
      <w:pPr>
        <w:spacing w:after="0"/>
        <w:rPr>
          <w:sz w:val="20"/>
        </w:rPr>
      </w:pPr>
      <w:r w:rsidRPr="00532C37">
        <w:rPr>
          <w:sz w:val="20"/>
          <w:lang w:eastAsia="zh-CN"/>
        </w:rPr>
        <w:t xml:space="preserve">Abbreviations: </w:t>
      </w:r>
      <w:r w:rsidRPr="00532C37">
        <w:rPr>
          <w:sz w:val="20"/>
        </w:rPr>
        <w:sym w:font="Symbol" w:char="F0AD"/>
      </w:r>
      <w:r w:rsidRPr="00532C37">
        <w:rPr>
          <w:sz w:val="20"/>
          <w:lang w:eastAsia="zh-CN"/>
        </w:rPr>
        <w:t xml:space="preserve"> = Increase; </w:t>
      </w:r>
      <w:r w:rsidRPr="00532C37">
        <w:rPr>
          <w:sz w:val="20"/>
        </w:rPr>
        <w:sym w:font="Symbol" w:char="F0AF"/>
      </w:r>
      <w:r w:rsidRPr="00532C37">
        <w:rPr>
          <w:sz w:val="20"/>
          <w:lang w:eastAsia="zh-CN"/>
        </w:rPr>
        <w:t xml:space="preserve"> = decrease; </w:t>
      </w:r>
      <w:r w:rsidRPr="00532C37">
        <w:rPr>
          <w:sz w:val="20"/>
        </w:rPr>
        <w:sym w:font="Symbol" w:char="F0AB"/>
      </w:r>
      <w:r w:rsidRPr="00532C37">
        <w:rPr>
          <w:sz w:val="20"/>
          <w:lang w:eastAsia="zh-CN"/>
        </w:rPr>
        <w:t xml:space="preserve"> = no significant change; AUC = area under the concentration versus time curve; </w:t>
      </w:r>
      <w:proofErr w:type="spellStart"/>
      <w:r w:rsidRPr="00532C37">
        <w:rPr>
          <w:sz w:val="20"/>
          <w:lang w:eastAsia="zh-CN"/>
        </w:rPr>
        <w:t>C</w:t>
      </w:r>
      <w:r w:rsidRPr="00532C37">
        <w:rPr>
          <w:sz w:val="20"/>
          <w:vertAlign w:val="subscript"/>
          <w:lang w:eastAsia="zh-CN"/>
        </w:rPr>
        <w:t>max</w:t>
      </w:r>
      <w:proofErr w:type="spellEnd"/>
      <w:r w:rsidRPr="00532C37">
        <w:rPr>
          <w:sz w:val="20"/>
          <w:vertAlign w:val="subscript"/>
          <w:lang w:eastAsia="zh-CN"/>
        </w:rPr>
        <w:t xml:space="preserve"> </w:t>
      </w:r>
      <w:r w:rsidRPr="00532C37">
        <w:rPr>
          <w:sz w:val="20"/>
          <w:lang w:eastAsia="zh-CN"/>
        </w:rPr>
        <w:t xml:space="preserve">= maximum observed concentration, </w:t>
      </w:r>
      <w:r w:rsidRPr="00532C37">
        <w:rPr>
          <w:sz w:val="20"/>
        </w:rPr>
        <w:t>C</w:t>
      </w:r>
      <w:r w:rsidRPr="00532C37">
        <w:rPr>
          <w:sz w:val="20"/>
        </w:rPr>
        <w:sym w:font="Symbol" w:char="F074"/>
      </w:r>
      <w:r w:rsidRPr="00532C37">
        <w:rPr>
          <w:sz w:val="20"/>
        </w:rPr>
        <w:t>=concentration at the end of dosing interval</w:t>
      </w:r>
    </w:p>
    <w:p w:rsidR="005C4C1D" w:rsidRPr="00E40993" w:rsidRDefault="005C4C1D" w:rsidP="00694B42">
      <w:pPr>
        <w:rPr>
          <w:lang w:eastAsia="zh-CN"/>
        </w:rPr>
      </w:pPr>
    </w:p>
    <w:p w:rsidR="00694B42" w:rsidRPr="00E40993" w:rsidRDefault="00694B42" w:rsidP="008A5B7A">
      <w:pPr>
        <w:ind w:left="567"/>
        <w:rPr>
          <w:rFonts w:cs="Arial"/>
          <w:b/>
          <w:bCs/>
          <w:szCs w:val="22"/>
        </w:rPr>
      </w:pPr>
      <w:r w:rsidRPr="00E40993">
        <w:rPr>
          <w:rFonts w:cs="Arial"/>
          <w:b/>
          <w:bCs/>
          <w:szCs w:val="22"/>
        </w:rPr>
        <w:t xml:space="preserve">Table </w:t>
      </w:r>
      <w:r w:rsidR="0045447B" w:rsidRPr="00E40993">
        <w:rPr>
          <w:rFonts w:cs="Arial"/>
          <w:b/>
          <w:bCs/>
          <w:szCs w:val="22"/>
        </w:rPr>
        <w:t>4</w:t>
      </w:r>
      <w:r w:rsidRPr="00E40993">
        <w:rPr>
          <w:rFonts w:cs="Arial"/>
          <w:b/>
          <w:bCs/>
          <w:szCs w:val="22"/>
        </w:rPr>
        <w:tab/>
        <w:t xml:space="preserve">Drug Interactions studied with </w:t>
      </w:r>
      <w:proofErr w:type="spellStart"/>
      <w:r w:rsidRPr="00E40993">
        <w:rPr>
          <w:rFonts w:cs="Arial"/>
          <w:b/>
          <w:bCs/>
          <w:szCs w:val="22"/>
        </w:rPr>
        <w:t>abacavir</w:t>
      </w:r>
      <w:proofErr w:type="spellEnd"/>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764"/>
        <w:gridCol w:w="3863"/>
      </w:tblGrid>
      <w:tr w:rsidR="00694B42" w:rsidRPr="00E40993" w:rsidTr="00524EED">
        <w:tc>
          <w:tcPr>
            <w:tcW w:w="2235" w:type="dxa"/>
          </w:tcPr>
          <w:p w:rsidR="005D4367" w:rsidRDefault="00694B42">
            <w:pPr>
              <w:spacing w:after="0"/>
              <w:jc w:val="left"/>
              <w:rPr>
                <w:b/>
              </w:rPr>
            </w:pPr>
            <w:r w:rsidRPr="00E40993">
              <w:rPr>
                <w:b/>
              </w:rPr>
              <w:t>Concomitant Drug Class:</w:t>
            </w:r>
            <w:r w:rsidRPr="00E40993">
              <w:rPr>
                <w:b/>
              </w:rPr>
              <w:br/>
              <w:t>Drug Name</w:t>
            </w:r>
          </w:p>
        </w:tc>
        <w:tc>
          <w:tcPr>
            <w:tcW w:w="2764" w:type="dxa"/>
          </w:tcPr>
          <w:p w:rsidR="005D4367" w:rsidRDefault="00694B42">
            <w:pPr>
              <w:spacing w:after="0"/>
              <w:jc w:val="left"/>
              <w:rPr>
                <w:b/>
              </w:rPr>
            </w:pPr>
            <w:r w:rsidRPr="00E40993">
              <w:rPr>
                <w:b/>
              </w:rPr>
              <w:t xml:space="preserve">Effect on Concentration of </w:t>
            </w:r>
            <w:proofErr w:type="spellStart"/>
            <w:r w:rsidRPr="00E40993">
              <w:rPr>
                <w:b/>
              </w:rPr>
              <w:t>abacavir</w:t>
            </w:r>
            <w:proofErr w:type="spellEnd"/>
            <w:r w:rsidRPr="00E40993">
              <w:rPr>
                <w:b/>
              </w:rPr>
              <w:t xml:space="preserve"> or Concomitant Drug</w:t>
            </w:r>
          </w:p>
        </w:tc>
        <w:tc>
          <w:tcPr>
            <w:tcW w:w="3863" w:type="dxa"/>
          </w:tcPr>
          <w:p w:rsidR="005D4367" w:rsidRDefault="00694B42">
            <w:pPr>
              <w:spacing w:after="0"/>
              <w:rPr>
                <w:b/>
              </w:rPr>
            </w:pPr>
            <w:r w:rsidRPr="00E40993">
              <w:rPr>
                <w:b/>
              </w:rPr>
              <w:t>Clinical Comment</w:t>
            </w:r>
          </w:p>
        </w:tc>
      </w:tr>
      <w:tr w:rsidR="00694B42" w:rsidRPr="00E40993" w:rsidTr="00524EED">
        <w:tc>
          <w:tcPr>
            <w:tcW w:w="2235" w:type="dxa"/>
          </w:tcPr>
          <w:p w:rsidR="005D4367" w:rsidRDefault="00694B42">
            <w:pPr>
              <w:spacing w:after="0"/>
              <w:jc w:val="left"/>
            </w:pPr>
            <w:r w:rsidRPr="00E40993">
              <w:t>Methadone (40 to 90mg once daily for 14 days/600mg single dose, then 600mg twice daily for 14 days)</w:t>
            </w:r>
          </w:p>
        </w:tc>
        <w:tc>
          <w:tcPr>
            <w:tcW w:w="2764" w:type="dxa"/>
          </w:tcPr>
          <w:p w:rsidR="005D4367" w:rsidRDefault="00694B42">
            <w:pPr>
              <w:spacing w:after="0"/>
              <w:jc w:val="left"/>
            </w:pPr>
            <w:proofErr w:type="spellStart"/>
            <w:r w:rsidRPr="00E40993">
              <w:rPr>
                <w:snapToGrid w:val="0"/>
              </w:rPr>
              <w:t>Abacavir</w:t>
            </w:r>
            <w:proofErr w:type="spellEnd"/>
            <w:r w:rsidRPr="00E40993">
              <w:rPr>
                <w:snapToGrid w:val="0"/>
              </w:rPr>
              <w:t xml:space="preserve"> AUC </w:t>
            </w:r>
            <w:r w:rsidRPr="00E40993">
              <w:rPr>
                <w:snapToGrid w:val="0"/>
              </w:rPr>
              <w:sym w:font="Symbol" w:char="F0AB"/>
            </w:r>
            <w:r w:rsidRPr="00E40993">
              <w:br/>
            </w:r>
            <w:proofErr w:type="spellStart"/>
            <w:r w:rsidRPr="00E40993">
              <w:rPr>
                <w:snapToGrid w:val="0"/>
              </w:rPr>
              <w:t>Cmax</w:t>
            </w:r>
            <w:proofErr w:type="spellEnd"/>
            <w:r w:rsidRPr="00E40993">
              <w:rPr>
                <w:snapToGrid w:val="0"/>
              </w:rPr>
              <w:t xml:space="preserve"> </w:t>
            </w:r>
            <w:r w:rsidRPr="00E40993">
              <w:sym w:font="Symbol" w:char="F0AF"/>
            </w:r>
            <w:r w:rsidRPr="00E40993">
              <w:t>35%</w:t>
            </w:r>
          </w:p>
          <w:p w:rsidR="005D4367" w:rsidRDefault="00694B42">
            <w:pPr>
              <w:spacing w:after="0"/>
              <w:jc w:val="left"/>
            </w:pPr>
            <w:r w:rsidRPr="00E40993">
              <w:rPr>
                <w:szCs w:val="24"/>
              </w:rPr>
              <w:t xml:space="preserve">Methadone CL/F </w:t>
            </w:r>
            <w:r w:rsidRPr="00E40993">
              <w:rPr>
                <w:snapToGrid w:val="0"/>
                <w:szCs w:val="24"/>
              </w:rPr>
              <w:sym w:font="Symbol" w:char="F0AD"/>
            </w:r>
            <w:r w:rsidRPr="00E40993">
              <w:rPr>
                <w:snapToGrid w:val="0"/>
                <w:szCs w:val="24"/>
              </w:rPr>
              <w:t>22%</w:t>
            </w:r>
          </w:p>
        </w:tc>
        <w:tc>
          <w:tcPr>
            <w:tcW w:w="3863" w:type="dxa"/>
          </w:tcPr>
          <w:p w:rsidR="005D4367" w:rsidRDefault="00694B42">
            <w:pPr>
              <w:spacing w:after="0"/>
              <w:jc w:val="left"/>
            </w:pPr>
            <w:r w:rsidRPr="00E40993">
              <w:t xml:space="preserve">The changes in </w:t>
            </w:r>
            <w:proofErr w:type="spellStart"/>
            <w:r w:rsidRPr="00E40993">
              <w:t>abacavir</w:t>
            </w:r>
            <w:proofErr w:type="spellEnd"/>
            <w:r w:rsidRPr="00E40993">
              <w:t xml:space="preserve"> pharmacokinetics are not considered clinically relevant. The changes in methadone pharmacokinetics are not considered clinically relevant for the majority of </w:t>
            </w:r>
            <w:r w:rsidR="007C720C">
              <w:t>patient</w:t>
            </w:r>
            <w:r w:rsidRPr="00E40993">
              <w:t>s, however occasionally methadone dose re-titration may be required.</w:t>
            </w:r>
          </w:p>
        </w:tc>
      </w:tr>
      <w:tr w:rsidR="00694B42" w:rsidRPr="00E40993" w:rsidTr="00524EED">
        <w:tc>
          <w:tcPr>
            <w:tcW w:w="2235" w:type="dxa"/>
          </w:tcPr>
          <w:p w:rsidR="005D4367" w:rsidRDefault="00694B42">
            <w:pPr>
              <w:spacing w:after="0"/>
              <w:jc w:val="left"/>
            </w:pPr>
            <w:r w:rsidRPr="00E40993">
              <w:t>Ethanol</w:t>
            </w:r>
          </w:p>
        </w:tc>
        <w:tc>
          <w:tcPr>
            <w:tcW w:w="2764" w:type="dxa"/>
          </w:tcPr>
          <w:p w:rsidR="005D4367" w:rsidRDefault="00694B42">
            <w:pPr>
              <w:spacing w:after="0"/>
              <w:jc w:val="left"/>
            </w:pPr>
            <w:proofErr w:type="spellStart"/>
            <w:r w:rsidRPr="00E40993">
              <w:rPr>
                <w:szCs w:val="24"/>
              </w:rPr>
              <w:t>Abacavir</w:t>
            </w:r>
            <w:proofErr w:type="spellEnd"/>
            <w:r w:rsidRPr="00E40993">
              <w:rPr>
                <w:szCs w:val="24"/>
              </w:rPr>
              <w:t xml:space="preserve"> AUC </w:t>
            </w:r>
            <w:r w:rsidRPr="00E40993">
              <w:rPr>
                <w:szCs w:val="24"/>
              </w:rPr>
              <w:sym w:font="Symbol" w:char="F0AD"/>
            </w:r>
            <w:r w:rsidRPr="00E40993">
              <w:rPr>
                <w:szCs w:val="24"/>
              </w:rPr>
              <w:t>41%</w:t>
            </w:r>
          </w:p>
          <w:p w:rsidR="005D4367" w:rsidRDefault="00694B42">
            <w:pPr>
              <w:spacing w:after="0"/>
              <w:jc w:val="left"/>
            </w:pPr>
            <w:r w:rsidRPr="00E40993">
              <w:rPr>
                <w:szCs w:val="24"/>
              </w:rPr>
              <w:t xml:space="preserve">Ethanol AUC </w:t>
            </w:r>
            <w:r w:rsidRPr="00E40993">
              <w:rPr>
                <w:szCs w:val="24"/>
              </w:rPr>
              <w:sym w:font="Symbol" w:char="F0AB"/>
            </w:r>
          </w:p>
        </w:tc>
        <w:tc>
          <w:tcPr>
            <w:tcW w:w="3863" w:type="dxa"/>
          </w:tcPr>
          <w:p w:rsidR="005D4367" w:rsidRDefault="00694B42">
            <w:pPr>
              <w:spacing w:after="0"/>
              <w:jc w:val="left"/>
            </w:pPr>
            <w:r w:rsidRPr="00E40993">
              <w:t xml:space="preserve">Given the safety profile of </w:t>
            </w:r>
            <w:proofErr w:type="spellStart"/>
            <w:r w:rsidRPr="00E40993">
              <w:t>abacavir</w:t>
            </w:r>
            <w:proofErr w:type="spellEnd"/>
            <w:r w:rsidRPr="00E40993">
              <w:t>, these findings are not considered clinically significant.</w:t>
            </w:r>
          </w:p>
        </w:tc>
      </w:tr>
    </w:tbl>
    <w:p w:rsidR="005D4367" w:rsidRDefault="00532C37">
      <w:pPr>
        <w:spacing w:after="0"/>
        <w:rPr>
          <w:sz w:val="20"/>
          <w:lang w:eastAsia="zh-CN"/>
        </w:rPr>
      </w:pPr>
      <w:r w:rsidRPr="00532C37">
        <w:rPr>
          <w:sz w:val="20"/>
          <w:lang w:eastAsia="zh-CN"/>
        </w:rPr>
        <w:t xml:space="preserve">Abbreviations: </w:t>
      </w:r>
      <w:r w:rsidRPr="00532C37">
        <w:rPr>
          <w:sz w:val="20"/>
        </w:rPr>
        <w:sym w:font="Symbol" w:char="F0AD"/>
      </w:r>
      <w:r w:rsidRPr="00532C37">
        <w:rPr>
          <w:sz w:val="20"/>
          <w:lang w:eastAsia="zh-CN"/>
        </w:rPr>
        <w:t xml:space="preserve"> = Increase; </w:t>
      </w:r>
      <w:r w:rsidRPr="00532C37">
        <w:rPr>
          <w:sz w:val="20"/>
        </w:rPr>
        <w:sym w:font="Symbol" w:char="F0AF"/>
      </w:r>
      <w:r w:rsidRPr="00532C37">
        <w:rPr>
          <w:sz w:val="20"/>
          <w:lang w:eastAsia="zh-CN"/>
        </w:rPr>
        <w:t xml:space="preserve"> = decrease; </w:t>
      </w:r>
      <w:r w:rsidRPr="00532C37">
        <w:rPr>
          <w:sz w:val="20"/>
        </w:rPr>
        <w:sym w:font="Symbol" w:char="F0AB"/>
      </w:r>
      <w:r w:rsidRPr="00532C37">
        <w:rPr>
          <w:sz w:val="20"/>
          <w:lang w:eastAsia="zh-CN"/>
        </w:rPr>
        <w:t xml:space="preserve"> = no significant change; AUC = area under the concentration versus time curve; </w:t>
      </w:r>
      <w:proofErr w:type="spellStart"/>
      <w:r w:rsidRPr="00532C37">
        <w:rPr>
          <w:sz w:val="20"/>
          <w:lang w:eastAsia="zh-CN"/>
        </w:rPr>
        <w:t>C</w:t>
      </w:r>
      <w:r w:rsidRPr="00532C37">
        <w:rPr>
          <w:sz w:val="20"/>
          <w:vertAlign w:val="subscript"/>
          <w:lang w:eastAsia="zh-CN"/>
        </w:rPr>
        <w:t>max</w:t>
      </w:r>
      <w:proofErr w:type="spellEnd"/>
      <w:r w:rsidRPr="00532C37">
        <w:rPr>
          <w:sz w:val="20"/>
          <w:vertAlign w:val="subscript"/>
          <w:lang w:eastAsia="zh-CN"/>
        </w:rPr>
        <w:t xml:space="preserve"> </w:t>
      </w:r>
      <w:r w:rsidRPr="00532C37">
        <w:rPr>
          <w:sz w:val="20"/>
          <w:lang w:eastAsia="zh-CN"/>
        </w:rPr>
        <w:t xml:space="preserve">= maximum observed concentration, </w:t>
      </w:r>
      <w:r w:rsidRPr="00532C37">
        <w:rPr>
          <w:sz w:val="20"/>
          <w:szCs w:val="22"/>
        </w:rPr>
        <w:t>CL/F</w:t>
      </w:r>
      <w:r w:rsidRPr="00532C37">
        <w:rPr>
          <w:sz w:val="20"/>
          <w:lang w:eastAsia="zh-CN"/>
        </w:rPr>
        <w:t xml:space="preserve"> = apparent clearance</w:t>
      </w:r>
    </w:p>
    <w:p w:rsidR="008A5B7A" w:rsidRPr="00E40993" w:rsidRDefault="008A5B7A" w:rsidP="008A5B7A">
      <w:pPr>
        <w:rPr>
          <w:lang w:eastAsia="zh-CN"/>
        </w:rPr>
      </w:pPr>
    </w:p>
    <w:p w:rsidR="00E54C3C" w:rsidRDefault="00694B42">
      <w:pPr>
        <w:keepNext/>
        <w:ind w:left="567"/>
        <w:rPr>
          <w:rFonts w:cs="Arial"/>
          <w:b/>
          <w:bCs/>
          <w:szCs w:val="22"/>
        </w:rPr>
      </w:pPr>
      <w:r w:rsidRPr="00E40993">
        <w:rPr>
          <w:rFonts w:cs="Arial"/>
          <w:b/>
          <w:bCs/>
          <w:szCs w:val="22"/>
        </w:rPr>
        <w:t xml:space="preserve">Table </w:t>
      </w:r>
      <w:r w:rsidR="0045447B" w:rsidRPr="00E40993">
        <w:rPr>
          <w:rFonts w:cs="Arial"/>
          <w:b/>
          <w:bCs/>
          <w:szCs w:val="22"/>
        </w:rPr>
        <w:t>5</w:t>
      </w:r>
      <w:r w:rsidRPr="00E40993">
        <w:rPr>
          <w:rFonts w:cs="Arial"/>
          <w:b/>
          <w:bCs/>
          <w:szCs w:val="22"/>
        </w:rPr>
        <w:tab/>
        <w:t>Drug Interactions studied with lamivudine</w:t>
      </w: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764"/>
        <w:gridCol w:w="3863"/>
      </w:tblGrid>
      <w:tr w:rsidR="00694B42" w:rsidRPr="00E40993" w:rsidTr="00524EED">
        <w:tc>
          <w:tcPr>
            <w:tcW w:w="2235" w:type="dxa"/>
          </w:tcPr>
          <w:p w:rsidR="005D4367" w:rsidRDefault="00694B42">
            <w:pPr>
              <w:keepNext/>
              <w:spacing w:after="0"/>
              <w:jc w:val="left"/>
              <w:rPr>
                <w:b/>
              </w:rPr>
            </w:pPr>
            <w:r w:rsidRPr="00E40993">
              <w:rPr>
                <w:b/>
              </w:rPr>
              <w:t>Concomitant Drug Class:</w:t>
            </w:r>
            <w:r w:rsidRPr="00E40993">
              <w:rPr>
                <w:b/>
              </w:rPr>
              <w:br/>
              <w:t>Drug Name</w:t>
            </w:r>
          </w:p>
        </w:tc>
        <w:tc>
          <w:tcPr>
            <w:tcW w:w="2764" w:type="dxa"/>
          </w:tcPr>
          <w:p w:rsidR="005D4367" w:rsidRDefault="00694B42">
            <w:pPr>
              <w:keepNext/>
              <w:spacing w:after="0"/>
              <w:jc w:val="left"/>
              <w:rPr>
                <w:b/>
              </w:rPr>
            </w:pPr>
            <w:r w:rsidRPr="00E40993">
              <w:rPr>
                <w:b/>
              </w:rPr>
              <w:t>Effect on Concentration of lamivudine or Concomitant Drug</w:t>
            </w:r>
          </w:p>
        </w:tc>
        <w:tc>
          <w:tcPr>
            <w:tcW w:w="3863" w:type="dxa"/>
          </w:tcPr>
          <w:p w:rsidR="005D4367" w:rsidRDefault="00694B42">
            <w:pPr>
              <w:keepNext/>
              <w:spacing w:after="0"/>
              <w:jc w:val="left"/>
              <w:rPr>
                <w:b/>
              </w:rPr>
            </w:pPr>
            <w:r w:rsidRPr="00E40993">
              <w:rPr>
                <w:b/>
              </w:rPr>
              <w:t>Clinical Comment</w:t>
            </w:r>
          </w:p>
        </w:tc>
      </w:tr>
      <w:tr w:rsidR="00694B42" w:rsidRPr="00E40993" w:rsidTr="00524EED">
        <w:tc>
          <w:tcPr>
            <w:tcW w:w="2235" w:type="dxa"/>
          </w:tcPr>
          <w:p w:rsidR="005D4367" w:rsidRDefault="00694B42">
            <w:pPr>
              <w:keepNext/>
              <w:spacing w:after="0"/>
              <w:jc w:val="left"/>
            </w:pPr>
            <w:r w:rsidRPr="00E40993">
              <w:rPr>
                <w:szCs w:val="24"/>
              </w:rPr>
              <w:t>Trimethoprim/</w:t>
            </w:r>
            <w:proofErr w:type="spellStart"/>
            <w:r w:rsidRPr="00E40993">
              <w:rPr>
                <w:szCs w:val="24"/>
              </w:rPr>
              <w:t>sulfamethoxazole</w:t>
            </w:r>
            <w:proofErr w:type="spellEnd"/>
            <w:r w:rsidRPr="00E40993">
              <w:rPr>
                <w:szCs w:val="24"/>
              </w:rPr>
              <w:t xml:space="preserve"> (Co-</w:t>
            </w:r>
            <w:proofErr w:type="spellStart"/>
            <w:r w:rsidRPr="00E40993">
              <w:rPr>
                <w:szCs w:val="24"/>
              </w:rPr>
              <w:t>trimoxazole</w:t>
            </w:r>
            <w:proofErr w:type="spellEnd"/>
            <w:r w:rsidRPr="00E40993">
              <w:rPr>
                <w:szCs w:val="24"/>
              </w:rPr>
              <w:t>) (160mg/800mg once daily for 5 days/</w:t>
            </w:r>
            <w:r w:rsidRPr="00E40993">
              <w:rPr>
                <w:szCs w:val="24"/>
                <w:lang w:val="it-IT"/>
              </w:rPr>
              <w:t>300mg single dose)</w:t>
            </w:r>
          </w:p>
        </w:tc>
        <w:tc>
          <w:tcPr>
            <w:tcW w:w="2764" w:type="dxa"/>
          </w:tcPr>
          <w:p w:rsidR="005D4367" w:rsidRDefault="00694B42">
            <w:pPr>
              <w:keepNext/>
              <w:spacing w:after="0"/>
              <w:jc w:val="left"/>
            </w:pPr>
            <w:r w:rsidRPr="00E40993">
              <w:rPr>
                <w:szCs w:val="24"/>
              </w:rPr>
              <w:t xml:space="preserve">Lamivudine: AUC </w:t>
            </w:r>
            <w:r w:rsidRPr="00E40993">
              <w:rPr>
                <w:szCs w:val="24"/>
              </w:rPr>
              <w:sym w:font="Symbol" w:char="F0AD"/>
            </w:r>
            <w:r w:rsidRPr="00E40993">
              <w:rPr>
                <w:szCs w:val="24"/>
              </w:rPr>
              <w:t>40%</w:t>
            </w:r>
          </w:p>
          <w:p w:rsidR="005D4367" w:rsidRDefault="00694B42">
            <w:pPr>
              <w:keepNext/>
              <w:spacing w:after="0"/>
              <w:jc w:val="left"/>
            </w:pPr>
            <w:r w:rsidRPr="00E40993">
              <w:rPr>
                <w:szCs w:val="24"/>
              </w:rPr>
              <w:t xml:space="preserve">Trimethoprim: AUC </w:t>
            </w:r>
            <w:r w:rsidRPr="00E40993">
              <w:rPr>
                <w:szCs w:val="24"/>
              </w:rPr>
              <w:sym w:font="Symbol" w:char="F0AB"/>
            </w:r>
          </w:p>
          <w:p w:rsidR="005D4367" w:rsidRDefault="00694B42">
            <w:pPr>
              <w:keepNext/>
              <w:spacing w:after="0"/>
              <w:jc w:val="left"/>
            </w:pPr>
            <w:proofErr w:type="spellStart"/>
            <w:r w:rsidRPr="00E40993">
              <w:rPr>
                <w:szCs w:val="24"/>
              </w:rPr>
              <w:t>Sulfamethoxazole</w:t>
            </w:r>
            <w:proofErr w:type="spellEnd"/>
            <w:r w:rsidRPr="00E40993">
              <w:rPr>
                <w:szCs w:val="24"/>
              </w:rPr>
              <w:t xml:space="preserve">: AUC </w:t>
            </w:r>
            <w:r w:rsidRPr="00E40993">
              <w:rPr>
                <w:szCs w:val="24"/>
              </w:rPr>
              <w:sym w:font="Symbol" w:char="F0AB"/>
            </w:r>
          </w:p>
        </w:tc>
        <w:tc>
          <w:tcPr>
            <w:tcW w:w="3863" w:type="dxa"/>
          </w:tcPr>
          <w:p w:rsidR="005D4367" w:rsidRDefault="00694B42">
            <w:pPr>
              <w:keepNext/>
              <w:spacing w:after="0"/>
              <w:jc w:val="left"/>
            </w:pPr>
            <w:r w:rsidRPr="00E40993">
              <w:t xml:space="preserve">Unless the </w:t>
            </w:r>
            <w:r w:rsidR="007C720C">
              <w:t>patient</w:t>
            </w:r>
            <w:r w:rsidRPr="00E40993">
              <w:t xml:space="preserve"> has renal impairment, no dosage adjustment of lamivudine is necessary (see Dosage and Administration). Lamivudine has no effect on the pharmacokinetics of trimethoprim or </w:t>
            </w:r>
            <w:proofErr w:type="spellStart"/>
            <w:r w:rsidRPr="00E40993">
              <w:t>sulfamethoxazole</w:t>
            </w:r>
            <w:proofErr w:type="spellEnd"/>
            <w:r w:rsidRPr="00E40993">
              <w:t>. The effect of co-administration of lamivudine with higher doses of co-</w:t>
            </w:r>
            <w:proofErr w:type="spellStart"/>
            <w:r w:rsidRPr="00E40993">
              <w:t>trimoxazole</w:t>
            </w:r>
            <w:proofErr w:type="spellEnd"/>
            <w:r w:rsidRPr="00E40993">
              <w:t xml:space="preserve"> used for the treatment of Pneumocystis </w:t>
            </w:r>
            <w:proofErr w:type="spellStart"/>
            <w:r w:rsidRPr="00E40993">
              <w:t>jiroveci</w:t>
            </w:r>
            <w:proofErr w:type="spellEnd"/>
            <w:r w:rsidRPr="00E40993">
              <w:t xml:space="preserve"> (P. </w:t>
            </w:r>
            <w:proofErr w:type="spellStart"/>
            <w:r w:rsidRPr="00E40993">
              <w:t>carinii</w:t>
            </w:r>
            <w:proofErr w:type="spellEnd"/>
            <w:r w:rsidRPr="00E40993">
              <w:t xml:space="preserve">) pneumonia and toxoplasmosis has not been studied. </w:t>
            </w:r>
            <w:r w:rsidR="008A5B7A" w:rsidRPr="00E40993">
              <w:t>TRIUMEQ</w:t>
            </w:r>
            <w:r w:rsidRPr="00E40993">
              <w:t xml:space="preserve"> is not recommended for </w:t>
            </w:r>
            <w:r w:rsidR="007C720C">
              <w:t>patient</w:t>
            </w:r>
            <w:r w:rsidRPr="00E40993">
              <w:t xml:space="preserve">s with </w:t>
            </w:r>
            <w:proofErr w:type="spellStart"/>
            <w:r w:rsidRPr="00E40993">
              <w:t>CrCl</w:t>
            </w:r>
            <w:proofErr w:type="spellEnd"/>
            <w:r w:rsidRPr="00E40993">
              <w:t xml:space="preserve"> of &lt;50 ml/min.</w:t>
            </w:r>
          </w:p>
        </w:tc>
      </w:tr>
      <w:tr w:rsidR="00694B42" w:rsidRPr="00E40993" w:rsidTr="00524EED">
        <w:tc>
          <w:tcPr>
            <w:tcW w:w="2235" w:type="dxa"/>
          </w:tcPr>
          <w:p w:rsidR="005D4367" w:rsidRDefault="00694B42">
            <w:pPr>
              <w:keepNext/>
              <w:spacing w:after="0"/>
              <w:rPr>
                <w:szCs w:val="24"/>
              </w:rPr>
            </w:pPr>
            <w:proofErr w:type="spellStart"/>
            <w:r w:rsidRPr="00E40993">
              <w:rPr>
                <w:szCs w:val="24"/>
              </w:rPr>
              <w:t>Emtricitabine</w:t>
            </w:r>
            <w:proofErr w:type="spellEnd"/>
          </w:p>
        </w:tc>
        <w:tc>
          <w:tcPr>
            <w:tcW w:w="2764" w:type="dxa"/>
          </w:tcPr>
          <w:p w:rsidR="005D4367" w:rsidRDefault="005D4367">
            <w:pPr>
              <w:keepNext/>
              <w:spacing w:after="0"/>
              <w:rPr>
                <w:szCs w:val="24"/>
              </w:rPr>
            </w:pPr>
          </w:p>
        </w:tc>
        <w:tc>
          <w:tcPr>
            <w:tcW w:w="3863" w:type="dxa"/>
          </w:tcPr>
          <w:p w:rsidR="005D4367" w:rsidRDefault="00694B42">
            <w:pPr>
              <w:keepNext/>
              <w:spacing w:after="0"/>
              <w:jc w:val="left"/>
            </w:pPr>
            <w:r w:rsidRPr="00E40993">
              <w:t xml:space="preserve">Lamivudine may inhibit the intracellular phosphorylation of </w:t>
            </w:r>
            <w:proofErr w:type="spellStart"/>
            <w:r w:rsidRPr="00E40993">
              <w:t>emtricitabine</w:t>
            </w:r>
            <w:proofErr w:type="spellEnd"/>
            <w:r w:rsidRPr="00E40993">
              <w:t xml:space="preserve"> when the two medicinal products are used concurrently. Additionally, the mechanism of viral resistance for both lamivudine and </w:t>
            </w:r>
            <w:proofErr w:type="spellStart"/>
            <w:r w:rsidRPr="00E40993">
              <w:t>emtricitabine</w:t>
            </w:r>
            <w:proofErr w:type="spellEnd"/>
            <w:r w:rsidRPr="00E40993">
              <w:t xml:space="preserve"> is mediated via mutation of the same viral reverse transcriptase gene (M184V) and therefore the therapeutic efficacy of these drugs in combination therapy may be limited. Lamivudine is not recommended for use in combination with </w:t>
            </w:r>
            <w:proofErr w:type="spellStart"/>
            <w:r w:rsidRPr="00E40993">
              <w:t>emtricitabine</w:t>
            </w:r>
            <w:proofErr w:type="spellEnd"/>
            <w:r w:rsidRPr="00E40993">
              <w:t xml:space="preserve"> or </w:t>
            </w:r>
            <w:proofErr w:type="spellStart"/>
            <w:r w:rsidRPr="00E40993">
              <w:t>emtricitabine</w:t>
            </w:r>
            <w:proofErr w:type="spellEnd"/>
            <w:r w:rsidRPr="00E40993">
              <w:t>-containing fixed-dose combinations.</w:t>
            </w:r>
          </w:p>
        </w:tc>
      </w:tr>
      <w:tr w:rsidR="00694B42" w:rsidRPr="00E40993" w:rsidTr="00524EED">
        <w:tc>
          <w:tcPr>
            <w:tcW w:w="2235" w:type="dxa"/>
          </w:tcPr>
          <w:p w:rsidR="005D4367" w:rsidRDefault="00694B42">
            <w:pPr>
              <w:keepNext/>
              <w:spacing w:after="0"/>
              <w:rPr>
                <w:szCs w:val="24"/>
              </w:rPr>
            </w:pPr>
            <w:proofErr w:type="spellStart"/>
            <w:r w:rsidRPr="00E40993">
              <w:rPr>
                <w:szCs w:val="24"/>
              </w:rPr>
              <w:t>Zalcitabine</w:t>
            </w:r>
            <w:proofErr w:type="spellEnd"/>
          </w:p>
        </w:tc>
        <w:tc>
          <w:tcPr>
            <w:tcW w:w="2764" w:type="dxa"/>
          </w:tcPr>
          <w:p w:rsidR="005D4367" w:rsidRDefault="005D4367">
            <w:pPr>
              <w:keepNext/>
              <w:spacing w:after="0"/>
              <w:rPr>
                <w:szCs w:val="24"/>
              </w:rPr>
            </w:pPr>
          </w:p>
        </w:tc>
        <w:tc>
          <w:tcPr>
            <w:tcW w:w="3863" w:type="dxa"/>
          </w:tcPr>
          <w:p w:rsidR="005D4367" w:rsidRDefault="00694B42">
            <w:pPr>
              <w:keepNext/>
              <w:spacing w:after="0"/>
              <w:jc w:val="left"/>
            </w:pPr>
            <w:r w:rsidRPr="00E40993">
              <w:t xml:space="preserve">Lamivudine may inhibit the intracellular phosphorylation of </w:t>
            </w:r>
            <w:proofErr w:type="spellStart"/>
            <w:r w:rsidRPr="00E40993">
              <w:t>zalcitabine</w:t>
            </w:r>
            <w:proofErr w:type="spellEnd"/>
            <w:r w:rsidRPr="00E40993">
              <w:t xml:space="preserve"> when the two medicinal products are used concurrently. </w:t>
            </w:r>
            <w:r w:rsidR="008A5B7A" w:rsidRPr="00E40993">
              <w:t>TRIUMEQ</w:t>
            </w:r>
            <w:r w:rsidRPr="00E40993">
              <w:t xml:space="preserve"> is therefore not recommended to be used in combination with </w:t>
            </w:r>
            <w:proofErr w:type="spellStart"/>
            <w:r w:rsidRPr="00E40993">
              <w:t>zalcitabine</w:t>
            </w:r>
            <w:proofErr w:type="spellEnd"/>
            <w:r w:rsidRPr="00E40993">
              <w:t>.</w:t>
            </w:r>
          </w:p>
        </w:tc>
      </w:tr>
    </w:tbl>
    <w:p w:rsidR="005D4367" w:rsidRDefault="00532C37">
      <w:pPr>
        <w:keepNext/>
        <w:spacing w:after="0"/>
        <w:rPr>
          <w:sz w:val="20"/>
          <w:lang w:eastAsia="zh-CN"/>
        </w:rPr>
      </w:pPr>
      <w:r w:rsidRPr="00532C37">
        <w:rPr>
          <w:sz w:val="20"/>
          <w:lang w:eastAsia="zh-CN"/>
        </w:rPr>
        <w:t xml:space="preserve">Abbreviations: </w:t>
      </w:r>
      <w:r w:rsidRPr="00532C37">
        <w:rPr>
          <w:sz w:val="20"/>
        </w:rPr>
        <w:sym w:font="Symbol" w:char="F0AD"/>
      </w:r>
      <w:r w:rsidRPr="00532C37">
        <w:rPr>
          <w:sz w:val="20"/>
          <w:lang w:eastAsia="zh-CN"/>
        </w:rPr>
        <w:t xml:space="preserve"> = Increase; </w:t>
      </w:r>
      <w:r w:rsidRPr="00532C37">
        <w:rPr>
          <w:sz w:val="20"/>
        </w:rPr>
        <w:sym w:font="Symbol" w:char="F0AB"/>
      </w:r>
      <w:r w:rsidRPr="00532C37">
        <w:rPr>
          <w:sz w:val="20"/>
          <w:lang w:eastAsia="zh-CN"/>
        </w:rPr>
        <w:t xml:space="preserve"> = no significant change; AUC = area under the concentration versus time curve</w:t>
      </w:r>
    </w:p>
    <w:p w:rsidR="00567D06" w:rsidRDefault="00567D06" w:rsidP="0045447B">
      <w:pPr>
        <w:pStyle w:val="Heading1"/>
      </w:pPr>
    </w:p>
    <w:p w:rsidR="0077380F" w:rsidRDefault="0077380F" w:rsidP="0045447B">
      <w:pPr>
        <w:pStyle w:val="Heading1"/>
      </w:pPr>
      <w:r w:rsidRPr="00E40993">
        <w:t>AD</w:t>
      </w:r>
      <w:smartTag w:uri="schemas-GSKSiteLocations-com/fourthcoffee" w:element="flavor">
        <w:r w:rsidRPr="00E40993">
          <w:t>VER</w:t>
        </w:r>
      </w:smartTag>
      <w:r w:rsidRPr="00E40993">
        <w:t>SE EFFECTS</w:t>
      </w:r>
    </w:p>
    <w:p w:rsidR="00947FC3" w:rsidRPr="00E40993" w:rsidRDefault="008A5B7A" w:rsidP="00510C45">
      <w:bookmarkStart w:id="2" w:name="_Toc156109959"/>
      <w:bookmarkStart w:id="3" w:name="_Toc157906094"/>
      <w:r w:rsidRPr="00E40993">
        <w:t xml:space="preserve">TRIUMEQ </w:t>
      </w:r>
      <w:r w:rsidR="00947FC3" w:rsidRPr="00E40993">
        <w:t xml:space="preserve">contains </w:t>
      </w:r>
      <w:proofErr w:type="spellStart"/>
      <w:r w:rsidR="00947FC3" w:rsidRPr="00E40993">
        <w:t>dolutegravir</w:t>
      </w:r>
      <w:proofErr w:type="spellEnd"/>
      <w:r w:rsidR="00947FC3" w:rsidRPr="00E40993">
        <w:t xml:space="preserve">, </w:t>
      </w:r>
      <w:proofErr w:type="spellStart"/>
      <w:r w:rsidR="00947FC3" w:rsidRPr="00E40993">
        <w:t>abacavir</w:t>
      </w:r>
      <w:proofErr w:type="spellEnd"/>
      <w:r w:rsidR="00947FC3" w:rsidRPr="00E40993">
        <w:t xml:space="preserve"> and lamivudine, therefore the adverse events associated with these may be expected.  For many of the adverse events listed it is unclear whether they are related to the active substance, the wide range of other medicinal products used in the management of HIV infection, or whether they are a result of the underlying disease process.</w:t>
      </w:r>
    </w:p>
    <w:p w:rsidR="00947FC3" w:rsidRPr="00E40993" w:rsidRDefault="00947FC3" w:rsidP="00947FC3">
      <w:pPr>
        <w:pStyle w:val="anchor"/>
      </w:pPr>
    </w:p>
    <w:tbl>
      <w:tblPr>
        <w:tblW w:w="0" w:type="auto"/>
        <w:tblInd w:w="108" w:type="dxa"/>
        <w:tblLayout w:type="fixed"/>
        <w:tblLook w:val="0000" w:firstRow="0" w:lastRow="0" w:firstColumn="0" w:lastColumn="0" w:noHBand="0" w:noVBand="0"/>
      </w:tblPr>
      <w:tblGrid>
        <w:gridCol w:w="2688"/>
        <w:gridCol w:w="5951"/>
      </w:tblGrid>
      <w:tr w:rsidR="00947FC3" w:rsidRPr="00E40993" w:rsidTr="00524EED">
        <w:trPr>
          <w:cantSplit/>
        </w:trPr>
        <w:tc>
          <w:tcPr>
            <w:tcW w:w="8639" w:type="dxa"/>
            <w:gridSpan w:val="2"/>
            <w:tcBorders>
              <w:top w:val="single" w:sz="4" w:space="0" w:color="auto"/>
              <w:left w:val="single" w:sz="4" w:space="0" w:color="auto"/>
              <w:right w:val="single" w:sz="4" w:space="0" w:color="auto"/>
            </w:tcBorders>
            <w:shd w:val="clear" w:color="auto" w:fill="auto"/>
          </w:tcPr>
          <w:p w:rsidR="00947FC3" w:rsidRPr="00E40993" w:rsidRDefault="00947FC3" w:rsidP="00524EED">
            <w:r w:rsidRPr="00E40993">
              <w:rPr>
                <w:b/>
              </w:rPr>
              <w:t xml:space="preserve">Hypersensitivity to </w:t>
            </w:r>
            <w:proofErr w:type="spellStart"/>
            <w:r w:rsidR="00E92191">
              <w:rPr>
                <w:b/>
              </w:rPr>
              <w:t>A</w:t>
            </w:r>
            <w:r w:rsidRPr="00E40993">
              <w:rPr>
                <w:b/>
              </w:rPr>
              <w:t>bacavir</w:t>
            </w:r>
            <w:proofErr w:type="spellEnd"/>
            <w:r w:rsidR="008A5B7A" w:rsidRPr="00E40993">
              <w:t xml:space="preserve"> (see also </w:t>
            </w:r>
            <w:r w:rsidRPr="00E40993">
              <w:rPr>
                <w:i/>
              </w:rPr>
              <w:t>Precautions).</w:t>
            </w:r>
          </w:p>
          <w:p w:rsidR="00947FC3" w:rsidRPr="00E40993" w:rsidRDefault="00947FC3" w:rsidP="00947FC3">
            <w:r w:rsidRPr="00E40993">
              <w:t xml:space="preserve">Overall, in clinical studies conducted before the introduction of screening for the HLA-B*5701 allele, approximately 5% of </w:t>
            </w:r>
            <w:r w:rsidR="007C720C">
              <w:t>patient</w:t>
            </w:r>
            <w:r w:rsidRPr="00E40993">
              <w:t xml:space="preserve">s receiving </w:t>
            </w:r>
            <w:proofErr w:type="spellStart"/>
            <w:r w:rsidRPr="00E40993">
              <w:t>abacavir</w:t>
            </w:r>
            <w:proofErr w:type="spellEnd"/>
            <w:r w:rsidRPr="00E40993">
              <w:t xml:space="preserve"> developed a hypersensitivity reaction, which in rare cases has proved fatal. This reaction is characterised by the appearance of symptoms indicating multi-organ/body-system involvement.</w:t>
            </w:r>
          </w:p>
          <w:p w:rsidR="00947FC3" w:rsidRPr="00E40993" w:rsidRDefault="00947FC3" w:rsidP="00947FC3">
            <w:r w:rsidRPr="00E40993">
              <w:t xml:space="preserve">Almost all </w:t>
            </w:r>
            <w:r w:rsidR="007C720C">
              <w:t>patient</w:t>
            </w:r>
            <w:r w:rsidRPr="00E40993">
              <w:t xml:space="preserve">s developing hypersensitivity reactions will have fever and/or rash (usually </w:t>
            </w:r>
            <w:proofErr w:type="spellStart"/>
            <w:r w:rsidRPr="00E40993">
              <w:t>maculopapular</w:t>
            </w:r>
            <w:proofErr w:type="spellEnd"/>
            <w:r w:rsidRPr="00E40993">
              <w:t xml:space="preserve"> or urticarial) as part of the syndrome, however reactions have occurred without rash or fever.</w:t>
            </w:r>
          </w:p>
          <w:p w:rsidR="00947FC3" w:rsidRPr="00E40993" w:rsidRDefault="00947FC3" w:rsidP="00947FC3">
            <w:r w:rsidRPr="00E40993">
              <w:t xml:space="preserve">Symptoms can occur at any time while being treated with </w:t>
            </w:r>
            <w:proofErr w:type="spellStart"/>
            <w:r w:rsidRPr="00E40993">
              <w:t>abacavir</w:t>
            </w:r>
            <w:proofErr w:type="spellEnd"/>
            <w:r w:rsidRPr="00E40993">
              <w:t>, but usually appear within the first six weeks of initiation of treatment (median time to onset 11 days).</w:t>
            </w:r>
          </w:p>
          <w:p w:rsidR="00947FC3" w:rsidRPr="00E40993" w:rsidRDefault="00947FC3" w:rsidP="00947FC3">
            <w:r w:rsidRPr="00E40993">
              <w:t xml:space="preserve">The signs and symptoms of this hypersensitivity reaction are listed below. Those reported </w:t>
            </w:r>
            <w:r w:rsidRPr="00E40993">
              <w:rPr>
                <w:b/>
              </w:rPr>
              <w:t>in at least 10%</w:t>
            </w:r>
            <w:r w:rsidRPr="00E40993">
              <w:t xml:space="preserve"> of </w:t>
            </w:r>
            <w:r w:rsidR="007C720C">
              <w:t>patient</w:t>
            </w:r>
            <w:r w:rsidRPr="00E40993">
              <w:t>s with a hypersensitivity reaction are in bold text.</w:t>
            </w:r>
          </w:p>
          <w:p w:rsidR="008A5B7A" w:rsidRPr="00E40993" w:rsidRDefault="008A5B7A" w:rsidP="00947FC3"/>
        </w:tc>
      </w:tr>
      <w:tr w:rsidR="00947FC3" w:rsidRPr="00E40993" w:rsidTr="00524EED">
        <w:trPr>
          <w:cantSplit/>
        </w:trPr>
        <w:tc>
          <w:tcPr>
            <w:tcW w:w="2688" w:type="dxa"/>
            <w:tcBorders>
              <w:left w:val="single" w:sz="4" w:space="0" w:color="auto"/>
              <w:right w:val="single" w:sz="4" w:space="0" w:color="auto"/>
            </w:tcBorders>
            <w:shd w:val="clear" w:color="auto" w:fill="auto"/>
          </w:tcPr>
          <w:p w:rsidR="00947FC3" w:rsidRPr="00E40993" w:rsidRDefault="00947FC3" w:rsidP="00947FC3">
            <w:pPr>
              <w:rPr>
                <w:i/>
              </w:rPr>
            </w:pPr>
            <w:r w:rsidRPr="00E40993">
              <w:rPr>
                <w:i/>
              </w:rPr>
              <w:t>Skin:</w:t>
            </w:r>
          </w:p>
        </w:tc>
        <w:tc>
          <w:tcPr>
            <w:tcW w:w="5951" w:type="dxa"/>
            <w:tcBorders>
              <w:left w:val="single" w:sz="4" w:space="0" w:color="auto"/>
              <w:right w:val="single" w:sz="4" w:space="0" w:color="auto"/>
            </w:tcBorders>
            <w:shd w:val="clear" w:color="auto" w:fill="auto"/>
          </w:tcPr>
          <w:p w:rsidR="00947FC3" w:rsidRPr="00E40993" w:rsidRDefault="00947FC3" w:rsidP="00947FC3">
            <w:r w:rsidRPr="00E40993">
              <w:rPr>
                <w:b/>
              </w:rPr>
              <w:t>rash</w:t>
            </w:r>
            <w:r w:rsidRPr="00E40993">
              <w:t xml:space="preserve"> (usually </w:t>
            </w:r>
            <w:proofErr w:type="spellStart"/>
            <w:r w:rsidRPr="00E40993">
              <w:t>maculopapular</w:t>
            </w:r>
            <w:proofErr w:type="spellEnd"/>
            <w:r w:rsidRPr="00E40993">
              <w:t xml:space="preserve"> or urticarial) </w:t>
            </w:r>
          </w:p>
        </w:tc>
      </w:tr>
      <w:tr w:rsidR="00947FC3" w:rsidRPr="00E40993" w:rsidTr="00524EED">
        <w:trPr>
          <w:cantSplit/>
        </w:trPr>
        <w:tc>
          <w:tcPr>
            <w:tcW w:w="2688" w:type="dxa"/>
            <w:tcBorders>
              <w:left w:val="single" w:sz="4" w:space="0" w:color="auto"/>
              <w:right w:val="single" w:sz="4" w:space="0" w:color="auto"/>
            </w:tcBorders>
            <w:shd w:val="clear" w:color="auto" w:fill="auto"/>
          </w:tcPr>
          <w:p w:rsidR="00947FC3" w:rsidRPr="00E40993" w:rsidRDefault="00947FC3" w:rsidP="00947FC3">
            <w:pPr>
              <w:rPr>
                <w:i/>
              </w:rPr>
            </w:pPr>
            <w:r w:rsidRPr="00E40993">
              <w:rPr>
                <w:i/>
              </w:rPr>
              <w:t>Gastrointestinal tract:</w:t>
            </w:r>
          </w:p>
        </w:tc>
        <w:tc>
          <w:tcPr>
            <w:tcW w:w="5951" w:type="dxa"/>
            <w:tcBorders>
              <w:left w:val="single" w:sz="4" w:space="0" w:color="auto"/>
              <w:right w:val="single" w:sz="4" w:space="0" w:color="auto"/>
            </w:tcBorders>
            <w:shd w:val="clear" w:color="auto" w:fill="auto"/>
          </w:tcPr>
          <w:p w:rsidR="00947FC3" w:rsidRPr="00E40993" w:rsidRDefault="00947FC3" w:rsidP="00947FC3">
            <w:r w:rsidRPr="00E40993">
              <w:rPr>
                <w:b/>
              </w:rPr>
              <w:t>nausea, vomiting, diarrhoea, abdominal pain,</w:t>
            </w:r>
            <w:r w:rsidRPr="00E40993">
              <w:t xml:space="preserve"> mouth ulceration</w:t>
            </w:r>
          </w:p>
        </w:tc>
      </w:tr>
      <w:tr w:rsidR="00947FC3" w:rsidRPr="00E40993" w:rsidTr="00524EED">
        <w:trPr>
          <w:cantSplit/>
        </w:trPr>
        <w:tc>
          <w:tcPr>
            <w:tcW w:w="2688" w:type="dxa"/>
            <w:tcBorders>
              <w:left w:val="single" w:sz="4" w:space="0" w:color="auto"/>
              <w:right w:val="single" w:sz="4" w:space="0" w:color="auto"/>
            </w:tcBorders>
            <w:shd w:val="clear" w:color="auto" w:fill="auto"/>
          </w:tcPr>
          <w:p w:rsidR="00947FC3" w:rsidRPr="00E40993" w:rsidRDefault="00947FC3" w:rsidP="00947FC3">
            <w:pPr>
              <w:rPr>
                <w:i/>
              </w:rPr>
            </w:pPr>
            <w:r w:rsidRPr="00E40993">
              <w:rPr>
                <w:i/>
              </w:rPr>
              <w:t>Respiratory tract:</w:t>
            </w:r>
          </w:p>
        </w:tc>
        <w:tc>
          <w:tcPr>
            <w:tcW w:w="5951" w:type="dxa"/>
            <w:tcBorders>
              <w:left w:val="single" w:sz="4" w:space="0" w:color="auto"/>
              <w:right w:val="single" w:sz="4" w:space="0" w:color="auto"/>
            </w:tcBorders>
            <w:shd w:val="clear" w:color="auto" w:fill="auto"/>
          </w:tcPr>
          <w:p w:rsidR="00947FC3" w:rsidRPr="00E40993" w:rsidRDefault="00947FC3" w:rsidP="00947FC3">
            <w:r w:rsidRPr="00E40993">
              <w:rPr>
                <w:b/>
              </w:rPr>
              <w:t>dyspnoea, cough,</w:t>
            </w:r>
            <w:r w:rsidRPr="00E40993">
              <w:t xml:space="preserve"> sore throat, adult respiratory distress syndrome, respiratory failure</w:t>
            </w:r>
          </w:p>
        </w:tc>
      </w:tr>
      <w:tr w:rsidR="00947FC3" w:rsidRPr="00E40993" w:rsidTr="00524EED">
        <w:trPr>
          <w:cantSplit/>
        </w:trPr>
        <w:tc>
          <w:tcPr>
            <w:tcW w:w="2688" w:type="dxa"/>
            <w:tcBorders>
              <w:left w:val="single" w:sz="4" w:space="0" w:color="auto"/>
              <w:right w:val="single" w:sz="4" w:space="0" w:color="auto"/>
            </w:tcBorders>
            <w:shd w:val="clear" w:color="auto" w:fill="auto"/>
          </w:tcPr>
          <w:p w:rsidR="00947FC3" w:rsidRPr="00E40993" w:rsidRDefault="00947FC3" w:rsidP="00947FC3">
            <w:pPr>
              <w:rPr>
                <w:i/>
              </w:rPr>
            </w:pPr>
            <w:r w:rsidRPr="00E40993">
              <w:rPr>
                <w:i/>
              </w:rPr>
              <w:t>Miscellaneous:</w:t>
            </w:r>
          </w:p>
        </w:tc>
        <w:tc>
          <w:tcPr>
            <w:tcW w:w="5951" w:type="dxa"/>
            <w:tcBorders>
              <w:left w:val="single" w:sz="4" w:space="0" w:color="auto"/>
              <w:right w:val="single" w:sz="4" w:space="0" w:color="auto"/>
            </w:tcBorders>
            <w:shd w:val="clear" w:color="auto" w:fill="auto"/>
          </w:tcPr>
          <w:p w:rsidR="00947FC3" w:rsidRPr="00E40993" w:rsidRDefault="00947FC3" w:rsidP="00947FC3">
            <w:r w:rsidRPr="00E40993">
              <w:rPr>
                <w:b/>
              </w:rPr>
              <w:t>fever, fatigue, malaise,</w:t>
            </w:r>
            <w:r w:rsidRPr="00E40993">
              <w:t xml:space="preserve"> oedema, lymphadenopathy, hypotension, conjunctivitis, anaphylaxis</w:t>
            </w:r>
          </w:p>
        </w:tc>
      </w:tr>
      <w:tr w:rsidR="00947FC3" w:rsidRPr="00E40993" w:rsidTr="00524EED">
        <w:trPr>
          <w:cantSplit/>
        </w:trPr>
        <w:tc>
          <w:tcPr>
            <w:tcW w:w="2688" w:type="dxa"/>
            <w:tcBorders>
              <w:left w:val="single" w:sz="4" w:space="0" w:color="auto"/>
              <w:right w:val="single" w:sz="4" w:space="0" w:color="auto"/>
            </w:tcBorders>
            <w:shd w:val="clear" w:color="auto" w:fill="auto"/>
          </w:tcPr>
          <w:p w:rsidR="00947FC3" w:rsidRPr="00E40993" w:rsidRDefault="00947FC3" w:rsidP="00947FC3">
            <w:pPr>
              <w:rPr>
                <w:i/>
              </w:rPr>
            </w:pPr>
            <w:r w:rsidRPr="00E40993">
              <w:rPr>
                <w:i/>
              </w:rPr>
              <w:t>Neurological/Psychiatry:</w:t>
            </w:r>
          </w:p>
        </w:tc>
        <w:tc>
          <w:tcPr>
            <w:tcW w:w="5951" w:type="dxa"/>
            <w:tcBorders>
              <w:left w:val="single" w:sz="4" w:space="0" w:color="auto"/>
              <w:right w:val="single" w:sz="4" w:space="0" w:color="auto"/>
            </w:tcBorders>
            <w:shd w:val="clear" w:color="auto" w:fill="auto"/>
          </w:tcPr>
          <w:p w:rsidR="00947FC3" w:rsidRPr="00E40993" w:rsidRDefault="00947FC3" w:rsidP="00947FC3">
            <w:r w:rsidRPr="00E40993">
              <w:rPr>
                <w:b/>
              </w:rPr>
              <w:t>headache,</w:t>
            </w:r>
            <w:r w:rsidRPr="00E40993">
              <w:t xml:space="preserve"> paraesthesia</w:t>
            </w:r>
          </w:p>
        </w:tc>
      </w:tr>
      <w:tr w:rsidR="00947FC3" w:rsidRPr="00E40993" w:rsidTr="00524EED">
        <w:trPr>
          <w:cantSplit/>
        </w:trPr>
        <w:tc>
          <w:tcPr>
            <w:tcW w:w="2688" w:type="dxa"/>
            <w:tcBorders>
              <w:left w:val="single" w:sz="4" w:space="0" w:color="auto"/>
              <w:right w:val="single" w:sz="4" w:space="0" w:color="auto"/>
            </w:tcBorders>
            <w:shd w:val="clear" w:color="auto" w:fill="auto"/>
          </w:tcPr>
          <w:p w:rsidR="00947FC3" w:rsidRPr="00E40993" w:rsidRDefault="00947FC3" w:rsidP="00947FC3">
            <w:pPr>
              <w:rPr>
                <w:i/>
              </w:rPr>
            </w:pPr>
            <w:r w:rsidRPr="00E40993">
              <w:rPr>
                <w:i/>
              </w:rPr>
              <w:t>Haematological:</w:t>
            </w:r>
          </w:p>
        </w:tc>
        <w:tc>
          <w:tcPr>
            <w:tcW w:w="5951" w:type="dxa"/>
            <w:tcBorders>
              <w:left w:val="single" w:sz="4" w:space="0" w:color="auto"/>
              <w:right w:val="single" w:sz="4" w:space="0" w:color="auto"/>
            </w:tcBorders>
            <w:shd w:val="clear" w:color="auto" w:fill="auto"/>
          </w:tcPr>
          <w:p w:rsidR="00947FC3" w:rsidRPr="00E40993" w:rsidRDefault="00947FC3" w:rsidP="00947FC3">
            <w:proofErr w:type="spellStart"/>
            <w:r w:rsidRPr="00E40993">
              <w:t>Lymphopenia</w:t>
            </w:r>
            <w:proofErr w:type="spellEnd"/>
          </w:p>
        </w:tc>
      </w:tr>
      <w:tr w:rsidR="00947FC3" w:rsidRPr="00E40993" w:rsidTr="00524EED">
        <w:trPr>
          <w:cantSplit/>
        </w:trPr>
        <w:tc>
          <w:tcPr>
            <w:tcW w:w="2688" w:type="dxa"/>
            <w:tcBorders>
              <w:left w:val="single" w:sz="4" w:space="0" w:color="auto"/>
              <w:right w:val="single" w:sz="4" w:space="0" w:color="auto"/>
            </w:tcBorders>
            <w:shd w:val="clear" w:color="auto" w:fill="auto"/>
          </w:tcPr>
          <w:p w:rsidR="00947FC3" w:rsidRPr="00E40993" w:rsidRDefault="00947FC3" w:rsidP="00947FC3">
            <w:pPr>
              <w:rPr>
                <w:i/>
              </w:rPr>
            </w:pPr>
            <w:r w:rsidRPr="00E40993">
              <w:rPr>
                <w:i/>
              </w:rPr>
              <w:t>Liver/pancreas:</w:t>
            </w:r>
          </w:p>
        </w:tc>
        <w:tc>
          <w:tcPr>
            <w:tcW w:w="5951" w:type="dxa"/>
            <w:tcBorders>
              <w:left w:val="single" w:sz="4" w:space="0" w:color="auto"/>
              <w:right w:val="single" w:sz="4" w:space="0" w:color="auto"/>
            </w:tcBorders>
            <w:shd w:val="clear" w:color="auto" w:fill="auto"/>
          </w:tcPr>
          <w:p w:rsidR="00947FC3" w:rsidRPr="00E40993" w:rsidRDefault="00947FC3" w:rsidP="00947FC3">
            <w:r w:rsidRPr="00E40993">
              <w:rPr>
                <w:b/>
              </w:rPr>
              <w:t>elevated liver function tests,</w:t>
            </w:r>
            <w:r w:rsidRPr="00E40993">
              <w:t xml:space="preserve"> hepatic failure</w:t>
            </w:r>
          </w:p>
        </w:tc>
      </w:tr>
      <w:tr w:rsidR="00947FC3" w:rsidRPr="00E40993" w:rsidTr="00524EED">
        <w:trPr>
          <w:cantSplit/>
        </w:trPr>
        <w:tc>
          <w:tcPr>
            <w:tcW w:w="2688" w:type="dxa"/>
            <w:tcBorders>
              <w:left w:val="single" w:sz="4" w:space="0" w:color="auto"/>
              <w:right w:val="single" w:sz="4" w:space="0" w:color="auto"/>
            </w:tcBorders>
            <w:shd w:val="clear" w:color="auto" w:fill="auto"/>
          </w:tcPr>
          <w:p w:rsidR="00947FC3" w:rsidRPr="00E40993" w:rsidRDefault="00947FC3" w:rsidP="00947FC3">
            <w:pPr>
              <w:rPr>
                <w:i/>
              </w:rPr>
            </w:pPr>
            <w:r w:rsidRPr="00E40993">
              <w:rPr>
                <w:i/>
              </w:rPr>
              <w:t>Musculoskeletal:</w:t>
            </w:r>
          </w:p>
        </w:tc>
        <w:tc>
          <w:tcPr>
            <w:tcW w:w="5951" w:type="dxa"/>
            <w:tcBorders>
              <w:left w:val="single" w:sz="4" w:space="0" w:color="auto"/>
              <w:right w:val="single" w:sz="4" w:space="0" w:color="auto"/>
            </w:tcBorders>
            <w:shd w:val="clear" w:color="auto" w:fill="auto"/>
          </w:tcPr>
          <w:p w:rsidR="00947FC3" w:rsidRPr="00E40993" w:rsidRDefault="00947FC3" w:rsidP="00947FC3">
            <w:r w:rsidRPr="00E40993">
              <w:rPr>
                <w:b/>
              </w:rPr>
              <w:t>myalgia,</w:t>
            </w:r>
            <w:r w:rsidRPr="00E40993">
              <w:t xml:space="preserve"> rarely </w:t>
            </w:r>
            <w:proofErr w:type="spellStart"/>
            <w:r w:rsidRPr="00E40993">
              <w:t>myolysis</w:t>
            </w:r>
            <w:proofErr w:type="spellEnd"/>
            <w:r w:rsidRPr="00E40993">
              <w:t xml:space="preserve">, arthralgia, elevated </w:t>
            </w:r>
            <w:proofErr w:type="spellStart"/>
            <w:r w:rsidRPr="00E40993">
              <w:t>creatine</w:t>
            </w:r>
            <w:proofErr w:type="spellEnd"/>
            <w:r w:rsidRPr="00E40993">
              <w:t xml:space="preserve"> phosphokinase</w:t>
            </w:r>
          </w:p>
        </w:tc>
      </w:tr>
      <w:tr w:rsidR="00947FC3" w:rsidRPr="00E40993" w:rsidTr="00524EED">
        <w:trPr>
          <w:cantSplit/>
        </w:trPr>
        <w:tc>
          <w:tcPr>
            <w:tcW w:w="2688" w:type="dxa"/>
            <w:tcBorders>
              <w:left w:val="single" w:sz="4" w:space="0" w:color="auto"/>
              <w:right w:val="single" w:sz="4" w:space="0" w:color="auto"/>
            </w:tcBorders>
            <w:shd w:val="clear" w:color="auto" w:fill="auto"/>
          </w:tcPr>
          <w:p w:rsidR="00947FC3" w:rsidRPr="00E40993" w:rsidRDefault="00947FC3" w:rsidP="00947FC3">
            <w:pPr>
              <w:rPr>
                <w:i/>
              </w:rPr>
            </w:pPr>
            <w:r w:rsidRPr="00E40993">
              <w:rPr>
                <w:i/>
              </w:rPr>
              <w:t>Urology:</w:t>
            </w:r>
          </w:p>
        </w:tc>
        <w:tc>
          <w:tcPr>
            <w:tcW w:w="5951" w:type="dxa"/>
            <w:tcBorders>
              <w:left w:val="single" w:sz="4" w:space="0" w:color="auto"/>
              <w:right w:val="single" w:sz="4" w:space="0" w:color="auto"/>
            </w:tcBorders>
            <w:shd w:val="clear" w:color="auto" w:fill="auto"/>
          </w:tcPr>
          <w:p w:rsidR="00947FC3" w:rsidRPr="00E40993" w:rsidRDefault="00947FC3" w:rsidP="006F2D67">
            <w:r w:rsidRPr="00E40993">
              <w:t>elevated creatinine, renal failure</w:t>
            </w:r>
          </w:p>
        </w:tc>
      </w:tr>
      <w:tr w:rsidR="00947FC3" w:rsidRPr="00E40993" w:rsidTr="00524EED">
        <w:trPr>
          <w:cantSplit/>
        </w:trPr>
        <w:tc>
          <w:tcPr>
            <w:tcW w:w="8639" w:type="dxa"/>
            <w:gridSpan w:val="2"/>
            <w:tcBorders>
              <w:left w:val="single" w:sz="4" w:space="0" w:color="auto"/>
              <w:bottom w:val="single" w:sz="4" w:space="0" w:color="auto"/>
              <w:right w:val="single" w:sz="4" w:space="0" w:color="auto"/>
            </w:tcBorders>
            <w:shd w:val="clear" w:color="auto" w:fill="auto"/>
          </w:tcPr>
          <w:p w:rsidR="00947FC3" w:rsidRPr="00E40993" w:rsidRDefault="00947FC3" w:rsidP="00524EED">
            <w:r w:rsidRPr="00E40993">
              <w:t xml:space="preserve">Some </w:t>
            </w:r>
            <w:r w:rsidR="007C720C">
              <w:t>patient</w:t>
            </w:r>
            <w:r w:rsidRPr="00E40993">
              <w:t xml:space="preserve">s with hypersensitivity were initially thought to have respiratory disease (pneumonia, bronchitis, pharyngitis), a flu-like illness, gastroenteritis or reactions to other medications. This delay in diagnosis of hypersensitivity has resulted in </w:t>
            </w:r>
            <w:proofErr w:type="spellStart"/>
            <w:r w:rsidRPr="00E40993">
              <w:t>abacavir</w:t>
            </w:r>
            <w:proofErr w:type="spellEnd"/>
            <w:r w:rsidRPr="00E40993">
              <w:t xml:space="preserve"> being continued or re-introduced, leading to a more severe hypersensitivity reaction or death.  Therefore, the diagnosis of hypersensitivity reaction should be carefully considered for </w:t>
            </w:r>
            <w:r w:rsidR="007C720C">
              <w:t>patient</w:t>
            </w:r>
            <w:r w:rsidRPr="00E40993">
              <w:t xml:space="preserve">s presenting with symptoms of these diseases.  If hypersensitivity reaction cannot be ruled out, </w:t>
            </w:r>
            <w:r w:rsidR="008A5B7A" w:rsidRPr="00E40993">
              <w:t>TRIUMEQ</w:t>
            </w:r>
            <w:r w:rsidRPr="00E40993">
              <w:t xml:space="preserve">, or any other medicinal product containing </w:t>
            </w:r>
            <w:proofErr w:type="spellStart"/>
            <w:r w:rsidRPr="00E40993">
              <w:t>abacavir</w:t>
            </w:r>
            <w:proofErr w:type="spellEnd"/>
            <w:r w:rsidRPr="00E40993">
              <w:t xml:space="preserve"> (e.g. ZIAGEN</w:t>
            </w:r>
            <w:r w:rsidR="002A0499">
              <w:t xml:space="preserve"> [</w:t>
            </w:r>
            <w:proofErr w:type="spellStart"/>
            <w:r w:rsidR="002A0499">
              <w:t>abacavir</w:t>
            </w:r>
            <w:proofErr w:type="spellEnd"/>
            <w:r w:rsidR="002A0499">
              <w:t>]</w:t>
            </w:r>
            <w:r w:rsidRPr="00E40993">
              <w:t>, KIVEXA</w:t>
            </w:r>
            <w:r w:rsidR="002A0499">
              <w:t xml:space="preserve"> </w:t>
            </w:r>
            <w:r w:rsidR="002A0499" w:rsidRPr="00034E3A">
              <w:rPr>
                <w:rFonts w:cs="Arial"/>
                <w:snapToGrid w:val="0"/>
                <w:color w:val="000000"/>
                <w:lang w:eastAsia="en-US"/>
              </w:rPr>
              <w:t>[</w:t>
            </w:r>
            <w:proofErr w:type="spellStart"/>
            <w:r w:rsidR="002A0499" w:rsidRPr="00034E3A">
              <w:rPr>
                <w:rFonts w:cs="Arial"/>
                <w:snapToGrid w:val="0"/>
                <w:color w:val="000000"/>
                <w:lang w:eastAsia="en-US"/>
              </w:rPr>
              <w:t>abacavir</w:t>
            </w:r>
            <w:proofErr w:type="spellEnd"/>
            <w:r w:rsidR="002A0499">
              <w:rPr>
                <w:rFonts w:cs="Arial"/>
                <w:snapToGrid w:val="0"/>
                <w:color w:val="000000"/>
                <w:lang w:eastAsia="en-US"/>
              </w:rPr>
              <w:t>/lamivudine</w:t>
            </w:r>
            <w:r w:rsidR="002A0499" w:rsidRPr="00034E3A">
              <w:rPr>
                <w:rFonts w:cs="Arial"/>
                <w:snapToGrid w:val="0"/>
                <w:color w:val="000000"/>
                <w:lang w:eastAsia="en-US"/>
              </w:rPr>
              <w:t>]</w:t>
            </w:r>
            <w:r w:rsidRPr="00E40993">
              <w:t>, TRIZIVIR</w:t>
            </w:r>
            <w:r w:rsidR="002A0499">
              <w:t xml:space="preserve"> </w:t>
            </w:r>
            <w:r w:rsidR="002A0499" w:rsidRPr="00034E3A">
              <w:rPr>
                <w:rFonts w:cs="Arial"/>
                <w:snapToGrid w:val="0"/>
                <w:color w:val="000000"/>
                <w:lang w:eastAsia="en-US"/>
              </w:rPr>
              <w:t>[</w:t>
            </w:r>
            <w:proofErr w:type="spellStart"/>
            <w:r w:rsidR="002A0499" w:rsidRPr="00034E3A">
              <w:rPr>
                <w:rFonts w:cs="Arial"/>
                <w:snapToGrid w:val="0"/>
                <w:color w:val="000000"/>
                <w:lang w:eastAsia="en-US"/>
              </w:rPr>
              <w:t>abacavir</w:t>
            </w:r>
            <w:proofErr w:type="spellEnd"/>
            <w:r w:rsidR="002A0499" w:rsidRPr="00034E3A">
              <w:rPr>
                <w:rFonts w:cs="Arial"/>
                <w:snapToGrid w:val="0"/>
                <w:color w:val="000000"/>
                <w:lang w:eastAsia="en-US"/>
              </w:rPr>
              <w:t>/lamivudine/</w:t>
            </w:r>
            <w:proofErr w:type="spellStart"/>
            <w:r w:rsidR="002A0499" w:rsidRPr="00034E3A">
              <w:rPr>
                <w:rFonts w:cs="Arial"/>
                <w:snapToGrid w:val="0"/>
                <w:color w:val="000000"/>
                <w:lang w:eastAsia="en-US"/>
              </w:rPr>
              <w:t>zidovudine</w:t>
            </w:r>
            <w:proofErr w:type="spellEnd"/>
            <w:r w:rsidR="002A0499" w:rsidRPr="00034E3A">
              <w:rPr>
                <w:rFonts w:cs="Arial"/>
                <w:snapToGrid w:val="0"/>
                <w:color w:val="000000"/>
                <w:lang w:eastAsia="en-US"/>
              </w:rPr>
              <w:t>]</w:t>
            </w:r>
            <w:r w:rsidRPr="00E40993">
              <w:t>) should not be restarted.</w:t>
            </w:r>
          </w:p>
          <w:p w:rsidR="00947FC3" w:rsidRPr="00E40993" w:rsidRDefault="00947FC3" w:rsidP="00524EED">
            <w:r w:rsidRPr="00E40993">
              <w:t xml:space="preserve">The symptoms related to this hypersensitivity reaction worsen with continued therapy, and usually resolve upon discontinuation of </w:t>
            </w:r>
            <w:proofErr w:type="spellStart"/>
            <w:r w:rsidRPr="00E40993">
              <w:t>abacavir</w:t>
            </w:r>
            <w:proofErr w:type="spellEnd"/>
            <w:r w:rsidRPr="00E40993">
              <w:t xml:space="preserve">. </w:t>
            </w:r>
          </w:p>
          <w:p w:rsidR="00947FC3" w:rsidRPr="00E40993" w:rsidRDefault="00947FC3" w:rsidP="00524EED">
            <w:r w:rsidRPr="00E40993">
              <w:t xml:space="preserve">Restarting </w:t>
            </w:r>
            <w:proofErr w:type="spellStart"/>
            <w:r w:rsidRPr="00E40993">
              <w:t>abacavir</w:t>
            </w:r>
            <w:proofErr w:type="spellEnd"/>
            <w:r w:rsidRPr="00E40993">
              <w:t xml:space="preserve"> following a hypersensitivity reaction results in a prompt return of symptoms within hours. </w:t>
            </w:r>
            <w:r w:rsidRPr="00E40993">
              <w:rPr>
                <w:b/>
              </w:rPr>
              <w:t xml:space="preserve">This recurrence of the hypersensitivity reaction may be more severe than on initial presentation, and may include life-threatening hypotension and death.  Regardless of their HLA-B*5701 status, </w:t>
            </w:r>
            <w:r w:rsidR="007C720C">
              <w:rPr>
                <w:b/>
              </w:rPr>
              <w:t>patient</w:t>
            </w:r>
            <w:r w:rsidRPr="00E40993">
              <w:rPr>
                <w:b/>
              </w:rPr>
              <w:t xml:space="preserve">s who develop this hypersensitivity reaction must discontinue </w:t>
            </w:r>
            <w:r w:rsidR="008A5B7A" w:rsidRPr="00E40993">
              <w:rPr>
                <w:b/>
              </w:rPr>
              <w:t>TRIUMEQ</w:t>
            </w:r>
            <w:r w:rsidRPr="00E40993">
              <w:rPr>
                <w:b/>
              </w:rPr>
              <w:t xml:space="preserve"> and must never be rechallenged with </w:t>
            </w:r>
            <w:r w:rsidR="008A5B7A" w:rsidRPr="00E40993">
              <w:rPr>
                <w:b/>
              </w:rPr>
              <w:t>TRIUMEQ</w:t>
            </w:r>
            <w:r w:rsidRPr="00E40993">
              <w:rPr>
                <w:b/>
              </w:rPr>
              <w:t xml:space="preserve">, or any other medicinal product containing </w:t>
            </w:r>
            <w:proofErr w:type="spellStart"/>
            <w:r w:rsidRPr="00E40993">
              <w:rPr>
                <w:b/>
              </w:rPr>
              <w:t>abacavir</w:t>
            </w:r>
            <w:proofErr w:type="spellEnd"/>
            <w:r w:rsidRPr="00E40993">
              <w:rPr>
                <w:b/>
              </w:rPr>
              <w:t xml:space="preserve"> (e.g. ZIAGEN</w:t>
            </w:r>
            <w:r w:rsidR="002A0499" w:rsidRPr="002A0499">
              <w:t xml:space="preserve"> [</w:t>
            </w:r>
            <w:proofErr w:type="spellStart"/>
            <w:r w:rsidR="002A0499" w:rsidRPr="002A0499">
              <w:t>abacavir</w:t>
            </w:r>
            <w:proofErr w:type="spellEnd"/>
            <w:r w:rsidR="002A0499" w:rsidRPr="002A0499">
              <w:t>]</w:t>
            </w:r>
            <w:r w:rsidRPr="00E40993">
              <w:rPr>
                <w:b/>
              </w:rPr>
              <w:t>, KIVEXA</w:t>
            </w:r>
            <w:r w:rsidR="002A0499">
              <w:rPr>
                <w:b/>
              </w:rPr>
              <w:t xml:space="preserve"> </w:t>
            </w:r>
            <w:r w:rsidR="002A0499" w:rsidRPr="00034E3A">
              <w:rPr>
                <w:rFonts w:cs="Arial"/>
                <w:snapToGrid w:val="0"/>
                <w:color w:val="000000"/>
                <w:lang w:eastAsia="en-US"/>
              </w:rPr>
              <w:t>[</w:t>
            </w:r>
            <w:proofErr w:type="spellStart"/>
            <w:r w:rsidR="002A0499" w:rsidRPr="00034E3A">
              <w:rPr>
                <w:rFonts w:cs="Arial"/>
                <w:snapToGrid w:val="0"/>
                <w:color w:val="000000"/>
                <w:lang w:eastAsia="en-US"/>
              </w:rPr>
              <w:t>abacavir</w:t>
            </w:r>
            <w:proofErr w:type="spellEnd"/>
            <w:r w:rsidR="002A0499" w:rsidRPr="00034E3A">
              <w:rPr>
                <w:rFonts w:cs="Arial"/>
                <w:snapToGrid w:val="0"/>
                <w:color w:val="000000"/>
                <w:lang w:eastAsia="en-US"/>
              </w:rPr>
              <w:t>/lamivudine]</w:t>
            </w:r>
            <w:r w:rsidRPr="00E40993">
              <w:rPr>
                <w:b/>
              </w:rPr>
              <w:t>, TRIZIVIR</w:t>
            </w:r>
            <w:r w:rsidR="002A0499" w:rsidRPr="00034E3A">
              <w:t xml:space="preserve"> </w:t>
            </w:r>
            <w:r w:rsidR="002A0499" w:rsidRPr="00034E3A">
              <w:rPr>
                <w:rFonts w:cs="Arial"/>
                <w:snapToGrid w:val="0"/>
                <w:color w:val="000000"/>
                <w:lang w:eastAsia="en-US"/>
              </w:rPr>
              <w:t>[</w:t>
            </w:r>
            <w:proofErr w:type="spellStart"/>
            <w:r w:rsidR="002A0499" w:rsidRPr="00034E3A">
              <w:rPr>
                <w:rFonts w:cs="Arial"/>
                <w:snapToGrid w:val="0"/>
                <w:color w:val="000000"/>
                <w:lang w:eastAsia="en-US"/>
              </w:rPr>
              <w:t>abacavir</w:t>
            </w:r>
            <w:proofErr w:type="spellEnd"/>
            <w:r w:rsidR="002A0499" w:rsidRPr="00034E3A">
              <w:rPr>
                <w:rFonts w:cs="Arial"/>
                <w:snapToGrid w:val="0"/>
                <w:color w:val="000000"/>
                <w:lang w:eastAsia="en-US"/>
              </w:rPr>
              <w:t>/lamivudine/</w:t>
            </w:r>
            <w:proofErr w:type="spellStart"/>
            <w:r w:rsidR="002A0499" w:rsidRPr="00034E3A">
              <w:rPr>
                <w:rFonts w:cs="Arial"/>
                <w:snapToGrid w:val="0"/>
                <w:color w:val="000000"/>
                <w:lang w:eastAsia="en-US"/>
              </w:rPr>
              <w:t>zidovudine</w:t>
            </w:r>
            <w:proofErr w:type="spellEnd"/>
            <w:r w:rsidR="002A0499" w:rsidRPr="00034E3A">
              <w:rPr>
                <w:rFonts w:cs="Arial"/>
                <w:snapToGrid w:val="0"/>
                <w:color w:val="000000"/>
                <w:lang w:eastAsia="en-US"/>
              </w:rPr>
              <w:t>]</w:t>
            </w:r>
            <w:r w:rsidRPr="00E40993">
              <w:rPr>
                <w:b/>
              </w:rPr>
              <w:t>).</w:t>
            </w:r>
          </w:p>
          <w:p w:rsidR="00947FC3" w:rsidRPr="00E40993" w:rsidRDefault="00947FC3" w:rsidP="00524EED">
            <w:r w:rsidRPr="00E40993">
              <w:t xml:space="preserve">There have been infrequent reports of hypersensitivity reactions following reintroduction of </w:t>
            </w:r>
            <w:proofErr w:type="spellStart"/>
            <w:r w:rsidRPr="00E40993">
              <w:t>abacavir</w:t>
            </w:r>
            <w:proofErr w:type="spellEnd"/>
            <w:r w:rsidRPr="00E40993">
              <w:t>, where the interruption was preceded by a single key symptom of hypersensitivity (rash, fever, malaise/fatigue, gastrointestinal or a respiratory symptom).</w:t>
            </w:r>
          </w:p>
          <w:p w:rsidR="00947FC3" w:rsidRPr="00E40993" w:rsidRDefault="00947FC3" w:rsidP="00524EED">
            <w:r w:rsidRPr="00E40993">
              <w:t xml:space="preserve">On very rare occasions hypersensitivity reactions have been reported in </w:t>
            </w:r>
            <w:r w:rsidR="007C720C">
              <w:t>patient</w:t>
            </w:r>
            <w:r w:rsidRPr="00E40993">
              <w:t xml:space="preserve">s who have restarted therapy, and who had no preceding symptoms of a hypersensitivity reaction.  </w:t>
            </w:r>
          </w:p>
        </w:tc>
      </w:tr>
    </w:tbl>
    <w:p w:rsidR="00947FC3" w:rsidRPr="00E40993" w:rsidRDefault="00947FC3" w:rsidP="00524EED"/>
    <w:p w:rsidR="00947FC3" w:rsidRPr="00E40993" w:rsidRDefault="00947FC3" w:rsidP="00510C45">
      <w:r w:rsidRPr="00E40993">
        <w:t xml:space="preserve">Many of the adverse events listed occur commonly (nausea, vomiting, diarrhoea, fever, lethargy, rash) in </w:t>
      </w:r>
      <w:r w:rsidR="007C720C">
        <w:t>patient</w:t>
      </w:r>
      <w:r w:rsidRPr="00E40993">
        <w:t xml:space="preserve">s with </w:t>
      </w:r>
      <w:proofErr w:type="spellStart"/>
      <w:r w:rsidRPr="00E40993">
        <w:t>abacavir</w:t>
      </w:r>
      <w:proofErr w:type="spellEnd"/>
      <w:r w:rsidRPr="00E40993">
        <w:t xml:space="preserve"> hypersensitivity. Therefore, </w:t>
      </w:r>
      <w:r w:rsidR="007C720C">
        <w:t>patient</w:t>
      </w:r>
      <w:r w:rsidRPr="00E40993">
        <w:t xml:space="preserve">s with any of these symptoms should be carefully evaluated for the presence of this hypersensitivity reaction. If </w:t>
      </w:r>
      <w:r w:rsidR="008A5B7A" w:rsidRPr="00E40993">
        <w:t>TRIUMEQ</w:t>
      </w:r>
      <w:r w:rsidRPr="00E40993">
        <w:t xml:space="preserve"> has been discontinued in </w:t>
      </w:r>
      <w:r w:rsidR="007C720C">
        <w:t>patient</w:t>
      </w:r>
      <w:r w:rsidRPr="00E40993">
        <w:t xml:space="preserve">s due to experiencing any one of these symptoms and a decision is made to restart </w:t>
      </w:r>
      <w:proofErr w:type="spellStart"/>
      <w:r w:rsidRPr="00E40993">
        <w:t>abacavir</w:t>
      </w:r>
      <w:proofErr w:type="spellEnd"/>
      <w:r w:rsidRPr="00E40993">
        <w:t>, this must be done only under direct medical supervision (</w:t>
      </w:r>
      <w:r w:rsidRPr="00E40993">
        <w:rPr>
          <w:i/>
        </w:rPr>
        <w:t xml:space="preserve">see Special considerations following an interruption of </w:t>
      </w:r>
      <w:r w:rsidR="008A5B7A" w:rsidRPr="00E40993">
        <w:rPr>
          <w:i/>
        </w:rPr>
        <w:t>TRIUMEQ</w:t>
      </w:r>
      <w:r w:rsidRPr="00E40993">
        <w:rPr>
          <w:i/>
        </w:rPr>
        <w:t xml:space="preserve"> therapy in Precautions</w:t>
      </w:r>
      <w:r w:rsidRPr="00E40993">
        <w:t>).</w:t>
      </w:r>
    </w:p>
    <w:p w:rsidR="00947FC3" w:rsidRPr="00E40993" w:rsidRDefault="00947FC3" w:rsidP="00510C45">
      <w:pPr>
        <w:rPr>
          <w:color w:val="000000" w:themeColor="text1"/>
        </w:rPr>
      </w:pPr>
      <w:r w:rsidRPr="00E40993">
        <w:t xml:space="preserve">Adverse drug reactions for </w:t>
      </w:r>
      <w:proofErr w:type="spellStart"/>
      <w:r w:rsidRPr="00E40993">
        <w:t>dolutegravir</w:t>
      </w:r>
      <w:proofErr w:type="spellEnd"/>
      <w:r w:rsidRPr="00E40993">
        <w:t xml:space="preserve">, </w:t>
      </w:r>
      <w:proofErr w:type="spellStart"/>
      <w:r w:rsidRPr="00E40993">
        <w:t>abacavir</w:t>
      </w:r>
      <w:proofErr w:type="spellEnd"/>
      <w:r w:rsidRPr="00E40993">
        <w:t xml:space="preserve"> or lamivudine are listed in the tables below by </w:t>
      </w:r>
      <w:proofErr w:type="spellStart"/>
      <w:r w:rsidRPr="00E40993">
        <w:t>MedDRA</w:t>
      </w:r>
      <w:proofErr w:type="spellEnd"/>
      <w:r w:rsidRPr="00E40993">
        <w:t xml:space="preserve"> system organ class and by frequency. Frequencies are defined as very comm</w:t>
      </w:r>
      <w:r w:rsidRPr="00E40993">
        <w:rPr>
          <w:color w:val="000000" w:themeColor="text1"/>
        </w:rPr>
        <w:t>on (≥1/10), common (≥1/100, &lt;1/10), uncommon (≥1/1,000, &lt;1/100), rare (≥1/10,000, &lt;1/1000) and very rare (&lt;1/10,000), including isolated reports.</w:t>
      </w:r>
    </w:p>
    <w:p w:rsidR="00E04F22" w:rsidRDefault="00E04F22" w:rsidP="00CF3C5F">
      <w:pPr>
        <w:pStyle w:val="Heading2"/>
        <w:rPr>
          <w:snapToGrid w:val="0"/>
          <w:lang w:eastAsia="en-US"/>
        </w:rPr>
      </w:pPr>
    </w:p>
    <w:p w:rsidR="000C786D" w:rsidRPr="00E40993" w:rsidRDefault="001412CB" w:rsidP="00CF3C5F">
      <w:pPr>
        <w:pStyle w:val="Heading2"/>
        <w:rPr>
          <w:lang w:val="en-GB" w:eastAsia="en-US"/>
        </w:rPr>
      </w:pPr>
      <w:r w:rsidRPr="00E40993">
        <w:rPr>
          <w:snapToGrid w:val="0"/>
          <w:lang w:eastAsia="en-US"/>
        </w:rPr>
        <w:t xml:space="preserve">Clinical </w:t>
      </w:r>
      <w:r w:rsidR="00E92191">
        <w:rPr>
          <w:snapToGrid w:val="0"/>
          <w:lang w:eastAsia="en-US"/>
        </w:rPr>
        <w:t>T</w:t>
      </w:r>
      <w:r w:rsidRPr="00E40993">
        <w:rPr>
          <w:snapToGrid w:val="0"/>
          <w:lang w:eastAsia="en-US"/>
        </w:rPr>
        <w:t xml:space="preserve">rial </w:t>
      </w:r>
      <w:r w:rsidR="00E92191">
        <w:rPr>
          <w:snapToGrid w:val="0"/>
          <w:lang w:eastAsia="en-US"/>
        </w:rPr>
        <w:t>D</w:t>
      </w:r>
      <w:r w:rsidRPr="00E40993">
        <w:rPr>
          <w:snapToGrid w:val="0"/>
          <w:lang w:eastAsia="en-US"/>
        </w:rPr>
        <w:t>ata</w:t>
      </w:r>
    </w:p>
    <w:p w:rsidR="00D760A8" w:rsidRDefault="00524EED" w:rsidP="00510C45">
      <w:pPr>
        <w:rPr>
          <w:rFonts w:eastAsia="MS Mincho"/>
        </w:rPr>
      </w:pPr>
      <w:r w:rsidRPr="00E40993">
        <w:rPr>
          <w:rFonts w:eastAsia="MS Mincho"/>
        </w:rPr>
        <w:t xml:space="preserve">Clinical safety data with </w:t>
      </w:r>
      <w:r w:rsidR="008A5B7A" w:rsidRPr="00E40993">
        <w:t>TRIUMEQ</w:t>
      </w:r>
      <w:r w:rsidRPr="00E40993">
        <w:rPr>
          <w:rFonts w:eastAsia="MS Mincho"/>
        </w:rPr>
        <w:t xml:space="preserve"> are limited. The adverse reactions observed for the combination of DTG + ABC/3TC in analysis of pooled data from Phase </w:t>
      </w:r>
      <w:proofErr w:type="spellStart"/>
      <w:r w:rsidRPr="00E40993">
        <w:rPr>
          <w:rFonts w:eastAsia="MS Mincho"/>
        </w:rPr>
        <w:t>IIb</w:t>
      </w:r>
      <w:proofErr w:type="spellEnd"/>
      <w:r w:rsidRPr="00E40993">
        <w:rPr>
          <w:rFonts w:eastAsia="MS Mincho"/>
        </w:rPr>
        <w:t xml:space="preserve"> to Phase </w:t>
      </w:r>
      <w:proofErr w:type="spellStart"/>
      <w:r w:rsidRPr="00E40993">
        <w:rPr>
          <w:rFonts w:eastAsia="MS Mincho"/>
        </w:rPr>
        <w:t>IIIb</w:t>
      </w:r>
      <w:proofErr w:type="spellEnd"/>
      <w:r w:rsidRPr="00E40993">
        <w:rPr>
          <w:rFonts w:eastAsia="MS Mincho"/>
        </w:rPr>
        <w:t xml:space="preserve"> clinical trials were generally consistent with the adverse reaction profiles for the individual components </w:t>
      </w:r>
      <w:proofErr w:type="spellStart"/>
      <w:r w:rsidRPr="00E40993">
        <w:rPr>
          <w:rFonts w:eastAsia="MS Mincho"/>
        </w:rPr>
        <w:t>dolutegravir</w:t>
      </w:r>
      <w:proofErr w:type="spellEnd"/>
      <w:r w:rsidRPr="00E40993">
        <w:rPr>
          <w:rFonts w:eastAsia="MS Mincho"/>
        </w:rPr>
        <w:t xml:space="preserve">, </w:t>
      </w:r>
      <w:proofErr w:type="spellStart"/>
      <w:r w:rsidRPr="00E40993">
        <w:rPr>
          <w:rFonts w:eastAsia="MS Mincho"/>
        </w:rPr>
        <w:t>abacavir</w:t>
      </w:r>
      <w:proofErr w:type="spellEnd"/>
      <w:r w:rsidRPr="00E40993">
        <w:rPr>
          <w:rFonts w:eastAsia="MS Mincho"/>
        </w:rPr>
        <w:t xml:space="preserve"> and lamivudine.</w:t>
      </w:r>
    </w:p>
    <w:p w:rsidR="00D760A8" w:rsidRPr="00D760A8" w:rsidRDefault="00D760A8" w:rsidP="00D760A8">
      <w:pPr>
        <w:rPr>
          <w:rFonts w:eastAsia="MS Mincho"/>
          <w:lang w:val="en-GB"/>
        </w:rPr>
      </w:pPr>
      <w:r w:rsidRPr="00D760A8">
        <w:rPr>
          <w:rFonts w:eastAsia="MS Mincho"/>
          <w:lang w:val="en-GB"/>
        </w:rPr>
        <w:t xml:space="preserve">There was no difference between the combination and the individual components in severity for any observed adverse reactions. </w:t>
      </w:r>
    </w:p>
    <w:p w:rsidR="00E04F22" w:rsidRDefault="00E04F22" w:rsidP="00E017C2">
      <w:pPr>
        <w:rPr>
          <w:rFonts w:eastAsia="MS Mincho"/>
          <w:b/>
          <w:i/>
          <w:lang w:val="en-US"/>
        </w:rPr>
      </w:pPr>
    </w:p>
    <w:p w:rsidR="00E017C2" w:rsidRDefault="00E017C2" w:rsidP="0009465E">
      <w:pPr>
        <w:keepNext/>
        <w:rPr>
          <w:rFonts w:eastAsia="MS Mincho"/>
          <w:b/>
          <w:i/>
          <w:lang w:val="en-US"/>
        </w:rPr>
      </w:pPr>
      <w:r w:rsidRPr="00E017C2">
        <w:rPr>
          <w:rFonts w:eastAsia="MS Mincho"/>
          <w:b/>
          <w:i/>
          <w:lang w:val="en-US"/>
        </w:rPr>
        <w:t>Treatment</w:t>
      </w:r>
      <w:r w:rsidR="00BE3DCE">
        <w:rPr>
          <w:rFonts w:eastAsia="MS Mincho"/>
          <w:b/>
          <w:i/>
          <w:lang w:val="en-US"/>
        </w:rPr>
        <w:t xml:space="preserve"> </w:t>
      </w:r>
      <w:r w:rsidRPr="00E017C2">
        <w:rPr>
          <w:rFonts w:eastAsia="MS Mincho"/>
          <w:b/>
          <w:i/>
          <w:lang w:val="en-US"/>
        </w:rPr>
        <w:t xml:space="preserve">Naïve </w:t>
      </w:r>
      <w:r w:rsidR="007C720C">
        <w:rPr>
          <w:rFonts w:eastAsia="MS Mincho"/>
          <w:b/>
          <w:i/>
          <w:lang w:val="en-US"/>
        </w:rPr>
        <w:t>Patien</w:t>
      </w:r>
      <w:r w:rsidR="008C4255">
        <w:rPr>
          <w:rFonts w:eastAsia="MS Mincho"/>
          <w:b/>
          <w:i/>
          <w:lang w:val="en-US"/>
        </w:rPr>
        <w:t>t</w:t>
      </w:r>
      <w:r>
        <w:rPr>
          <w:rFonts w:eastAsia="MS Mincho"/>
          <w:b/>
          <w:i/>
          <w:lang w:val="en-US"/>
        </w:rPr>
        <w:t>s</w:t>
      </w:r>
    </w:p>
    <w:p w:rsidR="00E017C2" w:rsidRPr="00E017C2" w:rsidRDefault="00E017C2" w:rsidP="0009465E">
      <w:pPr>
        <w:keepNext/>
        <w:rPr>
          <w:rFonts w:eastAsia="MS Mincho"/>
          <w:lang w:val="en-US"/>
        </w:rPr>
      </w:pPr>
      <w:r w:rsidRPr="00E017C2">
        <w:rPr>
          <w:rFonts w:eastAsia="MS Mincho"/>
          <w:lang w:val="en-US"/>
        </w:rPr>
        <w:t>The safety assessment of TRIUMEQ is primar</w:t>
      </w:r>
      <w:r w:rsidR="00BE3DCE">
        <w:rPr>
          <w:rFonts w:eastAsia="MS Mincho"/>
          <w:lang w:val="en-US"/>
        </w:rPr>
        <w:t xml:space="preserve">ily based on the analyses of 48 and 96 </w:t>
      </w:r>
      <w:r w:rsidRPr="00E017C2">
        <w:rPr>
          <w:rFonts w:eastAsia="MS Mincho"/>
          <w:lang w:val="en-US"/>
        </w:rPr>
        <w:t xml:space="preserve">week data from a randomized, international, </w:t>
      </w:r>
      <w:proofErr w:type="spellStart"/>
      <w:r w:rsidRPr="00E017C2">
        <w:rPr>
          <w:rFonts w:eastAsia="MS Mincho"/>
          <w:lang w:val="en-US"/>
        </w:rPr>
        <w:t>multicent</w:t>
      </w:r>
      <w:r w:rsidR="007A7438">
        <w:rPr>
          <w:rFonts w:eastAsia="MS Mincho"/>
          <w:lang w:val="en-US"/>
        </w:rPr>
        <w:t>r</w:t>
      </w:r>
      <w:r w:rsidRPr="00E017C2">
        <w:rPr>
          <w:rFonts w:eastAsia="MS Mincho"/>
          <w:lang w:val="en-US"/>
        </w:rPr>
        <w:t>e</w:t>
      </w:r>
      <w:proofErr w:type="spellEnd"/>
      <w:r w:rsidRPr="00E017C2">
        <w:rPr>
          <w:rFonts w:eastAsia="MS Mincho"/>
          <w:lang w:val="en-US"/>
        </w:rPr>
        <w:t xml:space="preserve">, double-blind, active-controlled trial, SINGLE (ING114467) and supported by data in treatment-naïve </w:t>
      </w:r>
      <w:r w:rsidR="007C720C">
        <w:rPr>
          <w:rFonts w:eastAsia="MS Mincho"/>
          <w:lang w:val="en-US"/>
        </w:rPr>
        <w:t>patients</w:t>
      </w:r>
      <w:r w:rsidRPr="00E017C2">
        <w:rPr>
          <w:rFonts w:eastAsia="MS Mincho"/>
          <w:lang w:val="en-US"/>
        </w:rPr>
        <w:t xml:space="preserve"> from SPRING-2 (ING113086) and FLAMINGO (ING114915).</w:t>
      </w:r>
    </w:p>
    <w:p w:rsidR="00E017C2" w:rsidRPr="00E017C2" w:rsidRDefault="00E017C2" w:rsidP="00E017C2">
      <w:pPr>
        <w:rPr>
          <w:rFonts w:eastAsia="MS Mincho"/>
          <w:lang w:val="en-US"/>
        </w:rPr>
      </w:pPr>
      <w:r w:rsidRPr="00E017C2">
        <w:rPr>
          <w:rFonts w:eastAsia="MS Mincho"/>
          <w:lang w:val="en-US"/>
        </w:rPr>
        <w:t>In SINGLE</w:t>
      </w:r>
      <w:r w:rsidR="00F63D90">
        <w:rPr>
          <w:rFonts w:eastAsia="MS Mincho"/>
          <w:lang w:val="en-US"/>
        </w:rPr>
        <w:t xml:space="preserve"> </w:t>
      </w:r>
      <w:r w:rsidR="00F63D90" w:rsidRPr="00E40993">
        <w:rPr>
          <w:rFonts w:eastAsia="MS Mincho"/>
        </w:rPr>
        <w:t>(ING114467)</w:t>
      </w:r>
      <w:r w:rsidRPr="00E017C2">
        <w:rPr>
          <w:rFonts w:eastAsia="MS Mincho"/>
          <w:lang w:val="en-US"/>
        </w:rPr>
        <w:t>, 833 </w:t>
      </w:r>
      <w:r w:rsidR="007C720C">
        <w:rPr>
          <w:rFonts w:eastAsia="MS Mincho"/>
          <w:lang w:val="en-US"/>
        </w:rPr>
        <w:t>patient</w:t>
      </w:r>
      <w:r w:rsidRPr="00E017C2">
        <w:rPr>
          <w:rFonts w:eastAsia="MS Mincho"/>
          <w:lang w:val="en-US"/>
        </w:rPr>
        <w:t xml:space="preserve">s were randomized and received at least 1 dose of either </w:t>
      </w:r>
      <w:proofErr w:type="spellStart"/>
      <w:r w:rsidRPr="00E017C2">
        <w:rPr>
          <w:rFonts w:eastAsia="MS Mincho"/>
          <w:lang w:val="en-US"/>
        </w:rPr>
        <w:t>dolutegravir</w:t>
      </w:r>
      <w:proofErr w:type="spellEnd"/>
      <w:r w:rsidRPr="00E017C2">
        <w:rPr>
          <w:rFonts w:eastAsia="MS Mincho"/>
          <w:lang w:val="en-US"/>
        </w:rPr>
        <w:t xml:space="preserve"> 50 mg with fixed-dose </w:t>
      </w:r>
      <w:proofErr w:type="spellStart"/>
      <w:r w:rsidRPr="00E017C2">
        <w:rPr>
          <w:rFonts w:eastAsia="MS Mincho"/>
          <w:lang w:val="en-US"/>
        </w:rPr>
        <w:t>abacavir</w:t>
      </w:r>
      <w:proofErr w:type="spellEnd"/>
      <w:r w:rsidRPr="00E017C2">
        <w:rPr>
          <w:rFonts w:eastAsia="MS Mincho"/>
          <w:lang w:val="en-US"/>
        </w:rPr>
        <w:t xml:space="preserve"> sulfate and lamivudine once daily (n = 414) or fixed-dose </w:t>
      </w:r>
      <w:proofErr w:type="spellStart"/>
      <w:r w:rsidRPr="00E017C2">
        <w:rPr>
          <w:rFonts w:eastAsia="MS Mincho"/>
          <w:lang w:val="en-US"/>
        </w:rPr>
        <w:t>efavirenz</w:t>
      </w:r>
      <w:r w:rsidR="00CA6706">
        <w:rPr>
          <w:rFonts w:eastAsia="MS Mincho"/>
          <w:lang w:val="en-US"/>
        </w:rPr>
        <w:t>-</w:t>
      </w:r>
      <w:r w:rsidRPr="00E017C2">
        <w:rPr>
          <w:rFonts w:eastAsia="MS Mincho"/>
          <w:lang w:val="en-US"/>
        </w:rPr>
        <w:t>emtricitabine</w:t>
      </w:r>
      <w:r w:rsidR="00CA6706">
        <w:rPr>
          <w:rFonts w:eastAsia="MS Mincho"/>
          <w:lang w:val="en-US"/>
        </w:rPr>
        <w:t>-</w:t>
      </w:r>
      <w:r w:rsidRPr="00E017C2">
        <w:rPr>
          <w:rFonts w:eastAsia="MS Mincho"/>
          <w:lang w:val="en-US"/>
        </w:rPr>
        <w:t>tenofovir</w:t>
      </w:r>
      <w:proofErr w:type="spellEnd"/>
      <w:r w:rsidR="00CA6706">
        <w:rPr>
          <w:rFonts w:eastAsia="MS Mincho"/>
          <w:lang w:val="en-US"/>
        </w:rPr>
        <w:t xml:space="preserve"> (EFV/TDF/FTC)</w:t>
      </w:r>
      <w:r w:rsidRPr="00E017C2">
        <w:rPr>
          <w:rFonts w:eastAsia="MS Mincho"/>
          <w:lang w:val="en-US"/>
        </w:rPr>
        <w:t xml:space="preserve"> once daily (n = 419). Through 96 weeks, the rate of adverse events leading to discontinuation was 3% in </w:t>
      </w:r>
      <w:r w:rsidR="007C720C">
        <w:rPr>
          <w:rFonts w:eastAsia="MS Mincho"/>
          <w:lang w:val="en-US"/>
        </w:rPr>
        <w:t>patient</w:t>
      </w:r>
      <w:r w:rsidRPr="00E017C2">
        <w:rPr>
          <w:rFonts w:eastAsia="MS Mincho"/>
          <w:lang w:val="en-US"/>
        </w:rPr>
        <w:t xml:space="preserve">s receiving </w:t>
      </w:r>
      <w:proofErr w:type="spellStart"/>
      <w:r w:rsidR="003A6F2C">
        <w:rPr>
          <w:rFonts w:eastAsia="MS Mincho"/>
          <w:lang w:val="en-US"/>
        </w:rPr>
        <w:t>dolutegravir</w:t>
      </w:r>
      <w:proofErr w:type="spellEnd"/>
      <w:r w:rsidRPr="00E017C2">
        <w:rPr>
          <w:rFonts w:eastAsia="MS Mincho"/>
          <w:lang w:val="en-US"/>
        </w:rPr>
        <w:t xml:space="preserve"> + </w:t>
      </w:r>
      <w:r w:rsidR="007C779A">
        <w:rPr>
          <w:rFonts w:eastAsia="MS Mincho"/>
          <w:lang w:val="en-US"/>
        </w:rPr>
        <w:t>ABC/3TC</w:t>
      </w:r>
      <w:r w:rsidR="007C779A" w:rsidRPr="00E017C2">
        <w:rPr>
          <w:rFonts w:eastAsia="MS Mincho"/>
          <w:lang w:val="en-US"/>
        </w:rPr>
        <w:t xml:space="preserve"> </w:t>
      </w:r>
      <w:r w:rsidRPr="00E017C2">
        <w:rPr>
          <w:rFonts w:eastAsia="MS Mincho"/>
          <w:lang w:val="en-US"/>
        </w:rPr>
        <w:t xml:space="preserve">and 12% in </w:t>
      </w:r>
      <w:r w:rsidR="007C720C">
        <w:rPr>
          <w:rFonts w:eastAsia="MS Mincho"/>
          <w:lang w:val="en-US"/>
        </w:rPr>
        <w:t>patient</w:t>
      </w:r>
      <w:r w:rsidRPr="00E017C2">
        <w:rPr>
          <w:rFonts w:eastAsia="MS Mincho"/>
          <w:lang w:val="en-US"/>
        </w:rPr>
        <w:t xml:space="preserve">s receiving </w:t>
      </w:r>
      <w:r w:rsidR="004D3C08">
        <w:rPr>
          <w:rFonts w:eastAsia="MS Mincho"/>
          <w:lang w:val="en-US"/>
        </w:rPr>
        <w:t>EFV/TDF/FTC</w:t>
      </w:r>
      <w:r w:rsidRPr="00E017C2">
        <w:rPr>
          <w:rFonts w:eastAsia="MS Mincho"/>
          <w:lang w:val="en-US"/>
        </w:rPr>
        <w:t xml:space="preserve"> once daily.</w:t>
      </w:r>
    </w:p>
    <w:p w:rsidR="00E017C2" w:rsidRPr="00E017C2" w:rsidRDefault="00E017C2" w:rsidP="00E017C2">
      <w:pPr>
        <w:rPr>
          <w:rFonts w:eastAsia="MS Mincho"/>
          <w:lang w:val="en-US"/>
        </w:rPr>
      </w:pPr>
      <w:r w:rsidRPr="00E017C2">
        <w:rPr>
          <w:rFonts w:eastAsia="MS Mincho"/>
          <w:lang w:val="en-US"/>
        </w:rPr>
        <w:t>In SPRING-2</w:t>
      </w:r>
      <w:r w:rsidR="00F63D90">
        <w:rPr>
          <w:rFonts w:eastAsia="MS Mincho"/>
          <w:lang w:val="en-US"/>
        </w:rPr>
        <w:t xml:space="preserve"> </w:t>
      </w:r>
      <w:r w:rsidR="00F63D90" w:rsidRPr="00E40993">
        <w:rPr>
          <w:rFonts w:eastAsia="MS Mincho"/>
        </w:rPr>
        <w:t>(ING113086)</w:t>
      </w:r>
      <w:r w:rsidRPr="00E017C2">
        <w:rPr>
          <w:rFonts w:eastAsia="MS Mincho"/>
          <w:lang w:val="en-US"/>
        </w:rPr>
        <w:t xml:space="preserve">, 411 </w:t>
      </w:r>
      <w:r w:rsidR="007C720C">
        <w:rPr>
          <w:rFonts w:eastAsia="MS Mincho"/>
          <w:lang w:val="en-US"/>
        </w:rPr>
        <w:t>patient</w:t>
      </w:r>
      <w:r w:rsidRPr="00E017C2">
        <w:rPr>
          <w:rFonts w:eastAsia="MS Mincho"/>
          <w:lang w:val="en-US"/>
        </w:rPr>
        <w:t xml:space="preserve">s received </w:t>
      </w:r>
      <w:proofErr w:type="spellStart"/>
      <w:r w:rsidR="003A6F2C">
        <w:rPr>
          <w:rFonts w:eastAsia="MS Mincho"/>
          <w:lang w:val="en-US"/>
        </w:rPr>
        <w:t>dolutegravir</w:t>
      </w:r>
      <w:proofErr w:type="spellEnd"/>
      <w:r w:rsidRPr="00E017C2">
        <w:rPr>
          <w:rFonts w:eastAsia="MS Mincho"/>
          <w:lang w:val="en-US"/>
        </w:rPr>
        <w:t xml:space="preserve"> once daily versus 411 who received </w:t>
      </w:r>
      <w:proofErr w:type="spellStart"/>
      <w:r w:rsidRPr="00E017C2">
        <w:rPr>
          <w:rFonts w:eastAsia="MS Mincho"/>
          <w:lang w:val="en-US"/>
        </w:rPr>
        <w:t>raltegravir</w:t>
      </w:r>
      <w:proofErr w:type="spellEnd"/>
      <w:r w:rsidRPr="00E017C2">
        <w:rPr>
          <w:rFonts w:eastAsia="MS Mincho"/>
          <w:lang w:val="en-US"/>
        </w:rPr>
        <w:t xml:space="preserve"> 400 mg twice daily, both in combination with investigator-selected nucleoside reverse transcriptase inhibitor (NRTI) background regimen (either </w:t>
      </w:r>
      <w:r w:rsidR="007C779A">
        <w:rPr>
          <w:rFonts w:eastAsia="MS Mincho"/>
          <w:lang w:val="en-US"/>
        </w:rPr>
        <w:t>ABC/3TC</w:t>
      </w:r>
      <w:r w:rsidR="007C779A" w:rsidRPr="00E017C2">
        <w:rPr>
          <w:rFonts w:eastAsia="MS Mincho"/>
          <w:lang w:val="en-US"/>
        </w:rPr>
        <w:t xml:space="preserve"> </w:t>
      </w:r>
      <w:r w:rsidRPr="00E017C2">
        <w:rPr>
          <w:rFonts w:eastAsia="MS Mincho"/>
          <w:lang w:val="en-US"/>
        </w:rPr>
        <w:t xml:space="preserve">or </w:t>
      </w:r>
      <w:r w:rsidR="00EB2012">
        <w:rPr>
          <w:rFonts w:eastAsia="MS Mincho"/>
          <w:lang w:val="en-US"/>
        </w:rPr>
        <w:t>TDF/FTC</w:t>
      </w:r>
      <w:r w:rsidRPr="00E017C2">
        <w:rPr>
          <w:rFonts w:eastAsia="MS Mincho"/>
          <w:lang w:val="en-US"/>
        </w:rPr>
        <w:t xml:space="preserve">). Of these </w:t>
      </w:r>
      <w:r w:rsidR="007C720C">
        <w:rPr>
          <w:rFonts w:eastAsia="MS Mincho"/>
          <w:lang w:val="en-US"/>
        </w:rPr>
        <w:t>patients</w:t>
      </w:r>
      <w:r w:rsidRPr="00E017C2">
        <w:rPr>
          <w:rFonts w:eastAsia="MS Mincho"/>
          <w:lang w:val="en-US"/>
        </w:rPr>
        <w:t>, 16</w:t>
      </w:r>
      <w:r w:rsidR="00A30074">
        <w:rPr>
          <w:rFonts w:eastAsia="MS Mincho"/>
          <w:lang w:val="en-US"/>
        </w:rPr>
        <w:t>9</w:t>
      </w:r>
      <w:r w:rsidRPr="00E017C2">
        <w:rPr>
          <w:rFonts w:eastAsia="MS Mincho"/>
          <w:lang w:val="en-US"/>
        </w:rPr>
        <w:t xml:space="preserve"> in the group receiving </w:t>
      </w:r>
      <w:proofErr w:type="spellStart"/>
      <w:r w:rsidR="003A6F2C">
        <w:rPr>
          <w:rFonts w:eastAsia="MS Mincho"/>
          <w:lang w:val="en-US"/>
        </w:rPr>
        <w:t>dolutegravir</w:t>
      </w:r>
      <w:proofErr w:type="spellEnd"/>
      <w:r w:rsidRPr="00E017C2">
        <w:rPr>
          <w:rFonts w:eastAsia="MS Mincho"/>
          <w:lang w:val="en-US"/>
        </w:rPr>
        <w:t xml:space="preserve"> and 1</w:t>
      </w:r>
      <w:r w:rsidR="00A30074">
        <w:rPr>
          <w:rFonts w:eastAsia="MS Mincho"/>
          <w:lang w:val="en-US"/>
        </w:rPr>
        <w:t>64</w:t>
      </w:r>
      <w:r w:rsidRPr="00E017C2">
        <w:rPr>
          <w:rFonts w:eastAsia="MS Mincho"/>
          <w:lang w:val="en-US"/>
        </w:rPr>
        <w:t xml:space="preserve"> in the group receiving </w:t>
      </w:r>
      <w:proofErr w:type="spellStart"/>
      <w:r w:rsidRPr="00E017C2">
        <w:rPr>
          <w:rFonts w:eastAsia="MS Mincho"/>
          <w:lang w:val="en-US"/>
        </w:rPr>
        <w:t>raltegravir</w:t>
      </w:r>
      <w:proofErr w:type="spellEnd"/>
      <w:r w:rsidRPr="00E017C2">
        <w:rPr>
          <w:rFonts w:eastAsia="MS Mincho"/>
          <w:lang w:val="en-US"/>
        </w:rPr>
        <w:t xml:space="preserve"> were receiving </w:t>
      </w:r>
      <w:r>
        <w:rPr>
          <w:rFonts w:eastAsia="MS Mincho"/>
          <w:lang w:val="en-US"/>
        </w:rPr>
        <w:t>KIVEXA</w:t>
      </w:r>
      <w:r w:rsidRPr="00E017C2">
        <w:rPr>
          <w:rFonts w:eastAsia="MS Mincho"/>
          <w:lang w:val="en-US"/>
        </w:rPr>
        <w:t xml:space="preserve"> </w:t>
      </w:r>
      <w:r w:rsidR="002A0499" w:rsidRPr="00034E3A">
        <w:rPr>
          <w:rFonts w:cs="Arial"/>
          <w:snapToGrid w:val="0"/>
          <w:color w:val="000000"/>
          <w:lang w:eastAsia="en-US"/>
        </w:rPr>
        <w:t>[</w:t>
      </w:r>
      <w:proofErr w:type="spellStart"/>
      <w:r w:rsidR="002A0499" w:rsidRPr="00034E3A">
        <w:rPr>
          <w:rFonts w:cs="Arial"/>
          <w:snapToGrid w:val="0"/>
          <w:color w:val="000000"/>
          <w:lang w:eastAsia="en-US"/>
        </w:rPr>
        <w:t>abacavir</w:t>
      </w:r>
      <w:proofErr w:type="spellEnd"/>
      <w:r w:rsidR="002A0499">
        <w:rPr>
          <w:rFonts w:cs="Arial"/>
          <w:snapToGrid w:val="0"/>
          <w:color w:val="000000"/>
          <w:lang w:eastAsia="en-US"/>
        </w:rPr>
        <w:t>/lamivudine</w:t>
      </w:r>
      <w:r w:rsidR="002A0499" w:rsidRPr="00034E3A">
        <w:rPr>
          <w:rFonts w:cs="Arial"/>
          <w:snapToGrid w:val="0"/>
          <w:color w:val="000000"/>
          <w:lang w:eastAsia="en-US"/>
        </w:rPr>
        <w:t>]</w:t>
      </w:r>
      <w:r w:rsidR="002A0499">
        <w:rPr>
          <w:rFonts w:cs="Arial"/>
          <w:snapToGrid w:val="0"/>
          <w:color w:val="000000"/>
          <w:lang w:eastAsia="en-US"/>
        </w:rPr>
        <w:t xml:space="preserve"> </w:t>
      </w:r>
      <w:r w:rsidRPr="00E017C2">
        <w:rPr>
          <w:rFonts w:eastAsia="MS Mincho"/>
          <w:lang w:val="en-US"/>
        </w:rPr>
        <w:t xml:space="preserve">as the background regimen. Through 96 weeks, the rate of adverse events leading to discontinuation in these </w:t>
      </w:r>
      <w:r w:rsidR="007C720C">
        <w:rPr>
          <w:rFonts w:eastAsia="MS Mincho"/>
          <w:lang w:val="en-US"/>
        </w:rPr>
        <w:t>patients</w:t>
      </w:r>
      <w:r w:rsidRPr="00E017C2">
        <w:rPr>
          <w:rFonts w:eastAsia="MS Mincho"/>
          <w:lang w:val="en-US"/>
        </w:rPr>
        <w:t xml:space="preserve"> was </w:t>
      </w:r>
      <w:r w:rsidR="00A30074">
        <w:rPr>
          <w:rFonts w:eastAsia="MS Mincho"/>
          <w:lang w:val="en-US"/>
        </w:rPr>
        <w:t>3</w:t>
      </w:r>
      <w:r w:rsidRPr="00E017C2">
        <w:rPr>
          <w:rFonts w:eastAsia="MS Mincho"/>
          <w:lang w:val="en-US"/>
        </w:rPr>
        <w:t xml:space="preserve">% in </w:t>
      </w:r>
      <w:r w:rsidR="007C720C">
        <w:rPr>
          <w:rFonts w:eastAsia="MS Mincho"/>
          <w:lang w:val="en-US"/>
        </w:rPr>
        <w:t>patient</w:t>
      </w:r>
      <w:r w:rsidRPr="00E017C2">
        <w:rPr>
          <w:rFonts w:eastAsia="MS Mincho"/>
          <w:lang w:val="en-US"/>
        </w:rPr>
        <w:t xml:space="preserve">s receiving </w:t>
      </w:r>
      <w:proofErr w:type="spellStart"/>
      <w:r w:rsidR="003A6F2C">
        <w:rPr>
          <w:rFonts w:eastAsia="MS Mincho"/>
          <w:lang w:val="en-US"/>
        </w:rPr>
        <w:t>dolutegravir</w:t>
      </w:r>
      <w:proofErr w:type="spellEnd"/>
      <w:r w:rsidRPr="00E017C2">
        <w:rPr>
          <w:rFonts w:eastAsia="MS Mincho"/>
          <w:lang w:val="en-US"/>
        </w:rPr>
        <w:t xml:space="preserve"> and </w:t>
      </w:r>
      <w:r w:rsidR="00A30074">
        <w:rPr>
          <w:rFonts w:eastAsia="MS Mincho"/>
          <w:lang w:val="en-US"/>
        </w:rPr>
        <w:t>2</w:t>
      </w:r>
      <w:r w:rsidRPr="00E017C2">
        <w:rPr>
          <w:rFonts w:eastAsia="MS Mincho"/>
          <w:lang w:val="en-US"/>
        </w:rPr>
        <w:t xml:space="preserve">% in </w:t>
      </w:r>
      <w:r w:rsidR="007C720C">
        <w:rPr>
          <w:rFonts w:eastAsia="MS Mincho"/>
          <w:lang w:val="en-US"/>
        </w:rPr>
        <w:t>patient</w:t>
      </w:r>
      <w:r w:rsidRPr="00E017C2">
        <w:rPr>
          <w:rFonts w:eastAsia="MS Mincho"/>
          <w:lang w:val="en-US"/>
        </w:rPr>
        <w:t xml:space="preserve">s receiving </w:t>
      </w:r>
      <w:proofErr w:type="spellStart"/>
      <w:r w:rsidRPr="00E017C2">
        <w:rPr>
          <w:rFonts w:eastAsia="MS Mincho"/>
          <w:lang w:val="en-US"/>
        </w:rPr>
        <w:t>raltegravir</w:t>
      </w:r>
      <w:proofErr w:type="spellEnd"/>
      <w:r w:rsidRPr="00E017C2">
        <w:rPr>
          <w:rFonts w:eastAsia="MS Mincho"/>
          <w:lang w:val="en-US"/>
        </w:rPr>
        <w:t>.</w:t>
      </w:r>
    </w:p>
    <w:p w:rsidR="00E017C2" w:rsidRPr="00E017C2" w:rsidRDefault="00E017C2" w:rsidP="00E017C2">
      <w:pPr>
        <w:rPr>
          <w:rFonts w:eastAsia="MS Mincho"/>
          <w:lang w:val="en-US"/>
        </w:rPr>
      </w:pPr>
      <w:r w:rsidRPr="00E017C2">
        <w:rPr>
          <w:rFonts w:eastAsia="MS Mincho"/>
          <w:lang w:val="en-US"/>
        </w:rPr>
        <w:t>In FLAMINGO</w:t>
      </w:r>
      <w:r w:rsidR="005543FB">
        <w:rPr>
          <w:rFonts w:eastAsia="MS Mincho"/>
          <w:lang w:val="en-US"/>
        </w:rPr>
        <w:t xml:space="preserve"> </w:t>
      </w:r>
      <w:r w:rsidR="005543FB" w:rsidRPr="00E40993">
        <w:rPr>
          <w:rFonts w:eastAsia="MS Mincho"/>
        </w:rPr>
        <w:t>(ING114915)</w:t>
      </w:r>
      <w:r w:rsidRPr="00E017C2">
        <w:rPr>
          <w:rFonts w:eastAsia="MS Mincho"/>
          <w:lang w:val="en-US"/>
        </w:rPr>
        <w:t xml:space="preserve">, 243 </w:t>
      </w:r>
      <w:r w:rsidR="007C720C">
        <w:rPr>
          <w:rFonts w:eastAsia="MS Mincho"/>
          <w:lang w:val="en-US"/>
        </w:rPr>
        <w:t>patient</w:t>
      </w:r>
      <w:r w:rsidRPr="00E017C2">
        <w:rPr>
          <w:rFonts w:eastAsia="MS Mincho"/>
          <w:lang w:val="en-US"/>
        </w:rPr>
        <w:t xml:space="preserve">s received </w:t>
      </w:r>
      <w:proofErr w:type="spellStart"/>
      <w:r w:rsidR="003A6F2C">
        <w:rPr>
          <w:rFonts w:eastAsia="MS Mincho"/>
          <w:lang w:val="en-US"/>
        </w:rPr>
        <w:t>dolutegravir</w:t>
      </w:r>
      <w:proofErr w:type="spellEnd"/>
      <w:r w:rsidRPr="00E017C2">
        <w:rPr>
          <w:rFonts w:eastAsia="MS Mincho"/>
          <w:lang w:val="en-US"/>
        </w:rPr>
        <w:t xml:space="preserve"> once daily versus 242 </w:t>
      </w:r>
      <w:r w:rsidR="007C720C">
        <w:rPr>
          <w:rFonts w:eastAsia="MS Mincho"/>
          <w:lang w:val="en-US"/>
        </w:rPr>
        <w:t>patient</w:t>
      </w:r>
      <w:r w:rsidRPr="00E017C2">
        <w:rPr>
          <w:rFonts w:eastAsia="MS Mincho"/>
          <w:lang w:val="en-US"/>
        </w:rPr>
        <w:t xml:space="preserve">s who received </w:t>
      </w:r>
      <w:proofErr w:type="spellStart"/>
      <w:r w:rsidRPr="00E017C2">
        <w:rPr>
          <w:rFonts w:eastAsia="MS Mincho"/>
          <w:lang w:val="en-US"/>
        </w:rPr>
        <w:t>darunavir</w:t>
      </w:r>
      <w:proofErr w:type="spellEnd"/>
      <w:r w:rsidRPr="00E017C2">
        <w:rPr>
          <w:rFonts w:eastAsia="MS Mincho"/>
          <w:lang w:val="en-US"/>
        </w:rPr>
        <w:t xml:space="preserve"> 800 mg/ritonavir 100 mg once daily, both in combination with investigator-selected NRTI background regimen (either </w:t>
      </w:r>
      <w:r w:rsidR="007C779A">
        <w:rPr>
          <w:rFonts w:eastAsia="MS Mincho"/>
          <w:lang w:val="en-US"/>
        </w:rPr>
        <w:t>ABC/3TC</w:t>
      </w:r>
      <w:r w:rsidR="007C779A" w:rsidRPr="00E017C2">
        <w:rPr>
          <w:rFonts w:eastAsia="MS Mincho"/>
          <w:lang w:val="en-US"/>
        </w:rPr>
        <w:t xml:space="preserve"> </w:t>
      </w:r>
      <w:r w:rsidRPr="00E017C2">
        <w:rPr>
          <w:rFonts w:eastAsia="MS Mincho"/>
          <w:lang w:val="en-US"/>
        </w:rPr>
        <w:t xml:space="preserve">or </w:t>
      </w:r>
      <w:r w:rsidR="00EB2012">
        <w:rPr>
          <w:rFonts w:eastAsia="MS Mincho"/>
          <w:lang w:val="en-US"/>
        </w:rPr>
        <w:t>TDF/FTC</w:t>
      </w:r>
      <w:r w:rsidRPr="00E017C2">
        <w:rPr>
          <w:rFonts w:eastAsia="MS Mincho"/>
          <w:lang w:val="en-US"/>
        </w:rPr>
        <w:t xml:space="preserve">). There were 484 </w:t>
      </w:r>
      <w:r w:rsidR="007C720C">
        <w:rPr>
          <w:rFonts w:eastAsia="MS Mincho"/>
          <w:lang w:val="en-US"/>
        </w:rPr>
        <w:t>patient</w:t>
      </w:r>
      <w:r w:rsidRPr="00E017C2">
        <w:rPr>
          <w:rFonts w:eastAsia="MS Mincho"/>
          <w:lang w:val="en-US"/>
        </w:rPr>
        <w:t xml:space="preserve">s included in the efficacy and safety analyses. Of these </w:t>
      </w:r>
      <w:r w:rsidR="007C720C">
        <w:rPr>
          <w:rFonts w:eastAsia="MS Mincho"/>
          <w:lang w:val="en-US"/>
        </w:rPr>
        <w:t>patient</w:t>
      </w:r>
      <w:r w:rsidRPr="00E017C2">
        <w:rPr>
          <w:rFonts w:eastAsia="MS Mincho"/>
          <w:lang w:val="en-US"/>
        </w:rPr>
        <w:t xml:space="preserve">s, 79 in the group receiving </w:t>
      </w:r>
      <w:proofErr w:type="spellStart"/>
      <w:r w:rsidR="003A6F2C">
        <w:rPr>
          <w:rFonts w:eastAsia="MS Mincho"/>
          <w:lang w:val="en-US"/>
        </w:rPr>
        <w:t>dolutegravir</w:t>
      </w:r>
      <w:proofErr w:type="spellEnd"/>
      <w:r w:rsidRPr="00E017C2">
        <w:rPr>
          <w:rFonts w:eastAsia="MS Mincho"/>
          <w:lang w:val="en-US"/>
        </w:rPr>
        <w:t xml:space="preserve"> and 80 in the group receiving </w:t>
      </w:r>
      <w:proofErr w:type="spellStart"/>
      <w:r w:rsidRPr="00E017C2">
        <w:rPr>
          <w:rFonts w:eastAsia="MS Mincho"/>
          <w:lang w:val="en-US"/>
        </w:rPr>
        <w:t>darunavir</w:t>
      </w:r>
      <w:proofErr w:type="spellEnd"/>
      <w:r w:rsidRPr="00E017C2">
        <w:rPr>
          <w:rFonts w:eastAsia="MS Mincho"/>
          <w:lang w:val="en-US"/>
        </w:rPr>
        <w:t xml:space="preserve"> were receiving </w:t>
      </w:r>
      <w:r w:rsidR="007C779A">
        <w:rPr>
          <w:rFonts w:eastAsia="MS Mincho"/>
          <w:lang w:val="en-US"/>
        </w:rPr>
        <w:t>ABC/3TC</w:t>
      </w:r>
      <w:r w:rsidR="007C779A" w:rsidRPr="00E017C2">
        <w:rPr>
          <w:rFonts w:eastAsia="MS Mincho"/>
          <w:lang w:val="en-US"/>
        </w:rPr>
        <w:t xml:space="preserve"> </w:t>
      </w:r>
      <w:r w:rsidRPr="00E017C2">
        <w:rPr>
          <w:rFonts w:eastAsia="MS Mincho"/>
          <w:lang w:val="en-US"/>
        </w:rPr>
        <w:t xml:space="preserve">as the background regimen. Through 48 weeks, the rate of adverse events leading to discontinuation in these </w:t>
      </w:r>
      <w:r w:rsidR="007C720C">
        <w:rPr>
          <w:rFonts w:eastAsia="MS Mincho"/>
          <w:lang w:val="en-US"/>
        </w:rPr>
        <w:t>patient</w:t>
      </w:r>
      <w:r w:rsidRPr="00E017C2">
        <w:rPr>
          <w:rFonts w:eastAsia="MS Mincho"/>
          <w:lang w:val="en-US"/>
        </w:rPr>
        <w:t xml:space="preserve">s were </w:t>
      </w:r>
      <w:r w:rsidR="00A30074">
        <w:rPr>
          <w:rFonts w:eastAsia="MS Mincho"/>
          <w:lang w:val="en-US"/>
        </w:rPr>
        <w:t>4</w:t>
      </w:r>
      <w:r w:rsidRPr="00E017C2">
        <w:rPr>
          <w:rFonts w:eastAsia="MS Mincho"/>
          <w:lang w:val="en-US"/>
        </w:rPr>
        <w:t xml:space="preserve">% in </w:t>
      </w:r>
      <w:r w:rsidR="007C720C">
        <w:rPr>
          <w:rFonts w:eastAsia="MS Mincho"/>
          <w:lang w:val="en-US"/>
        </w:rPr>
        <w:t>patients</w:t>
      </w:r>
      <w:r w:rsidRPr="00E017C2">
        <w:rPr>
          <w:rFonts w:eastAsia="MS Mincho"/>
          <w:lang w:val="en-US"/>
        </w:rPr>
        <w:t xml:space="preserve"> receiving </w:t>
      </w:r>
      <w:proofErr w:type="spellStart"/>
      <w:r w:rsidR="003A6F2C">
        <w:rPr>
          <w:rFonts w:eastAsia="MS Mincho"/>
          <w:lang w:val="en-US"/>
        </w:rPr>
        <w:t>dolutegravir</w:t>
      </w:r>
      <w:proofErr w:type="spellEnd"/>
      <w:r w:rsidRPr="00E017C2">
        <w:rPr>
          <w:rFonts w:eastAsia="MS Mincho"/>
          <w:lang w:val="en-US"/>
        </w:rPr>
        <w:t xml:space="preserve"> and 4% in </w:t>
      </w:r>
      <w:r w:rsidR="007C720C">
        <w:rPr>
          <w:rFonts w:eastAsia="MS Mincho"/>
          <w:lang w:val="en-US"/>
        </w:rPr>
        <w:t>patient</w:t>
      </w:r>
      <w:r w:rsidRPr="00E017C2">
        <w:rPr>
          <w:rFonts w:eastAsia="MS Mincho"/>
          <w:lang w:val="en-US"/>
        </w:rPr>
        <w:t xml:space="preserve">s receiving </w:t>
      </w:r>
      <w:proofErr w:type="spellStart"/>
      <w:r w:rsidRPr="00E017C2">
        <w:rPr>
          <w:rFonts w:eastAsia="MS Mincho"/>
          <w:lang w:val="en-US"/>
        </w:rPr>
        <w:t>darunavir</w:t>
      </w:r>
      <w:proofErr w:type="spellEnd"/>
      <w:r w:rsidRPr="00E017C2">
        <w:rPr>
          <w:rFonts w:eastAsia="MS Mincho"/>
          <w:lang w:val="en-US"/>
        </w:rPr>
        <w:t>.</w:t>
      </w:r>
    </w:p>
    <w:p w:rsidR="00E017C2" w:rsidRPr="00E017C2" w:rsidRDefault="00E017C2" w:rsidP="00E017C2">
      <w:pPr>
        <w:rPr>
          <w:rFonts w:eastAsia="MS Mincho"/>
          <w:lang w:val="en-US"/>
        </w:rPr>
      </w:pPr>
      <w:r w:rsidRPr="00E017C2">
        <w:rPr>
          <w:rFonts w:eastAsia="MS Mincho"/>
          <w:lang w:val="en-US"/>
        </w:rPr>
        <w:t>Treatment</w:t>
      </w:r>
      <w:r w:rsidRPr="00E017C2">
        <w:rPr>
          <w:rFonts w:eastAsia="MS Mincho"/>
          <w:lang w:val="en-US"/>
        </w:rPr>
        <w:noBreakHyphen/>
        <w:t xml:space="preserve">emergent </w:t>
      </w:r>
      <w:r w:rsidR="00CA6706">
        <w:rPr>
          <w:rFonts w:eastAsia="MS Mincho"/>
          <w:lang w:val="en-US"/>
        </w:rPr>
        <w:t>adverse reactions</w:t>
      </w:r>
      <w:r w:rsidRPr="00E017C2">
        <w:rPr>
          <w:rFonts w:eastAsia="MS Mincho"/>
          <w:lang w:val="en-US"/>
        </w:rPr>
        <w:t xml:space="preserve"> of moderate to severe intensity observed in </w:t>
      </w:r>
      <w:r w:rsidRPr="00E017C2">
        <w:rPr>
          <w:rFonts w:eastAsia="MS Mincho"/>
          <w:lang w:val="en-US"/>
        </w:rPr>
        <w:sym w:font="Symbol" w:char="F0B3"/>
      </w:r>
      <w:r w:rsidRPr="00E017C2">
        <w:rPr>
          <w:rFonts w:eastAsia="MS Mincho"/>
          <w:lang w:val="en-US"/>
        </w:rPr>
        <w:t xml:space="preserve">2% of </w:t>
      </w:r>
      <w:r w:rsidR="007C720C">
        <w:rPr>
          <w:rFonts w:eastAsia="MS Mincho"/>
          <w:lang w:val="en-US"/>
        </w:rPr>
        <w:t>patient</w:t>
      </w:r>
      <w:r w:rsidRPr="00E017C2">
        <w:rPr>
          <w:rFonts w:eastAsia="MS Mincho"/>
          <w:lang w:val="en-US"/>
        </w:rPr>
        <w:t xml:space="preserve">s in either treatment arm of SINGLE are provided in Table </w:t>
      </w:r>
      <w:r w:rsidR="00F42310">
        <w:rPr>
          <w:rFonts w:eastAsia="MS Mincho"/>
          <w:lang w:val="en-US"/>
        </w:rPr>
        <w:t>6</w:t>
      </w:r>
      <w:r w:rsidRPr="00E017C2">
        <w:rPr>
          <w:rFonts w:eastAsia="MS Mincho"/>
          <w:lang w:val="en-US"/>
        </w:rPr>
        <w:t>.</w:t>
      </w:r>
    </w:p>
    <w:p w:rsidR="00E017C2" w:rsidRPr="00E017C2" w:rsidRDefault="00E017C2" w:rsidP="00E017C2">
      <w:pPr>
        <w:rPr>
          <w:rFonts w:eastAsia="MS Mincho"/>
          <w:lang w:val="en-US"/>
        </w:rPr>
      </w:pPr>
    </w:p>
    <w:p w:rsidR="005D4367" w:rsidRDefault="00E017C2">
      <w:pPr>
        <w:keepNext/>
        <w:ind w:left="1276" w:hanging="1134"/>
        <w:rPr>
          <w:rFonts w:eastAsia="MS Mincho"/>
          <w:b/>
          <w:bCs/>
        </w:rPr>
      </w:pPr>
      <w:r w:rsidRPr="00E017C2">
        <w:rPr>
          <w:rFonts w:eastAsia="MS Mincho"/>
          <w:b/>
          <w:bCs/>
        </w:rPr>
        <w:t xml:space="preserve">Table </w:t>
      </w:r>
      <w:r w:rsidR="00F42310">
        <w:rPr>
          <w:rFonts w:eastAsia="MS Mincho"/>
          <w:b/>
          <w:bCs/>
        </w:rPr>
        <w:t>6</w:t>
      </w:r>
      <w:r w:rsidRPr="00E017C2">
        <w:rPr>
          <w:rFonts w:eastAsia="MS Mincho"/>
          <w:b/>
          <w:bCs/>
        </w:rPr>
        <w:t xml:space="preserve"> Treatment</w:t>
      </w:r>
      <w:r w:rsidRPr="00E017C2">
        <w:rPr>
          <w:rFonts w:eastAsia="MS Mincho"/>
          <w:b/>
          <w:bCs/>
        </w:rPr>
        <w:noBreakHyphen/>
        <w:t xml:space="preserve">Emergent Adverse Reactions of at Least Moderate Intensity (Grades 2 to 4) and </w:t>
      </w:r>
      <w:r w:rsidRPr="00E017C2">
        <w:rPr>
          <w:rFonts w:eastAsia="MS Mincho"/>
          <w:b/>
          <w:bCs/>
        </w:rPr>
        <w:sym w:font="Symbol" w:char="F0B3"/>
      </w:r>
      <w:r w:rsidR="00BE3DCE">
        <w:rPr>
          <w:rFonts w:eastAsia="MS Mincho"/>
          <w:b/>
          <w:bCs/>
        </w:rPr>
        <w:t xml:space="preserve">2% Frequency in Treatment </w:t>
      </w:r>
      <w:r w:rsidR="00CA7B00">
        <w:rPr>
          <w:rFonts w:eastAsia="MS Mincho"/>
          <w:b/>
          <w:bCs/>
        </w:rPr>
        <w:t>Naïve</w:t>
      </w:r>
      <w:r w:rsidRPr="00E017C2">
        <w:rPr>
          <w:rFonts w:eastAsia="MS Mincho"/>
          <w:b/>
          <w:bCs/>
        </w:rPr>
        <w:t xml:space="preserve"> </w:t>
      </w:r>
      <w:r w:rsidR="007C720C">
        <w:rPr>
          <w:rFonts w:eastAsia="MS Mincho"/>
          <w:b/>
          <w:bCs/>
        </w:rPr>
        <w:t>Patients</w:t>
      </w:r>
      <w:r w:rsidRPr="00E017C2">
        <w:rPr>
          <w:rFonts w:eastAsia="MS Mincho"/>
          <w:b/>
          <w:bCs/>
        </w:rPr>
        <w:t xml:space="preserve"> in SINGLE</w:t>
      </w:r>
      <w:r w:rsidR="00F63D90">
        <w:rPr>
          <w:rFonts w:eastAsia="MS Mincho"/>
          <w:b/>
          <w:bCs/>
        </w:rPr>
        <w:t xml:space="preserve"> </w:t>
      </w:r>
      <w:r w:rsidR="00F63D90" w:rsidRPr="00F63D90">
        <w:rPr>
          <w:rFonts w:eastAsia="MS Mincho"/>
          <w:b/>
          <w:bCs/>
        </w:rPr>
        <w:t>(ING114467)</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980"/>
        <w:gridCol w:w="1710"/>
        <w:gridCol w:w="1980"/>
        <w:gridCol w:w="1710"/>
      </w:tblGrid>
      <w:tr w:rsidR="00E017C2" w:rsidRPr="00E017C2" w:rsidTr="008D1053">
        <w:trPr>
          <w:trHeight w:val="377"/>
        </w:trPr>
        <w:tc>
          <w:tcPr>
            <w:tcW w:w="2628" w:type="dxa"/>
            <w:vMerge w:val="restart"/>
            <w:tcBorders>
              <w:right w:val="single" w:sz="4" w:space="0" w:color="auto"/>
            </w:tcBorders>
            <w:vAlign w:val="bottom"/>
          </w:tcPr>
          <w:p w:rsidR="005D4367" w:rsidRDefault="00E017C2">
            <w:pPr>
              <w:keepNext/>
              <w:spacing w:after="0"/>
              <w:rPr>
                <w:rFonts w:eastAsia="MS Mincho"/>
                <w:b/>
                <w:bCs/>
                <w:lang w:val="en-GB"/>
              </w:rPr>
            </w:pPr>
            <w:r w:rsidRPr="00E017C2">
              <w:rPr>
                <w:rFonts w:eastAsia="MS Mincho"/>
                <w:b/>
                <w:bCs/>
                <w:lang w:val="en-GB"/>
              </w:rPr>
              <w:t>Body System/</w:t>
            </w:r>
          </w:p>
          <w:p w:rsidR="005D4367" w:rsidRDefault="00E017C2">
            <w:pPr>
              <w:keepNext/>
              <w:spacing w:after="0"/>
              <w:rPr>
                <w:rFonts w:eastAsia="MS Mincho"/>
                <w:b/>
                <w:bCs/>
                <w:lang w:val="en-GB"/>
              </w:rPr>
            </w:pPr>
            <w:r w:rsidRPr="00E017C2">
              <w:rPr>
                <w:rFonts w:eastAsia="MS Mincho"/>
                <w:b/>
                <w:bCs/>
                <w:lang w:val="en-GB"/>
              </w:rPr>
              <w:t>Preferred Term</w:t>
            </w:r>
          </w:p>
        </w:tc>
        <w:tc>
          <w:tcPr>
            <w:tcW w:w="3690" w:type="dxa"/>
            <w:gridSpan w:val="2"/>
            <w:tcBorders>
              <w:top w:val="single" w:sz="4" w:space="0" w:color="auto"/>
              <w:left w:val="single" w:sz="4" w:space="0" w:color="auto"/>
              <w:bottom w:val="single" w:sz="4" w:space="0" w:color="auto"/>
            </w:tcBorders>
            <w:vAlign w:val="bottom"/>
          </w:tcPr>
          <w:p w:rsidR="005D4367" w:rsidRDefault="00E017C2">
            <w:pPr>
              <w:keepNext/>
              <w:spacing w:after="0"/>
              <w:rPr>
                <w:rFonts w:eastAsia="MS Mincho"/>
                <w:b/>
                <w:lang w:val="en-GB"/>
              </w:rPr>
            </w:pPr>
            <w:r w:rsidRPr="00E017C2">
              <w:rPr>
                <w:rFonts w:eastAsia="MS Mincho"/>
                <w:b/>
                <w:lang w:val="en-GB"/>
              </w:rPr>
              <w:t>48-Week</w:t>
            </w:r>
          </w:p>
        </w:tc>
        <w:tc>
          <w:tcPr>
            <w:tcW w:w="3690" w:type="dxa"/>
            <w:gridSpan w:val="2"/>
            <w:tcBorders>
              <w:bottom w:val="single" w:sz="4" w:space="0" w:color="auto"/>
            </w:tcBorders>
            <w:vAlign w:val="bottom"/>
          </w:tcPr>
          <w:p w:rsidR="005D4367" w:rsidRDefault="00E017C2">
            <w:pPr>
              <w:keepNext/>
              <w:spacing w:after="0"/>
              <w:rPr>
                <w:rFonts w:eastAsia="MS Mincho"/>
                <w:b/>
                <w:lang w:val="en-GB"/>
              </w:rPr>
            </w:pPr>
            <w:r w:rsidRPr="00E017C2">
              <w:rPr>
                <w:rFonts w:eastAsia="MS Mincho"/>
                <w:b/>
                <w:lang w:val="en-GB"/>
              </w:rPr>
              <w:t>96-Week</w:t>
            </w:r>
          </w:p>
        </w:tc>
      </w:tr>
      <w:tr w:rsidR="00E017C2" w:rsidRPr="00E017C2" w:rsidTr="008D1053">
        <w:tc>
          <w:tcPr>
            <w:tcW w:w="2628" w:type="dxa"/>
            <w:vMerge/>
            <w:tcBorders>
              <w:bottom w:val="single" w:sz="4" w:space="0" w:color="auto"/>
              <w:right w:val="single" w:sz="4" w:space="0" w:color="auto"/>
            </w:tcBorders>
            <w:vAlign w:val="bottom"/>
          </w:tcPr>
          <w:p w:rsidR="005D4367" w:rsidRDefault="005D4367">
            <w:pPr>
              <w:keepNext/>
              <w:spacing w:after="0"/>
              <w:rPr>
                <w:rFonts w:eastAsia="MS Mincho"/>
                <w:b/>
                <w:bCs/>
                <w:lang w:val="en-GB"/>
              </w:rPr>
            </w:pPr>
          </w:p>
        </w:tc>
        <w:tc>
          <w:tcPr>
            <w:tcW w:w="1980" w:type="dxa"/>
            <w:tcBorders>
              <w:top w:val="single" w:sz="4" w:space="0" w:color="auto"/>
              <w:left w:val="single" w:sz="4" w:space="0" w:color="auto"/>
              <w:bottom w:val="single" w:sz="4" w:space="0" w:color="auto"/>
            </w:tcBorders>
            <w:vAlign w:val="bottom"/>
          </w:tcPr>
          <w:p w:rsidR="005D4367" w:rsidRDefault="007C779A">
            <w:pPr>
              <w:keepNext/>
              <w:spacing w:after="0"/>
              <w:rPr>
                <w:rFonts w:eastAsia="MS Mincho"/>
                <w:b/>
                <w:lang w:val="en-GB"/>
              </w:rPr>
            </w:pPr>
            <w:r>
              <w:rPr>
                <w:rFonts w:eastAsia="MS Mincho"/>
                <w:b/>
                <w:lang w:val="en-GB"/>
              </w:rPr>
              <w:t>DTG</w:t>
            </w:r>
            <w:r w:rsidRPr="00CA6706">
              <w:rPr>
                <w:rFonts w:eastAsia="MS Mincho"/>
                <w:b/>
                <w:lang w:val="en-GB"/>
              </w:rPr>
              <w:t xml:space="preserve"> </w:t>
            </w:r>
            <w:r w:rsidR="00E017C2" w:rsidRPr="00CA6706">
              <w:rPr>
                <w:rFonts w:eastAsia="MS Mincho"/>
                <w:b/>
                <w:lang w:val="en-GB"/>
              </w:rPr>
              <w:t xml:space="preserve">+ </w:t>
            </w:r>
            <w:r>
              <w:rPr>
                <w:rFonts w:eastAsia="MS Mincho"/>
                <w:b/>
                <w:lang w:val="en-GB"/>
              </w:rPr>
              <w:t>ABC/3TC</w:t>
            </w:r>
          </w:p>
          <w:p w:rsidR="005D4367" w:rsidRDefault="00E017C2">
            <w:pPr>
              <w:keepNext/>
              <w:spacing w:after="0"/>
              <w:rPr>
                <w:rFonts w:eastAsia="MS Mincho"/>
                <w:b/>
                <w:lang w:val="en-GB"/>
              </w:rPr>
            </w:pPr>
            <w:r w:rsidRPr="00CA6706">
              <w:rPr>
                <w:rFonts w:eastAsia="MS Mincho"/>
                <w:b/>
                <w:lang w:val="en-GB"/>
              </w:rPr>
              <w:t>Once Daily</w:t>
            </w:r>
          </w:p>
          <w:p w:rsidR="005D4367" w:rsidRDefault="00E017C2">
            <w:pPr>
              <w:keepNext/>
              <w:spacing w:after="0"/>
              <w:rPr>
                <w:rFonts w:eastAsia="MS Mincho"/>
                <w:b/>
                <w:lang w:val="en-GB"/>
              </w:rPr>
            </w:pPr>
            <w:r w:rsidRPr="00CA6706">
              <w:rPr>
                <w:rFonts w:eastAsia="MS Mincho"/>
                <w:b/>
                <w:lang w:val="en-GB"/>
              </w:rPr>
              <w:t>(N = 414)</w:t>
            </w:r>
          </w:p>
        </w:tc>
        <w:tc>
          <w:tcPr>
            <w:tcW w:w="1710" w:type="dxa"/>
            <w:tcBorders>
              <w:bottom w:val="single" w:sz="4" w:space="0" w:color="auto"/>
            </w:tcBorders>
            <w:vAlign w:val="bottom"/>
          </w:tcPr>
          <w:p w:rsidR="005D4367" w:rsidRDefault="00CA6706">
            <w:pPr>
              <w:keepNext/>
              <w:spacing w:after="0"/>
              <w:rPr>
                <w:rFonts w:eastAsia="MS Mincho"/>
                <w:b/>
                <w:lang w:val="en-GB"/>
              </w:rPr>
            </w:pPr>
            <w:r w:rsidRPr="00CA6706">
              <w:rPr>
                <w:rFonts w:eastAsia="MS Mincho"/>
                <w:b/>
                <w:lang w:val="en-US"/>
              </w:rPr>
              <w:t>EFV/TDF/FTC</w:t>
            </w:r>
          </w:p>
          <w:p w:rsidR="005D4367" w:rsidRDefault="00E017C2">
            <w:pPr>
              <w:keepNext/>
              <w:spacing w:after="0"/>
              <w:rPr>
                <w:rFonts w:eastAsia="MS Mincho"/>
                <w:b/>
                <w:lang w:val="en-GB"/>
              </w:rPr>
            </w:pPr>
            <w:r w:rsidRPr="00CA6706">
              <w:rPr>
                <w:rFonts w:eastAsia="MS Mincho"/>
                <w:b/>
                <w:lang w:val="en-GB"/>
              </w:rPr>
              <w:t>Once Daily</w:t>
            </w:r>
          </w:p>
          <w:p w:rsidR="005D4367" w:rsidRDefault="00E017C2">
            <w:pPr>
              <w:keepNext/>
              <w:spacing w:after="0"/>
              <w:rPr>
                <w:rFonts w:eastAsia="MS Mincho"/>
                <w:b/>
                <w:lang w:val="en-GB"/>
              </w:rPr>
            </w:pPr>
            <w:r w:rsidRPr="00CA6706">
              <w:rPr>
                <w:rFonts w:eastAsia="MS Mincho"/>
                <w:b/>
                <w:lang w:val="en-GB"/>
              </w:rPr>
              <w:t>(N = 419)</w:t>
            </w:r>
          </w:p>
        </w:tc>
        <w:tc>
          <w:tcPr>
            <w:tcW w:w="1980" w:type="dxa"/>
            <w:tcBorders>
              <w:bottom w:val="single" w:sz="4" w:space="0" w:color="auto"/>
            </w:tcBorders>
            <w:vAlign w:val="bottom"/>
          </w:tcPr>
          <w:p w:rsidR="005D4367" w:rsidRDefault="007C779A">
            <w:pPr>
              <w:keepNext/>
              <w:spacing w:after="0"/>
              <w:rPr>
                <w:rFonts w:eastAsia="MS Mincho"/>
                <w:b/>
                <w:lang w:val="en-GB"/>
              </w:rPr>
            </w:pPr>
            <w:r>
              <w:rPr>
                <w:rFonts w:eastAsia="MS Mincho"/>
                <w:b/>
                <w:lang w:val="en-GB"/>
              </w:rPr>
              <w:t>DTG</w:t>
            </w:r>
            <w:r w:rsidRPr="00CA6706">
              <w:rPr>
                <w:rFonts w:eastAsia="MS Mincho"/>
                <w:b/>
                <w:lang w:val="en-GB"/>
              </w:rPr>
              <w:t xml:space="preserve"> </w:t>
            </w:r>
            <w:r w:rsidR="00E017C2" w:rsidRPr="00CA6706">
              <w:rPr>
                <w:rFonts w:eastAsia="MS Mincho"/>
                <w:b/>
                <w:lang w:val="en-GB"/>
              </w:rPr>
              <w:t xml:space="preserve">+ </w:t>
            </w:r>
            <w:r>
              <w:rPr>
                <w:rFonts w:eastAsia="MS Mincho"/>
                <w:b/>
                <w:lang w:val="en-GB"/>
              </w:rPr>
              <w:t>ABC/3TC</w:t>
            </w:r>
          </w:p>
          <w:p w:rsidR="005D4367" w:rsidRDefault="00E017C2">
            <w:pPr>
              <w:keepNext/>
              <w:spacing w:after="0"/>
              <w:rPr>
                <w:rFonts w:eastAsia="MS Mincho"/>
                <w:b/>
                <w:lang w:val="en-GB"/>
              </w:rPr>
            </w:pPr>
            <w:r w:rsidRPr="00CA6706">
              <w:rPr>
                <w:rFonts w:eastAsia="MS Mincho"/>
                <w:b/>
                <w:lang w:val="en-GB"/>
              </w:rPr>
              <w:t>Once Daily</w:t>
            </w:r>
          </w:p>
          <w:p w:rsidR="005D4367" w:rsidRDefault="00E017C2">
            <w:pPr>
              <w:keepNext/>
              <w:spacing w:after="0"/>
              <w:rPr>
                <w:rFonts w:eastAsia="MS Mincho"/>
                <w:b/>
                <w:lang w:val="en-GB"/>
              </w:rPr>
            </w:pPr>
            <w:r w:rsidRPr="00CA6706">
              <w:rPr>
                <w:rFonts w:eastAsia="MS Mincho"/>
                <w:b/>
                <w:lang w:val="en-GB"/>
              </w:rPr>
              <w:t>(N = 414)</w:t>
            </w:r>
          </w:p>
        </w:tc>
        <w:tc>
          <w:tcPr>
            <w:tcW w:w="1710" w:type="dxa"/>
            <w:tcBorders>
              <w:bottom w:val="single" w:sz="4" w:space="0" w:color="auto"/>
            </w:tcBorders>
            <w:vAlign w:val="bottom"/>
          </w:tcPr>
          <w:p w:rsidR="005D4367" w:rsidRDefault="00CA6706">
            <w:pPr>
              <w:keepNext/>
              <w:spacing w:after="0"/>
              <w:rPr>
                <w:rFonts w:eastAsia="MS Mincho"/>
                <w:b/>
                <w:lang w:val="en-GB"/>
              </w:rPr>
            </w:pPr>
            <w:r w:rsidRPr="00CA6706">
              <w:rPr>
                <w:rFonts w:eastAsia="MS Mincho"/>
                <w:b/>
                <w:lang w:val="en-US"/>
              </w:rPr>
              <w:t>EFV/TDF/FTC</w:t>
            </w:r>
          </w:p>
          <w:p w:rsidR="005D4367" w:rsidRDefault="00E017C2">
            <w:pPr>
              <w:keepNext/>
              <w:spacing w:after="0"/>
              <w:rPr>
                <w:rFonts w:eastAsia="MS Mincho"/>
                <w:b/>
                <w:lang w:val="en-GB"/>
              </w:rPr>
            </w:pPr>
            <w:r w:rsidRPr="00CA6706">
              <w:rPr>
                <w:rFonts w:eastAsia="MS Mincho"/>
                <w:b/>
                <w:lang w:val="en-GB"/>
              </w:rPr>
              <w:t>Once Daily</w:t>
            </w:r>
          </w:p>
          <w:p w:rsidR="005D4367" w:rsidRDefault="00E017C2">
            <w:pPr>
              <w:keepNext/>
              <w:spacing w:after="0"/>
              <w:rPr>
                <w:rFonts w:eastAsia="MS Mincho"/>
                <w:b/>
                <w:lang w:val="en-GB"/>
              </w:rPr>
            </w:pPr>
            <w:r w:rsidRPr="00CA6706">
              <w:rPr>
                <w:rFonts w:eastAsia="MS Mincho"/>
                <w:b/>
                <w:lang w:val="en-GB"/>
              </w:rPr>
              <w:t>(N = 419)</w:t>
            </w:r>
          </w:p>
        </w:tc>
      </w:tr>
      <w:tr w:rsidR="00E017C2" w:rsidRPr="00E017C2" w:rsidTr="008D1053">
        <w:tc>
          <w:tcPr>
            <w:tcW w:w="2628" w:type="dxa"/>
            <w:tcBorders>
              <w:bottom w:val="nil"/>
              <w:right w:val="single" w:sz="4" w:space="0" w:color="auto"/>
            </w:tcBorders>
          </w:tcPr>
          <w:p w:rsidR="005D4367" w:rsidRDefault="00E017C2">
            <w:pPr>
              <w:keepNext/>
              <w:spacing w:after="0"/>
              <w:rPr>
                <w:rFonts w:eastAsia="MS Mincho"/>
                <w:b/>
                <w:bCs/>
                <w:lang w:val="en-GB"/>
              </w:rPr>
            </w:pPr>
            <w:r w:rsidRPr="00E017C2">
              <w:rPr>
                <w:rFonts w:eastAsia="MS Mincho"/>
                <w:b/>
                <w:bCs/>
                <w:lang w:val="en-GB"/>
              </w:rPr>
              <w:t xml:space="preserve">Psychiatric </w:t>
            </w:r>
          </w:p>
        </w:tc>
        <w:tc>
          <w:tcPr>
            <w:tcW w:w="1980" w:type="dxa"/>
            <w:tcBorders>
              <w:top w:val="single" w:sz="4" w:space="0" w:color="auto"/>
              <w:left w:val="single" w:sz="4" w:space="0" w:color="auto"/>
              <w:bottom w:val="nil"/>
            </w:tcBorders>
          </w:tcPr>
          <w:p w:rsidR="005D4367" w:rsidRDefault="005D4367">
            <w:pPr>
              <w:keepNext/>
              <w:spacing w:after="0"/>
              <w:rPr>
                <w:rFonts w:eastAsia="MS Mincho"/>
                <w:lang w:val="en-GB"/>
              </w:rPr>
            </w:pPr>
          </w:p>
        </w:tc>
        <w:tc>
          <w:tcPr>
            <w:tcW w:w="1710" w:type="dxa"/>
            <w:tcBorders>
              <w:bottom w:val="nil"/>
            </w:tcBorders>
          </w:tcPr>
          <w:p w:rsidR="005D4367" w:rsidRDefault="005D4367">
            <w:pPr>
              <w:keepNext/>
              <w:spacing w:after="0"/>
              <w:rPr>
                <w:rFonts w:eastAsia="MS Mincho"/>
                <w:lang w:val="en-GB"/>
              </w:rPr>
            </w:pPr>
          </w:p>
        </w:tc>
        <w:tc>
          <w:tcPr>
            <w:tcW w:w="1980" w:type="dxa"/>
            <w:tcBorders>
              <w:bottom w:val="nil"/>
            </w:tcBorders>
          </w:tcPr>
          <w:p w:rsidR="005D4367" w:rsidRDefault="005D4367">
            <w:pPr>
              <w:keepNext/>
              <w:spacing w:after="0"/>
              <w:rPr>
                <w:rFonts w:eastAsia="MS Mincho"/>
                <w:lang w:val="en-GB"/>
              </w:rPr>
            </w:pPr>
          </w:p>
        </w:tc>
        <w:tc>
          <w:tcPr>
            <w:tcW w:w="1710" w:type="dxa"/>
            <w:tcBorders>
              <w:bottom w:val="nil"/>
            </w:tcBorders>
          </w:tcPr>
          <w:p w:rsidR="005D4367" w:rsidRDefault="005D4367">
            <w:pPr>
              <w:keepNext/>
              <w:spacing w:after="0"/>
              <w:rPr>
                <w:rFonts w:eastAsia="MS Mincho"/>
                <w:lang w:val="en-GB"/>
              </w:rPr>
            </w:pPr>
          </w:p>
        </w:tc>
      </w:tr>
      <w:tr w:rsidR="00E017C2" w:rsidRPr="00E017C2" w:rsidTr="008D1053">
        <w:tc>
          <w:tcPr>
            <w:tcW w:w="2628" w:type="dxa"/>
            <w:tcBorders>
              <w:top w:val="nil"/>
              <w:bottom w:val="nil"/>
              <w:right w:val="single" w:sz="4" w:space="0" w:color="auto"/>
            </w:tcBorders>
          </w:tcPr>
          <w:p w:rsidR="005D4367" w:rsidRDefault="00E017C2">
            <w:pPr>
              <w:keepNext/>
              <w:spacing w:after="0"/>
              <w:rPr>
                <w:rFonts w:eastAsia="MS Mincho"/>
                <w:bCs/>
                <w:lang w:val="en-GB"/>
              </w:rPr>
            </w:pPr>
            <w:r w:rsidRPr="00E017C2">
              <w:rPr>
                <w:rFonts w:eastAsia="MS Mincho"/>
                <w:bCs/>
                <w:lang w:val="en-GB"/>
              </w:rPr>
              <w:t>Insomnia</w:t>
            </w:r>
          </w:p>
        </w:tc>
        <w:tc>
          <w:tcPr>
            <w:tcW w:w="1980" w:type="dxa"/>
            <w:tcBorders>
              <w:top w:val="nil"/>
              <w:left w:val="single" w:sz="4" w:space="0" w:color="auto"/>
              <w:bottom w:val="nil"/>
            </w:tcBorders>
          </w:tcPr>
          <w:p w:rsidR="005D4367" w:rsidRDefault="00E017C2">
            <w:pPr>
              <w:keepNext/>
              <w:spacing w:after="0"/>
              <w:rPr>
                <w:rFonts w:eastAsia="MS Mincho"/>
                <w:lang w:val="en-GB"/>
              </w:rPr>
            </w:pPr>
            <w:r w:rsidRPr="00E017C2">
              <w:rPr>
                <w:rFonts w:eastAsia="MS Mincho"/>
                <w:lang w:val="en-GB"/>
              </w:rPr>
              <w:t>3%</w:t>
            </w:r>
          </w:p>
        </w:tc>
        <w:tc>
          <w:tcPr>
            <w:tcW w:w="1710" w:type="dxa"/>
            <w:tcBorders>
              <w:top w:val="nil"/>
              <w:bottom w:val="nil"/>
            </w:tcBorders>
          </w:tcPr>
          <w:p w:rsidR="005D4367" w:rsidRDefault="00E017C2">
            <w:pPr>
              <w:keepNext/>
              <w:spacing w:after="0"/>
              <w:rPr>
                <w:rFonts w:eastAsia="MS Mincho"/>
                <w:lang w:val="en-GB"/>
              </w:rPr>
            </w:pPr>
            <w:r w:rsidRPr="00E017C2">
              <w:rPr>
                <w:rFonts w:eastAsia="MS Mincho"/>
                <w:lang w:val="en-GB"/>
              </w:rPr>
              <w:t>2%</w:t>
            </w:r>
          </w:p>
        </w:tc>
        <w:tc>
          <w:tcPr>
            <w:tcW w:w="1980" w:type="dxa"/>
            <w:tcBorders>
              <w:top w:val="nil"/>
              <w:bottom w:val="nil"/>
            </w:tcBorders>
          </w:tcPr>
          <w:p w:rsidR="005D4367" w:rsidRDefault="00E017C2">
            <w:pPr>
              <w:keepNext/>
              <w:spacing w:after="0"/>
              <w:rPr>
                <w:rFonts w:eastAsia="MS Mincho"/>
                <w:lang w:val="en-GB"/>
              </w:rPr>
            </w:pPr>
            <w:r w:rsidRPr="00E017C2">
              <w:rPr>
                <w:rFonts w:eastAsia="MS Mincho"/>
                <w:lang w:val="en-GB"/>
              </w:rPr>
              <w:t>3%</w:t>
            </w:r>
          </w:p>
        </w:tc>
        <w:tc>
          <w:tcPr>
            <w:tcW w:w="1710" w:type="dxa"/>
            <w:tcBorders>
              <w:top w:val="nil"/>
              <w:bottom w:val="nil"/>
            </w:tcBorders>
          </w:tcPr>
          <w:p w:rsidR="005D4367" w:rsidRDefault="00E017C2">
            <w:pPr>
              <w:keepNext/>
              <w:spacing w:after="0"/>
              <w:rPr>
                <w:rFonts w:eastAsia="MS Mincho"/>
                <w:lang w:val="en-GB"/>
              </w:rPr>
            </w:pPr>
            <w:r w:rsidRPr="00E017C2">
              <w:rPr>
                <w:rFonts w:eastAsia="MS Mincho"/>
                <w:lang w:val="en-GB"/>
              </w:rPr>
              <w:t>2%</w:t>
            </w:r>
          </w:p>
        </w:tc>
      </w:tr>
      <w:tr w:rsidR="00E017C2" w:rsidRPr="00E017C2" w:rsidTr="008D1053">
        <w:tc>
          <w:tcPr>
            <w:tcW w:w="2628" w:type="dxa"/>
            <w:tcBorders>
              <w:top w:val="nil"/>
              <w:bottom w:val="nil"/>
              <w:right w:val="single" w:sz="4" w:space="0" w:color="auto"/>
            </w:tcBorders>
          </w:tcPr>
          <w:p w:rsidR="005D4367" w:rsidRDefault="00E017C2">
            <w:pPr>
              <w:keepNext/>
              <w:spacing w:after="0"/>
              <w:rPr>
                <w:rFonts w:eastAsia="MS Mincho"/>
                <w:bCs/>
                <w:lang w:val="en-GB"/>
              </w:rPr>
            </w:pPr>
            <w:r w:rsidRPr="00E017C2">
              <w:rPr>
                <w:rFonts w:eastAsia="MS Mincho"/>
                <w:bCs/>
                <w:lang w:val="en-GB"/>
              </w:rPr>
              <w:t xml:space="preserve">Depression </w:t>
            </w:r>
          </w:p>
        </w:tc>
        <w:tc>
          <w:tcPr>
            <w:tcW w:w="1980" w:type="dxa"/>
            <w:tcBorders>
              <w:top w:val="nil"/>
              <w:left w:val="single" w:sz="4" w:space="0" w:color="auto"/>
              <w:bottom w:val="nil"/>
            </w:tcBorders>
            <w:vAlign w:val="bottom"/>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bottom w:val="nil"/>
            </w:tcBorders>
            <w:vAlign w:val="bottom"/>
          </w:tcPr>
          <w:p w:rsidR="005D4367" w:rsidRDefault="00E017C2">
            <w:pPr>
              <w:keepNext/>
              <w:spacing w:after="0"/>
              <w:rPr>
                <w:rFonts w:eastAsia="MS Mincho"/>
                <w:lang w:val="en-GB"/>
              </w:rPr>
            </w:pPr>
            <w:r w:rsidRPr="00E017C2">
              <w:rPr>
                <w:rFonts w:eastAsia="MS Mincho"/>
                <w:lang w:val="en-GB"/>
              </w:rPr>
              <w:t>1%</w:t>
            </w:r>
          </w:p>
        </w:tc>
        <w:tc>
          <w:tcPr>
            <w:tcW w:w="1980" w:type="dxa"/>
            <w:tcBorders>
              <w:top w:val="nil"/>
              <w:bottom w:val="nil"/>
            </w:tcBorders>
          </w:tcPr>
          <w:p w:rsidR="005D4367" w:rsidRDefault="00E017C2">
            <w:pPr>
              <w:keepNext/>
              <w:spacing w:after="0"/>
              <w:rPr>
                <w:rFonts w:eastAsia="MS Mincho"/>
                <w:lang w:val="en-GB"/>
              </w:rPr>
            </w:pPr>
            <w:r w:rsidRPr="00E017C2">
              <w:rPr>
                <w:rFonts w:eastAsia="MS Mincho"/>
                <w:lang w:val="en-GB"/>
              </w:rPr>
              <w:t>1%</w:t>
            </w:r>
          </w:p>
        </w:tc>
        <w:tc>
          <w:tcPr>
            <w:tcW w:w="1710" w:type="dxa"/>
            <w:tcBorders>
              <w:top w:val="nil"/>
              <w:bottom w:val="nil"/>
            </w:tcBorders>
          </w:tcPr>
          <w:p w:rsidR="005D4367" w:rsidRDefault="00E017C2">
            <w:pPr>
              <w:keepNext/>
              <w:spacing w:after="0"/>
              <w:rPr>
                <w:rFonts w:eastAsia="MS Mincho"/>
                <w:lang w:val="en-GB"/>
              </w:rPr>
            </w:pPr>
            <w:r w:rsidRPr="00E017C2">
              <w:rPr>
                <w:rFonts w:eastAsia="MS Mincho"/>
                <w:lang w:val="en-GB"/>
              </w:rPr>
              <w:t>2%</w:t>
            </w:r>
          </w:p>
        </w:tc>
      </w:tr>
      <w:tr w:rsidR="00E017C2" w:rsidRPr="00E017C2" w:rsidTr="008D1053">
        <w:tc>
          <w:tcPr>
            <w:tcW w:w="2628" w:type="dxa"/>
            <w:tcBorders>
              <w:top w:val="nil"/>
              <w:bottom w:val="single" w:sz="4" w:space="0" w:color="auto"/>
              <w:right w:val="single" w:sz="4" w:space="0" w:color="auto"/>
            </w:tcBorders>
          </w:tcPr>
          <w:p w:rsidR="005D4367" w:rsidRDefault="00E017C2">
            <w:pPr>
              <w:keepNext/>
              <w:spacing w:after="0"/>
              <w:rPr>
                <w:rFonts w:eastAsia="MS Mincho"/>
                <w:bCs/>
                <w:lang w:val="en-GB"/>
              </w:rPr>
            </w:pPr>
            <w:r w:rsidRPr="00E017C2">
              <w:rPr>
                <w:rFonts w:eastAsia="MS Mincho"/>
                <w:bCs/>
                <w:lang w:val="en-GB"/>
              </w:rPr>
              <w:t>Abnormal dreams</w:t>
            </w:r>
          </w:p>
        </w:tc>
        <w:tc>
          <w:tcPr>
            <w:tcW w:w="1980" w:type="dxa"/>
            <w:tcBorders>
              <w:top w:val="nil"/>
              <w:left w:val="single" w:sz="4" w:space="0" w:color="auto"/>
              <w:bottom w:val="single" w:sz="4" w:space="0" w:color="auto"/>
            </w:tcBorders>
            <w:vAlign w:val="bottom"/>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bottom w:val="single" w:sz="4" w:space="0" w:color="auto"/>
            </w:tcBorders>
            <w:vAlign w:val="bottom"/>
          </w:tcPr>
          <w:p w:rsidR="005D4367" w:rsidRDefault="00E017C2">
            <w:pPr>
              <w:keepNext/>
              <w:spacing w:after="0"/>
              <w:rPr>
                <w:rFonts w:eastAsia="MS Mincho"/>
                <w:lang w:val="en-GB"/>
              </w:rPr>
            </w:pPr>
            <w:r w:rsidRPr="00E017C2">
              <w:rPr>
                <w:rFonts w:eastAsia="MS Mincho"/>
                <w:lang w:val="en-GB"/>
              </w:rPr>
              <w:t>2%</w:t>
            </w:r>
          </w:p>
        </w:tc>
        <w:tc>
          <w:tcPr>
            <w:tcW w:w="1980" w:type="dxa"/>
            <w:tcBorders>
              <w:top w:val="nil"/>
              <w:bottom w:val="single" w:sz="4" w:space="0" w:color="auto"/>
            </w:tcBorders>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bottom w:val="single" w:sz="4" w:space="0" w:color="auto"/>
            </w:tcBorders>
          </w:tcPr>
          <w:p w:rsidR="005D4367" w:rsidRDefault="00E017C2">
            <w:pPr>
              <w:keepNext/>
              <w:spacing w:after="0"/>
              <w:rPr>
                <w:rFonts w:eastAsia="MS Mincho"/>
                <w:lang w:val="en-GB"/>
              </w:rPr>
            </w:pPr>
            <w:r w:rsidRPr="00E017C2">
              <w:rPr>
                <w:rFonts w:eastAsia="MS Mincho"/>
                <w:lang w:val="en-GB"/>
              </w:rPr>
              <w:t>2%</w:t>
            </w:r>
          </w:p>
        </w:tc>
      </w:tr>
      <w:tr w:rsidR="00E017C2" w:rsidRPr="00E017C2" w:rsidTr="008D1053">
        <w:tc>
          <w:tcPr>
            <w:tcW w:w="2628" w:type="dxa"/>
            <w:tcBorders>
              <w:bottom w:val="nil"/>
              <w:right w:val="single" w:sz="4" w:space="0" w:color="auto"/>
            </w:tcBorders>
          </w:tcPr>
          <w:p w:rsidR="005D4367" w:rsidRDefault="00E017C2">
            <w:pPr>
              <w:keepNext/>
              <w:spacing w:after="0"/>
              <w:rPr>
                <w:rFonts w:eastAsia="MS Mincho"/>
                <w:b/>
                <w:bCs/>
                <w:lang w:val="en-GB"/>
              </w:rPr>
            </w:pPr>
            <w:r w:rsidRPr="00E017C2">
              <w:rPr>
                <w:rFonts w:eastAsia="MS Mincho"/>
                <w:b/>
                <w:bCs/>
                <w:lang w:val="en-GB"/>
              </w:rPr>
              <w:t>Nervous System</w:t>
            </w:r>
          </w:p>
        </w:tc>
        <w:tc>
          <w:tcPr>
            <w:tcW w:w="1980" w:type="dxa"/>
            <w:tcBorders>
              <w:top w:val="single" w:sz="4" w:space="0" w:color="auto"/>
              <w:left w:val="single" w:sz="4" w:space="0" w:color="auto"/>
              <w:bottom w:val="nil"/>
            </w:tcBorders>
          </w:tcPr>
          <w:p w:rsidR="005D4367" w:rsidRDefault="005D4367">
            <w:pPr>
              <w:keepNext/>
              <w:spacing w:after="0"/>
              <w:rPr>
                <w:rFonts w:eastAsia="MS Mincho"/>
                <w:lang w:val="en-GB"/>
              </w:rPr>
            </w:pPr>
          </w:p>
        </w:tc>
        <w:tc>
          <w:tcPr>
            <w:tcW w:w="1710" w:type="dxa"/>
            <w:tcBorders>
              <w:bottom w:val="nil"/>
            </w:tcBorders>
          </w:tcPr>
          <w:p w:rsidR="005D4367" w:rsidRDefault="005D4367">
            <w:pPr>
              <w:keepNext/>
              <w:spacing w:after="0"/>
              <w:rPr>
                <w:rFonts w:eastAsia="MS Mincho"/>
                <w:lang w:val="en-GB"/>
              </w:rPr>
            </w:pPr>
          </w:p>
        </w:tc>
        <w:tc>
          <w:tcPr>
            <w:tcW w:w="1980" w:type="dxa"/>
            <w:tcBorders>
              <w:bottom w:val="nil"/>
            </w:tcBorders>
          </w:tcPr>
          <w:p w:rsidR="005D4367" w:rsidRDefault="005D4367">
            <w:pPr>
              <w:keepNext/>
              <w:spacing w:after="0"/>
              <w:rPr>
                <w:rFonts w:eastAsia="MS Mincho"/>
                <w:lang w:val="en-GB"/>
              </w:rPr>
            </w:pPr>
          </w:p>
        </w:tc>
        <w:tc>
          <w:tcPr>
            <w:tcW w:w="1710" w:type="dxa"/>
            <w:tcBorders>
              <w:bottom w:val="nil"/>
            </w:tcBorders>
          </w:tcPr>
          <w:p w:rsidR="005D4367" w:rsidRDefault="005D4367">
            <w:pPr>
              <w:keepNext/>
              <w:spacing w:after="0"/>
              <w:rPr>
                <w:rFonts w:eastAsia="MS Mincho"/>
                <w:lang w:val="en-GB"/>
              </w:rPr>
            </w:pPr>
          </w:p>
        </w:tc>
      </w:tr>
      <w:tr w:rsidR="00E017C2" w:rsidRPr="00E017C2" w:rsidTr="008D1053">
        <w:tc>
          <w:tcPr>
            <w:tcW w:w="2628" w:type="dxa"/>
            <w:tcBorders>
              <w:top w:val="nil"/>
              <w:bottom w:val="nil"/>
              <w:right w:val="single" w:sz="4" w:space="0" w:color="auto"/>
            </w:tcBorders>
          </w:tcPr>
          <w:p w:rsidR="005D4367" w:rsidRDefault="00E017C2">
            <w:pPr>
              <w:keepNext/>
              <w:spacing w:after="0"/>
              <w:rPr>
                <w:rFonts w:eastAsia="MS Mincho"/>
                <w:bCs/>
                <w:lang w:val="en-GB"/>
              </w:rPr>
            </w:pPr>
            <w:r w:rsidRPr="00E017C2">
              <w:rPr>
                <w:rFonts w:eastAsia="MS Mincho"/>
                <w:bCs/>
                <w:lang w:val="en-GB"/>
              </w:rPr>
              <w:t xml:space="preserve">Dizziness </w:t>
            </w:r>
          </w:p>
        </w:tc>
        <w:tc>
          <w:tcPr>
            <w:tcW w:w="1980" w:type="dxa"/>
            <w:tcBorders>
              <w:top w:val="nil"/>
              <w:left w:val="single" w:sz="4" w:space="0" w:color="auto"/>
              <w:bottom w:val="nil"/>
            </w:tcBorders>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bottom w:val="nil"/>
            </w:tcBorders>
          </w:tcPr>
          <w:p w:rsidR="005D4367" w:rsidRDefault="00E017C2">
            <w:pPr>
              <w:keepNext/>
              <w:spacing w:after="0"/>
              <w:rPr>
                <w:rFonts w:eastAsia="MS Mincho"/>
                <w:lang w:val="en-GB"/>
              </w:rPr>
            </w:pPr>
            <w:r w:rsidRPr="00E017C2">
              <w:rPr>
                <w:rFonts w:eastAsia="MS Mincho"/>
                <w:lang w:val="en-GB"/>
              </w:rPr>
              <w:t>5%</w:t>
            </w:r>
          </w:p>
        </w:tc>
        <w:tc>
          <w:tcPr>
            <w:tcW w:w="1980" w:type="dxa"/>
            <w:tcBorders>
              <w:top w:val="nil"/>
              <w:bottom w:val="nil"/>
            </w:tcBorders>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bottom w:val="nil"/>
            </w:tcBorders>
          </w:tcPr>
          <w:p w:rsidR="005D4367" w:rsidRDefault="00E017C2">
            <w:pPr>
              <w:keepNext/>
              <w:spacing w:after="0"/>
              <w:rPr>
                <w:rFonts w:eastAsia="MS Mincho"/>
                <w:lang w:val="en-GB"/>
              </w:rPr>
            </w:pPr>
            <w:r w:rsidRPr="00E017C2">
              <w:rPr>
                <w:rFonts w:eastAsia="MS Mincho"/>
                <w:lang w:val="en-GB"/>
              </w:rPr>
              <w:t>5%</w:t>
            </w:r>
          </w:p>
        </w:tc>
      </w:tr>
      <w:tr w:rsidR="00E017C2" w:rsidRPr="00E017C2" w:rsidTr="008D1053">
        <w:tc>
          <w:tcPr>
            <w:tcW w:w="2628" w:type="dxa"/>
            <w:tcBorders>
              <w:top w:val="nil"/>
              <w:bottom w:val="single" w:sz="4" w:space="0" w:color="auto"/>
              <w:right w:val="single" w:sz="4" w:space="0" w:color="auto"/>
            </w:tcBorders>
          </w:tcPr>
          <w:p w:rsidR="005D4367" w:rsidRDefault="00E017C2">
            <w:pPr>
              <w:keepNext/>
              <w:spacing w:after="0"/>
              <w:rPr>
                <w:rFonts w:eastAsia="MS Mincho"/>
                <w:bCs/>
                <w:lang w:val="en-GB"/>
              </w:rPr>
            </w:pPr>
            <w:r w:rsidRPr="00E017C2">
              <w:rPr>
                <w:rFonts w:eastAsia="MS Mincho"/>
                <w:bCs/>
                <w:lang w:val="en-GB"/>
              </w:rPr>
              <w:t>Headache</w:t>
            </w:r>
          </w:p>
        </w:tc>
        <w:tc>
          <w:tcPr>
            <w:tcW w:w="1980" w:type="dxa"/>
            <w:tcBorders>
              <w:top w:val="nil"/>
              <w:left w:val="single" w:sz="4" w:space="0" w:color="auto"/>
              <w:bottom w:val="single" w:sz="4" w:space="0" w:color="auto"/>
            </w:tcBorders>
            <w:vAlign w:val="bottom"/>
          </w:tcPr>
          <w:p w:rsidR="005D4367" w:rsidRDefault="00E017C2">
            <w:pPr>
              <w:keepNext/>
              <w:spacing w:after="0"/>
              <w:rPr>
                <w:rFonts w:eastAsia="MS Mincho"/>
                <w:lang w:val="en-GB"/>
              </w:rPr>
            </w:pPr>
            <w:r w:rsidRPr="00E017C2">
              <w:rPr>
                <w:rFonts w:eastAsia="MS Mincho"/>
                <w:lang w:val="en-GB"/>
              </w:rPr>
              <w:t>2%</w:t>
            </w:r>
          </w:p>
        </w:tc>
        <w:tc>
          <w:tcPr>
            <w:tcW w:w="1710" w:type="dxa"/>
            <w:tcBorders>
              <w:top w:val="nil"/>
              <w:bottom w:val="single" w:sz="4" w:space="0" w:color="auto"/>
            </w:tcBorders>
            <w:vAlign w:val="bottom"/>
          </w:tcPr>
          <w:p w:rsidR="005D4367" w:rsidRDefault="00E017C2">
            <w:pPr>
              <w:keepNext/>
              <w:spacing w:after="0"/>
              <w:rPr>
                <w:rFonts w:eastAsia="MS Mincho"/>
                <w:lang w:val="en-GB"/>
              </w:rPr>
            </w:pPr>
            <w:r w:rsidRPr="00E017C2">
              <w:rPr>
                <w:rFonts w:eastAsia="MS Mincho"/>
                <w:lang w:val="en-GB"/>
              </w:rPr>
              <w:t>2%</w:t>
            </w:r>
          </w:p>
        </w:tc>
        <w:tc>
          <w:tcPr>
            <w:tcW w:w="1980" w:type="dxa"/>
            <w:tcBorders>
              <w:top w:val="nil"/>
              <w:bottom w:val="single" w:sz="4" w:space="0" w:color="auto"/>
            </w:tcBorders>
          </w:tcPr>
          <w:p w:rsidR="005D4367" w:rsidRDefault="00E017C2">
            <w:pPr>
              <w:keepNext/>
              <w:spacing w:after="0"/>
              <w:rPr>
                <w:rFonts w:eastAsia="MS Mincho"/>
                <w:lang w:val="en-GB"/>
              </w:rPr>
            </w:pPr>
            <w:r w:rsidRPr="00E017C2">
              <w:rPr>
                <w:rFonts w:eastAsia="MS Mincho"/>
                <w:lang w:val="en-GB"/>
              </w:rPr>
              <w:t>2%</w:t>
            </w:r>
          </w:p>
        </w:tc>
        <w:tc>
          <w:tcPr>
            <w:tcW w:w="1710" w:type="dxa"/>
            <w:tcBorders>
              <w:top w:val="nil"/>
              <w:bottom w:val="single" w:sz="4" w:space="0" w:color="auto"/>
            </w:tcBorders>
          </w:tcPr>
          <w:p w:rsidR="005D4367" w:rsidRDefault="00E017C2">
            <w:pPr>
              <w:keepNext/>
              <w:spacing w:after="0"/>
              <w:rPr>
                <w:rFonts w:eastAsia="MS Mincho"/>
                <w:lang w:val="en-GB"/>
              </w:rPr>
            </w:pPr>
            <w:r w:rsidRPr="00E017C2">
              <w:rPr>
                <w:rFonts w:eastAsia="MS Mincho"/>
                <w:lang w:val="en-GB"/>
              </w:rPr>
              <w:t>2%</w:t>
            </w:r>
          </w:p>
        </w:tc>
      </w:tr>
      <w:tr w:rsidR="00E017C2" w:rsidRPr="00E017C2" w:rsidTr="008D1053">
        <w:tc>
          <w:tcPr>
            <w:tcW w:w="2628" w:type="dxa"/>
            <w:tcBorders>
              <w:bottom w:val="nil"/>
              <w:right w:val="single" w:sz="4" w:space="0" w:color="auto"/>
            </w:tcBorders>
          </w:tcPr>
          <w:p w:rsidR="005D4367" w:rsidRDefault="00E017C2">
            <w:pPr>
              <w:keepNext/>
              <w:spacing w:after="0"/>
              <w:rPr>
                <w:rFonts w:eastAsia="MS Mincho"/>
                <w:bCs/>
                <w:lang w:val="en-GB"/>
              </w:rPr>
            </w:pPr>
            <w:r w:rsidRPr="00E017C2">
              <w:rPr>
                <w:rFonts w:eastAsia="MS Mincho"/>
                <w:b/>
                <w:bCs/>
                <w:lang w:val="en-GB"/>
              </w:rPr>
              <w:t>Gastrointestinal</w:t>
            </w:r>
            <w:r w:rsidRPr="00E017C2">
              <w:rPr>
                <w:rFonts w:eastAsia="MS Mincho"/>
                <w:bCs/>
                <w:lang w:val="en-GB"/>
              </w:rPr>
              <w:t xml:space="preserve"> </w:t>
            </w:r>
          </w:p>
        </w:tc>
        <w:tc>
          <w:tcPr>
            <w:tcW w:w="1980" w:type="dxa"/>
            <w:tcBorders>
              <w:top w:val="single" w:sz="4" w:space="0" w:color="auto"/>
              <w:left w:val="single" w:sz="4" w:space="0" w:color="auto"/>
              <w:bottom w:val="nil"/>
            </w:tcBorders>
          </w:tcPr>
          <w:p w:rsidR="005D4367" w:rsidRDefault="005D4367">
            <w:pPr>
              <w:keepNext/>
              <w:spacing w:after="0"/>
              <w:rPr>
                <w:rFonts w:eastAsia="MS Mincho"/>
                <w:lang w:val="en-GB"/>
              </w:rPr>
            </w:pPr>
          </w:p>
        </w:tc>
        <w:tc>
          <w:tcPr>
            <w:tcW w:w="1710" w:type="dxa"/>
            <w:tcBorders>
              <w:bottom w:val="nil"/>
            </w:tcBorders>
          </w:tcPr>
          <w:p w:rsidR="005D4367" w:rsidRDefault="005D4367">
            <w:pPr>
              <w:keepNext/>
              <w:spacing w:after="0"/>
              <w:rPr>
                <w:rFonts w:eastAsia="MS Mincho"/>
                <w:lang w:val="en-GB"/>
              </w:rPr>
            </w:pPr>
          </w:p>
        </w:tc>
        <w:tc>
          <w:tcPr>
            <w:tcW w:w="1980" w:type="dxa"/>
            <w:tcBorders>
              <w:bottom w:val="nil"/>
            </w:tcBorders>
          </w:tcPr>
          <w:p w:rsidR="005D4367" w:rsidRDefault="005D4367">
            <w:pPr>
              <w:keepNext/>
              <w:spacing w:after="0"/>
              <w:rPr>
                <w:rFonts w:eastAsia="MS Mincho"/>
                <w:lang w:val="en-GB"/>
              </w:rPr>
            </w:pPr>
          </w:p>
        </w:tc>
        <w:tc>
          <w:tcPr>
            <w:tcW w:w="1710" w:type="dxa"/>
            <w:tcBorders>
              <w:bottom w:val="nil"/>
            </w:tcBorders>
          </w:tcPr>
          <w:p w:rsidR="005D4367" w:rsidRDefault="005D4367">
            <w:pPr>
              <w:keepNext/>
              <w:spacing w:after="0"/>
              <w:rPr>
                <w:rFonts w:eastAsia="MS Mincho"/>
                <w:lang w:val="en-GB"/>
              </w:rPr>
            </w:pPr>
          </w:p>
        </w:tc>
      </w:tr>
      <w:tr w:rsidR="00E017C2" w:rsidRPr="00E017C2" w:rsidTr="008D1053">
        <w:tc>
          <w:tcPr>
            <w:tcW w:w="2628" w:type="dxa"/>
            <w:tcBorders>
              <w:top w:val="nil"/>
              <w:bottom w:val="nil"/>
              <w:right w:val="single" w:sz="4" w:space="0" w:color="auto"/>
            </w:tcBorders>
          </w:tcPr>
          <w:p w:rsidR="005D4367" w:rsidRDefault="00E017C2">
            <w:pPr>
              <w:keepNext/>
              <w:spacing w:after="0"/>
              <w:rPr>
                <w:rFonts w:eastAsia="MS Mincho"/>
                <w:bCs/>
                <w:lang w:val="en-GB"/>
              </w:rPr>
            </w:pPr>
            <w:r w:rsidRPr="00E017C2">
              <w:rPr>
                <w:rFonts w:eastAsia="MS Mincho"/>
                <w:bCs/>
                <w:lang w:val="en-GB"/>
              </w:rPr>
              <w:t>Nausea</w:t>
            </w:r>
          </w:p>
        </w:tc>
        <w:tc>
          <w:tcPr>
            <w:tcW w:w="1980" w:type="dxa"/>
            <w:tcBorders>
              <w:top w:val="nil"/>
              <w:left w:val="single" w:sz="4" w:space="0" w:color="auto"/>
              <w:bottom w:val="nil"/>
            </w:tcBorders>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bottom w:val="nil"/>
            </w:tcBorders>
          </w:tcPr>
          <w:p w:rsidR="005D4367" w:rsidRDefault="00E017C2">
            <w:pPr>
              <w:keepNext/>
              <w:spacing w:after="0"/>
              <w:rPr>
                <w:rFonts w:eastAsia="MS Mincho"/>
                <w:lang w:val="en-GB"/>
              </w:rPr>
            </w:pPr>
            <w:r w:rsidRPr="00E017C2">
              <w:rPr>
                <w:rFonts w:eastAsia="MS Mincho"/>
                <w:lang w:val="en-GB"/>
              </w:rPr>
              <w:t>3%</w:t>
            </w:r>
          </w:p>
        </w:tc>
        <w:tc>
          <w:tcPr>
            <w:tcW w:w="1980" w:type="dxa"/>
            <w:tcBorders>
              <w:top w:val="nil"/>
              <w:bottom w:val="nil"/>
            </w:tcBorders>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bottom w:val="nil"/>
            </w:tcBorders>
          </w:tcPr>
          <w:p w:rsidR="005D4367" w:rsidRDefault="00E017C2">
            <w:pPr>
              <w:keepNext/>
              <w:spacing w:after="0"/>
              <w:rPr>
                <w:rFonts w:eastAsia="MS Mincho"/>
                <w:lang w:val="en-GB"/>
              </w:rPr>
            </w:pPr>
            <w:r w:rsidRPr="00E017C2">
              <w:rPr>
                <w:rFonts w:eastAsia="MS Mincho"/>
                <w:lang w:val="en-GB"/>
              </w:rPr>
              <w:t>3%</w:t>
            </w:r>
          </w:p>
        </w:tc>
      </w:tr>
      <w:tr w:rsidR="00E017C2" w:rsidRPr="00E017C2" w:rsidTr="008D1053">
        <w:tc>
          <w:tcPr>
            <w:tcW w:w="2628" w:type="dxa"/>
            <w:tcBorders>
              <w:top w:val="nil"/>
              <w:bottom w:val="single" w:sz="4" w:space="0" w:color="auto"/>
              <w:right w:val="single" w:sz="4" w:space="0" w:color="auto"/>
            </w:tcBorders>
          </w:tcPr>
          <w:p w:rsidR="005D4367" w:rsidRDefault="00E017C2">
            <w:pPr>
              <w:keepNext/>
              <w:spacing w:after="0"/>
              <w:rPr>
                <w:rFonts w:eastAsia="MS Mincho"/>
                <w:bCs/>
                <w:lang w:val="en-GB"/>
              </w:rPr>
            </w:pPr>
            <w:proofErr w:type="spellStart"/>
            <w:r w:rsidRPr="00E017C2">
              <w:rPr>
                <w:rFonts w:eastAsia="MS Mincho"/>
                <w:bCs/>
                <w:lang w:val="en-GB"/>
              </w:rPr>
              <w:t>Diarrhea</w:t>
            </w:r>
            <w:proofErr w:type="spellEnd"/>
          </w:p>
        </w:tc>
        <w:tc>
          <w:tcPr>
            <w:tcW w:w="1980" w:type="dxa"/>
            <w:tcBorders>
              <w:top w:val="nil"/>
              <w:left w:val="single" w:sz="4" w:space="0" w:color="auto"/>
              <w:bottom w:val="single" w:sz="4" w:space="0" w:color="auto"/>
            </w:tcBorders>
            <w:vAlign w:val="bottom"/>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bottom w:val="single" w:sz="4" w:space="0" w:color="auto"/>
            </w:tcBorders>
            <w:vAlign w:val="bottom"/>
          </w:tcPr>
          <w:p w:rsidR="005D4367" w:rsidRDefault="00E017C2">
            <w:pPr>
              <w:keepNext/>
              <w:spacing w:after="0"/>
              <w:rPr>
                <w:rFonts w:eastAsia="MS Mincho"/>
                <w:lang w:val="en-GB"/>
              </w:rPr>
            </w:pPr>
            <w:r w:rsidRPr="00E017C2">
              <w:rPr>
                <w:rFonts w:eastAsia="MS Mincho"/>
                <w:lang w:val="en-GB"/>
              </w:rPr>
              <w:t>2%</w:t>
            </w:r>
          </w:p>
        </w:tc>
        <w:tc>
          <w:tcPr>
            <w:tcW w:w="1980" w:type="dxa"/>
            <w:tcBorders>
              <w:top w:val="nil"/>
              <w:bottom w:val="single" w:sz="4" w:space="0" w:color="auto"/>
            </w:tcBorders>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bottom w:val="single" w:sz="4" w:space="0" w:color="auto"/>
            </w:tcBorders>
          </w:tcPr>
          <w:p w:rsidR="005D4367" w:rsidRDefault="00E017C2">
            <w:pPr>
              <w:keepNext/>
              <w:spacing w:after="0"/>
              <w:rPr>
                <w:rFonts w:eastAsia="MS Mincho"/>
                <w:lang w:val="en-GB"/>
              </w:rPr>
            </w:pPr>
            <w:r w:rsidRPr="00E017C2">
              <w:rPr>
                <w:rFonts w:eastAsia="MS Mincho"/>
                <w:lang w:val="en-GB"/>
              </w:rPr>
              <w:t>2%</w:t>
            </w:r>
          </w:p>
        </w:tc>
      </w:tr>
      <w:tr w:rsidR="00E017C2" w:rsidRPr="00E017C2" w:rsidTr="008D1053">
        <w:tc>
          <w:tcPr>
            <w:tcW w:w="2628" w:type="dxa"/>
            <w:tcBorders>
              <w:bottom w:val="nil"/>
              <w:right w:val="single" w:sz="4" w:space="0" w:color="auto"/>
            </w:tcBorders>
          </w:tcPr>
          <w:p w:rsidR="005D4367" w:rsidRDefault="00E017C2">
            <w:pPr>
              <w:keepNext/>
              <w:spacing w:after="0"/>
              <w:rPr>
                <w:rFonts w:eastAsia="MS Mincho"/>
                <w:bCs/>
                <w:lang w:val="en-GB"/>
              </w:rPr>
            </w:pPr>
            <w:r w:rsidRPr="00E017C2">
              <w:rPr>
                <w:rFonts w:eastAsia="MS Mincho"/>
                <w:b/>
                <w:bCs/>
                <w:lang w:val="en-GB"/>
              </w:rPr>
              <w:t>General Disorders</w:t>
            </w:r>
            <w:r w:rsidRPr="00E017C2">
              <w:rPr>
                <w:rFonts w:eastAsia="MS Mincho"/>
                <w:bCs/>
                <w:lang w:val="en-GB"/>
              </w:rPr>
              <w:t xml:space="preserve"> </w:t>
            </w:r>
          </w:p>
        </w:tc>
        <w:tc>
          <w:tcPr>
            <w:tcW w:w="1980" w:type="dxa"/>
            <w:tcBorders>
              <w:top w:val="single" w:sz="4" w:space="0" w:color="auto"/>
              <w:left w:val="single" w:sz="4" w:space="0" w:color="auto"/>
              <w:bottom w:val="nil"/>
            </w:tcBorders>
            <w:vAlign w:val="bottom"/>
          </w:tcPr>
          <w:p w:rsidR="005D4367" w:rsidRDefault="005D4367">
            <w:pPr>
              <w:keepNext/>
              <w:spacing w:after="0"/>
              <w:rPr>
                <w:rFonts w:eastAsia="MS Mincho"/>
                <w:lang w:val="en-GB"/>
              </w:rPr>
            </w:pPr>
          </w:p>
        </w:tc>
        <w:tc>
          <w:tcPr>
            <w:tcW w:w="1710" w:type="dxa"/>
            <w:tcBorders>
              <w:bottom w:val="nil"/>
            </w:tcBorders>
            <w:vAlign w:val="bottom"/>
          </w:tcPr>
          <w:p w:rsidR="005D4367" w:rsidRDefault="005D4367">
            <w:pPr>
              <w:keepNext/>
              <w:spacing w:after="0"/>
              <w:rPr>
                <w:rFonts w:eastAsia="MS Mincho"/>
                <w:lang w:val="en-GB"/>
              </w:rPr>
            </w:pPr>
          </w:p>
        </w:tc>
        <w:tc>
          <w:tcPr>
            <w:tcW w:w="1980" w:type="dxa"/>
            <w:tcBorders>
              <w:bottom w:val="nil"/>
            </w:tcBorders>
          </w:tcPr>
          <w:p w:rsidR="005D4367" w:rsidRDefault="005D4367">
            <w:pPr>
              <w:keepNext/>
              <w:spacing w:after="0"/>
              <w:rPr>
                <w:rFonts w:eastAsia="MS Mincho"/>
                <w:lang w:val="en-GB"/>
              </w:rPr>
            </w:pPr>
          </w:p>
        </w:tc>
        <w:tc>
          <w:tcPr>
            <w:tcW w:w="1710" w:type="dxa"/>
            <w:tcBorders>
              <w:bottom w:val="nil"/>
            </w:tcBorders>
          </w:tcPr>
          <w:p w:rsidR="005D4367" w:rsidRDefault="005D4367">
            <w:pPr>
              <w:keepNext/>
              <w:spacing w:after="0"/>
              <w:rPr>
                <w:rFonts w:eastAsia="MS Mincho"/>
                <w:lang w:val="en-GB"/>
              </w:rPr>
            </w:pPr>
          </w:p>
        </w:tc>
      </w:tr>
      <w:tr w:rsidR="00E017C2" w:rsidRPr="00E017C2" w:rsidTr="008D1053">
        <w:tc>
          <w:tcPr>
            <w:tcW w:w="2628" w:type="dxa"/>
            <w:tcBorders>
              <w:top w:val="nil"/>
              <w:right w:val="single" w:sz="4" w:space="0" w:color="auto"/>
            </w:tcBorders>
          </w:tcPr>
          <w:p w:rsidR="005D4367" w:rsidRDefault="00E017C2">
            <w:pPr>
              <w:keepNext/>
              <w:spacing w:after="0"/>
              <w:rPr>
                <w:rFonts w:eastAsia="MS Mincho"/>
                <w:bCs/>
                <w:lang w:val="en-GB"/>
              </w:rPr>
            </w:pPr>
            <w:r w:rsidRPr="00E017C2">
              <w:rPr>
                <w:rFonts w:eastAsia="MS Mincho"/>
                <w:bCs/>
                <w:lang w:val="en-GB"/>
              </w:rPr>
              <w:t>Fatigue</w:t>
            </w:r>
          </w:p>
        </w:tc>
        <w:tc>
          <w:tcPr>
            <w:tcW w:w="1980" w:type="dxa"/>
            <w:tcBorders>
              <w:top w:val="nil"/>
              <w:left w:val="single" w:sz="4" w:space="0" w:color="auto"/>
              <w:bottom w:val="single" w:sz="4" w:space="0" w:color="auto"/>
            </w:tcBorders>
            <w:vAlign w:val="bottom"/>
          </w:tcPr>
          <w:p w:rsidR="005D4367" w:rsidRDefault="00E017C2">
            <w:pPr>
              <w:keepNext/>
              <w:spacing w:after="0"/>
              <w:rPr>
                <w:rFonts w:eastAsia="MS Mincho"/>
                <w:lang w:val="en-GB"/>
              </w:rPr>
            </w:pPr>
            <w:r w:rsidRPr="00E017C2">
              <w:rPr>
                <w:rFonts w:eastAsia="MS Mincho"/>
                <w:lang w:val="en-GB"/>
              </w:rPr>
              <w:t>1%</w:t>
            </w:r>
          </w:p>
        </w:tc>
        <w:tc>
          <w:tcPr>
            <w:tcW w:w="1710" w:type="dxa"/>
            <w:tcBorders>
              <w:top w:val="nil"/>
            </w:tcBorders>
            <w:vAlign w:val="bottom"/>
          </w:tcPr>
          <w:p w:rsidR="005D4367" w:rsidRDefault="00E017C2">
            <w:pPr>
              <w:keepNext/>
              <w:spacing w:after="0"/>
              <w:rPr>
                <w:rFonts w:eastAsia="MS Mincho"/>
                <w:lang w:val="en-GB"/>
              </w:rPr>
            </w:pPr>
            <w:r w:rsidRPr="00E017C2">
              <w:rPr>
                <w:rFonts w:eastAsia="MS Mincho"/>
                <w:lang w:val="en-GB"/>
              </w:rPr>
              <w:t>1%</w:t>
            </w:r>
          </w:p>
        </w:tc>
        <w:tc>
          <w:tcPr>
            <w:tcW w:w="1980" w:type="dxa"/>
            <w:tcBorders>
              <w:top w:val="nil"/>
            </w:tcBorders>
            <w:vAlign w:val="bottom"/>
          </w:tcPr>
          <w:p w:rsidR="005D4367" w:rsidRDefault="00E017C2">
            <w:pPr>
              <w:keepNext/>
              <w:spacing w:after="0"/>
              <w:rPr>
                <w:rFonts w:eastAsia="MS Mincho"/>
                <w:lang w:val="en-GB"/>
              </w:rPr>
            </w:pPr>
            <w:r w:rsidRPr="00E017C2">
              <w:rPr>
                <w:rFonts w:eastAsia="MS Mincho"/>
                <w:lang w:val="en-GB"/>
              </w:rPr>
              <w:t>2%</w:t>
            </w:r>
          </w:p>
        </w:tc>
        <w:tc>
          <w:tcPr>
            <w:tcW w:w="1710" w:type="dxa"/>
            <w:tcBorders>
              <w:top w:val="nil"/>
            </w:tcBorders>
            <w:vAlign w:val="bottom"/>
          </w:tcPr>
          <w:p w:rsidR="005D4367" w:rsidRDefault="00E017C2">
            <w:pPr>
              <w:keepNext/>
              <w:spacing w:after="0"/>
              <w:rPr>
                <w:rFonts w:eastAsia="MS Mincho"/>
                <w:lang w:val="en-GB"/>
              </w:rPr>
            </w:pPr>
            <w:r w:rsidRPr="00E017C2">
              <w:rPr>
                <w:rFonts w:eastAsia="MS Mincho"/>
                <w:lang w:val="en-GB"/>
              </w:rPr>
              <w:t>2%</w:t>
            </w:r>
          </w:p>
        </w:tc>
      </w:tr>
      <w:tr w:rsidR="00E017C2" w:rsidRPr="00E017C2" w:rsidTr="008D1053">
        <w:tc>
          <w:tcPr>
            <w:tcW w:w="2628" w:type="dxa"/>
            <w:tcBorders>
              <w:bottom w:val="nil"/>
              <w:right w:val="single" w:sz="4" w:space="0" w:color="auto"/>
            </w:tcBorders>
          </w:tcPr>
          <w:p w:rsidR="005D4367" w:rsidRDefault="00E017C2">
            <w:pPr>
              <w:keepNext/>
              <w:spacing w:after="0"/>
              <w:rPr>
                <w:rFonts w:eastAsia="MS Mincho"/>
                <w:bCs/>
                <w:lang w:val="en-GB"/>
              </w:rPr>
            </w:pPr>
            <w:r w:rsidRPr="00E017C2">
              <w:rPr>
                <w:rFonts w:eastAsia="MS Mincho"/>
                <w:b/>
                <w:bCs/>
                <w:lang w:val="en-GB"/>
              </w:rPr>
              <w:t>Skin and Subcutaneous Tissue</w:t>
            </w:r>
            <w:r w:rsidRPr="00E017C2">
              <w:rPr>
                <w:rFonts w:eastAsia="MS Mincho"/>
                <w:bCs/>
                <w:lang w:val="en-GB"/>
              </w:rPr>
              <w:t xml:space="preserve"> </w:t>
            </w:r>
          </w:p>
        </w:tc>
        <w:tc>
          <w:tcPr>
            <w:tcW w:w="1980" w:type="dxa"/>
            <w:tcBorders>
              <w:top w:val="single" w:sz="4" w:space="0" w:color="auto"/>
              <w:left w:val="single" w:sz="4" w:space="0" w:color="auto"/>
              <w:bottom w:val="nil"/>
            </w:tcBorders>
            <w:vAlign w:val="bottom"/>
          </w:tcPr>
          <w:p w:rsidR="005D4367" w:rsidRDefault="005D4367">
            <w:pPr>
              <w:keepNext/>
              <w:spacing w:after="0"/>
              <w:rPr>
                <w:rFonts w:eastAsia="MS Mincho"/>
                <w:lang w:val="en-GB"/>
              </w:rPr>
            </w:pPr>
          </w:p>
        </w:tc>
        <w:tc>
          <w:tcPr>
            <w:tcW w:w="1710" w:type="dxa"/>
            <w:tcBorders>
              <w:bottom w:val="nil"/>
            </w:tcBorders>
            <w:vAlign w:val="bottom"/>
          </w:tcPr>
          <w:p w:rsidR="005D4367" w:rsidRDefault="005D4367">
            <w:pPr>
              <w:keepNext/>
              <w:spacing w:after="0"/>
              <w:rPr>
                <w:rFonts w:eastAsia="MS Mincho"/>
                <w:lang w:val="en-GB"/>
              </w:rPr>
            </w:pPr>
          </w:p>
        </w:tc>
        <w:tc>
          <w:tcPr>
            <w:tcW w:w="1980" w:type="dxa"/>
            <w:tcBorders>
              <w:bottom w:val="nil"/>
            </w:tcBorders>
          </w:tcPr>
          <w:p w:rsidR="005D4367" w:rsidRDefault="005D4367">
            <w:pPr>
              <w:keepNext/>
              <w:spacing w:after="0"/>
              <w:rPr>
                <w:rFonts w:eastAsia="MS Mincho"/>
                <w:lang w:val="en-GB"/>
              </w:rPr>
            </w:pPr>
          </w:p>
        </w:tc>
        <w:tc>
          <w:tcPr>
            <w:tcW w:w="1710" w:type="dxa"/>
            <w:tcBorders>
              <w:bottom w:val="nil"/>
            </w:tcBorders>
          </w:tcPr>
          <w:p w:rsidR="005D4367" w:rsidRDefault="005D4367">
            <w:pPr>
              <w:keepNext/>
              <w:spacing w:after="0"/>
              <w:rPr>
                <w:rFonts w:eastAsia="MS Mincho"/>
                <w:lang w:val="en-GB"/>
              </w:rPr>
            </w:pPr>
          </w:p>
        </w:tc>
      </w:tr>
      <w:tr w:rsidR="00E017C2" w:rsidRPr="00E017C2" w:rsidTr="008D1053">
        <w:tc>
          <w:tcPr>
            <w:tcW w:w="2628" w:type="dxa"/>
            <w:tcBorders>
              <w:top w:val="nil"/>
              <w:right w:val="single" w:sz="4" w:space="0" w:color="auto"/>
            </w:tcBorders>
          </w:tcPr>
          <w:p w:rsidR="005D4367" w:rsidRDefault="00E017C2">
            <w:pPr>
              <w:keepNext/>
              <w:spacing w:after="0"/>
              <w:rPr>
                <w:rFonts w:eastAsia="MS Mincho"/>
                <w:bCs/>
                <w:lang w:val="en-GB"/>
              </w:rPr>
            </w:pPr>
            <w:r w:rsidRPr="00E017C2">
              <w:rPr>
                <w:rFonts w:eastAsia="MS Mincho"/>
                <w:bCs/>
                <w:lang w:val="en-GB"/>
              </w:rPr>
              <w:t>Rash</w:t>
            </w:r>
            <w:r w:rsidRPr="00E017C2">
              <w:rPr>
                <w:rFonts w:eastAsia="MS Mincho"/>
                <w:vertAlign w:val="superscript"/>
                <w:lang w:val="en-GB"/>
              </w:rPr>
              <w:t xml:space="preserve"> </w:t>
            </w:r>
          </w:p>
        </w:tc>
        <w:tc>
          <w:tcPr>
            <w:tcW w:w="1980" w:type="dxa"/>
            <w:tcBorders>
              <w:top w:val="nil"/>
              <w:left w:val="single" w:sz="4" w:space="0" w:color="auto"/>
              <w:bottom w:val="single" w:sz="4" w:space="0" w:color="auto"/>
            </w:tcBorders>
            <w:vAlign w:val="bottom"/>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tcBorders>
            <w:vAlign w:val="bottom"/>
          </w:tcPr>
          <w:p w:rsidR="005D4367" w:rsidRDefault="00BD77CE">
            <w:pPr>
              <w:keepNext/>
              <w:spacing w:after="0"/>
              <w:rPr>
                <w:rFonts w:eastAsia="MS Mincho"/>
                <w:lang w:val="en-GB"/>
              </w:rPr>
            </w:pPr>
            <w:r>
              <w:rPr>
                <w:rFonts w:eastAsia="MS Mincho"/>
                <w:lang w:val="en-GB"/>
              </w:rPr>
              <w:t>3</w:t>
            </w:r>
            <w:r w:rsidR="00E017C2" w:rsidRPr="00E017C2">
              <w:rPr>
                <w:rFonts w:eastAsia="MS Mincho"/>
                <w:lang w:val="en-GB"/>
              </w:rPr>
              <w:t>%</w:t>
            </w:r>
          </w:p>
        </w:tc>
        <w:tc>
          <w:tcPr>
            <w:tcW w:w="1980" w:type="dxa"/>
            <w:tcBorders>
              <w:top w:val="nil"/>
            </w:tcBorders>
            <w:vAlign w:val="bottom"/>
          </w:tcPr>
          <w:p w:rsidR="005D4367" w:rsidRDefault="00E017C2">
            <w:pPr>
              <w:keepNext/>
              <w:spacing w:after="0"/>
              <w:rPr>
                <w:rFonts w:eastAsia="MS Mincho"/>
                <w:lang w:val="en-GB"/>
              </w:rPr>
            </w:pPr>
            <w:r w:rsidRPr="00E017C2">
              <w:rPr>
                <w:rFonts w:eastAsia="MS Mincho"/>
                <w:lang w:val="en-GB"/>
              </w:rPr>
              <w:t>&lt;1%</w:t>
            </w:r>
          </w:p>
        </w:tc>
        <w:tc>
          <w:tcPr>
            <w:tcW w:w="1710" w:type="dxa"/>
            <w:tcBorders>
              <w:top w:val="nil"/>
            </w:tcBorders>
            <w:vAlign w:val="bottom"/>
          </w:tcPr>
          <w:p w:rsidR="005D4367" w:rsidRDefault="00BD77CE">
            <w:pPr>
              <w:keepNext/>
              <w:spacing w:after="0"/>
              <w:rPr>
                <w:rFonts w:eastAsia="MS Mincho"/>
                <w:lang w:val="en-GB"/>
              </w:rPr>
            </w:pPr>
            <w:r>
              <w:rPr>
                <w:rFonts w:eastAsia="MS Mincho"/>
                <w:lang w:val="en-GB"/>
              </w:rPr>
              <w:t>3</w:t>
            </w:r>
            <w:r w:rsidR="00E017C2" w:rsidRPr="00E017C2">
              <w:rPr>
                <w:rFonts w:eastAsia="MS Mincho"/>
                <w:lang w:val="en-GB"/>
              </w:rPr>
              <w:t>%</w:t>
            </w:r>
          </w:p>
        </w:tc>
      </w:tr>
      <w:tr w:rsidR="00E017C2" w:rsidRPr="00E017C2" w:rsidTr="008D1053">
        <w:tc>
          <w:tcPr>
            <w:tcW w:w="2628" w:type="dxa"/>
            <w:tcBorders>
              <w:bottom w:val="nil"/>
              <w:right w:val="single" w:sz="4" w:space="0" w:color="auto"/>
            </w:tcBorders>
          </w:tcPr>
          <w:p w:rsidR="005D4367" w:rsidRDefault="00E017C2">
            <w:pPr>
              <w:keepNext/>
              <w:spacing w:after="0"/>
              <w:rPr>
                <w:rFonts w:eastAsia="MS Mincho"/>
                <w:bCs/>
                <w:lang w:val="en-GB"/>
              </w:rPr>
            </w:pPr>
            <w:r w:rsidRPr="00E017C2">
              <w:rPr>
                <w:rFonts w:eastAsia="MS Mincho"/>
                <w:b/>
                <w:bCs/>
                <w:lang w:val="en-GB"/>
              </w:rPr>
              <w:t>Ear and Labyrinth</w:t>
            </w:r>
            <w:r w:rsidRPr="00E017C2">
              <w:rPr>
                <w:rFonts w:eastAsia="MS Mincho"/>
                <w:bCs/>
                <w:lang w:val="en-GB"/>
              </w:rPr>
              <w:t xml:space="preserve"> </w:t>
            </w:r>
          </w:p>
        </w:tc>
        <w:tc>
          <w:tcPr>
            <w:tcW w:w="1980" w:type="dxa"/>
            <w:tcBorders>
              <w:top w:val="single" w:sz="4" w:space="0" w:color="auto"/>
              <w:left w:val="single" w:sz="4" w:space="0" w:color="auto"/>
              <w:bottom w:val="nil"/>
            </w:tcBorders>
            <w:vAlign w:val="bottom"/>
          </w:tcPr>
          <w:p w:rsidR="005D4367" w:rsidRDefault="005D4367">
            <w:pPr>
              <w:keepNext/>
              <w:spacing w:after="0"/>
              <w:rPr>
                <w:rFonts w:eastAsia="MS Mincho"/>
                <w:lang w:val="en-GB"/>
              </w:rPr>
            </w:pPr>
          </w:p>
        </w:tc>
        <w:tc>
          <w:tcPr>
            <w:tcW w:w="1710" w:type="dxa"/>
            <w:tcBorders>
              <w:bottom w:val="nil"/>
            </w:tcBorders>
            <w:vAlign w:val="bottom"/>
          </w:tcPr>
          <w:p w:rsidR="005D4367" w:rsidRDefault="005D4367">
            <w:pPr>
              <w:keepNext/>
              <w:spacing w:after="0"/>
              <w:rPr>
                <w:rFonts w:eastAsia="MS Mincho"/>
                <w:lang w:val="en-GB"/>
              </w:rPr>
            </w:pPr>
          </w:p>
        </w:tc>
        <w:tc>
          <w:tcPr>
            <w:tcW w:w="1980" w:type="dxa"/>
            <w:tcBorders>
              <w:bottom w:val="nil"/>
            </w:tcBorders>
          </w:tcPr>
          <w:p w:rsidR="005D4367" w:rsidRDefault="005D4367">
            <w:pPr>
              <w:keepNext/>
              <w:spacing w:after="0"/>
              <w:rPr>
                <w:rFonts w:eastAsia="MS Mincho"/>
                <w:lang w:val="en-GB"/>
              </w:rPr>
            </w:pPr>
          </w:p>
        </w:tc>
        <w:tc>
          <w:tcPr>
            <w:tcW w:w="1710" w:type="dxa"/>
            <w:tcBorders>
              <w:bottom w:val="nil"/>
            </w:tcBorders>
          </w:tcPr>
          <w:p w:rsidR="005D4367" w:rsidRDefault="005D4367">
            <w:pPr>
              <w:keepNext/>
              <w:spacing w:after="0"/>
              <w:rPr>
                <w:rFonts w:eastAsia="MS Mincho"/>
                <w:lang w:val="en-GB"/>
              </w:rPr>
            </w:pPr>
          </w:p>
        </w:tc>
      </w:tr>
      <w:tr w:rsidR="00E017C2" w:rsidRPr="00E017C2" w:rsidTr="008D1053">
        <w:tc>
          <w:tcPr>
            <w:tcW w:w="2628" w:type="dxa"/>
            <w:tcBorders>
              <w:top w:val="nil"/>
              <w:right w:val="single" w:sz="4" w:space="0" w:color="auto"/>
            </w:tcBorders>
          </w:tcPr>
          <w:p w:rsidR="005D4367" w:rsidRDefault="00E017C2">
            <w:pPr>
              <w:keepNext/>
              <w:spacing w:after="0"/>
              <w:rPr>
                <w:rFonts w:eastAsia="MS Mincho"/>
                <w:bCs/>
                <w:lang w:val="en-GB"/>
              </w:rPr>
            </w:pPr>
            <w:r w:rsidRPr="00E017C2">
              <w:rPr>
                <w:rFonts w:eastAsia="MS Mincho"/>
                <w:bCs/>
                <w:lang w:val="en-GB"/>
              </w:rPr>
              <w:t>Vertigo</w:t>
            </w:r>
          </w:p>
        </w:tc>
        <w:tc>
          <w:tcPr>
            <w:tcW w:w="1980" w:type="dxa"/>
            <w:tcBorders>
              <w:top w:val="nil"/>
              <w:left w:val="single" w:sz="4" w:space="0" w:color="auto"/>
              <w:bottom w:val="single" w:sz="4" w:space="0" w:color="auto"/>
            </w:tcBorders>
            <w:vAlign w:val="bottom"/>
          </w:tcPr>
          <w:p w:rsidR="005D4367" w:rsidRDefault="00E017C2">
            <w:pPr>
              <w:keepNext/>
              <w:spacing w:after="0"/>
              <w:rPr>
                <w:rFonts w:eastAsia="MS Mincho"/>
                <w:lang w:val="en-GB"/>
              </w:rPr>
            </w:pPr>
            <w:r w:rsidRPr="00E017C2">
              <w:rPr>
                <w:rFonts w:eastAsia="MS Mincho"/>
                <w:lang w:val="en-GB"/>
              </w:rPr>
              <w:t>0</w:t>
            </w:r>
          </w:p>
        </w:tc>
        <w:tc>
          <w:tcPr>
            <w:tcW w:w="1710" w:type="dxa"/>
            <w:tcBorders>
              <w:top w:val="nil"/>
            </w:tcBorders>
            <w:vAlign w:val="bottom"/>
          </w:tcPr>
          <w:p w:rsidR="005D4367" w:rsidRDefault="00E017C2">
            <w:pPr>
              <w:keepNext/>
              <w:spacing w:after="0"/>
              <w:rPr>
                <w:rFonts w:eastAsia="MS Mincho"/>
                <w:lang w:val="en-GB"/>
              </w:rPr>
            </w:pPr>
            <w:r w:rsidRPr="00E017C2">
              <w:rPr>
                <w:rFonts w:eastAsia="MS Mincho"/>
                <w:lang w:val="en-GB"/>
              </w:rPr>
              <w:t>2%</w:t>
            </w:r>
          </w:p>
        </w:tc>
        <w:tc>
          <w:tcPr>
            <w:tcW w:w="1980" w:type="dxa"/>
            <w:tcBorders>
              <w:top w:val="nil"/>
            </w:tcBorders>
          </w:tcPr>
          <w:p w:rsidR="005D4367" w:rsidRDefault="00E017C2">
            <w:pPr>
              <w:keepNext/>
              <w:spacing w:after="0"/>
              <w:rPr>
                <w:rFonts w:eastAsia="MS Mincho"/>
                <w:lang w:val="en-GB"/>
              </w:rPr>
            </w:pPr>
            <w:r w:rsidRPr="00E017C2">
              <w:rPr>
                <w:rFonts w:eastAsia="MS Mincho"/>
                <w:lang w:val="en-GB"/>
              </w:rPr>
              <w:t>0</w:t>
            </w:r>
          </w:p>
        </w:tc>
        <w:tc>
          <w:tcPr>
            <w:tcW w:w="1710" w:type="dxa"/>
            <w:tcBorders>
              <w:top w:val="nil"/>
            </w:tcBorders>
          </w:tcPr>
          <w:p w:rsidR="005D4367" w:rsidRDefault="00E017C2">
            <w:pPr>
              <w:keepNext/>
              <w:spacing w:after="0"/>
              <w:rPr>
                <w:rFonts w:eastAsia="MS Mincho"/>
                <w:lang w:val="en-GB"/>
              </w:rPr>
            </w:pPr>
            <w:r w:rsidRPr="00E017C2">
              <w:rPr>
                <w:rFonts w:eastAsia="MS Mincho"/>
                <w:lang w:val="en-GB"/>
              </w:rPr>
              <w:t>2%</w:t>
            </w:r>
          </w:p>
        </w:tc>
      </w:tr>
    </w:tbl>
    <w:p w:rsidR="0003714F" w:rsidRDefault="0009465E" w:rsidP="00020E93">
      <w:pPr>
        <w:pStyle w:val="tabletextNS"/>
        <w:keepNext/>
        <w:rPr>
          <w:rFonts w:eastAsia="MS Mincho"/>
          <w:sz w:val="20"/>
          <w:vertAlign w:val="superscript"/>
          <w:lang w:val="en-US"/>
        </w:rPr>
      </w:pPr>
      <w:r w:rsidRPr="00E40993">
        <w:rPr>
          <w:sz w:val="20"/>
        </w:rPr>
        <w:t xml:space="preserve">N = Number of </w:t>
      </w:r>
      <w:r>
        <w:rPr>
          <w:sz w:val="20"/>
        </w:rPr>
        <w:t>patient</w:t>
      </w:r>
      <w:r w:rsidRPr="00E40993">
        <w:rPr>
          <w:sz w:val="20"/>
        </w:rPr>
        <w:t>s in each treatment group</w:t>
      </w:r>
      <w:r>
        <w:rPr>
          <w:sz w:val="20"/>
        </w:rPr>
        <w:t>;</w:t>
      </w:r>
      <w:r w:rsidRPr="00E40993">
        <w:rPr>
          <w:sz w:val="20"/>
        </w:rPr>
        <w:t xml:space="preserve"> EFV/TDF/FTC = </w:t>
      </w:r>
      <w:proofErr w:type="spellStart"/>
      <w:r w:rsidRPr="00E40993">
        <w:rPr>
          <w:sz w:val="20"/>
        </w:rPr>
        <w:t>efavirenz</w:t>
      </w:r>
      <w:proofErr w:type="spellEnd"/>
      <w:r w:rsidRPr="00E40993">
        <w:rPr>
          <w:sz w:val="20"/>
        </w:rPr>
        <w:t xml:space="preserve"> 600 mg, </w:t>
      </w:r>
      <w:proofErr w:type="spellStart"/>
      <w:r w:rsidRPr="00E40993">
        <w:rPr>
          <w:sz w:val="20"/>
        </w:rPr>
        <w:t>tenofovir</w:t>
      </w:r>
      <w:proofErr w:type="spellEnd"/>
      <w:r w:rsidRPr="00E40993">
        <w:rPr>
          <w:sz w:val="20"/>
        </w:rPr>
        <w:t xml:space="preserve"> 300 mg, </w:t>
      </w:r>
      <w:proofErr w:type="spellStart"/>
      <w:r w:rsidRPr="00E40993">
        <w:rPr>
          <w:sz w:val="20"/>
        </w:rPr>
        <w:t>emtricitabine</w:t>
      </w:r>
      <w:proofErr w:type="spellEnd"/>
      <w:r w:rsidRPr="00E40993">
        <w:rPr>
          <w:sz w:val="20"/>
        </w:rPr>
        <w:t xml:space="preserve"> 200 mg</w:t>
      </w:r>
    </w:p>
    <w:p w:rsidR="00E017C2" w:rsidRPr="00E017C2" w:rsidRDefault="00E017C2" w:rsidP="00E017C2">
      <w:pPr>
        <w:rPr>
          <w:rFonts w:eastAsia="MS Mincho"/>
          <w:lang w:val="en-US"/>
        </w:rPr>
      </w:pPr>
      <w:r w:rsidRPr="00E017C2">
        <w:rPr>
          <w:rFonts w:eastAsia="MS Mincho"/>
          <w:lang w:val="en-US"/>
        </w:rPr>
        <w:t xml:space="preserve">The </w:t>
      </w:r>
      <w:r w:rsidR="00CA6706">
        <w:rPr>
          <w:rFonts w:eastAsia="MS Mincho"/>
          <w:lang w:val="en-US"/>
        </w:rPr>
        <w:t>adverse reactions</w:t>
      </w:r>
      <w:r w:rsidRPr="00E017C2">
        <w:rPr>
          <w:rFonts w:eastAsia="MS Mincho"/>
          <w:lang w:val="en-US"/>
        </w:rPr>
        <w:t xml:space="preserve"> observed in the subset of </w:t>
      </w:r>
      <w:r w:rsidR="007C720C">
        <w:rPr>
          <w:rFonts w:eastAsia="MS Mincho"/>
          <w:lang w:val="en-US"/>
        </w:rPr>
        <w:t>patient</w:t>
      </w:r>
      <w:r w:rsidRPr="00E017C2">
        <w:rPr>
          <w:rFonts w:eastAsia="MS Mincho"/>
          <w:lang w:val="en-US"/>
        </w:rPr>
        <w:t xml:space="preserve">s who received </w:t>
      </w:r>
      <w:proofErr w:type="spellStart"/>
      <w:r w:rsidR="003A6F2C">
        <w:rPr>
          <w:rFonts w:eastAsia="MS Mincho"/>
          <w:lang w:val="en-US"/>
        </w:rPr>
        <w:t>dolutegravir</w:t>
      </w:r>
      <w:proofErr w:type="spellEnd"/>
      <w:r w:rsidRPr="00E017C2">
        <w:rPr>
          <w:rFonts w:eastAsia="MS Mincho"/>
          <w:lang w:val="en-US"/>
        </w:rPr>
        <w:t> + </w:t>
      </w:r>
      <w:r w:rsidR="007C779A">
        <w:rPr>
          <w:rFonts w:eastAsia="MS Mincho"/>
          <w:lang w:val="en-US"/>
        </w:rPr>
        <w:t>ABC/3TC</w:t>
      </w:r>
      <w:r w:rsidR="007C779A" w:rsidRPr="00E017C2">
        <w:rPr>
          <w:rFonts w:eastAsia="MS Mincho"/>
          <w:lang w:val="en-US"/>
        </w:rPr>
        <w:t xml:space="preserve"> </w:t>
      </w:r>
      <w:r w:rsidRPr="00E017C2">
        <w:rPr>
          <w:rFonts w:eastAsia="MS Mincho"/>
          <w:lang w:val="en-US"/>
        </w:rPr>
        <w:t xml:space="preserve">in SPRING-2 and FLAMINGO were generally consistent with those seen for the overall </w:t>
      </w:r>
      <w:r w:rsidR="007C720C">
        <w:rPr>
          <w:rFonts w:eastAsia="MS Mincho"/>
          <w:lang w:val="en-US"/>
        </w:rPr>
        <w:t>patient</w:t>
      </w:r>
      <w:r w:rsidRPr="00E017C2">
        <w:rPr>
          <w:rFonts w:eastAsia="MS Mincho"/>
          <w:lang w:val="en-US"/>
        </w:rPr>
        <w:t xml:space="preserve"> population participating in these trials.</w:t>
      </w:r>
    </w:p>
    <w:p w:rsidR="00771498" w:rsidRPr="00771498" w:rsidRDefault="00771498" w:rsidP="00771498">
      <w:pPr>
        <w:outlineLvl w:val="0"/>
        <w:rPr>
          <w:rStyle w:val="LBLLevel4"/>
          <w:rFonts w:eastAsia="MS Mincho"/>
          <w:b/>
        </w:rPr>
      </w:pPr>
      <w:r w:rsidRPr="00771498">
        <w:rPr>
          <w:rStyle w:val="LBLLevel4"/>
          <w:rFonts w:eastAsia="MS Mincho"/>
          <w:b/>
        </w:rPr>
        <w:t>T</w:t>
      </w:r>
      <w:r w:rsidR="00BE3DCE">
        <w:rPr>
          <w:rStyle w:val="LBLLevel4"/>
          <w:rFonts w:eastAsia="MS Mincho"/>
          <w:b/>
        </w:rPr>
        <w:t xml:space="preserve">reatment </w:t>
      </w:r>
      <w:r w:rsidRPr="00771498">
        <w:rPr>
          <w:rStyle w:val="LBLLevel4"/>
          <w:rFonts w:eastAsia="MS Mincho"/>
          <w:b/>
        </w:rPr>
        <w:t>Experienced</w:t>
      </w:r>
      <w:r w:rsidR="007C720C">
        <w:rPr>
          <w:rStyle w:val="LBLLevel4"/>
          <w:rFonts w:eastAsia="MS Mincho"/>
          <w:b/>
        </w:rPr>
        <w:t xml:space="preserve"> Patients</w:t>
      </w:r>
    </w:p>
    <w:p w:rsidR="00771498" w:rsidRDefault="00771498" w:rsidP="00771498">
      <w:pPr>
        <w:outlineLvl w:val="0"/>
        <w:rPr>
          <w:rFonts w:eastAsia="MS Mincho"/>
          <w:szCs w:val="24"/>
        </w:rPr>
      </w:pPr>
      <w:r>
        <w:rPr>
          <w:rFonts w:eastAsia="MS Mincho"/>
          <w:szCs w:val="24"/>
        </w:rPr>
        <w:t>In SAILING</w:t>
      </w:r>
      <w:r w:rsidRPr="00BA1056">
        <w:rPr>
          <w:rFonts w:eastAsia="MS Mincho"/>
          <w:szCs w:val="24"/>
        </w:rPr>
        <w:t>, 7</w:t>
      </w:r>
      <w:r>
        <w:rPr>
          <w:rFonts w:eastAsia="MS Mincho"/>
          <w:szCs w:val="24"/>
        </w:rPr>
        <w:t>19</w:t>
      </w:r>
      <w:r w:rsidRPr="00C7479F">
        <w:t xml:space="preserve"> </w:t>
      </w:r>
      <w:r w:rsidR="007C720C">
        <w:rPr>
          <w:rFonts w:eastAsia="MS Mincho"/>
          <w:lang w:val="en-US"/>
        </w:rPr>
        <w:t>patient</w:t>
      </w:r>
      <w:r>
        <w:t>s</w:t>
      </w:r>
      <w:r w:rsidRPr="00BA1056">
        <w:rPr>
          <w:rFonts w:eastAsia="MS Mincho"/>
          <w:szCs w:val="24"/>
        </w:rPr>
        <w:t xml:space="preserve"> were randomized and received either </w:t>
      </w:r>
      <w:proofErr w:type="spellStart"/>
      <w:r w:rsidR="003A6F2C">
        <w:rPr>
          <w:rFonts w:eastAsia="MS Mincho"/>
          <w:szCs w:val="24"/>
        </w:rPr>
        <w:t>dolutegravir</w:t>
      </w:r>
      <w:proofErr w:type="spellEnd"/>
      <w:r w:rsidRPr="00BA1056">
        <w:rPr>
          <w:rFonts w:eastAsia="MS Mincho"/>
          <w:szCs w:val="24"/>
        </w:rPr>
        <w:t xml:space="preserve"> once daily</w:t>
      </w:r>
      <w:r>
        <w:rPr>
          <w:rFonts w:eastAsia="MS Mincho"/>
          <w:szCs w:val="24"/>
        </w:rPr>
        <w:t xml:space="preserve"> (n = 357)</w:t>
      </w:r>
      <w:r w:rsidRPr="00BA1056">
        <w:rPr>
          <w:rFonts w:eastAsia="MS Mincho"/>
          <w:szCs w:val="24"/>
        </w:rPr>
        <w:t xml:space="preserve"> or </w:t>
      </w:r>
      <w:proofErr w:type="spellStart"/>
      <w:r w:rsidRPr="00BA1056">
        <w:rPr>
          <w:rFonts w:eastAsia="MS Mincho"/>
          <w:szCs w:val="24"/>
        </w:rPr>
        <w:t>raltegravir</w:t>
      </w:r>
      <w:proofErr w:type="spellEnd"/>
      <w:r w:rsidRPr="00BA1056">
        <w:rPr>
          <w:rFonts w:eastAsia="MS Mincho"/>
          <w:szCs w:val="24"/>
        </w:rPr>
        <w:t xml:space="preserve"> 400 mg twice daily </w:t>
      </w:r>
      <w:r>
        <w:rPr>
          <w:rFonts w:eastAsia="MS Mincho"/>
          <w:szCs w:val="24"/>
        </w:rPr>
        <w:t>(n = 362)</w:t>
      </w:r>
      <w:r w:rsidRPr="00BA1056">
        <w:rPr>
          <w:rFonts w:eastAsia="MS Mincho"/>
          <w:szCs w:val="24"/>
        </w:rPr>
        <w:t xml:space="preserve"> with investigator-selected background regimen consisting of up to 2 agents, including at least</w:t>
      </w:r>
      <w:r w:rsidRPr="00BA1056">
        <w:rPr>
          <w:szCs w:val="24"/>
        </w:rPr>
        <w:t xml:space="preserve"> one fully active agent. </w:t>
      </w:r>
      <w:r>
        <w:t xml:space="preserve">There were 715 </w:t>
      </w:r>
      <w:r w:rsidR="007C720C">
        <w:rPr>
          <w:rFonts w:eastAsia="MS Mincho"/>
          <w:lang w:val="en-US"/>
        </w:rPr>
        <w:t>patient</w:t>
      </w:r>
      <w:r>
        <w:t xml:space="preserve">s included in the efficacy and safety analyses. </w:t>
      </w:r>
      <w:r w:rsidRPr="00BA1056">
        <w:rPr>
          <w:szCs w:val="24"/>
        </w:rPr>
        <w:t xml:space="preserve">At </w:t>
      </w:r>
      <w:r>
        <w:rPr>
          <w:szCs w:val="24"/>
        </w:rPr>
        <w:t>48</w:t>
      </w:r>
      <w:r w:rsidRPr="00BA1056">
        <w:rPr>
          <w:szCs w:val="24"/>
        </w:rPr>
        <w:t xml:space="preserve"> weeks, the rate </w:t>
      </w:r>
      <w:r w:rsidRPr="00E67165">
        <w:rPr>
          <w:szCs w:val="24"/>
        </w:rPr>
        <w:t>of adverse events l</w:t>
      </w:r>
      <w:r>
        <w:rPr>
          <w:szCs w:val="24"/>
        </w:rPr>
        <w:t xml:space="preserve">eading to discontinuation was consistent with that seen in the overall </w:t>
      </w:r>
      <w:r>
        <w:t>treatment</w:t>
      </w:r>
      <w:r w:rsidR="00BE3DCE">
        <w:t xml:space="preserve"> </w:t>
      </w:r>
      <w:r>
        <w:t>naïve</w:t>
      </w:r>
      <w:r w:rsidRPr="00F61EE6">
        <w:t xml:space="preserve"> </w:t>
      </w:r>
      <w:r w:rsidR="007C720C">
        <w:t>patient</w:t>
      </w:r>
      <w:r w:rsidRPr="00F61EE6">
        <w:t xml:space="preserve"> po</w:t>
      </w:r>
      <w:r>
        <w:t>pulation</w:t>
      </w:r>
      <w:r w:rsidRPr="00BA1056">
        <w:rPr>
          <w:rFonts w:eastAsia="MS Mincho"/>
          <w:szCs w:val="24"/>
        </w:rPr>
        <w:t>.</w:t>
      </w:r>
    </w:p>
    <w:p w:rsidR="00F94E8E" w:rsidRDefault="00F94E8E" w:rsidP="00F94E8E">
      <w:pPr>
        <w:rPr>
          <w:rStyle w:val="LBLLevel3"/>
        </w:rPr>
      </w:pPr>
    </w:p>
    <w:p w:rsidR="00F94E8E" w:rsidRPr="005B1880" w:rsidRDefault="00F94E8E" w:rsidP="00F94E8E">
      <w:pPr>
        <w:rPr>
          <w:rStyle w:val="LBLLevel3"/>
          <w:b/>
          <w:i/>
        </w:rPr>
      </w:pPr>
      <w:r w:rsidRPr="005B1880">
        <w:rPr>
          <w:rStyle w:val="LBLLevel3"/>
          <w:b/>
          <w:i/>
        </w:rPr>
        <w:t>Less Common Adverse Reactions Observed in Clinical Trials</w:t>
      </w:r>
    </w:p>
    <w:p w:rsidR="00F94E8E" w:rsidRPr="00005E21" w:rsidRDefault="00F94E8E" w:rsidP="00F94E8E">
      <w:r w:rsidRPr="00005E21">
        <w:t xml:space="preserve">The following adverse reactions occurred in </w:t>
      </w:r>
      <w:r w:rsidR="000F00B3">
        <w:rPr>
          <w:rFonts w:cs="Arial"/>
        </w:rPr>
        <w:t>≤</w:t>
      </w:r>
      <w:r w:rsidRPr="00005E21">
        <w:t>2% of treatment</w:t>
      </w:r>
      <w:r w:rsidR="00BE3DCE">
        <w:t xml:space="preserve"> </w:t>
      </w:r>
      <w:r w:rsidRPr="00005E21">
        <w:t>naïve or treatment</w:t>
      </w:r>
      <w:r w:rsidR="00BE3DCE">
        <w:t xml:space="preserve"> </w:t>
      </w:r>
      <w:r w:rsidRPr="00005E21">
        <w:t xml:space="preserve">experienced </w:t>
      </w:r>
      <w:r w:rsidR="007C720C">
        <w:rPr>
          <w:rFonts w:eastAsia="MS Mincho"/>
          <w:lang w:val="en-US"/>
        </w:rPr>
        <w:t>patient</w:t>
      </w:r>
      <w:r w:rsidRPr="00005E21">
        <w:t>s in any one trial. These events have been included because of their seriousness and</w:t>
      </w:r>
      <w:r w:rsidRPr="00A22997">
        <w:t>/or</w:t>
      </w:r>
      <w:r w:rsidRPr="00005E21">
        <w:t xml:space="preserve"> assessment of potential causal relationship.</w:t>
      </w:r>
    </w:p>
    <w:p w:rsidR="00F94E8E" w:rsidRPr="00005E21" w:rsidRDefault="00F94E8E" w:rsidP="00F94E8E">
      <w:r w:rsidRPr="00005E21">
        <w:rPr>
          <w:rStyle w:val="LBLLevel4"/>
        </w:rPr>
        <w:t>Gastrointestinal Disorders:</w:t>
      </w:r>
      <w:r w:rsidRPr="00005E21">
        <w:t xml:space="preserve"> Abdominal pain, </w:t>
      </w:r>
      <w:r>
        <w:t xml:space="preserve">abdominal distention, </w:t>
      </w:r>
      <w:r w:rsidRPr="00005E21">
        <w:t>abdominal discomfort, dyspepsia</w:t>
      </w:r>
      <w:r>
        <w:t>,</w:t>
      </w:r>
      <w:r w:rsidRPr="00005E21">
        <w:t xml:space="preserve"> flatulence, </w:t>
      </w:r>
      <w:proofErr w:type="spellStart"/>
      <w:r>
        <w:t>gastro</w:t>
      </w:r>
      <w:r w:rsidRPr="00005E21">
        <w:t>esophageal</w:t>
      </w:r>
      <w:proofErr w:type="spellEnd"/>
      <w:r w:rsidRPr="00005E21">
        <w:t xml:space="preserve"> reflux disease</w:t>
      </w:r>
      <w:r>
        <w:t>,</w:t>
      </w:r>
      <w:r w:rsidRPr="00005E21">
        <w:t xml:space="preserve"> upper abdominal pain, vomiting.</w:t>
      </w:r>
    </w:p>
    <w:p w:rsidR="00F94E8E" w:rsidRPr="00005E21" w:rsidRDefault="00F94E8E" w:rsidP="00F94E8E">
      <w:r w:rsidRPr="00005E21">
        <w:rPr>
          <w:rStyle w:val="LBLLevel4"/>
        </w:rPr>
        <w:t>General Disorders:</w:t>
      </w:r>
      <w:r w:rsidRPr="00005E21">
        <w:t xml:space="preserve"> Fever, lethargy.</w:t>
      </w:r>
    </w:p>
    <w:p w:rsidR="00F94E8E" w:rsidRPr="00005E21" w:rsidRDefault="00F94E8E" w:rsidP="00F94E8E">
      <w:r w:rsidRPr="00005E21">
        <w:rPr>
          <w:rStyle w:val="LBLLevel4"/>
        </w:rPr>
        <w:t>Hepatobiliary Disorders:</w:t>
      </w:r>
      <w:r w:rsidRPr="00005E21">
        <w:t xml:space="preserve"> Hepatitis.</w:t>
      </w:r>
    </w:p>
    <w:p w:rsidR="000F00B3" w:rsidRDefault="000F00B3" w:rsidP="00F94E8E">
      <w:pPr>
        <w:rPr>
          <w:rStyle w:val="LBLLevel4"/>
        </w:rPr>
      </w:pPr>
      <w:r>
        <w:rPr>
          <w:rStyle w:val="LBLLevel4"/>
        </w:rPr>
        <w:t>Immune System Disorders:</w:t>
      </w:r>
      <w:r w:rsidRPr="000F00B3">
        <w:t xml:space="preserve"> </w:t>
      </w:r>
      <w:r w:rsidRPr="000F00B3">
        <w:rPr>
          <w:i/>
        </w:rPr>
        <w:t>Hypersensitivity, immune reconstitution syndrome</w:t>
      </w:r>
      <w:r>
        <w:t>.</w:t>
      </w:r>
    </w:p>
    <w:p w:rsidR="00F94E8E" w:rsidRPr="00005E21" w:rsidRDefault="00F94E8E" w:rsidP="00F94E8E">
      <w:r w:rsidRPr="00005E21">
        <w:rPr>
          <w:rStyle w:val="LBLLevel4"/>
        </w:rPr>
        <w:t>Metabolism and Nutrition Disorders:</w:t>
      </w:r>
      <w:r w:rsidRPr="00005E21">
        <w:t xml:space="preserve"> Anorexia</w:t>
      </w:r>
      <w:r>
        <w:t>, hypertriglyceridemia</w:t>
      </w:r>
      <w:r w:rsidRPr="00005E21">
        <w:t>.</w:t>
      </w:r>
    </w:p>
    <w:p w:rsidR="00F94E8E" w:rsidRPr="00005E21" w:rsidRDefault="00F94E8E" w:rsidP="00F94E8E">
      <w:pPr>
        <w:rPr>
          <w:szCs w:val="24"/>
        </w:rPr>
      </w:pPr>
      <w:r w:rsidRPr="00005E21">
        <w:rPr>
          <w:rStyle w:val="LBLLevel4"/>
        </w:rPr>
        <w:t>Musculoskeletal Disorders:</w:t>
      </w:r>
      <w:r w:rsidRPr="00005E21">
        <w:rPr>
          <w:szCs w:val="24"/>
        </w:rPr>
        <w:t xml:space="preserve"> </w:t>
      </w:r>
      <w:r w:rsidRPr="00005E21">
        <w:t>Arthralgia</w:t>
      </w:r>
      <w:r w:rsidRPr="00005E21">
        <w:rPr>
          <w:szCs w:val="24"/>
        </w:rPr>
        <w:t>.</w:t>
      </w:r>
    </w:p>
    <w:p w:rsidR="00F94E8E" w:rsidRDefault="00F94E8E" w:rsidP="00F94E8E">
      <w:pPr>
        <w:rPr>
          <w:rStyle w:val="LBLLevel4"/>
          <w:szCs w:val="24"/>
        </w:rPr>
      </w:pPr>
      <w:r w:rsidRPr="00005E21">
        <w:rPr>
          <w:rStyle w:val="LBLLevel4"/>
        </w:rPr>
        <w:t>Nervous:</w:t>
      </w:r>
      <w:r w:rsidRPr="00005E21">
        <w:t xml:space="preserve"> </w:t>
      </w:r>
      <w:r>
        <w:t>Somnolence.</w:t>
      </w:r>
    </w:p>
    <w:p w:rsidR="00F94E8E" w:rsidRPr="00005E21" w:rsidRDefault="00F94E8E" w:rsidP="00F94E8E">
      <w:pPr>
        <w:rPr>
          <w:rStyle w:val="LBLLevel4"/>
          <w:szCs w:val="24"/>
        </w:rPr>
      </w:pPr>
      <w:r w:rsidRPr="00C00A14">
        <w:rPr>
          <w:rFonts w:cs="Arial"/>
          <w:bCs/>
          <w:i/>
          <w:szCs w:val="24"/>
        </w:rPr>
        <w:t>Psychiatric</w:t>
      </w:r>
      <w:r>
        <w:rPr>
          <w:rFonts w:cs="Arial"/>
          <w:bCs/>
          <w:i/>
          <w:szCs w:val="24"/>
        </w:rPr>
        <w:t xml:space="preserve">: </w:t>
      </w:r>
      <w:r>
        <w:t>N</w:t>
      </w:r>
      <w:r w:rsidRPr="00C00A14">
        <w:t>ightmare and sleep disorder</w:t>
      </w:r>
    </w:p>
    <w:p w:rsidR="00641398" w:rsidRDefault="00F94E8E" w:rsidP="00F94E8E">
      <w:r w:rsidRPr="00005E21">
        <w:rPr>
          <w:rStyle w:val="LBLLevel4"/>
        </w:rPr>
        <w:t>Skin and Subcutaneous Tissue Disorders:</w:t>
      </w:r>
      <w:r w:rsidRPr="00005E21">
        <w:t xml:space="preserve"> Pruritus.</w:t>
      </w:r>
    </w:p>
    <w:p w:rsidR="005B1880" w:rsidRDefault="005B1880" w:rsidP="005B1880">
      <w:pPr>
        <w:rPr>
          <w:lang w:val="en-US"/>
        </w:rPr>
      </w:pPr>
      <w:r w:rsidRPr="005B1880">
        <w:rPr>
          <w:b/>
          <w:i/>
          <w:u w:val="single"/>
          <w:lang w:val="en-US"/>
        </w:rPr>
        <w:t>Laboratory Abnormalit</w:t>
      </w:r>
      <w:r w:rsidRPr="00641398">
        <w:rPr>
          <w:b/>
          <w:i/>
          <w:u w:val="single"/>
          <w:lang w:val="en-US"/>
        </w:rPr>
        <w:t>ies</w:t>
      </w:r>
      <w:r w:rsidRPr="00641398">
        <w:rPr>
          <w:b/>
          <w:u w:val="single"/>
          <w:lang w:val="en-US"/>
        </w:rPr>
        <w:t>:</w:t>
      </w:r>
      <w:r w:rsidR="00641398" w:rsidRPr="00641398">
        <w:rPr>
          <w:b/>
          <w:i/>
          <w:lang w:val="en-US"/>
        </w:rPr>
        <w:t xml:space="preserve"> Treatment</w:t>
      </w:r>
      <w:r w:rsidR="00BE3DCE">
        <w:rPr>
          <w:b/>
          <w:i/>
          <w:lang w:val="en-US"/>
        </w:rPr>
        <w:t xml:space="preserve"> </w:t>
      </w:r>
      <w:r w:rsidR="00641398" w:rsidRPr="00641398">
        <w:rPr>
          <w:b/>
          <w:i/>
          <w:lang w:val="en-US"/>
        </w:rPr>
        <w:t>Naïve Subjects</w:t>
      </w:r>
    </w:p>
    <w:p w:rsidR="005B1880" w:rsidRDefault="005B1880" w:rsidP="005B1880">
      <w:pPr>
        <w:rPr>
          <w:lang w:val="en-US"/>
        </w:rPr>
      </w:pPr>
      <w:r w:rsidRPr="005B1880">
        <w:rPr>
          <w:lang w:val="en-US"/>
        </w:rPr>
        <w:t xml:space="preserve">Selected laboratory abnormalities (Grades 2 to 4) with a worsening grade from baseline and representing the worst-grade toxicity in </w:t>
      </w:r>
      <w:r w:rsidRPr="005B1880">
        <w:rPr>
          <w:lang w:val="en-US"/>
        </w:rPr>
        <w:sym w:font="Symbol" w:char="F0B3"/>
      </w:r>
      <w:r w:rsidRPr="005B1880">
        <w:rPr>
          <w:lang w:val="en-US"/>
        </w:rPr>
        <w:t xml:space="preserve">2% of subjects in SINGLE are presented in Table </w:t>
      </w:r>
      <w:r>
        <w:rPr>
          <w:lang w:val="en-US"/>
        </w:rPr>
        <w:t>7</w:t>
      </w:r>
      <w:r w:rsidRPr="005B1880">
        <w:rPr>
          <w:lang w:val="en-US"/>
        </w:rPr>
        <w:t xml:space="preserve">. The mean change from baseline observed for selected lipid values is presented in Table </w:t>
      </w:r>
      <w:r>
        <w:rPr>
          <w:lang w:val="en-US"/>
        </w:rPr>
        <w:t>8</w:t>
      </w:r>
      <w:r w:rsidRPr="005B1880">
        <w:rPr>
          <w:lang w:val="en-US"/>
        </w:rPr>
        <w:t xml:space="preserve">. </w:t>
      </w:r>
    </w:p>
    <w:p w:rsidR="00567D06" w:rsidRPr="005B1880" w:rsidRDefault="00567D06" w:rsidP="005B1880">
      <w:pPr>
        <w:rPr>
          <w:lang w:val="en-US"/>
        </w:rPr>
      </w:pPr>
    </w:p>
    <w:p w:rsidR="005D4367" w:rsidRDefault="005B1880">
      <w:pPr>
        <w:keepNext/>
        <w:ind w:left="1134" w:hanging="992"/>
        <w:rPr>
          <w:b/>
          <w:lang w:val="en-US"/>
        </w:rPr>
      </w:pPr>
      <w:r w:rsidRPr="005B1880">
        <w:rPr>
          <w:b/>
          <w:lang w:val="en-US"/>
        </w:rPr>
        <w:t xml:space="preserve">Table </w:t>
      </w:r>
      <w:r>
        <w:rPr>
          <w:b/>
          <w:lang w:val="en-US"/>
        </w:rPr>
        <w:t>7</w:t>
      </w:r>
      <w:r w:rsidRPr="005B1880">
        <w:rPr>
          <w:b/>
          <w:lang w:val="en-US"/>
        </w:rPr>
        <w:t xml:space="preserve"> Selected Laboratory Abnormalities (Grades 2 to 4) in Treatment</w:t>
      </w:r>
      <w:r w:rsidR="00BE3DCE">
        <w:rPr>
          <w:b/>
          <w:lang w:val="en-US"/>
        </w:rPr>
        <w:t xml:space="preserve"> </w:t>
      </w:r>
      <w:r w:rsidRPr="005B1880">
        <w:rPr>
          <w:b/>
          <w:lang w:val="en-US"/>
        </w:rPr>
        <w:t xml:space="preserve">Naïve </w:t>
      </w:r>
      <w:r>
        <w:rPr>
          <w:b/>
          <w:lang w:val="en-US"/>
        </w:rPr>
        <w:t>Patients</w:t>
      </w:r>
      <w:r w:rsidRPr="005B1880">
        <w:rPr>
          <w:b/>
          <w:lang w:val="en-US"/>
        </w:rPr>
        <w:t xml:space="preserve"> in SINGLE</w:t>
      </w:r>
      <w:r w:rsidR="00A43CF3">
        <w:rPr>
          <w:b/>
          <w:lang w:val="en-US"/>
        </w:rPr>
        <w:t xml:space="preserve"> </w:t>
      </w:r>
      <w:r w:rsidR="00A43CF3" w:rsidRPr="00A43CF3">
        <w:rPr>
          <w:b/>
        </w:rPr>
        <w:t>(ING114467)</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8"/>
        <w:gridCol w:w="1710"/>
        <w:gridCol w:w="1710"/>
        <w:gridCol w:w="1710"/>
        <w:gridCol w:w="1710"/>
      </w:tblGrid>
      <w:tr w:rsidR="005B1880" w:rsidRPr="005B1880" w:rsidTr="000C4B0E">
        <w:trPr>
          <w:trHeight w:val="70"/>
        </w:trPr>
        <w:tc>
          <w:tcPr>
            <w:tcW w:w="3168" w:type="dxa"/>
            <w:vMerge w:val="restart"/>
            <w:vAlign w:val="bottom"/>
          </w:tcPr>
          <w:p w:rsidR="005D4367" w:rsidRDefault="005B1880">
            <w:pPr>
              <w:keepNext/>
              <w:spacing w:after="0"/>
              <w:rPr>
                <w:b/>
                <w:bCs/>
                <w:lang w:val="en-GB"/>
              </w:rPr>
            </w:pPr>
            <w:r w:rsidRPr="005B1880">
              <w:rPr>
                <w:b/>
                <w:bCs/>
                <w:lang w:val="en-GB"/>
              </w:rPr>
              <w:t xml:space="preserve">Laboratory Parameter </w:t>
            </w:r>
          </w:p>
          <w:p w:rsidR="005D4367" w:rsidRDefault="005B1880">
            <w:pPr>
              <w:keepNext/>
              <w:spacing w:after="0"/>
              <w:rPr>
                <w:b/>
                <w:bCs/>
                <w:lang w:val="en-GB"/>
              </w:rPr>
            </w:pPr>
            <w:r w:rsidRPr="005B1880">
              <w:rPr>
                <w:b/>
                <w:bCs/>
                <w:lang w:val="en-GB"/>
              </w:rPr>
              <w:t>Preferred Term</w:t>
            </w:r>
          </w:p>
        </w:tc>
        <w:tc>
          <w:tcPr>
            <w:tcW w:w="3420" w:type="dxa"/>
            <w:gridSpan w:val="2"/>
            <w:tcBorders>
              <w:right w:val="single" w:sz="12" w:space="0" w:color="auto"/>
            </w:tcBorders>
            <w:vAlign w:val="bottom"/>
          </w:tcPr>
          <w:p w:rsidR="005D4367" w:rsidRDefault="005B1880">
            <w:pPr>
              <w:keepNext/>
              <w:spacing w:after="0"/>
              <w:rPr>
                <w:b/>
                <w:lang w:val="en-GB"/>
              </w:rPr>
            </w:pPr>
            <w:r w:rsidRPr="005B1880">
              <w:rPr>
                <w:b/>
                <w:lang w:val="en-GB"/>
              </w:rPr>
              <w:t>48 Week</w:t>
            </w:r>
          </w:p>
        </w:tc>
        <w:tc>
          <w:tcPr>
            <w:tcW w:w="3420" w:type="dxa"/>
            <w:gridSpan w:val="2"/>
            <w:tcBorders>
              <w:left w:val="single" w:sz="12" w:space="0" w:color="auto"/>
              <w:bottom w:val="nil"/>
            </w:tcBorders>
            <w:vAlign w:val="bottom"/>
          </w:tcPr>
          <w:p w:rsidR="005D4367" w:rsidRDefault="005B1880">
            <w:pPr>
              <w:keepNext/>
              <w:spacing w:after="0"/>
              <w:rPr>
                <w:b/>
                <w:lang w:val="en-GB"/>
              </w:rPr>
            </w:pPr>
            <w:r w:rsidRPr="005B1880">
              <w:rPr>
                <w:b/>
                <w:lang w:val="en-GB"/>
              </w:rPr>
              <w:t>96 Week</w:t>
            </w:r>
          </w:p>
        </w:tc>
      </w:tr>
      <w:tr w:rsidR="005B1880" w:rsidRPr="005B1880" w:rsidTr="000C4B0E">
        <w:tc>
          <w:tcPr>
            <w:tcW w:w="3168" w:type="dxa"/>
            <w:vMerge/>
          </w:tcPr>
          <w:p w:rsidR="005D4367" w:rsidRDefault="005D4367">
            <w:pPr>
              <w:keepNext/>
              <w:spacing w:after="0"/>
              <w:rPr>
                <w:b/>
                <w:bCs/>
                <w:lang w:val="en-GB"/>
              </w:rPr>
            </w:pPr>
          </w:p>
        </w:tc>
        <w:tc>
          <w:tcPr>
            <w:tcW w:w="1710" w:type="dxa"/>
            <w:vAlign w:val="bottom"/>
          </w:tcPr>
          <w:p w:rsidR="005D4367" w:rsidRDefault="007C779A">
            <w:pPr>
              <w:keepNext/>
              <w:spacing w:after="0"/>
              <w:jc w:val="left"/>
              <w:rPr>
                <w:b/>
                <w:lang w:val="en-GB"/>
              </w:rPr>
            </w:pPr>
            <w:r>
              <w:rPr>
                <w:b/>
                <w:lang w:val="en-GB"/>
              </w:rPr>
              <w:t>DT</w:t>
            </w:r>
            <w:r w:rsidR="00C95BE5">
              <w:rPr>
                <w:b/>
                <w:lang w:val="en-GB"/>
              </w:rPr>
              <w:t>G</w:t>
            </w:r>
            <w:r w:rsidRPr="005B1880">
              <w:rPr>
                <w:b/>
                <w:lang w:val="en-GB"/>
              </w:rPr>
              <w:t xml:space="preserve"> </w:t>
            </w:r>
            <w:r w:rsidR="005B1880" w:rsidRPr="005B1880">
              <w:rPr>
                <w:b/>
                <w:lang w:val="en-GB"/>
              </w:rPr>
              <w:t xml:space="preserve">+ </w:t>
            </w:r>
            <w:r>
              <w:rPr>
                <w:b/>
                <w:lang w:val="en-GB"/>
              </w:rPr>
              <w:t>ABC/3TC</w:t>
            </w:r>
            <w:r w:rsidR="005B1880" w:rsidRPr="005B1880">
              <w:rPr>
                <w:b/>
                <w:lang w:val="en-GB"/>
              </w:rPr>
              <w:t xml:space="preserve"> Once Daily</w:t>
            </w:r>
          </w:p>
          <w:p w:rsidR="005D4367" w:rsidRDefault="005B1880">
            <w:pPr>
              <w:keepNext/>
              <w:spacing w:after="0"/>
              <w:rPr>
                <w:b/>
                <w:lang w:val="en-GB"/>
              </w:rPr>
            </w:pPr>
            <w:r w:rsidRPr="005B1880">
              <w:rPr>
                <w:b/>
                <w:lang w:val="en-GB"/>
              </w:rPr>
              <w:t>(N = 414)</w:t>
            </w:r>
          </w:p>
        </w:tc>
        <w:tc>
          <w:tcPr>
            <w:tcW w:w="1710" w:type="dxa"/>
            <w:tcBorders>
              <w:right w:val="single" w:sz="12" w:space="0" w:color="auto"/>
            </w:tcBorders>
            <w:vAlign w:val="bottom"/>
          </w:tcPr>
          <w:p w:rsidR="005D4367" w:rsidRDefault="00641398">
            <w:pPr>
              <w:keepNext/>
              <w:spacing w:after="0"/>
              <w:rPr>
                <w:rFonts w:eastAsia="MS Mincho"/>
                <w:b/>
                <w:lang w:val="en-GB"/>
              </w:rPr>
            </w:pPr>
            <w:r w:rsidRPr="00CA6706">
              <w:rPr>
                <w:rFonts w:eastAsia="MS Mincho"/>
                <w:b/>
                <w:lang w:val="en-US"/>
              </w:rPr>
              <w:t>EFV/TDF/FTC</w:t>
            </w:r>
          </w:p>
          <w:p w:rsidR="005D4367" w:rsidRDefault="005B1880">
            <w:pPr>
              <w:keepNext/>
              <w:spacing w:after="0"/>
              <w:rPr>
                <w:b/>
                <w:lang w:val="en-GB"/>
              </w:rPr>
            </w:pPr>
            <w:r w:rsidRPr="005B1880">
              <w:rPr>
                <w:b/>
                <w:lang w:val="en-GB"/>
              </w:rPr>
              <w:t>Once Daily</w:t>
            </w:r>
          </w:p>
          <w:p w:rsidR="005D4367" w:rsidRDefault="005B1880">
            <w:pPr>
              <w:keepNext/>
              <w:spacing w:after="0"/>
              <w:rPr>
                <w:b/>
                <w:lang w:val="en-GB"/>
              </w:rPr>
            </w:pPr>
            <w:r w:rsidRPr="005B1880">
              <w:rPr>
                <w:b/>
                <w:lang w:val="en-GB"/>
              </w:rPr>
              <w:t>(N = 419)</w:t>
            </w:r>
          </w:p>
        </w:tc>
        <w:tc>
          <w:tcPr>
            <w:tcW w:w="1710" w:type="dxa"/>
            <w:tcBorders>
              <w:left w:val="single" w:sz="12" w:space="0" w:color="auto"/>
            </w:tcBorders>
            <w:vAlign w:val="bottom"/>
          </w:tcPr>
          <w:p w:rsidR="005D4367" w:rsidRDefault="007C779A">
            <w:pPr>
              <w:keepNext/>
              <w:spacing w:after="0"/>
              <w:jc w:val="left"/>
              <w:rPr>
                <w:b/>
                <w:lang w:val="en-GB"/>
              </w:rPr>
            </w:pPr>
            <w:r>
              <w:rPr>
                <w:b/>
                <w:lang w:val="en-GB"/>
              </w:rPr>
              <w:t>DTG</w:t>
            </w:r>
            <w:r w:rsidRPr="005B1880">
              <w:rPr>
                <w:b/>
                <w:lang w:val="en-GB"/>
              </w:rPr>
              <w:t xml:space="preserve"> </w:t>
            </w:r>
            <w:r w:rsidR="005B1880" w:rsidRPr="005B1880">
              <w:rPr>
                <w:b/>
                <w:lang w:val="en-GB"/>
              </w:rPr>
              <w:t xml:space="preserve">+ </w:t>
            </w:r>
            <w:r>
              <w:rPr>
                <w:b/>
                <w:lang w:val="en-GB"/>
              </w:rPr>
              <w:t>ABC/3TC</w:t>
            </w:r>
            <w:r w:rsidR="005B1880" w:rsidRPr="005B1880">
              <w:rPr>
                <w:b/>
                <w:lang w:val="en-GB"/>
              </w:rPr>
              <w:t xml:space="preserve"> Once Daily</w:t>
            </w:r>
          </w:p>
          <w:p w:rsidR="005D4367" w:rsidRDefault="005B1880">
            <w:pPr>
              <w:keepNext/>
              <w:spacing w:after="0"/>
              <w:rPr>
                <w:b/>
                <w:lang w:val="en-GB"/>
              </w:rPr>
            </w:pPr>
            <w:r w:rsidRPr="005B1880">
              <w:rPr>
                <w:b/>
                <w:lang w:val="en-GB"/>
              </w:rPr>
              <w:t>(N = 414)</w:t>
            </w:r>
          </w:p>
        </w:tc>
        <w:tc>
          <w:tcPr>
            <w:tcW w:w="1710" w:type="dxa"/>
            <w:vAlign w:val="bottom"/>
          </w:tcPr>
          <w:p w:rsidR="005D4367" w:rsidRDefault="00641398">
            <w:pPr>
              <w:keepNext/>
              <w:spacing w:after="0"/>
              <w:rPr>
                <w:rFonts w:eastAsia="MS Mincho"/>
                <w:b/>
                <w:lang w:val="en-GB"/>
              </w:rPr>
            </w:pPr>
            <w:r w:rsidRPr="00CA6706">
              <w:rPr>
                <w:rFonts w:eastAsia="MS Mincho"/>
                <w:b/>
                <w:lang w:val="en-US"/>
              </w:rPr>
              <w:t>EFV/TDF/FTC</w:t>
            </w:r>
          </w:p>
          <w:p w:rsidR="005D4367" w:rsidRDefault="005B1880">
            <w:pPr>
              <w:keepNext/>
              <w:spacing w:after="0"/>
              <w:rPr>
                <w:b/>
                <w:lang w:val="en-GB"/>
              </w:rPr>
            </w:pPr>
            <w:r w:rsidRPr="005B1880">
              <w:rPr>
                <w:b/>
                <w:lang w:val="en-GB"/>
              </w:rPr>
              <w:t>Once Daily</w:t>
            </w:r>
          </w:p>
          <w:p w:rsidR="005D4367" w:rsidRDefault="005B1880">
            <w:pPr>
              <w:keepNext/>
              <w:spacing w:after="0"/>
              <w:rPr>
                <w:b/>
                <w:lang w:val="en-GB"/>
              </w:rPr>
            </w:pPr>
            <w:r w:rsidRPr="005B1880">
              <w:rPr>
                <w:b/>
                <w:lang w:val="en-GB"/>
              </w:rPr>
              <w:t>(N = 419)</w:t>
            </w:r>
          </w:p>
        </w:tc>
      </w:tr>
      <w:tr w:rsidR="005B1880" w:rsidRPr="005B1880" w:rsidTr="000C4B0E">
        <w:tc>
          <w:tcPr>
            <w:tcW w:w="3168" w:type="dxa"/>
            <w:tcBorders>
              <w:bottom w:val="nil"/>
            </w:tcBorders>
          </w:tcPr>
          <w:p w:rsidR="005D4367" w:rsidRDefault="005B1880">
            <w:pPr>
              <w:keepNext/>
              <w:spacing w:after="0"/>
              <w:rPr>
                <w:bCs/>
                <w:lang w:val="en-GB"/>
              </w:rPr>
            </w:pPr>
            <w:r w:rsidRPr="005B1880">
              <w:rPr>
                <w:bCs/>
                <w:lang w:val="en-GB"/>
              </w:rPr>
              <w:t>ALT</w:t>
            </w:r>
          </w:p>
        </w:tc>
        <w:tc>
          <w:tcPr>
            <w:tcW w:w="1710" w:type="dxa"/>
            <w:tcBorders>
              <w:bottom w:val="nil"/>
            </w:tcBorders>
          </w:tcPr>
          <w:p w:rsidR="005D4367" w:rsidRDefault="005D4367">
            <w:pPr>
              <w:keepNext/>
              <w:spacing w:after="0"/>
              <w:rPr>
                <w:bCs/>
                <w:lang w:val="en-GB"/>
              </w:rPr>
            </w:pPr>
          </w:p>
        </w:tc>
        <w:tc>
          <w:tcPr>
            <w:tcW w:w="1710" w:type="dxa"/>
            <w:tcBorders>
              <w:bottom w:val="nil"/>
              <w:right w:val="single" w:sz="12" w:space="0" w:color="auto"/>
            </w:tcBorders>
          </w:tcPr>
          <w:p w:rsidR="005D4367" w:rsidRDefault="005D4367">
            <w:pPr>
              <w:keepNext/>
              <w:spacing w:after="0"/>
              <w:rPr>
                <w:bCs/>
                <w:lang w:val="en-GB"/>
              </w:rPr>
            </w:pPr>
          </w:p>
        </w:tc>
        <w:tc>
          <w:tcPr>
            <w:tcW w:w="1710" w:type="dxa"/>
            <w:tcBorders>
              <w:left w:val="single" w:sz="12" w:space="0" w:color="auto"/>
              <w:bottom w:val="nil"/>
            </w:tcBorders>
          </w:tcPr>
          <w:p w:rsidR="005D4367" w:rsidRDefault="005D4367">
            <w:pPr>
              <w:keepNext/>
              <w:spacing w:after="0"/>
              <w:rPr>
                <w:bCs/>
                <w:lang w:val="en-GB"/>
              </w:rPr>
            </w:pPr>
          </w:p>
        </w:tc>
        <w:tc>
          <w:tcPr>
            <w:tcW w:w="1710" w:type="dxa"/>
            <w:tcBorders>
              <w:bottom w:val="nil"/>
            </w:tcBorders>
          </w:tcPr>
          <w:p w:rsidR="005D4367" w:rsidRDefault="005D4367">
            <w:pPr>
              <w:keepNext/>
              <w:spacing w:after="0"/>
              <w:rPr>
                <w:bCs/>
                <w:lang w:val="en-GB"/>
              </w:rPr>
            </w:pPr>
          </w:p>
        </w:tc>
      </w:tr>
      <w:tr w:rsidR="005B1880" w:rsidRPr="005B1880" w:rsidTr="000C4B0E">
        <w:tc>
          <w:tcPr>
            <w:tcW w:w="3168" w:type="dxa"/>
            <w:tcBorders>
              <w:top w:val="nil"/>
              <w:bottom w:val="nil"/>
            </w:tcBorders>
            <w:shd w:val="clear" w:color="auto" w:fill="auto"/>
          </w:tcPr>
          <w:p w:rsidR="005D4367" w:rsidRDefault="005B1880">
            <w:pPr>
              <w:keepNext/>
              <w:spacing w:after="0"/>
              <w:rPr>
                <w:bCs/>
                <w:lang w:val="en-GB"/>
              </w:rPr>
            </w:pPr>
            <w:r w:rsidRPr="005B1880">
              <w:rPr>
                <w:bCs/>
                <w:lang w:val="en-GB"/>
              </w:rPr>
              <w:t>Grade 2 (&gt;2.5-5.0 x ULN)</w:t>
            </w:r>
          </w:p>
        </w:tc>
        <w:tc>
          <w:tcPr>
            <w:tcW w:w="1710" w:type="dxa"/>
            <w:tcBorders>
              <w:top w:val="nil"/>
              <w:bottom w:val="nil"/>
            </w:tcBorders>
            <w:shd w:val="clear" w:color="auto" w:fill="auto"/>
            <w:vAlign w:val="bottom"/>
          </w:tcPr>
          <w:p w:rsidR="005D4367" w:rsidRDefault="005B1880">
            <w:pPr>
              <w:keepNext/>
              <w:spacing w:after="0"/>
              <w:rPr>
                <w:bCs/>
                <w:lang w:val="en-GB"/>
              </w:rPr>
            </w:pPr>
            <w:r w:rsidRPr="005B1880">
              <w:rPr>
                <w:bCs/>
                <w:lang w:val="en-GB"/>
              </w:rPr>
              <w:t>2%</w:t>
            </w:r>
          </w:p>
        </w:tc>
        <w:tc>
          <w:tcPr>
            <w:tcW w:w="1710" w:type="dxa"/>
            <w:tcBorders>
              <w:top w:val="nil"/>
              <w:bottom w:val="nil"/>
              <w:right w:val="single" w:sz="12" w:space="0" w:color="auto"/>
            </w:tcBorders>
            <w:shd w:val="clear" w:color="auto" w:fill="auto"/>
            <w:vAlign w:val="bottom"/>
          </w:tcPr>
          <w:p w:rsidR="005D4367" w:rsidRDefault="005B1880">
            <w:pPr>
              <w:keepNext/>
              <w:spacing w:after="0"/>
              <w:rPr>
                <w:bCs/>
                <w:lang w:val="en-GB"/>
              </w:rPr>
            </w:pPr>
            <w:r w:rsidRPr="005B1880">
              <w:rPr>
                <w:bCs/>
                <w:lang w:val="en-GB"/>
              </w:rPr>
              <w:t>5%</w:t>
            </w:r>
          </w:p>
        </w:tc>
        <w:tc>
          <w:tcPr>
            <w:tcW w:w="1710" w:type="dxa"/>
            <w:tcBorders>
              <w:top w:val="nil"/>
              <w:left w:val="single" w:sz="12" w:space="0" w:color="auto"/>
              <w:bottom w:val="nil"/>
            </w:tcBorders>
            <w:shd w:val="clear" w:color="auto" w:fill="auto"/>
            <w:vAlign w:val="bottom"/>
          </w:tcPr>
          <w:p w:rsidR="005D4367" w:rsidRDefault="005B1880">
            <w:pPr>
              <w:keepNext/>
              <w:spacing w:after="0"/>
              <w:rPr>
                <w:bCs/>
                <w:lang w:val="en-GB"/>
              </w:rPr>
            </w:pPr>
            <w:r w:rsidRPr="005B1880">
              <w:rPr>
                <w:bCs/>
                <w:lang w:val="en-GB"/>
              </w:rPr>
              <w:t>2%</w:t>
            </w:r>
          </w:p>
        </w:tc>
        <w:tc>
          <w:tcPr>
            <w:tcW w:w="1710" w:type="dxa"/>
            <w:tcBorders>
              <w:top w:val="nil"/>
              <w:bottom w:val="nil"/>
            </w:tcBorders>
            <w:shd w:val="clear" w:color="auto" w:fill="auto"/>
            <w:vAlign w:val="bottom"/>
          </w:tcPr>
          <w:p w:rsidR="005D4367" w:rsidRDefault="005B1880">
            <w:pPr>
              <w:keepNext/>
              <w:spacing w:after="0"/>
              <w:rPr>
                <w:bCs/>
                <w:lang w:val="en-GB"/>
              </w:rPr>
            </w:pPr>
            <w:r w:rsidRPr="005B1880">
              <w:rPr>
                <w:bCs/>
                <w:lang w:val="en-GB"/>
              </w:rPr>
              <w:t>5%</w:t>
            </w:r>
          </w:p>
        </w:tc>
      </w:tr>
      <w:tr w:rsidR="005B1880" w:rsidRPr="005B1880" w:rsidTr="000C4B0E">
        <w:tc>
          <w:tcPr>
            <w:tcW w:w="3168" w:type="dxa"/>
            <w:tcBorders>
              <w:top w:val="nil"/>
              <w:bottom w:val="nil"/>
            </w:tcBorders>
          </w:tcPr>
          <w:p w:rsidR="005D4367" w:rsidRDefault="005B1880">
            <w:pPr>
              <w:keepNext/>
              <w:spacing w:after="0"/>
              <w:rPr>
                <w:bCs/>
                <w:lang w:val="en-GB"/>
              </w:rPr>
            </w:pPr>
            <w:r w:rsidRPr="005B1880">
              <w:rPr>
                <w:bCs/>
                <w:lang w:val="en-GB"/>
              </w:rPr>
              <w:t>Grade 3 to 4 (&gt;5.0 x ULN)</w:t>
            </w:r>
          </w:p>
        </w:tc>
        <w:tc>
          <w:tcPr>
            <w:tcW w:w="1710" w:type="dxa"/>
            <w:tcBorders>
              <w:top w:val="nil"/>
              <w:bottom w:val="nil"/>
            </w:tcBorders>
            <w:vAlign w:val="bottom"/>
          </w:tcPr>
          <w:p w:rsidR="005D4367" w:rsidRDefault="005B1880">
            <w:pPr>
              <w:keepNext/>
              <w:spacing w:after="0"/>
              <w:rPr>
                <w:bCs/>
                <w:lang w:val="en-GB"/>
              </w:rPr>
            </w:pPr>
            <w:r w:rsidRPr="005B1880">
              <w:rPr>
                <w:bCs/>
                <w:lang w:val="en-GB"/>
              </w:rPr>
              <w:t>&lt;1%</w:t>
            </w:r>
          </w:p>
        </w:tc>
        <w:tc>
          <w:tcPr>
            <w:tcW w:w="1710" w:type="dxa"/>
            <w:tcBorders>
              <w:top w:val="nil"/>
              <w:bottom w:val="nil"/>
              <w:right w:val="single" w:sz="12" w:space="0" w:color="auto"/>
            </w:tcBorders>
            <w:vAlign w:val="bottom"/>
          </w:tcPr>
          <w:p w:rsidR="005D4367" w:rsidRDefault="005B1880">
            <w:pPr>
              <w:keepNext/>
              <w:spacing w:after="0"/>
              <w:rPr>
                <w:bCs/>
                <w:lang w:val="en-GB"/>
              </w:rPr>
            </w:pPr>
            <w:r w:rsidRPr="005B1880">
              <w:rPr>
                <w:bCs/>
                <w:lang w:val="en-GB"/>
              </w:rPr>
              <w:t>&lt;1%</w:t>
            </w:r>
          </w:p>
        </w:tc>
        <w:tc>
          <w:tcPr>
            <w:tcW w:w="1710" w:type="dxa"/>
            <w:tcBorders>
              <w:top w:val="nil"/>
              <w:left w:val="single" w:sz="12" w:space="0" w:color="auto"/>
              <w:bottom w:val="nil"/>
            </w:tcBorders>
            <w:vAlign w:val="bottom"/>
          </w:tcPr>
          <w:p w:rsidR="005D4367" w:rsidRDefault="005B1880">
            <w:pPr>
              <w:keepNext/>
              <w:spacing w:after="0"/>
              <w:rPr>
                <w:bCs/>
                <w:lang w:val="en-GB"/>
              </w:rPr>
            </w:pPr>
            <w:r w:rsidRPr="005B1880">
              <w:rPr>
                <w:bCs/>
                <w:lang w:val="en-GB"/>
              </w:rPr>
              <w:t>&lt;1%</w:t>
            </w:r>
          </w:p>
        </w:tc>
        <w:tc>
          <w:tcPr>
            <w:tcW w:w="1710" w:type="dxa"/>
            <w:tcBorders>
              <w:top w:val="nil"/>
              <w:bottom w:val="nil"/>
            </w:tcBorders>
            <w:vAlign w:val="bottom"/>
          </w:tcPr>
          <w:p w:rsidR="005D4367" w:rsidRDefault="005B1880">
            <w:pPr>
              <w:keepNext/>
              <w:spacing w:after="0"/>
              <w:rPr>
                <w:bCs/>
                <w:lang w:val="en-GB"/>
              </w:rPr>
            </w:pPr>
            <w:r w:rsidRPr="005B1880">
              <w:rPr>
                <w:bCs/>
                <w:lang w:val="en-GB"/>
              </w:rPr>
              <w:t>&lt;1%</w:t>
            </w:r>
          </w:p>
        </w:tc>
      </w:tr>
      <w:tr w:rsidR="005B1880" w:rsidRPr="005B1880" w:rsidTr="000C4B0E">
        <w:tc>
          <w:tcPr>
            <w:tcW w:w="3168" w:type="dxa"/>
            <w:tcBorders>
              <w:bottom w:val="nil"/>
            </w:tcBorders>
          </w:tcPr>
          <w:p w:rsidR="005D4367" w:rsidRDefault="005B1880">
            <w:pPr>
              <w:keepNext/>
              <w:spacing w:after="0"/>
              <w:rPr>
                <w:bCs/>
                <w:lang w:val="en-GB"/>
              </w:rPr>
            </w:pPr>
            <w:r w:rsidRPr="005B1880">
              <w:rPr>
                <w:bCs/>
                <w:lang w:val="en-GB"/>
              </w:rPr>
              <w:t>AST</w:t>
            </w:r>
          </w:p>
        </w:tc>
        <w:tc>
          <w:tcPr>
            <w:tcW w:w="1710" w:type="dxa"/>
            <w:tcBorders>
              <w:bottom w:val="nil"/>
            </w:tcBorders>
          </w:tcPr>
          <w:p w:rsidR="005D4367" w:rsidRDefault="005D4367">
            <w:pPr>
              <w:keepNext/>
              <w:spacing w:after="0"/>
              <w:rPr>
                <w:bCs/>
                <w:lang w:val="en-GB"/>
              </w:rPr>
            </w:pPr>
          </w:p>
        </w:tc>
        <w:tc>
          <w:tcPr>
            <w:tcW w:w="1710" w:type="dxa"/>
            <w:tcBorders>
              <w:bottom w:val="nil"/>
              <w:right w:val="single" w:sz="12" w:space="0" w:color="auto"/>
            </w:tcBorders>
          </w:tcPr>
          <w:p w:rsidR="005D4367" w:rsidRDefault="005D4367">
            <w:pPr>
              <w:keepNext/>
              <w:spacing w:after="0"/>
              <w:rPr>
                <w:bCs/>
                <w:lang w:val="en-GB"/>
              </w:rPr>
            </w:pPr>
          </w:p>
        </w:tc>
        <w:tc>
          <w:tcPr>
            <w:tcW w:w="1710" w:type="dxa"/>
            <w:tcBorders>
              <w:left w:val="single" w:sz="12" w:space="0" w:color="auto"/>
              <w:bottom w:val="nil"/>
            </w:tcBorders>
          </w:tcPr>
          <w:p w:rsidR="005D4367" w:rsidRDefault="005D4367">
            <w:pPr>
              <w:keepNext/>
              <w:spacing w:after="0"/>
              <w:rPr>
                <w:bCs/>
                <w:lang w:val="en-GB"/>
              </w:rPr>
            </w:pPr>
          </w:p>
        </w:tc>
        <w:tc>
          <w:tcPr>
            <w:tcW w:w="1710" w:type="dxa"/>
            <w:tcBorders>
              <w:bottom w:val="nil"/>
            </w:tcBorders>
          </w:tcPr>
          <w:p w:rsidR="005D4367" w:rsidRDefault="005D4367">
            <w:pPr>
              <w:keepNext/>
              <w:spacing w:after="0"/>
              <w:rPr>
                <w:bCs/>
                <w:lang w:val="en-GB"/>
              </w:rPr>
            </w:pPr>
          </w:p>
        </w:tc>
      </w:tr>
      <w:tr w:rsidR="005B1880" w:rsidRPr="005B1880" w:rsidTr="000C4B0E">
        <w:tc>
          <w:tcPr>
            <w:tcW w:w="3168" w:type="dxa"/>
            <w:tcBorders>
              <w:top w:val="nil"/>
              <w:bottom w:val="nil"/>
            </w:tcBorders>
          </w:tcPr>
          <w:p w:rsidR="005D4367" w:rsidRDefault="005B1880">
            <w:pPr>
              <w:keepNext/>
              <w:spacing w:after="0"/>
              <w:rPr>
                <w:bCs/>
                <w:lang w:val="en-GB"/>
              </w:rPr>
            </w:pPr>
            <w:r w:rsidRPr="005B1880">
              <w:rPr>
                <w:bCs/>
                <w:lang w:val="en-GB"/>
              </w:rPr>
              <w:t>Grade 2 (&gt;2.5-5.0 x ULN)</w:t>
            </w:r>
          </w:p>
        </w:tc>
        <w:tc>
          <w:tcPr>
            <w:tcW w:w="1710" w:type="dxa"/>
            <w:tcBorders>
              <w:top w:val="nil"/>
              <w:bottom w:val="nil"/>
            </w:tcBorders>
            <w:vAlign w:val="bottom"/>
          </w:tcPr>
          <w:p w:rsidR="005D4367" w:rsidRDefault="005B1880">
            <w:pPr>
              <w:keepNext/>
              <w:spacing w:after="0"/>
              <w:rPr>
                <w:bCs/>
                <w:lang w:val="en-GB"/>
              </w:rPr>
            </w:pPr>
            <w:r w:rsidRPr="005B1880">
              <w:rPr>
                <w:bCs/>
                <w:lang w:val="en-GB"/>
              </w:rPr>
              <w:t>2%</w:t>
            </w:r>
          </w:p>
        </w:tc>
        <w:tc>
          <w:tcPr>
            <w:tcW w:w="1710" w:type="dxa"/>
            <w:tcBorders>
              <w:top w:val="nil"/>
              <w:bottom w:val="nil"/>
              <w:right w:val="single" w:sz="12" w:space="0" w:color="auto"/>
            </w:tcBorders>
            <w:vAlign w:val="bottom"/>
          </w:tcPr>
          <w:p w:rsidR="005D4367" w:rsidRDefault="005B1880">
            <w:pPr>
              <w:keepNext/>
              <w:spacing w:after="0"/>
              <w:rPr>
                <w:bCs/>
                <w:lang w:val="en-GB"/>
              </w:rPr>
            </w:pPr>
            <w:r w:rsidRPr="005B1880">
              <w:rPr>
                <w:bCs/>
                <w:lang w:val="en-GB"/>
              </w:rPr>
              <w:t>3%</w:t>
            </w:r>
          </w:p>
        </w:tc>
        <w:tc>
          <w:tcPr>
            <w:tcW w:w="1710" w:type="dxa"/>
            <w:tcBorders>
              <w:top w:val="nil"/>
              <w:left w:val="single" w:sz="12" w:space="0" w:color="auto"/>
              <w:bottom w:val="nil"/>
            </w:tcBorders>
            <w:vAlign w:val="bottom"/>
          </w:tcPr>
          <w:p w:rsidR="005D4367" w:rsidRDefault="005B1880">
            <w:pPr>
              <w:keepNext/>
              <w:spacing w:after="0"/>
              <w:rPr>
                <w:bCs/>
                <w:lang w:val="en-GB"/>
              </w:rPr>
            </w:pPr>
            <w:r w:rsidRPr="005B1880">
              <w:rPr>
                <w:bCs/>
                <w:lang w:val="en-GB"/>
              </w:rPr>
              <w:t>3%</w:t>
            </w:r>
          </w:p>
        </w:tc>
        <w:tc>
          <w:tcPr>
            <w:tcW w:w="1710" w:type="dxa"/>
            <w:tcBorders>
              <w:top w:val="nil"/>
              <w:bottom w:val="nil"/>
            </w:tcBorders>
            <w:vAlign w:val="bottom"/>
          </w:tcPr>
          <w:p w:rsidR="005D4367" w:rsidRDefault="005B1880">
            <w:pPr>
              <w:keepNext/>
              <w:spacing w:after="0"/>
              <w:rPr>
                <w:bCs/>
                <w:lang w:val="en-GB"/>
              </w:rPr>
            </w:pPr>
            <w:r w:rsidRPr="005B1880">
              <w:rPr>
                <w:bCs/>
                <w:lang w:val="en-GB"/>
              </w:rPr>
              <w:t>3%</w:t>
            </w:r>
          </w:p>
        </w:tc>
      </w:tr>
      <w:tr w:rsidR="005B1880" w:rsidRPr="005B1880" w:rsidTr="000C4B0E">
        <w:tc>
          <w:tcPr>
            <w:tcW w:w="3168" w:type="dxa"/>
            <w:tcBorders>
              <w:top w:val="nil"/>
              <w:bottom w:val="nil"/>
            </w:tcBorders>
          </w:tcPr>
          <w:p w:rsidR="005D4367" w:rsidRDefault="005B1880">
            <w:pPr>
              <w:keepNext/>
              <w:spacing w:after="0"/>
              <w:rPr>
                <w:bCs/>
                <w:lang w:val="en-GB"/>
              </w:rPr>
            </w:pPr>
            <w:r w:rsidRPr="005B1880">
              <w:rPr>
                <w:bCs/>
                <w:lang w:val="en-GB"/>
              </w:rPr>
              <w:t>Grade 3 to 4 (&gt;5.0 x ULN)</w:t>
            </w:r>
          </w:p>
        </w:tc>
        <w:tc>
          <w:tcPr>
            <w:tcW w:w="1710" w:type="dxa"/>
            <w:tcBorders>
              <w:top w:val="nil"/>
              <w:bottom w:val="nil"/>
            </w:tcBorders>
          </w:tcPr>
          <w:p w:rsidR="005D4367" w:rsidRDefault="005B1880">
            <w:pPr>
              <w:keepNext/>
              <w:spacing w:after="0"/>
              <w:rPr>
                <w:bCs/>
                <w:lang w:val="en-GB"/>
              </w:rPr>
            </w:pPr>
            <w:r w:rsidRPr="005B1880">
              <w:rPr>
                <w:bCs/>
                <w:lang w:val="en-GB"/>
              </w:rPr>
              <w:t>0</w:t>
            </w:r>
          </w:p>
        </w:tc>
        <w:tc>
          <w:tcPr>
            <w:tcW w:w="1710" w:type="dxa"/>
            <w:tcBorders>
              <w:top w:val="nil"/>
              <w:bottom w:val="nil"/>
              <w:right w:val="single" w:sz="12" w:space="0" w:color="auto"/>
            </w:tcBorders>
          </w:tcPr>
          <w:p w:rsidR="005D4367" w:rsidRDefault="005B1880">
            <w:pPr>
              <w:keepNext/>
              <w:spacing w:after="0"/>
              <w:rPr>
                <w:bCs/>
                <w:lang w:val="en-GB"/>
              </w:rPr>
            </w:pPr>
            <w:r w:rsidRPr="005B1880">
              <w:rPr>
                <w:bCs/>
                <w:lang w:val="en-GB"/>
              </w:rPr>
              <w:t>2%</w:t>
            </w:r>
          </w:p>
        </w:tc>
        <w:tc>
          <w:tcPr>
            <w:tcW w:w="1710" w:type="dxa"/>
            <w:tcBorders>
              <w:top w:val="nil"/>
              <w:left w:val="single" w:sz="12" w:space="0" w:color="auto"/>
              <w:bottom w:val="nil"/>
            </w:tcBorders>
          </w:tcPr>
          <w:p w:rsidR="005D4367" w:rsidRDefault="005B1880">
            <w:pPr>
              <w:keepNext/>
              <w:spacing w:after="0"/>
              <w:rPr>
                <w:bCs/>
                <w:lang w:val="en-GB"/>
              </w:rPr>
            </w:pPr>
            <w:r w:rsidRPr="005B1880">
              <w:rPr>
                <w:bCs/>
                <w:lang w:val="en-GB"/>
              </w:rPr>
              <w:t>&lt;1%</w:t>
            </w:r>
          </w:p>
        </w:tc>
        <w:tc>
          <w:tcPr>
            <w:tcW w:w="1710" w:type="dxa"/>
            <w:tcBorders>
              <w:top w:val="nil"/>
              <w:bottom w:val="nil"/>
            </w:tcBorders>
          </w:tcPr>
          <w:p w:rsidR="005D4367" w:rsidRDefault="005B1880">
            <w:pPr>
              <w:keepNext/>
              <w:spacing w:after="0"/>
              <w:rPr>
                <w:bCs/>
                <w:lang w:val="en-GB"/>
              </w:rPr>
            </w:pPr>
            <w:r w:rsidRPr="005B1880">
              <w:rPr>
                <w:bCs/>
                <w:lang w:val="en-GB"/>
              </w:rPr>
              <w:t>3%</w:t>
            </w:r>
          </w:p>
        </w:tc>
      </w:tr>
      <w:tr w:rsidR="005B1880" w:rsidRPr="005B1880" w:rsidTr="000C4B0E">
        <w:tc>
          <w:tcPr>
            <w:tcW w:w="3168" w:type="dxa"/>
            <w:tcBorders>
              <w:bottom w:val="nil"/>
            </w:tcBorders>
          </w:tcPr>
          <w:p w:rsidR="005D4367" w:rsidRDefault="005B1880">
            <w:pPr>
              <w:keepNext/>
              <w:spacing w:after="0"/>
              <w:rPr>
                <w:bCs/>
                <w:lang w:val="en-GB"/>
              </w:rPr>
            </w:pPr>
            <w:proofErr w:type="spellStart"/>
            <w:r w:rsidRPr="005B1880">
              <w:rPr>
                <w:bCs/>
                <w:lang w:val="en-GB"/>
              </w:rPr>
              <w:t>Creatine</w:t>
            </w:r>
            <w:proofErr w:type="spellEnd"/>
            <w:r w:rsidRPr="005B1880">
              <w:rPr>
                <w:bCs/>
                <w:lang w:val="en-GB"/>
              </w:rPr>
              <w:t xml:space="preserve"> kinase</w:t>
            </w:r>
          </w:p>
        </w:tc>
        <w:tc>
          <w:tcPr>
            <w:tcW w:w="1710" w:type="dxa"/>
            <w:tcBorders>
              <w:bottom w:val="nil"/>
            </w:tcBorders>
          </w:tcPr>
          <w:p w:rsidR="005D4367" w:rsidRDefault="005D4367">
            <w:pPr>
              <w:keepNext/>
              <w:spacing w:after="0"/>
              <w:rPr>
                <w:bCs/>
                <w:lang w:val="en-GB"/>
              </w:rPr>
            </w:pPr>
          </w:p>
        </w:tc>
        <w:tc>
          <w:tcPr>
            <w:tcW w:w="1710" w:type="dxa"/>
            <w:tcBorders>
              <w:bottom w:val="nil"/>
              <w:right w:val="single" w:sz="12" w:space="0" w:color="auto"/>
            </w:tcBorders>
          </w:tcPr>
          <w:p w:rsidR="005D4367" w:rsidRDefault="005D4367">
            <w:pPr>
              <w:keepNext/>
              <w:spacing w:after="0"/>
              <w:rPr>
                <w:bCs/>
                <w:lang w:val="en-GB"/>
              </w:rPr>
            </w:pPr>
          </w:p>
        </w:tc>
        <w:tc>
          <w:tcPr>
            <w:tcW w:w="1710" w:type="dxa"/>
            <w:tcBorders>
              <w:left w:val="single" w:sz="12" w:space="0" w:color="auto"/>
              <w:bottom w:val="nil"/>
            </w:tcBorders>
          </w:tcPr>
          <w:p w:rsidR="005D4367" w:rsidRDefault="005D4367">
            <w:pPr>
              <w:keepNext/>
              <w:spacing w:after="0"/>
              <w:rPr>
                <w:bCs/>
                <w:lang w:val="en-GB"/>
              </w:rPr>
            </w:pPr>
          </w:p>
        </w:tc>
        <w:tc>
          <w:tcPr>
            <w:tcW w:w="1710" w:type="dxa"/>
            <w:tcBorders>
              <w:bottom w:val="nil"/>
            </w:tcBorders>
          </w:tcPr>
          <w:p w:rsidR="005D4367" w:rsidRDefault="005D4367">
            <w:pPr>
              <w:keepNext/>
              <w:spacing w:after="0"/>
              <w:rPr>
                <w:bCs/>
                <w:lang w:val="en-GB"/>
              </w:rPr>
            </w:pPr>
          </w:p>
        </w:tc>
      </w:tr>
      <w:tr w:rsidR="005B1880" w:rsidRPr="005B1880" w:rsidTr="000C4B0E">
        <w:tc>
          <w:tcPr>
            <w:tcW w:w="3168" w:type="dxa"/>
            <w:tcBorders>
              <w:top w:val="nil"/>
              <w:bottom w:val="nil"/>
            </w:tcBorders>
          </w:tcPr>
          <w:p w:rsidR="005D4367" w:rsidRDefault="005B1880">
            <w:pPr>
              <w:keepNext/>
              <w:spacing w:after="0"/>
              <w:rPr>
                <w:bCs/>
                <w:lang w:val="en-GB"/>
              </w:rPr>
            </w:pPr>
            <w:r w:rsidRPr="005B1880">
              <w:rPr>
                <w:bCs/>
                <w:lang w:val="en-GB"/>
              </w:rPr>
              <w:t>Grade 2 (6.0-9.9 x ULN)</w:t>
            </w:r>
          </w:p>
        </w:tc>
        <w:tc>
          <w:tcPr>
            <w:tcW w:w="1710" w:type="dxa"/>
            <w:tcBorders>
              <w:top w:val="nil"/>
              <w:bottom w:val="nil"/>
            </w:tcBorders>
            <w:vAlign w:val="bottom"/>
          </w:tcPr>
          <w:p w:rsidR="005D4367" w:rsidRDefault="0000415C">
            <w:pPr>
              <w:keepNext/>
              <w:spacing w:after="0"/>
              <w:rPr>
                <w:bCs/>
                <w:lang w:val="en-GB"/>
              </w:rPr>
            </w:pPr>
            <w:r>
              <w:rPr>
                <w:bCs/>
                <w:lang w:val="en-GB"/>
              </w:rPr>
              <w:t>4</w:t>
            </w:r>
            <w:r w:rsidR="005B1880" w:rsidRPr="005B1880">
              <w:rPr>
                <w:bCs/>
                <w:lang w:val="en-GB"/>
              </w:rPr>
              <w:t>%</w:t>
            </w:r>
          </w:p>
        </w:tc>
        <w:tc>
          <w:tcPr>
            <w:tcW w:w="1710" w:type="dxa"/>
            <w:tcBorders>
              <w:top w:val="nil"/>
              <w:bottom w:val="nil"/>
              <w:right w:val="single" w:sz="12" w:space="0" w:color="auto"/>
            </w:tcBorders>
            <w:vAlign w:val="bottom"/>
          </w:tcPr>
          <w:p w:rsidR="005D4367" w:rsidRDefault="0000415C">
            <w:pPr>
              <w:keepNext/>
              <w:spacing w:after="0"/>
              <w:rPr>
                <w:bCs/>
                <w:lang w:val="en-GB"/>
              </w:rPr>
            </w:pPr>
            <w:r>
              <w:rPr>
                <w:bCs/>
                <w:lang w:val="en-GB"/>
              </w:rPr>
              <w:t>2</w:t>
            </w:r>
            <w:r w:rsidR="005B1880" w:rsidRPr="005B1880">
              <w:rPr>
                <w:bCs/>
                <w:lang w:val="en-GB"/>
              </w:rPr>
              <w:t>%</w:t>
            </w:r>
          </w:p>
        </w:tc>
        <w:tc>
          <w:tcPr>
            <w:tcW w:w="1710" w:type="dxa"/>
            <w:tcBorders>
              <w:top w:val="nil"/>
              <w:left w:val="single" w:sz="12" w:space="0" w:color="auto"/>
              <w:bottom w:val="nil"/>
            </w:tcBorders>
            <w:vAlign w:val="bottom"/>
          </w:tcPr>
          <w:p w:rsidR="005D4367" w:rsidRDefault="005B1880">
            <w:pPr>
              <w:keepNext/>
              <w:spacing w:after="0"/>
              <w:rPr>
                <w:bCs/>
                <w:lang w:val="en-GB"/>
              </w:rPr>
            </w:pPr>
            <w:r w:rsidRPr="005B1880">
              <w:rPr>
                <w:bCs/>
                <w:lang w:val="en-GB"/>
              </w:rPr>
              <w:t>4%</w:t>
            </w:r>
          </w:p>
        </w:tc>
        <w:tc>
          <w:tcPr>
            <w:tcW w:w="1710" w:type="dxa"/>
            <w:tcBorders>
              <w:top w:val="nil"/>
              <w:bottom w:val="nil"/>
            </w:tcBorders>
            <w:vAlign w:val="bottom"/>
          </w:tcPr>
          <w:p w:rsidR="005D4367" w:rsidRDefault="00A26247">
            <w:pPr>
              <w:keepNext/>
              <w:spacing w:after="0"/>
              <w:rPr>
                <w:bCs/>
                <w:lang w:val="en-GB"/>
              </w:rPr>
            </w:pPr>
            <w:r>
              <w:rPr>
                <w:bCs/>
                <w:lang w:val="en-GB"/>
              </w:rPr>
              <w:t>2</w:t>
            </w:r>
            <w:r w:rsidR="005B1880" w:rsidRPr="005B1880">
              <w:rPr>
                <w:bCs/>
                <w:lang w:val="en-GB"/>
              </w:rPr>
              <w:t>%</w:t>
            </w:r>
          </w:p>
        </w:tc>
      </w:tr>
      <w:tr w:rsidR="005B1880" w:rsidRPr="005B1880" w:rsidTr="000C4B0E">
        <w:tc>
          <w:tcPr>
            <w:tcW w:w="3168" w:type="dxa"/>
            <w:tcBorders>
              <w:top w:val="nil"/>
              <w:bottom w:val="nil"/>
            </w:tcBorders>
          </w:tcPr>
          <w:p w:rsidR="005D4367" w:rsidRDefault="005B1880">
            <w:pPr>
              <w:keepNext/>
              <w:spacing w:after="0"/>
              <w:rPr>
                <w:bCs/>
                <w:lang w:val="en-GB"/>
              </w:rPr>
            </w:pPr>
            <w:r w:rsidRPr="005B1880">
              <w:rPr>
                <w:bCs/>
                <w:lang w:val="en-GB"/>
              </w:rPr>
              <w:t>Grade 3 to 4 (≥10.0 x ULN)</w:t>
            </w:r>
          </w:p>
        </w:tc>
        <w:tc>
          <w:tcPr>
            <w:tcW w:w="1710" w:type="dxa"/>
            <w:tcBorders>
              <w:top w:val="nil"/>
              <w:bottom w:val="nil"/>
            </w:tcBorders>
            <w:vAlign w:val="bottom"/>
          </w:tcPr>
          <w:p w:rsidR="005D4367" w:rsidRDefault="005B1880">
            <w:pPr>
              <w:keepNext/>
              <w:spacing w:after="0"/>
              <w:rPr>
                <w:bCs/>
                <w:lang w:val="en-GB"/>
              </w:rPr>
            </w:pPr>
            <w:r w:rsidRPr="005B1880">
              <w:rPr>
                <w:bCs/>
                <w:lang w:val="en-GB"/>
              </w:rPr>
              <w:t>3%</w:t>
            </w:r>
          </w:p>
        </w:tc>
        <w:tc>
          <w:tcPr>
            <w:tcW w:w="1710" w:type="dxa"/>
            <w:tcBorders>
              <w:top w:val="nil"/>
              <w:bottom w:val="nil"/>
              <w:right w:val="single" w:sz="12" w:space="0" w:color="auto"/>
            </w:tcBorders>
            <w:vAlign w:val="bottom"/>
          </w:tcPr>
          <w:p w:rsidR="005D4367" w:rsidRDefault="0000415C">
            <w:pPr>
              <w:keepNext/>
              <w:spacing w:after="0"/>
              <w:rPr>
                <w:bCs/>
                <w:lang w:val="en-GB"/>
              </w:rPr>
            </w:pPr>
            <w:r>
              <w:rPr>
                <w:bCs/>
                <w:lang w:val="en-GB"/>
              </w:rPr>
              <w:t>5</w:t>
            </w:r>
            <w:r w:rsidR="005B1880" w:rsidRPr="005B1880">
              <w:rPr>
                <w:bCs/>
                <w:lang w:val="en-GB"/>
              </w:rPr>
              <w:t>%</w:t>
            </w:r>
          </w:p>
        </w:tc>
        <w:tc>
          <w:tcPr>
            <w:tcW w:w="1710" w:type="dxa"/>
            <w:tcBorders>
              <w:top w:val="nil"/>
              <w:left w:val="single" w:sz="12" w:space="0" w:color="auto"/>
              <w:bottom w:val="nil"/>
            </w:tcBorders>
            <w:vAlign w:val="bottom"/>
          </w:tcPr>
          <w:p w:rsidR="005D4367" w:rsidRDefault="005B1880">
            <w:pPr>
              <w:keepNext/>
              <w:spacing w:after="0"/>
              <w:rPr>
                <w:bCs/>
                <w:lang w:val="en-GB"/>
              </w:rPr>
            </w:pPr>
            <w:r w:rsidRPr="005B1880">
              <w:rPr>
                <w:bCs/>
                <w:lang w:val="en-GB"/>
              </w:rPr>
              <w:t>5%</w:t>
            </w:r>
          </w:p>
        </w:tc>
        <w:tc>
          <w:tcPr>
            <w:tcW w:w="1710" w:type="dxa"/>
            <w:tcBorders>
              <w:top w:val="nil"/>
              <w:bottom w:val="nil"/>
            </w:tcBorders>
            <w:vAlign w:val="bottom"/>
          </w:tcPr>
          <w:p w:rsidR="005D4367" w:rsidRDefault="005B1880">
            <w:pPr>
              <w:keepNext/>
              <w:spacing w:after="0"/>
              <w:rPr>
                <w:bCs/>
                <w:lang w:val="en-GB"/>
              </w:rPr>
            </w:pPr>
            <w:r w:rsidRPr="005B1880">
              <w:rPr>
                <w:bCs/>
                <w:lang w:val="en-GB"/>
              </w:rPr>
              <w:t>7%</w:t>
            </w:r>
          </w:p>
        </w:tc>
      </w:tr>
      <w:tr w:rsidR="005B1880" w:rsidRPr="005B1880" w:rsidTr="000C4B0E">
        <w:tc>
          <w:tcPr>
            <w:tcW w:w="3168" w:type="dxa"/>
            <w:tcBorders>
              <w:bottom w:val="nil"/>
            </w:tcBorders>
          </w:tcPr>
          <w:p w:rsidR="005D4367" w:rsidRDefault="005B1880">
            <w:pPr>
              <w:keepNext/>
              <w:spacing w:after="0"/>
              <w:rPr>
                <w:bCs/>
                <w:lang w:val="en-GB"/>
              </w:rPr>
            </w:pPr>
            <w:proofErr w:type="spellStart"/>
            <w:r w:rsidRPr="005B1880">
              <w:rPr>
                <w:bCs/>
                <w:lang w:val="en-GB"/>
              </w:rPr>
              <w:t>Hyperglycemia</w:t>
            </w:r>
            <w:proofErr w:type="spellEnd"/>
          </w:p>
        </w:tc>
        <w:tc>
          <w:tcPr>
            <w:tcW w:w="1710" w:type="dxa"/>
            <w:tcBorders>
              <w:bottom w:val="nil"/>
            </w:tcBorders>
          </w:tcPr>
          <w:p w:rsidR="005D4367" w:rsidRDefault="005D4367">
            <w:pPr>
              <w:keepNext/>
              <w:spacing w:after="0"/>
              <w:rPr>
                <w:bCs/>
                <w:lang w:val="en-GB"/>
              </w:rPr>
            </w:pPr>
          </w:p>
        </w:tc>
        <w:tc>
          <w:tcPr>
            <w:tcW w:w="1710" w:type="dxa"/>
            <w:tcBorders>
              <w:bottom w:val="nil"/>
              <w:right w:val="single" w:sz="12" w:space="0" w:color="auto"/>
            </w:tcBorders>
          </w:tcPr>
          <w:p w:rsidR="005D4367" w:rsidRDefault="005D4367">
            <w:pPr>
              <w:keepNext/>
              <w:spacing w:after="0"/>
              <w:rPr>
                <w:bCs/>
                <w:lang w:val="en-GB"/>
              </w:rPr>
            </w:pPr>
          </w:p>
        </w:tc>
        <w:tc>
          <w:tcPr>
            <w:tcW w:w="1710" w:type="dxa"/>
            <w:tcBorders>
              <w:left w:val="single" w:sz="12" w:space="0" w:color="auto"/>
              <w:bottom w:val="nil"/>
            </w:tcBorders>
          </w:tcPr>
          <w:p w:rsidR="005D4367" w:rsidRDefault="005D4367">
            <w:pPr>
              <w:keepNext/>
              <w:spacing w:after="0"/>
              <w:rPr>
                <w:bCs/>
                <w:lang w:val="en-GB"/>
              </w:rPr>
            </w:pPr>
          </w:p>
        </w:tc>
        <w:tc>
          <w:tcPr>
            <w:tcW w:w="1710" w:type="dxa"/>
            <w:tcBorders>
              <w:bottom w:val="nil"/>
            </w:tcBorders>
          </w:tcPr>
          <w:p w:rsidR="005D4367" w:rsidRDefault="005D4367">
            <w:pPr>
              <w:keepNext/>
              <w:spacing w:after="0"/>
              <w:rPr>
                <w:bCs/>
                <w:lang w:val="en-GB"/>
              </w:rPr>
            </w:pPr>
          </w:p>
        </w:tc>
      </w:tr>
      <w:tr w:rsidR="005B1880" w:rsidRPr="005B1880" w:rsidTr="000C4B0E">
        <w:tc>
          <w:tcPr>
            <w:tcW w:w="3168" w:type="dxa"/>
            <w:tcBorders>
              <w:top w:val="nil"/>
              <w:bottom w:val="nil"/>
            </w:tcBorders>
          </w:tcPr>
          <w:p w:rsidR="005D4367" w:rsidRDefault="005B1880" w:rsidP="000158B9">
            <w:pPr>
              <w:keepNext/>
              <w:spacing w:after="0"/>
              <w:jc w:val="left"/>
              <w:rPr>
                <w:bCs/>
                <w:lang w:val="en-GB"/>
              </w:rPr>
            </w:pPr>
            <w:r w:rsidRPr="005B1880">
              <w:rPr>
                <w:bCs/>
                <w:lang w:val="en-GB"/>
              </w:rPr>
              <w:t>Grade 2 (</w:t>
            </w:r>
            <w:r w:rsidR="000158B9">
              <w:rPr>
                <w:bCs/>
                <w:lang w:val="en-GB"/>
              </w:rPr>
              <w:t xml:space="preserve">6.95–13.88 </w:t>
            </w:r>
            <w:proofErr w:type="spellStart"/>
            <w:r w:rsidR="000158B9">
              <w:rPr>
                <w:bCs/>
                <w:lang w:val="en-GB"/>
              </w:rPr>
              <w:t>mmol</w:t>
            </w:r>
            <w:proofErr w:type="spellEnd"/>
            <w:r w:rsidR="000158B9">
              <w:rPr>
                <w:bCs/>
                <w:lang w:val="en-GB"/>
              </w:rPr>
              <w:t>/L</w:t>
            </w:r>
            <w:r w:rsidRPr="005B1880">
              <w:rPr>
                <w:bCs/>
                <w:lang w:val="en-GB"/>
              </w:rPr>
              <w:t>)</w:t>
            </w:r>
          </w:p>
        </w:tc>
        <w:tc>
          <w:tcPr>
            <w:tcW w:w="1710" w:type="dxa"/>
            <w:tcBorders>
              <w:top w:val="nil"/>
              <w:bottom w:val="nil"/>
            </w:tcBorders>
            <w:vAlign w:val="bottom"/>
          </w:tcPr>
          <w:p w:rsidR="005D4367" w:rsidRDefault="005B1880">
            <w:pPr>
              <w:keepNext/>
              <w:spacing w:after="0"/>
              <w:rPr>
                <w:bCs/>
                <w:lang w:val="en-GB"/>
              </w:rPr>
            </w:pPr>
            <w:r w:rsidRPr="005B1880">
              <w:rPr>
                <w:bCs/>
                <w:lang w:val="en-GB"/>
              </w:rPr>
              <w:t>7%</w:t>
            </w:r>
          </w:p>
        </w:tc>
        <w:tc>
          <w:tcPr>
            <w:tcW w:w="1710" w:type="dxa"/>
            <w:tcBorders>
              <w:top w:val="nil"/>
              <w:bottom w:val="nil"/>
              <w:right w:val="single" w:sz="12" w:space="0" w:color="auto"/>
            </w:tcBorders>
            <w:vAlign w:val="bottom"/>
          </w:tcPr>
          <w:p w:rsidR="005D4367" w:rsidRDefault="00A26247">
            <w:pPr>
              <w:keepNext/>
              <w:spacing w:after="0"/>
              <w:rPr>
                <w:bCs/>
                <w:lang w:val="en-GB"/>
              </w:rPr>
            </w:pPr>
            <w:r>
              <w:rPr>
                <w:bCs/>
                <w:lang w:val="en-GB"/>
              </w:rPr>
              <w:t>5</w:t>
            </w:r>
            <w:r w:rsidR="005B1880" w:rsidRPr="005B1880">
              <w:rPr>
                <w:bCs/>
                <w:lang w:val="en-GB"/>
              </w:rPr>
              <w:t>%</w:t>
            </w:r>
          </w:p>
        </w:tc>
        <w:tc>
          <w:tcPr>
            <w:tcW w:w="1710" w:type="dxa"/>
            <w:tcBorders>
              <w:top w:val="nil"/>
              <w:left w:val="single" w:sz="12" w:space="0" w:color="auto"/>
              <w:bottom w:val="nil"/>
            </w:tcBorders>
            <w:vAlign w:val="bottom"/>
          </w:tcPr>
          <w:p w:rsidR="005D4367" w:rsidRDefault="005B1880">
            <w:pPr>
              <w:keepNext/>
              <w:spacing w:after="0"/>
              <w:rPr>
                <w:bCs/>
                <w:lang w:val="en-GB"/>
              </w:rPr>
            </w:pPr>
            <w:r w:rsidRPr="005B1880">
              <w:rPr>
                <w:bCs/>
                <w:lang w:val="en-GB"/>
              </w:rPr>
              <w:t>7%</w:t>
            </w:r>
          </w:p>
        </w:tc>
        <w:tc>
          <w:tcPr>
            <w:tcW w:w="1710" w:type="dxa"/>
            <w:tcBorders>
              <w:top w:val="nil"/>
              <w:bottom w:val="nil"/>
            </w:tcBorders>
            <w:vAlign w:val="bottom"/>
          </w:tcPr>
          <w:p w:rsidR="005D4367" w:rsidRDefault="005B1880">
            <w:pPr>
              <w:keepNext/>
              <w:spacing w:after="0"/>
              <w:rPr>
                <w:bCs/>
                <w:lang w:val="en-GB"/>
              </w:rPr>
            </w:pPr>
            <w:r w:rsidRPr="005B1880">
              <w:rPr>
                <w:bCs/>
                <w:lang w:val="en-GB"/>
              </w:rPr>
              <w:t>5%</w:t>
            </w:r>
          </w:p>
        </w:tc>
      </w:tr>
      <w:tr w:rsidR="005B1880" w:rsidRPr="005B1880" w:rsidTr="000C4B0E">
        <w:tc>
          <w:tcPr>
            <w:tcW w:w="3168" w:type="dxa"/>
            <w:tcBorders>
              <w:top w:val="nil"/>
              <w:bottom w:val="nil"/>
            </w:tcBorders>
          </w:tcPr>
          <w:p w:rsidR="005D4367" w:rsidRDefault="005B1880" w:rsidP="000158B9">
            <w:pPr>
              <w:keepNext/>
              <w:spacing w:after="0"/>
              <w:rPr>
                <w:bCs/>
                <w:lang w:val="en-GB"/>
              </w:rPr>
            </w:pPr>
            <w:r w:rsidRPr="005B1880">
              <w:rPr>
                <w:bCs/>
                <w:lang w:val="en-GB"/>
              </w:rPr>
              <w:t>Grade 3</w:t>
            </w:r>
            <w:r w:rsidR="000158B9">
              <w:rPr>
                <w:bCs/>
                <w:lang w:val="en-GB"/>
              </w:rPr>
              <w:t xml:space="preserve"> to 4</w:t>
            </w:r>
            <w:r w:rsidRPr="005B1880">
              <w:rPr>
                <w:bCs/>
                <w:lang w:val="en-GB"/>
              </w:rPr>
              <w:t xml:space="preserve"> (&gt;</w:t>
            </w:r>
            <w:r w:rsidR="000158B9">
              <w:rPr>
                <w:bCs/>
                <w:lang w:val="en-GB"/>
              </w:rPr>
              <w:t xml:space="preserve">13.88 </w:t>
            </w:r>
            <w:proofErr w:type="spellStart"/>
            <w:r w:rsidR="000158B9">
              <w:rPr>
                <w:bCs/>
                <w:lang w:val="en-GB"/>
              </w:rPr>
              <w:t>mmol</w:t>
            </w:r>
            <w:proofErr w:type="spellEnd"/>
            <w:r w:rsidR="000158B9">
              <w:rPr>
                <w:bCs/>
                <w:lang w:val="en-GB"/>
              </w:rPr>
              <w:t>/L</w:t>
            </w:r>
            <w:r w:rsidRPr="005B1880">
              <w:rPr>
                <w:bCs/>
                <w:lang w:val="en-GB"/>
              </w:rPr>
              <w:t>)</w:t>
            </w:r>
          </w:p>
        </w:tc>
        <w:tc>
          <w:tcPr>
            <w:tcW w:w="1710" w:type="dxa"/>
            <w:tcBorders>
              <w:top w:val="nil"/>
              <w:bottom w:val="nil"/>
            </w:tcBorders>
            <w:vAlign w:val="bottom"/>
          </w:tcPr>
          <w:p w:rsidR="005D4367" w:rsidRDefault="005B1880">
            <w:pPr>
              <w:keepNext/>
              <w:spacing w:after="0"/>
              <w:rPr>
                <w:bCs/>
                <w:lang w:val="en-GB"/>
              </w:rPr>
            </w:pPr>
            <w:r w:rsidRPr="005B1880">
              <w:rPr>
                <w:bCs/>
                <w:lang w:val="en-GB"/>
              </w:rPr>
              <w:t>1%</w:t>
            </w:r>
          </w:p>
        </w:tc>
        <w:tc>
          <w:tcPr>
            <w:tcW w:w="1710" w:type="dxa"/>
            <w:tcBorders>
              <w:top w:val="nil"/>
              <w:bottom w:val="nil"/>
              <w:right w:val="single" w:sz="12" w:space="0" w:color="auto"/>
            </w:tcBorders>
            <w:vAlign w:val="bottom"/>
          </w:tcPr>
          <w:p w:rsidR="005D4367" w:rsidRDefault="005B1880">
            <w:pPr>
              <w:keepNext/>
              <w:spacing w:after="0"/>
              <w:rPr>
                <w:bCs/>
                <w:lang w:val="en-GB"/>
              </w:rPr>
            </w:pPr>
            <w:r w:rsidRPr="005B1880">
              <w:rPr>
                <w:bCs/>
                <w:lang w:val="en-GB"/>
              </w:rPr>
              <w:t>&lt;1%</w:t>
            </w:r>
          </w:p>
        </w:tc>
        <w:tc>
          <w:tcPr>
            <w:tcW w:w="1710" w:type="dxa"/>
            <w:tcBorders>
              <w:top w:val="nil"/>
              <w:left w:val="single" w:sz="12" w:space="0" w:color="auto"/>
              <w:bottom w:val="nil"/>
            </w:tcBorders>
            <w:vAlign w:val="bottom"/>
          </w:tcPr>
          <w:p w:rsidR="005D4367" w:rsidRDefault="005B1880">
            <w:pPr>
              <w:keepNext/>
              <w:spacing w:after="0"/>
              <w:rPr>
                <w:bCs/>
                <w:lang w:val="en-GB"/>
              </w:rPr>
            </w:pPr>
            <w:r w:rsidRPr="005B1880">
              <w:rPr>
                <w:bCs/>
                <w:lang w:val="en-GB"/>
              </w:rPr>
              <w:t>2%</w:t>
            </w:r>
          </w:p>
        </w:tc>
        <w:tc>
          <w:tcPr>
            <w:tcW w:w="1710" w:type="dxa"/>
            <w:tcBorders>
              <w:top w:val="nil"/>
              <w:bottom w:val="nil"/>
            </w:tcBorders>
            <w:vAlign w:val="bottom"/>
          </w:tcPr>
          <w:p w:rsidR="005D4367" w:rsidRDefault="005B1880">
            <w:pPr>
              <w:keepNext/>
              <w:spacing w:after="0"/>
              <w:rPr>
                <w:bCs/>
                <w:lang w:val="en-GB"/>
              </w:rPr>
            </w:pPr>
            <w:r w:rsidRPr="005B1880">
              <w:rPr>
                <w:bCs/>
                <w:lang w:val="en-GB"/>
              </w:rPr>
              <w:t>&lt;1%</w:t>
            </w:r>
          </w:p>
        </w:tc>
      </w:tr>
      <w:tr w:rsidR="005B1880" w:rsidRPr="005B1880" w:rsidTr="000C4B0E">
        <w:tc>
          <w:tcPr>
            <w:tcW w:w="3168" w:type="dxa"/>
            <w:tcBorders>
              <w:bottom w:val="nil"/>
            </w:tcBorders>
          </w:tcPr>
          <w:p w:rsidR="005D4367" w:rsidRDefault="005B1880">
            <w:pPr>
              <w:keepNext/>
              <w:spacing w:after="0"/>
              <w:rPr>
                <w:bCs/>
                <w:lang w:val="en-GB"/>
              </w:rPr>
            </w:pPr>
            <w:r w:rsidRPr="005B1880">
              <w:rPr>
                <w:bCs/>
                <w:lang w:val="en-GB"/>
              </w:rPr>
              <w:t>Lipase</w:t>
            </w:r>
          </w:p>
        </w:tc>
        <w:tc>
          <w:tcPr>
            <w:tcW w:w="1710" w:type="dxa"/>
            <w:tcBorders>
              <w:bottom w:val="nil"/>
            </w:tcBorders>
          </w:tcPr>
          <w:p w:rsidR="005D4367" w:rsidRDefault="005D4367">
            <w:pPr>
              <w:keepNext/>
              <w:spacing w:after="0"/>
              <w:rPr>
                <w:bCs/>
                <w:lang w:val="en-GB"/>
              </w:rPr>
            </w:pPr>
          </w:p>
        </w:tc>
        <w:tc>
          <w:tcPr>
            <w:tcW w:w="1710" w:type="dxa"/>
            <w:tcBorders>
              <w:bottom w:val="nil"/>
              <w:right w:val="single" w:sz="12" w:space="0" w:color="auto"/>
            </w:tcBorders>
          </w:tcPr>
          <w:p w:rsidR="005D4367" w:rsidRDefault="005D4367">
            <w:pPr>
              <w:keepNext/>
              <w:spacing w:after="0"/>
              <w:rPr>
                <w:bCs/>
                <w:lang w:val="en-GB"/>
              </w:rPr>
            </w:pPr>
          </w:p>
        </w:tc>
        <w:tc>
          <w:tcPr>
            <w:tcW w:w="1710" w:type="dxa"/>
            <w:tcBorders>
              <w:left w:val="single" w:sz="12" w:space="0" w:color="auto"/>
              <w:bottom w:val="nil"/>
            </w:tcBorders>
          </w:tcPr>
          <w:p w:rsidR="005D4367" w:rsidRDefault="005D4367">
            <w:pPr>
              <w:keepNext/>
              <w:spacing w:after="0"/>
              <w:rPr>
                <w:bCs/>
                <w:lang w:val="en-GB"/>
              </w:rPr>
            </w:pPr>
          </w:p>
        </w:tc>
        <w:tc>
          <w:tcPr>
            <w:tcW w:w="1710" w:type="dxa"/>
            <w:tcBorders>
              <w:bottom w:val="nil"/>
            </w:tcBorders>
          </w:tcPr>
          <w:p w:rsidR="005D4367" w:rsidRDefault="005D4367">
            <w:pPr>
              <w:keepNext/>
              <w:spacing w:after="0"/>
              <w:rPr>
                <w:bCs/>
                <w:lang w:val="en-GB"/>
              </w:rPr>
            </w:pPr>
          </w:p>
        </w:tc>
      </w:tr>
      <w:tr w:rsidR="005B1880" w:rsidRPr="005B1880" w:rsidTr="000C4B0E">
        <w:tc>
          <w:tcPr>
            <w:tcW w:w="3168" w:type="dxa"/>
            <w:tcBorders>
              <w:top w:val="nil"/>
              <w:bottom w:val="nil"/>
            </w:tcBorders>
          </w:tcPr>
          <w:p w:rsidR="005D4367" w:rsidRDefault="005B1880">
            <w:pPr>
              <w:keepNext/>
              <w:spacing w:after="0"/>
              <w:rPr>
                <w:bCs/>
                <w:lang w:val="en-GB"/>
              </w:rPr>
            </w:pPr>
            <w:r w:rsidRPr="005B1880">
              <w:rPr>
                <w:bCs/>
                <w:lang w:val="en-GB"/>
              </w:rPr>
              <w:t>Grade 2 (&gt;1.5-3.0 x ULN)</w:t>
            </w:r>
          </w:p>
        </w:tc>
        <w:tc>
          <w:tcPr>
            <w:tcW w:w="1710" w:type="dxa"/>
            <w:tcBorders>
              <w:top w:val="nil"/>
              <w:bottom w:val="nil"/>
            </w:tcBorders>
            <w:vAlign w:val="bottom"/>
          </w:tcPr>
          <w:p w:rsidR="005D4367" w:rsidRDefault="005B1880">
            <w:pPr>
              <w:keepNext/>
              <w:spacing w:after="0"/>
              <w:rPr>
                <w:bCs/>
                <w:lang w:val="en-GB"/>
              </w:rPr>
            </w:pPr>
            <w:r w:rsidRPr="005B1880">
              <w:rPr>
                <w:bCs/>
                <w:lang w:val="en-GB"/>
              </w:rPr>
              <w:t>8%</w:t>
            </w:r>
          </w:p>
        </w:tc>
        <w:tc>
          <w:tcPr>
            <w:tcW w:w="1710" w:type="dxa"/>
            <w:tcBorders>
              <w:top w:val="nil"/>
              <w:bottom w:val="nil"/>
              <w:right w:val="single" w:sz="12" w:space="0" w:color="auto"/>
            </w:tcBorders>
            <w:vAlign w:val="bottom"/>
          </w:tcPr>
          <w:p w:rsidR="005D4367" w:rsidRDefault="005B1880">
            <w:pPr>
              <w:keepNext/>
              <w:spacing w:after="0"/>
              <w:rPr>
                <w:bCs/>
                <w:lang w:val="en-GB"/>
              </w:rPr>
            </w:pPr>
            <w:r w:rsidRPr="005B1880">
              <w:rPr>
                <w:bCs/>
                <w:lang w:val="en-GB"/>
              </w:rPr>
              <w:t>7%</w:t>
            </w:r>
          </w:p>
        </w:tc>
        <w:tc>
          <w:tcPr>
            <w:tcW w:w="1710" w:type="dxa"/>
            <w:tcBorders>
              <w:top w:val="nil"/>
              <w:left w:val="single" w:sz="12" w:space="0" w:color="auto"/>
              <w:bottom w:val="nil"/>
            </w:tcBorders>
            <w:vAlign w:val="bottom"/>
          </w:tcPr>
          <w:p w:rsidR="005D4367" w:rsidRDefault="005B1880">
            <w:pPr>
              <w:keepNext/>
              <w:spacing w:after="0"/>
              <w:rPr>
                <w:bCs/>
                <w:lang w:val="en-GB"/>
              </w:rPr>
            </w:pPr>
            <w:r w:rsidRPr="005B1880">
              <w:rPr>
                <w:bCs/>
                <w:lang w:val="en-GB"/>
              </w:rPr>
              <w:t>9%</w:t>
            </w:r>
          </w:p>
        </w:tc>
        <w:tc>
          <w:tcPr>
            <w:tcW w:w="1710" w:type="dxa"/>
            <w:tcBorders>
              <w:top w:val="nil"/>
              <w:bottom w:val="nil"/>
            </w:tcBorders>
            <w:vAlign w:val="bottom"/>
          </w:tcPr>
          <w:p w:rsidR="005D4367" w:rsidRDefault="00A26247">
            <w:pPr>
              <w:keepNext/>
              <w:spacing w:after="0"/>
              <w:rPr>
                <w:bCs/>
                <w:lang w:val="en-GB"/>
              </w:rPr>
            </w:pPr>
            <w:r>
              <w:rPr>
                <w:bCs/>
                <w:lang w:val="en-GB"/>
              </w:rPr>
              <w:t>10</w:t>
            </w:r>
            <w:r w:rsidR="005B1880" w:rsidRPr="005B1880">
              <w:rPr>
                <w:bCs/>
                <w:lang w:val="en-GB"/>
              </w:rPr>
              <w:t>%</w:t>
            </w:r>
          </w:p>
        </w:tc>
      </w:tr>
      <w:tr w:rsidR="005B1880" w:rsidRPr="005B1880" w:rsidTr="000C4B0E">
        <w:tc>
          <w:tcPr>
            <w:tcW w:w="3168" w:type="dxa"/>
            <w:tcBorders>
              <w:top w:val="nil"/>
              <w:bottom w:val="nil"/>
            </w:tcBorders>
          </w:tcPr>
          <w:p w:rsidR="005D4367" w:rsidRDefault="005B1880">
            <w:pPr>
              <w:keepNext/>
              <w:spacing w:after="0"/>
              <w:rPr>
                <w:bCs/>
                <w:lang w:val="en-GB"/>
              </w:rPr>
            </w:pPr>
            <w:r w:rsidRPr="005B1880">
              <w:rPr>
                <w:bCs/>
                <w:lang w:val="en-GB"/>
              </w:rPr>
              <w:t>Grade 3 to 4 (&gt;3.0 ULN)</w:t>
            </w:r>
          </w:p>
        </w:tc>
        <w:tc>
          <w:tcPr>
            <w:tcW w:w="1710" w:type="dxa"/>
            <w:tcBorders>
              <w:top w:val="nil"/>
              <w:bottom w:val="nil"/>
            </w:tcBorders>
            <w:vAlign w:val="bottom"/>
          </w:tcPr>
          <w:p w:rsidR="005D4367" w:rsidRDefault="005B1880">
            <w:pPr>
              <w:keepNext/>
              <w:spacing w:after="0"/>
              <w:rPr>
                <w:bCs/>
                <w:lang w:val="en-GB"/>
              </w:rPr>
            </w:pPr>
            <w:r w:rsidRPr="005B1880">
              <w:rPr>
                <w:bCs/>
                <w:lang w:val="en-GB"/>
              </w:rPr>
              <w:t>3%</w:t>
            </w:r>
          </w:p>
        </w:tc>
        <w:tc>
          <w:tcPr>
            <w:tcW w:w="1710" w:type="dxa"/>
            <w:tcBorders>
              <w:top w:val="nil"/>
              <w:bottom w:val="nil"/>
              <w:right w:val="single" w:sz="12" w:space="0" w:color="auto"/>
            </w:tcBorders>
            <w:vAlign w:val="bottom"/>
          </w:tcPr>
          <w:p w:rsidR="005D4367" w:rsidRDefault="005B1880">
            <w:pPr>
              <w:keepNext/>
              <w:spacing w:after="0"/>
              <w:rPr>
                <w:bCs/>
                <w:lang w:val="en-GB"/>
              </w:rPr>
            </w:pPr>
            <w:r w:rsidRPr="005B1880">
              <w:rPr>
                <w:bCs/>
                <w:lang w:val="en-GB"/>
              </w:rPr>
              <w:t>2%</w:t>
            </w:r>
          </w:p>
        </w:tc>
        <w:tc>
          <w:tcPr>
            <w:tcW w:w="1710" w:type="dxa"/>
            <w:tcBorders>
              <w:top w:val="nil"/>
              <w:left w:val="single" w:sz="12" w:space="0" w:color="auto"/>
              <w:bottom w:val="nil"/>
            </w:tcBorders>
            <w:vAlign w:val="bottom"/>
          </w:tcPr>
          <w:p w:rsidR="005D4367" w:rsidRDefault="005B1880">
            <w:pPr>
              <w:keepNext/>
              <w:spacing w:after="0"/>
              <w:rPr>
                <w:bCs/>
                <w:lang w:val="en-GB"/>
              </w:rPr>
            </w:pPr>
            <w:r w:rsidRPr="005B1880">
              <w:rPr>
                <w:bCs/>
                <w:lang w:val="en-GB"/>
              </w:rPr>
              <w:t>4%</w:t>
            </w:r>
          </w:p>
        </w:tc>
        <w:tc>
          <w:tcPr>
            <w:tcW w:w="1710" w:type="dxa"/>
            <w:tcBorders>
              <w:top w:val="nil"/>
              <w:bottom w:val="nil"/>
            </w:tcBorders>
            <w:vAlign w:val="bottom"/>
          </w:tcPr>
          <w:p w:rsidR="005D4367" w:rsidRDefault="005B1880">
            <w:pPr>
              <w:keepNext/>
              <w:spacing w:after="0"/>
              <w:rPr>
                <w:bCs/>
                <w:lang w:val="en-GB"/>
              </w:rPr>
            </w:pPr>
            <w:r w:rsidRPr="005B1880">
              <w:rPr>
                <w:bCs/>
                <w:lang w:val="en-GB"/>
              </w:rPr>
              <w:t>3%</w:t>
            </w:r>
          </w:p>
        </w:tc>
      </w:tr>
      <w:tr w:rsidR="005B1880" w:rsidRPr="005B1880" w:rsidTr="000C4B0E">
        <w:tc>
          <w:tcPr>
            <w:tcW w:w="3168" w:type="dxa"/>
            <w:tcBorders>
              <w:bottom w:val="nil"/>
            </w:tcBorders>
          </w:tcPr>
          <w:p w:rsidR="005D4367" w:rsidRDefault="005B1880">
            <w:pPr>
              <w:keepNext/>
              <w:spacing w:after="0"/>
              <w:rPr>
                <w:bCs/>
                <w:lang w:val="en-GB"/>
              </w:rPr>
            </w:pPr>
            <w:r w:rsidRPr="005B1880">
              <w:rPr>
                <w:bCs/>
                <w:lang w:val="en-GB"/>
              </w:rPr>
              <w:t>Total neutrophils</w:t>
            </w:r>
          </w:p>
        </w:tc>
        <w:tc>
          <w:tcPr>
            <w:tcW w:w="1710" w:type="dxa"/>
            <w:tcBorders>
              <w:bottom w:val="nil"/>
            </w:tcBorders>
            <w:vAlign w:val="bottom"/>
          </w:tcPr>
          <w:p w:rsidR="005D4367" w:rsidRDefault="005D4367">
            <w:pPr>
              <w:keepNext/>
              <w:spacing w:after="0"/>
              <w:rPr>
                <w:bCs/>
                <w:lang w:val="en-GB"/>
              </w:rPr>
            </w:pPr>
          </w:p>
        </w:tc>
        <w:tc>
          <w:tcPr>
            <w:tcW w:w="1710" w:type="dxa"/>
            <w:tcBorders>
              <w:bottom w:val="nil"/>
              <w:right w:val="single" w:sz="12" w:space="0" w:color="auto"/>
            </w:tcBorders>
            <w:vAlign w:val="bottom"/>
          </w:tcPr>
          <w:p w:rsidR="005D4367" w:rsidRDefault="005D4367">
            <w:pPr>
              <w:keepNext/>
              <w:spacing w:after="0"/>
              <w:rPr>
                <w:bCs/>
                <w:lang w:val="en-GB"/>
              </w:rPr>
            </w:pPr>
          </w:p>
        </w:tc>
        <w:tc>
          <w:tcPr>
            <w:tcW w:w="1710" w:type="dxa"/>
            <w:tcBorders>
              <w:left w:val="single" w:sz="12" w:space="0" w:color="auto"/>
              <w:bottom w:val="nil"/>
            </w:tcBorders>
            <w:vAlign w:val="bottom"/>
          </w:tcPr>
          <w:p w:rsidR="005D4367" w:rsidRDefault="005D4367">
            <w:pPr>
              <w:keepNext/>
              <w:spacing w:after="0"/>
              <w:rPr>
                <w:bCs/>
                <w:lang w:val="en-GB"/>
              </w:rPr>
            </w:pPr>
          </w:p>
        </w:tc>
        <w:tc>
          <w:tcPr>
            <w:tcW w:w="1710" w:type="dxa"/>
            <w:tcBorders>
              <w:bottom w:val="nil"/>
            </w:tcBorders>
            <w:vAlign w:val="bottom"/>
          </w:tcPr>
          <w:p w:rsidR="005D4367" w:rsidRDefault="005D4367">
            <w:pPr>
              <w:keepNext/>
              <w:spacing w:after="0"/>
              <w:rPr>
                <w:bCs/>
                <w:lang w:val="en-GB"/>
              </w:rPr>
            </w:pPr>
          </w:p>
        </w:tc>
      </w:tr>
      <w:tr w:rsidR="005B1880" w:rsidRPr="005B1880" w:rsidTr="000C4B0E">
        <w:tc>
          <w:tcPr>
            <w:tcW w:w="3168" w:type="dxa"/>
            <w:tcBorders>
              <w:top w:val="nil"/>
              <w:bottom w:val="nil"/>
            </w:tcBorders>
          </w:tcPr>
          <w:p w:rsidR="005D4367" w:rsidRDefault="005B1880">
            <w:pPr>
              <w:keepNext/>
              <w:spacing w:after="0"/>
              <w:rPr>
                <w:bCs/>
                <w:lang w:val="en-GB"/>
              </w:rPr>
            </w:pPr>
            <w:r w:rsidRPr="005B1880">
              <w:rPr>
                <w:bCs/>
                <w:lang w:val="en-GB"/>
              </w:rPr>
              <w:t>Grade 2 (0.75-0.99 x 10</w:t>
            </w:r>
            <w:r w:rsidRPr="005B1880">
              <w:rPr>
                <w:bCs/>
                <w:vertAlign w:val="superscript"/>
                <w:lang w:val="en-GB"/>
              </w:rPr>
              <w:t>9</w:t>
            </w:r>
            <w:r w:rsidRPr="005B1880">
              <w:rPr>
                <w:bCs/>
                <w:lang w:val="en-GB"/>
              </w:rPr>
              <w:t>)</w:t>
            </w:r>
          </w:p>
        </w:tc>
        <w:tc>
          <w:tcPr>
            <w:tcW w:w="1710" w:type="dxa"/>
            <w:tcBorders>
              <w:top w:val="nil"/>
              <w:bottom w:val="nil"/>
            </w:tcBorders>
            <w:vAlign w:val="bottom"/>
          </w:tcPr>
          <w:p w:rsidR="005D4367" w:rsidRDefault="005B1880">
            <w:pPr>
              <w:keepNext/>
              <w:spacing w:after="0"/>
              <w:rPr>
                <w:bCs/>
                <w:lang w:val="en-GB"/>
              </w:rPr>
            </w:pPr>
            <w:r w:rsidRPr="005B1880">
              <w:rPr>
                <w:bCs/>
                <w:lang w:val="en-GB"/>
              </w:rPr>
              <w:t>2%</w:t>
            </w:r>
          </w:p>
        </w:tc>
        <w:tc>
          <w:tcPr>
            <w:tcW w:w="1710" w:type="dxa"/>
            <w:tcBorders>
              <w:top w:val="nil"/>
              <w:bottom w:val="nil"/>
              <w:right w:val="single" w:sz="12" w:space="0" w:color="auto"/>
            </w:tcBorders>
            <w:vAlign w:val="bottom"/>
          </w:tcPr>
          <w:p w:rsidR="005D4367" w:rsidRDefault="005B1880">
            <w:pPr>
              <w:keepNext/>
              <w:spacing w:after="0"/>
              <w:rPr>
                <w:bCs/>
                <w:lang w:val="en-GB"/>
              </w:rPr>
            </w:pPr>
            <w:r w:rsidRPr="005B1880">
              <w:rPr>
                <w:bCs/>
                <w:lang w:val="en-GB"/>
              </w:rPr>
              <w:t>4%</w:t>
            </w:r>
          </w:p>
        </w:tc>
        <w:tc>
          <w:tcPr>
            <w:tcW w:w="1710" w:type="dxa"/>
            <w:tcBorders>
              <w:top w:val="nil"/>
              <w:left w:val="single" w:sz="12" w:space="0" w:color="auto"/>
              <w:bottom w:val="nil"/>
            </w:tcBorders>
            <w:vAlign w:val="bottom"/>
          </w:tcPr>
          <w:p w:rsidR="005D4367" w:rsidRDefault="005B1880">
            <w:pPr>
              <w:keepNext/>
              <w:spacing w:after="0"/>
              <w:rPr>
                <w:bCs/>
                <w:lang w:val="en-GB"/>
              </w:rPr>
            </w:pPr>
            <w:r w:rsidRPr="005B1880">
              <w:rPr>
                <w:bCs/>
                <w:lang w:val="en-GB"/>
              </w:rPr>
              <w:t>3%</w:t>
            </w:r>
          </w:p>
        </w:tc>
        <w:tc>
          <w:tcPr>
            <w:tcW w:w="1710" w:type="dxa"/>
            <w:tcBorders>
              <w:top w:val="nil"/>
              <w:bottom w:val="nil"/>
            </w:tcBorders>
            <w:vAlign w:val="bottom"/>
          </w:tcPr>
          <w:p w:rsidR="005D4367" w:rsidRDefault="005B1880">
            <w:pPr>
              <w:keepNext/>
              <w:spacing w:after="0"/>
              <w:rPr>
                <w:bCs/>
                <w:lang w:val="en-GB"/>
              </w:rPr>
            </w:pPr>
            <w:r w:rsidRPr="005B1880">
              <w:rPr>
                <w:bCs/>
                <w:lang w:val="en-GB"/>
              </w:rPr>
              <w:t>5%</w:t>
            </w:r>
          </w:p>
        </w:tc>
      </w:tr>
      <w:tr w:rsidR="005B1880" w:rsidRPr="005B1880" w:rsidTr="000C4B0E">
        <w:tc>
          <w:tcPr>
            <w:tcW w:w="3168" w:type="dxa"/>
            <w:tcBorders>
              <w:top w:val="nil"/>
            </w:tcBorders>
          </w:tcPr>
          <w:p w:rsidR="005D4367" w:rsidRDefault="005B1880">
            <w:pPr>
              <w:keepNext/>
              <w:spacing w:after="0"/>
              <w:rPr>
                <w:bCs/>
                <w:lang w:val="en-GB"/>
              </w:rPr>
            </w:pPr>
            <w:r w:rsidRPr="005B1880">
              <w:rPr>
                <w:bCs/>
                <w:lang w:val="en-GB"/>
              </w:rPr>
              <w:t>Grade 3 to 4 (&lt;0.75 x 10</w:t>
            </w:r>
            <w:r w:rsidRPr="005B1880">
              <w:rPr>
                <w:bCs/>
                <w:vertAlign w:val="superscript"/>
                <w:lang w:val="en-GB"/>
              </w:rPr>
              <w:t>9</w:t>
            </w:r>
            <w:r w:rsidRPr="005B1880">
              <w:rPr>
                <w:bCs/>
                <w:lang w:val="en-GB"/>
              </w:rPr>
              <w:t>)</w:t>
            </w:r>
          </w:p>
        </w:tc>
        <w:tc>
          <w:tcPr>
            <w:tcW w:w="1710" w:type="dxa"/>
            <w:tcBorders>
              <w:top w:val="nil"/>
            </w:tcBorders>
            <w:vAlign w:val="bottom"/>
          </w:tcPr>
          <w:p w:rsidR="005D4367" w:rsidRDefault="005B1880">
            <w:pPr>
              <w:keepNext/>
              <w:spacing w:after="0"/>
              <w:rPr>
                <w:bCs/>
                <w:lang w:val="en-GB"/>
              </w:rPr>
            </w:pPr>
            <w:r w:rsidRPr="005B1880">
              <w:rPr>
                <w:bCs/>
                <w:lang w:val="en-GB"/>
              </w:rPr>
              <w:t>2%</w:t>
            </w:r>
          </w:p>
        </w:tc>
        <w:tc>
          <w:tcPr>
            <w:tcW w:w="1710" w:type="dxa"/>
            <w:tcBorders>
              <w:top w:val="nil"/>
              <w:right w:val="single" w:sz="12" w:space="0" w:color="auto"/>
            </w:tcBorders>
            <w:vAlign w:val="bottom"/>
          </w:tcPr>
          <w:p w:rsidR="005D4367" w:rsidRDefault="005B1880">
            <w:pPr>
              <w:keepNext/>
              <w:spacing w:after="0"/>
              <w:rPr>
                <w:bCs/>
                <w:lang w:val="en-GB"/>
              </w:rPr>
            </w:pPr>
            <w:r w:rsidRPr="005B1880">
              <w:rPr>
                <w:bCs/>
                <w:lang w:val="en-GB"/>
              </w:rPr>
              <w:t>3%</w:t>
            </w:r>
          </w:p>
        </w:tc>
        <w:tc>
          <w:tcPr>
            <w:tcW w:w="1710" w:type="dxa"/>
            <w:tcBorders>
              <w:top w:val="nil"/>
              <w:left w:val="single" w:sz="12" w:space="0" w:color="auto"/>
            </w:tcBorders>
            <w:vAlign w:val="bottom"/>
          </w:tcPr>
          <w:p w:rsidR="005D4367" w:rsidRDefault="005B1880">
            <w:pPr>
              <w:keepNext/>
              <w:spacing w:after="0"/>
              <w:rPr>
                <w:bCs/>
                <w:lang w:val="en-GB"/>
              </w:rPr>
            </w:pPr>
            <w:r w:rsidRPr="005B1880">
              <w:rPr>
                <w:bCs/>
                <w:lang w:val="en-GB"/>
              </w:rPr>
              <w:t>2%</w:t>
            </w:r>
          </w:p>
        </w:tc>
        <w:tc>
          <w:tcPr>
            <w:tcW w:w="1710" w:type="dxa"/>
            <w:tcBorders>
              <w:top w:val="nil"/>
            </w:tcBorders>
            <w:vAlign w:val="bottom"/>
          </w:tcPr>
          <w:p w:rsidR="005D4367" w:rsidRDefault="005B1880">
            <w:pPr>
              <w:keepNext/>
              <w:spacing w:after="0"/>
              <w:rPr>
                <w:bCs/>
                <w:lang w:val="en-GB"/>
              </w:rPr>
            </w:pPr>
            <w:r w:rsidRPr="005B1880">
              <w:rPr>
                <w:bCs/>
                <w:lang w:val="en-GB"/>
              </w:rPr>
              <w:t>3%</w:t>
            </w:r>
          </w:p>
        </w:tc>
      </w:tr>
    </w:tbl>
    <w:p w:rsidR="0009465E" w:rsidRDefault="005B1880" w:rsidP="00020E93">
      <w:pPr>
        <w:pStyle w:val="tabletextNS"/>
        <w:keepNext/>
        <w:rPr>
          <w:rFonts w:eastAsia="MS Mincho"/>
          <w:sz w:val="20"/>
          <w:vertAlign w:val="superscript"/>
          <w:lang w:val="en-US"/>
        </w:rPr>
      </w:pPr>
      <w:r w:rsidRPr="00573BA2">
        <w:rPr>
          <w:sz w:val="20"/>
          <w:lang w:val="en-US"/>
        </w:rPr>
        <w:t>ULN = Upper limit of normal</w:t>
      </w:r>
      <w:r w:rsidR="0009465E">
        <w:rPr>
          <w:sz w:val="20"/>
          <w:lang w:val="en-US"/>
        </w:rPr>
        <w:t xml:space="preserve">; </w:t>
      </w:r>
      <w:r w:rsidR="0009465E" w:rsidRPr="00E40993">
        <w:rPr>
          <w:sz w:val="20"/>
        </w:rPr>
        <w:t xml:space="preserve">N = Number of </w:t>
      </w:r>
      <w:r w:rsidR="0009465E">
        <w:rPr>
          <w:sz w:val="20"/>
        </w:rPr>
        <w:t>patient</w:t>
      </w:r>
      <w:r w:rsidR="0009465E" w:rsidRPr="00E40993">
        <w:rPr>
          <w:sz w:val="20"/>
        </w:rPr>
        <w:t>s in each treatment group</w:t>
      </w:r>
      <w:r w:rsidR="0009465E">
        <w:rPr>
          <w:sz w:val="20"/>
        </w:rPr>
        <w:t>;</w:t>
      </w:r>
      <w:r w:rsidR="0009465E" w:rsidRPr="00E40993">
        <w:rPr>
          <w:sz w:val="20"/>
        </w:rPr>
        <w:t xml:space="preserve"> EFV/TDF/FTC = </w:t>
      </w:r>
      <w:proofErr w:type="spellStart"/>
      <w:r w:rsidR="0009465E" w:rsidRPr="00E40993">
        <w:rPr>
          <w:sz w:val="20"/>
        </w:rPr>
        <w:t>efavirenz</w:t>
      </w:r>
      <w:proofErr w:type="spellEnd"/>
      <w:r w:rsidR="0009465E" w:rsidRPr="00E40993">
        <w:rPr>
          <w:sz w:val="20"/>
        </w:rPr>
        <w:t xml:space="preserve"> 600 mg, </w:t>
      </w:r>
      <w:proofErr w:type="spellStart"/>
      <w:r w:rsidR="0009465E" w:rsidRPr="00E40993">
        <w:rPr>
          <w:sz w:val="20"/>
        </w:rPr>
        <w:t>tenofovir</w:t>
      </w:r>
      <w:proofErr w:type="spellEnd"/>
      <w:r w:rsidR="0009465E" w:rsidRPr="00E40993">
        <w:rPr>
          <w:sz w:val="20"/>
        </w:rPr>
        <w:t xml:space="preserve"> 300 mg, </w:t>
      </w:r>
      <w:proofErr w:type="spellStart"/>
      <w:r w:rsidR="0009465E" w:rsidRPr="00E40993">
        <w:rPr>
          <w:sz w:val="20"/>
        </w:rPr>
        <w:t>emtricitabine</w:t>
      </w:r>
      <w:proofErr w:type="spellEnd"/>
      <w:r w:rsidR="0009465E" w:rsidRPr="00E40993">
        <w:rPr>
          <w:sz w:val="20"/>
        </w:rPr>
        <w:t xml:space="preserve"> 200 mg</w:t>
      </w:r>
    </w:p>
    <w:p w:rsidR="00020E93" w:rsidRPr="00573BA2" w:rsidRDefault="00020E93" w:rsidP="00020E93">
      <w:pPr>
        <w:rPr>
          <w:lang w:val="en-US"/>
        </w:rPr>
      </w:pPr>
    </w:p>
    <w:p w:rsidR="005B1880" w:rsidRPr="005B1880" w:rsidRDefault="005B1880" w:rsidP="00020E93">
      <w:pPr>
        <w:keepNext/>
        <w:ind w:left="1134" w:hanging="992"/>
        <w:rPr>
          <w:b/>
          <w:lang w:val="en-US"/>
        </w:rPr>
      </w:pPr>
      <w:r w:rsidRPr="005B1880">
        <w:rPr>
          <w:b/>
          <w:lang w:val="en-US"/>
        </w:rPr>
        <w:t xml:space="preserve">Table </w:t>
      </w:r>
      <w:r w:rsidR="00573BA2">
        <w:rPr>
          <w:b/>
          <w:lang w:val="en-US"/>
        </w:rPr>
        <w:t>8</w:t>
      </w:r>
      <w:r w:rsidRPr="005B1880">
        <w:rPr>
          <w:b/>
          <w:lang w:val="en-US"/>
        </w:rPr>
        <w:t>. Mean Change From Baseline in Fasted Lipid Values in Treatment</w:t>
      </w:r>
      <w:r w:rsidR="00BE3DCE">
        <w:rPr>
          <w:b/>
          <w:lang w:val="en-US"/>
        </w:rPr>
        <w:t xml:space="preserve"> </w:t>
      </w:r>
      <w:r w:rsidRPr="005B1880">
        <w:rPr>
          <w:b/>
          <w:lang w:val="en-US"/>
        </w:rPr>
        <w:t>Naïve Subjects in SINGLE</w:t>
      </w:r>
      <w:r w:rsidR="00A43CF3">
        <w:rPr>
          <w:b/>
          <w:lang w:val="en-US"/>
        </w:rPr>
        <w:t xml:space="preserve"> </w:t>
      </w:r>
      <w:r w:rsidR="00A43CF3" w:rsidRPr="00A43CF3">
        <w:rPr>
          <w:b/>
        </w:rPr>
        <w:t>(ING114467)</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18"/>
        <w:gridCol w:w="1501"/>
        <w:gridCol w:w="1843"/>
        <w:gridCol w:w="2126"/>
        <w:gridCol w:w="1701"/>
      </w:tblGrid>
      <w:tr w:rsidR="005B1880" w:rsidRPr="005B1880" w:rsidTr="00E04F22">
        <w:trPr>
          <w:cantSplit/>
          <w:trHeight w:val="70"/>
        </w:trPr>
        <w:tc>
          <w:tcPr>
            <w:tcW w:w="2718" w:type="dxa"/>
            <w:vMerge w:val="restart"/>
            <w:vAlign w:val="bottom"/>
          </w:tcPr>
          <w:p w:rsidR="005B1880" w:rsidRPr="005B1880" w:rsidRDefault="005B1880" w:rsidP="00020E93">
            <w:pPr>
              <w:keepNext/>
              <w:rPr>
                <w:b/>
                <w:bCs/>
                <w:lang w:val="en-GB"/>
              </w:rPr>
            </w:pPr>
            <w:r w:rsidRPr="005B1880">
              <w:rPr>
                <w:b/>
                <w:bCs/>
                <w:lang w:val="en-GB"/>
              </w:rPr>
              <w:t>Laboratory Parameter</w:t>
            </w:r>
          </w:p>
          <w:p w:rsidR="005B1880" w:rsidRPr="005B1880" w:rsidRDefault="005B1880" w:rsidP="00020E93">
            <w:pPr>
              <w:keepNext/>
              <w:rPr>
                <w:b/>
                <w:bCs/>
                <w:lang w:val="en-GB"/>
              </w:rPr>
            </w:pPr>
            <w:r w:rsidRPr="005B1880">
              <w:rPr>
                <w:b/>
                <w:bCs/>
                <w:lang w:val="en-GB"/>
              </w:rPr>
              <w:t xml:space="preserve">Preferred Term </w:t>
            </w:r>
          </w:p>
        </w:tc>
        <w:tc>
          <w:tcPr>
            <w:tcW w:w="3344" w:type="dxa"/>
            <w:gridSpan w:val="2"/>
            <w:tcBorders>
              <w:right w:val="single" w:sz="12" w:space="0" w:color="auto"/>
            </w:tcBorders>
            <w:vAlign w:val="bottom"/>
          </w:tcPr>
          <w:p w:rsidR="005B1880" w:rsidRPr="005B1880" w:rsidRDefault="005B1880" w:rsidP="00020E93">
            <w:pPr>
              <w:keepNext/>
              <w:rPr>
                <w:b/>
                <w:lang w:val="en-GB"/>
              </w:rPr>
            </w:pPr>
            <w:r w:rsidRPr="005B1880">
              <w:rPr>
                <w:b/>
                <w:lang w:val="en-GB"/>
              </w:rPr>
              <w:t>48 Week</w:t>
            </w:r>
          </w:p>
        </w:tc>
        <w:tc>
          <w:tcPr>
            <w:tcW w:w="3827" w:type="dxa"/>
            <w:gridSpan w:val="2"/>
            <w:tcBorders>
              <w:left w:val="single" w:sz="12" w:space="0" w:color="auto"/>
              <w:bottom w:val="nil"/>
            </w:tcBorders>
            <w:vAlign w:val="bottom"/>
          </w:tcPr>
          <w:p w:rsidR="005B1880" w:rsidRPr="005B1880" w:rsidRDefault="005B1880" w:rsidP="00020E93">
            <w:pPr>
              <w:keepNext/>
              <w:rPr>
                <w:b/>
                <w:lang w:val="en-GB"/>
              </w:rPr>
            </w:pPr>
            <w:r w:rsidRPr="005B1880">
              <w:rPr>
                <w:b/>
                <w:lang w:val="en-GB"/>
              </w:rPr>
              <w:t>96 Week</w:t>
            </w:r>
          </w:p>
        </w:tc>
      </w:tr>
      <w:tr w:rsidR="005B1880" w:rsidRPr="005B1880" w:rsidTr="00E04F22">
        <w:trPr>
          <w:cantSplit/>
        </w:trPr>
        <w:tc>
          <w:tcPr>
            <w:tcW w:w="2718" w:type="dxa"/>
            <w:vMerge/>
            <w:vAlign w:val="bottom"/>
          </w:tcPr>
          <w:p w:rsidR="005D4367" w:rsidRDefault="005D4367">
            <w:pPr>
              <w:keepNext/>
              <w:rPr>
                <w:b/>
                <w:bCs/>
                <w:lang w:val="en-GB"/>
              </w:rPr>
            </w:pPr>
          </w:p>
        </w:tc>
        <w:tc>
          <w:tcPr>
            <w:tcW w:w="1501" w:type="dxa"/>
            <w:vAlign w:val="bottom"/>
          </w:tcPr>
          <w:p w:rsidR="00B07729" w:rsidRDefault="007C779A" w:rsidP="00020E93">
            <w:pPr>
              <w:keepNext/>
              <w:jc w:val="left"/>
              <w:rPr>
                <w:b/>
                <w:lang w:val="en-GB"/>
              </w:rPr>
            </w:pPr>
            <w:r>
              <w:rPr>
                <w:b/>
                <w:lang w:val="en-GB"/>
              </w:rPr>
              <w:t xml:space="preserve">DTG </w:t>
            </w:r>
            <w:r w:rsidR="004744C5">
              <w:rPr>
                <w:b/>
                <w:lang w:val="en-GB"/>
              </w:rPr>
              <w:t xml:space="preserve">+ </w:t>
            </w:r>
            <w:r>
              <w:rPr>
                <w:b/>
                <w:lang w:val="en-GB"/>
              </w:rPr>
              <w:t>ABC/3TC</w:t>
            </w:r>
            <w:r w:rsidR="005B1880" w:rsidRPr="005B1880">
              <w:rPr>
                <w:b/>
                <w:lang w:val="en-GB"/>
              </w:rPr>
              <w:t xml:space="preserve"> Once Daily</w:t>
            </w:r>
          </w:p>
          <w:p w:rsidR="00E54C3C" w:rsidRDefault="005B1880">
            <w:pPr>
              <w:keepNext/>
              <w:rPr>
                <w:b/>
                <w:lang w:val="en-GB"/>
              </w:rPr>
            </w:pPr>
            <w:r w:rsidRPr="005B1880">
              <w:rPr>
                <w:b/>
                <w:lang w:val="en-GB"/>
              </w:rPr>
              <w:t>(N = 414)</w:t>
            </w:r>
          </w:p>
        </w:tc>
        <w:tc>
          <w:tcPr>
            <w:tcW w:w="1843" w:type="dxa"/>
            <w:tcBorders>
              <w:right w:val="single" w:sz="12" w:space="0" w:color="auto"/>
            </w:tcBorders>
            <w:vAlign w:val="bottom"/>
          </w:tcPr>
          <w:p w:rsidR="00E54C3C" w:rsidRDefault="00573BA2">
            <w:pPr>
              <w:keepNext/>
              <w:rPr>
                <w:rFonts w:eastAsia="MS Mincho"/>
                <w:b/>
                <w:lang w:val="en-GB"/>
              </w:rPr>
            </w:pPr>
            <w:r w:rsidRPr="00CA6706">
              <w:rPr>
                <w:rFonts w:eastAsia="MS Mincho"/>
                <w:b/>
                <w:lang w:val="en-US"/>
              </w:rPr>
              <w:t>EFV/TDF/FTC</w:t>
            </w:r>
          </w:p>
          <w:p w:rsidR="00E54C3C" w:rsidRDefault="005B1880">
            <w:pPr>
              <w:keepNext/>
              <w:rPr>
                <w:b/>
                <w:lang w:val="en-GB"/>
              </w:rPr>
            </w:pPr>
            <w:r w:rsidRPr="005B1880">
              <w:rPr>
                <w:b/>
                <w:lang w:val="en-GB"/>
              </w:rPr>
              <w:t>Once Daily</w:t>
            </w:r>
          </w:p>
          <w:p w:rsidR="00E54C3C" w:rsidRDefault="005B1880">
            <w:pPr>
              <w:keepNext/>
              <w:rPr>
                <w:b/>
                <w:lang w:val="en-GB"/>
              </w:rPr>
            </w:pPr>
            <w:r w:rsidRPr="005B1880">
              <w:rPr>
                <w:b/>
                <w:lang w:val="en-GB"/>
              </w:rPr>
              <w:t>(N = 419)</w:t>
            </w:r>
          </w:p>
        </w:tc>
        <w:tc>
          <w:tcPr>
            <w:tcW w:w="2126" w:type="dxa"/>
            <w:tcBorders>
              <w:left w:val="single" w:sz="12" w:space="0" w:color="auto"/>
            </w:tcBorders>
            <w:vAlign w:val="bottom"/>
          </w:tcPr>
          <w:p w:rsidR="00E54C3C" w:rsidRDefault="007C779A">
            <w:pPr>
              <w:keepNext/>
              <w:rPr>
                <w:b/>
                <w:lang w:val="en-GB"/>
              </w:rPr>
            </w:pPr>
            <w:r>
              <w:rPr>
                <w:b/>
                <w:lang w:val="en-GB"/>
              </w:rPr>
              <w:t>DTG</w:t>
            </w:r>
            <w:r w:rsidRPr="005B1880">
              <w:rPr>
                <w:b/>
                <w:lang w:val="en-GB"/>
              </w:rPr>
              <w:t xml:space="preserve"> </w:t>
            </w:r>
            <w:r w:rsidR="005B1880" w:rsidRPr="005B1880">
              <w:rPr>
                <w:b/>
                <w:lang w:val="en-GB"/>
              </w:rPr>
              <w:t xml:space="preserve">+ </w:t>
            </w:r>
            <w:r>
              <w:rPr>
                <w:b/>
                <w:lang w:val="en-GB"/>
              </w:rPr>
              <w:t>ABC/3TC</w:t>
            </w:r>
            <w:r w:rsidR="005B1880" w:rsidRPr="005B1880">
              <w:rPr>
                <w:b/>
                <w:lang w:val="en-GB"/>
              </w:rPr>
              <w:t xml:space="preserve"> Once Daily</w:t>
            </w:r>
          </w:p>
          <w:p w:rsidR="00E54C3C" w:rsidRDefault="005B1880">
            <w:pPr>
              <w:keepNext/>
              <w:rPr>
                <w:b/>
                <w:lang w:val="en-GB"/>
              </w:rPr>
            </w:pPr>
            <w:r w:rsidRPr="005B1880">
              <w:rPr>
                <w:b/>
                <w:lang w:val="en-GB"/>
              </w:rPr>
              <w:t>(N = 414)</w:t>
            </w:r>
          </w:p>
        </w:tc>
        <w:tc>
          <w:tcPr>
            <w:tcW w:w="1701" w:type="dxa"/>
            <w:vAlign w:val="bottom"/>
          </w:tcPr>
          <w:p w:rsidR="00E54C3C" w:rsidRDefault="00573BA2">
            <w:pPr>
              <w:keepNext/>
              <w:rPr>
                <w:rFonts w:eastAsia="MS Mincho"/>
                <w:b/>
                <w:lang w:val="en-GB"/>
              </w:rPr>
            </w:pPr>
            <w:r w:rsidRPr="00CA6706">
              <w:rPr>
                <w:rFonts w:eastAsia="MS Mincho"/>
                <w:b/>
                <w:lang w:val="en-US"/>
              </w:rPr>
              <w:t>EFV/TDF/FTC</w:t>
            </w:r>
          </w:p>
          <w:p w:rsidR="00E54C3C" w:rsidRDefault="005B1880">
            <w:pPr>
              <w:keepNext/>
              <w:rPr>
                <w:b/>
                <w:lang w:val="en-GB"/>
              </w:rPr>
            </w:pPr>
            <w:r w:rsidRPr="005B1880">
              <w:rPr>
                <w:b/>
                <w:lang w:val="en-GB"/>
              </w:rPr>
              <w:t>Once Daily</w:t>
            </w:r>
          </w:p>
          <w:p w:rsidR="00E54C3C" w:rsidRDefault="005B1880">
            <w:pPr>
              <w:keepNext/>
              <w:rPr>
                <w:b/>
                <w:lang w:val="en-GB"/>
              </w:rPr>
            </w:pPr>
            <w:r w:rsidRPr="005B1880">
              <w:rPr>
                <w:b/>
                <w:lang w:val="en-GB"/>
              </w:rPr>
              <w:t>(N = 419)</w:t>
            </w:r>
          </w:p>
        </w:tc>
      </w:tr>
      <w:tr w:rsidR="005B1880" w:rsidRPr="005B1880" w:rsidTr="00E04F22">
        <w:trPr>
          <w:cantSplit/>
        </w:trPr>
        <w:tc>
          <w:tcPr>
            <w:tcW w:w="2718" w:type="dxa"/>
          </w:tcPr>
          <w:p w:rsidR="005B1880" w:rsidRPr="005B1880" w:rsidRDefault="005B1880" w:rsidP="00020E93">
            <w:pPr>
              <w:keepNext/>
              <w:rPr>
                <w:bCs/>
                <w:lang w:val="en-GB"/>
              </w:rPr>
            </w:pPr>
            <w:r w:rsidRPr="005B1880">
              <w:rPr>
                <w:bCs/>
                <w:lang w:val="en-GB"/>
              </w:rPr>
              <w:t>Cholesterol (</w:t>
            </w:r>
            <w:proofErr w:type="spellStart"/>
            <w:r w:rsidRPr="005B1880">
              <w:rPr>
                <w:bCs/>
                <w:lang w:val="en-GB"/>
              </w:rPr>
              <w:t>m</w:t>
            </w:r>
            <w:r w:rsidR="000E2066">
              <w:rPr>
                <w:bCs/>
                <w:lang w:val="en-GB"/>
              </w:rPr>
              <w:t>mol</w:t>
            </w:r>
            <w:proofErr w:type="spellEnd"/>
            <w:r w:rsidRPr="005B1880">
              <w:rPr>
                <w:bCs/>
                <w:lang w:val="en-GB"/>
              </w:rPr>
              <w:t>/L)</w:t>
            </w:r>
          </w:p>
        </w:tc>
        <w:tc>
          <w:tcPr>
            <w:tcW w:w="1501" w:type="dxa"/>
          </w:tcPr>
          <w:p w:rsidR="005B1880" w:rsidRPr="005B1880" w:rsidRDefault="007A25A3" w:rsidP="00020E93">
            <w:pPr>
              <w:keepNext/>
              <w:rPr>
                <w:lang w:val="en-GB"/>
              </w:rPr>
            </w:pPr>
            <w:r>
              <w:rPr>
                <w:lang w:val="en-GB"/>
              </w:rPr>
              <w:t>0.441</w:t>
            </w:r>
            <w:r w:rsidR="005B1880" w:rsidRPr="005B1880">
              <w:rPr>
                <w:lang w:val="en-GB"/>
              </w:rPr>
              <w:t xml:space="preserve"> </w:t>
            </w:r>
          </w:p>
        </w:tc>
        <w:tc>
          <w:tcPr>
            <w:tcW w:w="1843" w:type="dxa"/>
            <w:tcBorders>
              <w:right w:val="single" w:sz="12" w:space="0" w:color="auto"/>
            </w:tcBorders>
          </w:tcPr>
          <w:p w:rsidR="005B1880" w:rsidRPr="005B1880" w:rsidRDefault="007A25A3" w:rsidP="00020E93">
            <w:pPr>
              <w:keepNext/>
              <w:rPr>
                <w:lang w:val="en-GB"/>
              </w:rPr>
            </w:pPr>
            <w:r>
              <w:rPr>
                <w:lang w:val="en-GB"/>
              </w:rPr>
              <w:t>0.622</w:t>
            </w:r>
            <w:r w:rsidR="005B1880" w:rsidRPr="005B1880">
              <w:rPr>
                <w:lang w:val="en-GB"/>
              </w:rPr>
              <w:t xml:space="preserve"> </w:t>
            </w:r>
          </w:p>
        </w:tc>
        <w:tc>
          <w:tcPr>
            <w:tcW w:w="2126" w:type="dxa"/>
            <w:tcBorders>
              <w:left w:val="single" w:sz="12" w:space="0" w:color="auto"/>
            </w:tcBorders>
          </w:tcPr>
          <w:p w:rsidR="005B1880" w:rsidRPr="005B1880" w:rsidRDefault="000E2066" w:rsidP="00020E93">
            <w:pPr>
              <w:keepNext/>
              <w:rPr>
                <w:lang w:val="en-GB"/>
              </w:rPr>
            </w:pPr>
            <w:r>
              <w:rPr>
                <w:lang w:val="en-GB"/>
              </w:rPr>
              <w:t>0.615</w:t>
            </w:r>
          </w:p>
        </w:tc>
        <w:tc>
          <w:tcPr>
            <w:tcW w:w="1701" w:type="dxa"/>
          </w:tcPr>
          <w:p w:rsidR="005B1880" w:rsidRPr="005B1880" w:rsidRDefault="000E2066" w:rsidP="00020E93">
            <w:pPr>
              <w:keepNext/>
              <w:rPr>
                <w:lang w:val="en-GB"/>
              </w:rPr>
            </w:pPr>
            <w:r>
              <w:rPr>
                <w:lang w:val="en-GB"/>
              </w:rPr>
              <w:t>0.724</w:t>
            </w:r>
          </w:p>
        </w:tc>
      </w:tr>
      <w:tr w:rsidR="005B1880" w:rsidRPr="005B1880" w:rsidTr="00E04F22">
        <w:trPr>
          <w:cantSplit/>
        </w:trPr>
        <w:tc>
          <w:tcPr>
            <w:tcW w:w="2718" w:type="dxa"/>
          </w:tcPr>
          <w:p w:rsidR="005B1880" w:rsidRPr="005B1880" w:rsidRDefault="005B1880" w:rsidP="00020E93">
            <w:pPr>
              <w:keepNext/>
              <w:rPr>
                <w:bCs/>
                <w:lang w:val="en-GB"/>
              </w:rPr>
            </w:pPr>
            <w:r w:rsidRPr="005B1880">
              <w:rPr>
                <w:bCs/>
                <w:lang w:val="en-GB"/>
              </w:rPr>
              <w:t>HDL cholesterol (</w:t>
            </w:r>
            <w:proofErr w:type="spellStart"/>
            <w:r w:rsidRPr="005B1880">
              <w:rPr>
                <w:bCs/>
                <w:lang w:val="en-GB"/>
              </w:rPr>
              <w:t>m</w:t>
            </w:r>
            <w:r w:rsidR="00B31297">
              <w:rPr>
                <w:bCs/>
                <w:lang w:val="en-GB"/>
              </w:rPr>
              <w:t>mol</w:t>
            </w:r>
            <w:proofErr w:type="spellEnd"/>
            <w:r w:rsidRPr="005B1880">
              <w:rPr>
                <w:bCs/>
                <w:lang w:val="en-GB"/>
              </w:rPr>
              <w:t>/L)</w:t>
            </w:r>
          </w:p>
        </w:tc>
        <w:tc>
          <w:tcPr>
            <w:tcW w:w="1501" w:type="dxa"/>
          </w:tcPr>
          <w:p w:rsidR="005B1880" w:rsidRPr="005B1880" w:rsidRDefault="007A25A3" w:rsidP="00020E93">
            <w:pPr>
              <w:keepNext/>
              <w:rPr>
                <w:bCs/>
                <w:lang w:val="en-GB"/>
              </w:rPr>
            </w:pPr>
            <w:r>
              <w:rPr>
                <w:lang w:val="en-GB"/>
              </w:rPr>
              <w:t>0.135</w:t>
            </w:r>
            <w:r w:rsidR="005B1880" w:rsidRPr="005B1880">
              <w:rPr>
                <w:lang w:val="en-GB"/>
              </w:rPr>
              <w:t xml:space="preserve"> </w:t>
            </w:r>
          </w:p>
        </w:tc>
        <w:tc>
          <w:tcPr>
            <w:tcW w:w="1843" w:type="dxa"/>
            <w:tcBorders>
              <w:right w:val="single" w:sz="12" w:space="0" w:color="auto"/>
            </w:tcBorders>
          </w:tcPr>
          <w:p w:rsidR="005B1880" w:rsidRPr="005B1880" w:rsidRDefault="007A25A3" w:rsidP="00020E93">
            <w:pPr>
              <w:keepNext/>
              <w:rPr>
                <w:bCs/>
                <w:lang w:val="en-GB"/>
              </w:rPr>
            </w:pPr>
            <w:r>
              <w:rPr>
                <w:lang w:val="en-GB"/>
              </w:rPr>
              <w:t>0.206</w:t>
            </w:r>
            <w:r w:rsidR="005B1880" w:rsidRPr="005B1880">
              <w:rPr>
                <w:lang w:val="en-GB"/>
              </w:rPr>
              <w:t xml:space="preserve"> </w:t>
            </w:r>
          </w:p>
        </w:tc>
        <w:tc>
          <w:tcPr>
            <w:tcW w:w="2126" w:type="dxa"/>
            <w:tcBorders>
              <w:left w:val="single" w:sz="12" w:space="0" w:color="auto"/>
            </w:tcBorders>
          </w:tcPr>
          <w:p w:rsidR="005B1880" w:rsidRPr="005B1880" w:rsidRDefault="007A25A3" w:rsidP="00020E93">
            <w:pPr>
              <w:keepNext/>
              <w:tabs>
                <w:tab w:val="center" w:pos="955"/>
              </w:tabs>
              <w:rPr>
                <w:lang w:val="en-GB"/>
              </w:rPr>
            </w:pPr>
            <w:r>
              <w:rPr>
                <w:lang w:val="en-GB"/>
              </w:rPr>
              <w:t>0.138</w:t>
            </w:r>
            <w:r>
              <w:rPr>
                <w:lang w:val="en-GB"/>
              </w:rPr>
              <w:tab/>
            </w:r>
          </w:p>
        </w:tc>
        <w:tc>
          <w:tcPr>
            <w:tcW w:w="1701" w:type="dxa"/>
          </w:tcPr>
          <w:p w:rsidR="005B1880" w:rsidRPr="005B1880" w:rsidRDefault="007A25A3" w:rsidP="00020E93">
            <w:pPr>
              <w:keepNext/>
              <w:rPr>
                <w:lang w:val="en-GB"/>
              </w:rPr>
            </w:pPr>
            <w:r>
              <w:rPr>
                <w:lang w:val="en-GB"/>
              </w:rPr>
              <w:t>0.194</w:t>
            </w:r>
          </w:p>
        </w:tc>
      </w:tr>
      <w:tr w:rsidR="005B1880" w:rsidRPr="005B1880" w:rsidTr="00E04F22">
        <w:trPr>
          <w:cantSplit/>
        </w:trPr>
        <w:tc>
          <w:tcPr>
            <w:tcW w:w="2718" w:type="dxa"/>
          </w:tcPr>
          <w:p w:rsidR="005B1880" w:rsidRPr="005B1880" w:rsidRDefault="005B1880" w:rsidP="00020E93">
            <w:pPr>
              <w:keepNext/>
              <w:rPr>
                <w:bCs/>
                <w:lang w:val="en-GB"/>
              </w:rPr>
            </w:pPr>
            <w:r w:rsidRPr="005B1880">
              <w:rPr>
                <w:bCs/>
                <w:lang w:val="en-GB"/>
              </w:rPr>
              <w:t>LDL cholesterol (</w:t>
            </w:r>
            <w:proofErr w:type="spellStart"/>
            <w:r w:rsidRPr="005B1880">
              <w:rPr>
                <w:bCs/>
                <w:lang w:val="en-GB"/>
              </w:rPr>
              <w:t>m</w:t>
            </w:r>
            <w:r w:rsidR="00B31297">
              <w:rPr>
                <w:bCs/>
                <w:lang w:val="en-GB"/>
              </w:rPr>
              <w:t>mol</w:t>
            </w:r>
            <w:proofErr w:type="spellEnd"/>
            <w:r w:rsidRPr="005B1880">
              <w:rPr>
                <w:bCs/>
                <w:lang w:val="en-GB"/>
              </w:rPr>
              <w:t>/L)</w:t>
            </w:r>
          </w:p>
        </w:tc>
        <w:tc>
          <w:tcPr>
            <w:tcW w:w="1501" w:type="dxa"/>
          </w:tcPr>
          <w:p w:rsidR="005B1880" w:rsidRPr="005B1880" w:rsidRDefault="007A25A3" w:rsidP="00020E93">
            <w:pPr>
              <w:keepNext/>
              <w:rPr>
                <w:bCs/>
                <w:lang w:val="en-GB"/>
              </w:rPr>
            </w:pPr>
            <w:r>
              <w:rPr>
                <w:lang w:val="en-GB"/>
              </w:rPr>
              <w:t>0.219</w:t>
            </w:r>
            <w:r w:rsidR="005B1880" w:rsidRPr="005B1880">
              <w:rPr>
                <w:lang w:val="en-GB"/>
              </w:rPr>
              <w:t xml:space="preserve"> </w:t>
            </w:r>
          </w:p>
        </w:tc>
        <w:tc>
          <w:tcPr>
            <w:tcW w:w="1843" w:type="dxa"/>
            <w:tcBorders>
              <w:right w:val="single" w:sz="12" w:space="0" w:color="auto"/>
            </w:tcBorders>
          </w:tcPr>
          <w:p w:rsidR="005B1880" w:rsidRPr="005B1880" w:rsidRDefault="007A25A3" w:rsidP="00020E93">
            <w:pPr>
              <w:keepNext/>
              <w:rPr>
                <w:bCs/>
                <w:lang w:val="en-GB"/>
              </w:rPr>
            </w:pPr>
            <w:r>
              <w:rPr>
                <w:lang w:val="en-GB"/>
              </w:rPr>
              <w:t>0.339</w:t>
            </w:r>
          </w:p>
        </w:tc>
        <w:tc>
          <w:tcPr>
            <w:tcW w:w="2126" w:type="dxa"/>
            <w:tcBorders>
              <w:left w:val="single" w:sz="12" w:space="0" w:color="auto"/>
            </w:tcBorders>
          </w:tcPr>
          <w:p w:rsidR="005B1880" w:rsidRPr="005B1880" w:rsidRDefault="007A25A3" w:rsidP="00020E93">
            <w:pPr>
              <w:keepNext/>
              <w:rPr>
                <w:lang w:val="en-GB"/>
              </w:rPr>
            </w:pPr>
            <w:r>
              <w:rPr>
                <w:lang w:val="en-GB"/>
              </w:rPr>
              <w:t>0.384</w:t>
            </w:r>
          </w:p>
        </w:tc>
        <w:tc>
          <w:tcPr>
            <w:tcW w:w="1701" w:type="dxa"/>
          </w:tcPr>
          <w:p w:rsidR="005B1880" w:rsidRPr="005B1880" w:rsidRDefault="007A25A3" w:rsidP="00020E93">
            <w:pPr>
              <w:keepNext/>
              <w:rPr>
                <w:lang w:val="en-GB"/>
              </w:rPr>
            </w:pPr>
            <w:r>
              <w:rPr>
                <w:lang w:val="en-GB"/>
              </w:rPr>
              <w:t>0.465</w:t>
            </w:r>
          </w:p>
        </w:tc>
      </w:tr>
      <w:tr w:rsidR="005B1880" w:rsidRPr="005B1880" w:rsidTr="00E04F22">
        <w:trPr>
          <w:cantSplit/>
        </w:trPr>
        <w:tc>
          <w:tcPr>
            <w:tcW w:w="2718" w:type="dxa"/>
          </w:tcPr>
          <w:p w:rsidR="005B1880" w:rsidRPr="005B1880" w:rsidRDefault="005B1880" w:rsidP="00020E93">
            <w:pPr>
              <w:keepNext/>
              <w:rPr>
                <w:bCs/>
                <w:lang w:val="en-GB"/>
              </w:rPr>
            </w:pPr>
            <w:r w:rsidRPr="005B1880">
              <w:rPr>
                <w:bCs/>
                <w:lang w:val="en-GB"/>
              </w:rPr>
              <w:t>Triglycerides (</w:t>
            </w:r>
            <w:proofErr w:type="spellStart"/>
            <w:r w:rsidRPr="005B1880">
              <w:rPr>
                <w:bCs/>
                <w:lang w:val="en-GB"/>
              </w:rPr>
              <w:t>m</w:t>
            </w:r>
            <w:r w:rsidR="00B31297">
              <w:rPr>
                <w:bCs/>
                <w:lang w:val="en-GB"/>
              </w:rPr>
              <w:t>mol</w:t>
            </w:r>
            <w:proofErr w:type="spellEnd"/>
            <w:r w:rsidRPr="005B1880">
              <w:rPr>
                <w:bCs/>
                <w:lang w:val="en-GB"/>
              </w:rPr>
              <w:t>/L)</w:t>
            </w:r>
          </w:p>
        </w:tc>
        <w:tc>
          <w:tcPr>
            <w:tcW w:w="1501" w:type="dxa"/>
            <w:vAlign w:val="bottom"/>
          </w:tcPr>
          <w:p w:rsidR="005B1880" w:rsidRPr="005B1880" w:rsidRDefault="007A25A3" w:rsidP="00020E93">
            <w:pPr>
              <w:keepNext/>
              <w:rPr>
                <w:bCs/>
                <w:lang w:val="en-GB"/>
              </w:rPr>
            </w:pPr>
            <w:r>
              <w:rPr>
                <w:lang w:val="en-GB"/>
              </w:rPr>
              <w:t>0.200</w:t>
            </w:r>
          </w:p>
        </w:tc>
        <w:tc>
          <w:tcPr>
            <w:tcW w:w="1843" w:type="dxa"/>
            <w:tcBorders>
              <w:right w:val="single" w:sz="12" w:space="0" w:color="auto"/>
            </w:tcBorders>
            <w:vAlign w:val="bottom"/>
          </w:tcPr>
          <w:p w:rsidR="005B1880" w:rsidRPr="005B1880" w:rsidRDefault="007A25A3" w:rsidP="00020E93">
            <w:pPr>
              <w:keepNext/>
              <w:rPr>
                <w:bCs/>
                <w:lang w:val="en-GB"/>
              </w:rPr>
            </w:pPr>
            <w:r>
              <w:rPr>
                <w:lang w:val="en-GB"/>
              </w:rPr>
              <w:t>0.210</w:t>
            </w:r>
            <w:r w:rsidR="005B1880" w:rsidRPr="005B1880">
              <w:rPr>
                <w:lang w:val="en-GB"/>
              </w:rPr>
              <w:t xml:space="preserve"> </w:t>
            </w:r>
          </w:p>
        </w:tc>
        <w:tc>
          <w:tcPr>
            <w:tcW w:w="2126" w:type="dxa"/>
            <w:tcBorders>
              <w:left w:val="single" w:sz="12" w:space="0" w:color="auto"/>
            </w:tcBorders>
            <w:vAlign w:val="bottom"/>
          </w:tcPr>
          <w:p w:rsidR="005B1880" w:rsidRPr="005B1880" w:rsidRDefault="007A25A3" w:rsidP="00020E93">
            <w:pPr>
              <w:keepNext/>
              <w:rPr>
                <w:lang w:val="en-GB"/>
              </w:rPr>
            </w:pPr>
            <w:r>
              <w:rPr>
                <w:lang w:val="en-GB"/>
              </w:rPr>
              <w:t>0.200</w:t>
            </w:r>
          </w:p>
        </w:tc>
        <w:tc>
          <w:tcPr>
            <w:tcW w:w="1701" w:type="dxa"/>
            <w:vAlign w:val="bottom"/>
          </w:tcPr>
          <w:p w:rsidR="005B1880" w:rsidRPr="005B1880" w:rsidRDefault="007A25A3" w:rsidP="00020E93">
            <w:pPr>
              <w:keepNext/>
              <w:rPr>
                <w:lang w:val="en-GB"/>
              </w:rPr>
            </w:pPr>
            <w:r>
              <w:rPr>
                <w:lang w:val="en-GB"/>
              </w:rPr>
              <w:t>0.195</w:t>
            </w:r>
          </w:p>
        </w:tc>
      </w:tr>
    </w:tbl>
    <w:p w:rsidR="00E54C3C" w:rsidRDefault="0009465E">
      <w:pPr>
        <w:pStyle w:val="tabletextNS"/>
        <w:keepNext/>
        <w:rPr>
          <w:b/>
          <w:lang w:val="en-US"/>
        </w:rPr>
      </w:pPr>
      <w:r w:rsidRPr="00E40993">
        <w:rPr>
          <w:sz w:val="20"/>
        </w:rPr>
        <w:t xml:space="preserve">N = Number of </w:t>
      </w:r>
      <w:r>
        <w:rPr>
          <w:sz w:val="20"/>
        </w:rPr>
        <w:t>patient</w:t>
      </w:r>
      <w:r w:rsidRPr="00E40993">
        <w:rPr>
          <w:sz w:val="20"/>
        </w:rPr>
        <w:t>s in each treatment group</w:t>
      </w:r>
      <w:r>
        <w:rPr>
          <w:sz w:val="20"/>
        </w:rPr>
        <w:t>;</w:t>
      </w:r>
      <w:r w:rsidRPr="00E40993">
        <w:rPr>
          <w:sz w:val="20"/>
        </w:rPr>
        <w:t xml:space="preserve"> EFV/TDF/FTC = </w:t>
      </w:r>
      <w:proofErr w:type="spellStart"/>
      <w:r w:rsidRPr="00E40993">
        <w:rPr>
          <w:sz w:val="20"/>
        </w:rPr>
        <w:t>efavirenz</w:t>
      </w:r>
      <w:proofErr w:type="spellEnd"/>
      <w:r w:rsidRPr="00E40993">
        <w:rPr>
          <w:sz w:val="20"/>
        </w:rPr>
        <w:t xml:space="preserve"> 600 mg, </w:t>
      </w:r>
      <w:proofErr w:type="spellStart"/>
      <w:r w:rsidRPr="00E40993">
        <w:rPr>
          <w:sz w:val="20"/>
        </w:rPr>
        <w:t>tenofovir</w:t>
      </w:r>
      <w:proofErr w:type="spellEnd"/>
      <w:r w:rsidRPr="00E40993">
        <w:rPr>
          <w:sz w:val="20"/>
        </w:rPr>
        <w:t xml:space="preserve"> 300 mg, </w:t>
      </w:r>
      <w:proofErr w:type="spellStart"/>
      <w:r w:rsidRPr="00E40993">
        <w:rPr>
          <w:sz w:val="20"/>
        </w:rPr>
        <w:t>emtricitabine</w:t>
      </w:r>
      <w:proofErr w:type="spellEnd"/>
      <w:r w:rsidRPr="00E40993">
        <w:rPr>
          <w:sz w:val="20"/>
        </w:rPr>
        <w:t xml:space="preserve"> 200 mg</w:t>
      </w:r>
    </w:p>
    <w:p w:rsidR="005B1880" w:rsidRPr="005B1880" w:rsidRDefault="005B1880" w:rsidP="005B1880">
      <w:pPr>
        <w:rPr>
          <w:b/>
          <w:lang w:val="en-US"/>
        </w:rPr>
      </w:pPr>
      <w:r w:rsidRPr="005B1880">
        <w:rPr>
          <w:lang w:val="en-US"/>
        </w:rPr>
        <w:t>The rates of laboratory abnormalities and mean change in fasted lipid values remained generally similar between the 48 and 96</w:t>
      </w:r>
      <w:r w:rsidR="00BE3DCE">
        <w:rPr>
          <w:lang w:val="en-US"/>
        </w:rPr>
        <w:t xml:space="preserve"> </w:t>
      </w:r>
      <w:r w:rsidRPr="005B1880">
        <w:rPr>
          <w:lang w:val="en-US"/>
        </w:rPr>
        <w:t>week data evaluation in SINGLE.</w:t>
      </w:r>
    </w:p>
    <w:p w:rsidR="005B1880" w:rsidRPr="005B1880" w:rsidRDefault="005B1880" w:rsidP="005B1880">
      <w:pPr>
        <w:rPr>
          <w:b/>
          <w:lang w:val="en-US"/>
        </w:rPr>
      </w:pPr>
      <w:r w:rsidRPr="005B1880">
        <w:rPr>
          <w:lang w:val="en-US"/>
        </w:rPr>
        <w:t xml:space="preserve">Laboratory abnormalities observed in the subset of subjects who received </w:t>
      </w:r>
      <w:proofErr w:type="spellStart"/>
      <w:r w:rsidR="003A6F2C">
        <w:rPr>
          <w:lang w:val="en-US"/>
        </w:rPr>
        <w:t>dolutegravir</w:t>
      </w:r>
      <w:proofErr w:type="spellEnd"/>
      <w:r w:rsidRPr="005B1880">
        <w:rPr>
          <w:lang w:val="en-US"/>
        </w:rPr>
        <w:t xml:space="preserve"> + </w:t>
      </w:r>
      <w:r w:rsidR="007C779A">
        <w:rPr>
          <w:lang w:val="en-US"/>
        </w:rPr>
        <w:t>ABC/3TC</w:t>
      </w:r>
      <w:r w:rsidR="007C779A" w:rsidRPr="005B1880">
        <w:rPr>
          <w:lang w:val="en-US"/>
        </w:rPr>
        <w:t xml:space="preserve"> </w:t>
      </w:r>
      <w:r w:rsidRPr="005B1880">
        <w:rPr>
          <w:lang w:val="en-US"/>
        </w:rPr>
        <w:t>in SPRING-2 and FLAMINGO were generally consistent with observations in SINGLE.</w:t>
      </w:r>
    </w:p>
    <w:p w:rsidR="008A759A" w:rsidRDefault="008A759A" w:rsidP="005B1880">
      <w:pPr>
        <w:rPr>
          <w:b/>
          <w:i/>
          <w:iCs/>
          <w:lang w:val="en-US"/>
        </w:rPr>
      </w:pPr>
      <w:r w:rsidRPr="005B1880">
        <w:rPr>
          <w:b/>
          <w:i/>
          <w:u w:val="single"/>
          <w:lang w:val="en-US"/>
        </w:rPr>
        <w:t>Laboratory Abnormalit</w:t>
      </w:r>
      <w:r w:rsidRPr="00641398">
        <w:rPr>
          <w:b/>
          <w:i/>
          <w:u w:val="single"/>
          <w:lang w:val="en-US"/>
        </w:rPr>
        <w:t>ies</w:t>
      </w:r>
      <w:r w:rsidRPr="00641398">
        <w:rPr>
          <w:b/>
          <w:u w:val="single"/>
          <w:lang w:val="en-US"/>
        </w:rPr>
        <w:t>:</w:t>
      </w:r>
      <w:r w:rsidR="00532C37" w:rsidRPr="00532C37">
        <w:rPr>
          <w:b/>
          <w:lang w:val="en-US"/>
        </w:rPr>
        <w:t xml:space="preserve"> </w:t>
      </w:r>
      <w:r w:rsidR="005B1880" w:rsidRPr="008A759A">
        <w:rPr>
          <w:b/>
          <w:i/>
          <w:iCs/>
          <w:lang w:val="en-US"/>
        </w:rPr>
        <w:t>Treatment</w:t>
      </w:r>
      <w:r w:rsidR="00BE3DCE">
        <w:rPr>
          <w:b/>
          <w:i/>
          <w:iCs/>
          <w:lang w:val="en-US"/>
        </w:rPr>
        <w:t xml:space="preserve"> </w:t>
      </w:r>
      <w:r w:rsidR="005B1880" w:rsidRPr="008A759A">
        <w:rPr>
          <w:b/>
          <w:i/>
          <w:iCs/>
          <w:lang w:val="en-US"/>
        </w:rPr>
        <w:t xml:space="preserve">Experienced </w:t>
      </w:r>
      <w:r>
        <w:rPr>
          <w:b/>
          <w:i/>
          <w:iCs/>
          <w:lang w:val="en-US"/>
        </w:rPr>
        <w:t>Patients</w:t>
      </w:r>
      <w:r w:rsidR="005B1880" w:rsidRPr="008A759A">
        <w:rPr>
          <w:b/>
          <w:i/>
          <w:iCs/>
          <w:lang w:val="en-US"/>
        </w:rPr>
        <w:t>:</w:t>
      </w:r>
    </w:p>
    <w:p w:rsidR="00524EED" w:rsidRPr="009E224F" w:rsidRDefault="00524EED" w:rsidP="00CF3C5F">
      <w:pPr>
        <w:pStyle w:val="Heading2"/>
        <w:rPr>
          <w:i/>
        </w:rPr>
      </w:pPr>
      <w:r w:rsidRPr="009E224F">
        <w:rPr>
          <w:i/>
        </w:rPr>
        <w:t xml:space="preserve">Changes in </w:t>
      </w:r>
      <w:r w:rsidR="00E92191">
        <w:rPr>
          <w:i/>
        </w:rPr>
        <w:t>L</w:t>
      </w:r>
      <w:r w:rsidRPr="009E224F">
        <w:rPr>
          <w:i/>
        </w:rPr>
        <w:t xml:space="preserve">aboratory </w:t>
      </w:r>
      <w:r w:rsidR="00E92191">
        <w:rPr>
          <w:i/>
        </w:rPr>
        <w:t>C</w:t>
      </w:r>
      <w:r w:rsidRPr="009E224F">
        <w:rPr>
          <w:i/>
        </w:rPr>
        <w:t>hemistries</w:t>
      </w:r>
    </w:p>
    <w:p w:rsidR="00524EED" w:rsidRPr="00E40993" w:rsidRDefault="00524EED" w:rsidP="00510C45">
      <w:pPr>
        <w:rPr>
          <w:rStyle w:val="CSIchar"/>
        </w:rPr>
      </w:pPr>
      <w:r w:rsidRPr="00E40993">
        <w:t xml:space="preserve">Increases in serum creatinine occurred within the first week of treatment with </w:t>
      </w:r>
      <w:proofErr w:type="spellStart"/>
      <w:r w:rsidRPr="00E40993">
        <w:t>dolutegravir</w:t>
      </w:r>
      <w:proofErr w:type="spellEnd"/>
      <w:r w:rsidRPr="00E40993">
        <w:t xml:space="preserve"> and remained stable through 96 weeks. In </w:t>
      </w:r>
      <w:r w:rsidR="009E224F">
        <w:t>SINGLE</w:t>
      </w:r>
      <w:r w:rsidRPr="00E40993">
        <w:t>, a mean change from baseline of 12.6</w:t>
      </w:r>
      <w:r w:rsidRPr="00E40993">
        <w:sym w:font="Symbol" w:char="F06D"/>
      </w:r>
      <w:proofErr w:type="spellStart"/>
      <w:r w:rsidRPr="00E40993">
        <w:t>mol</w:t>
      </w:r>
      <w:proofErr w:type="spellEnd"/>
      <w:r w:rsidRPr="00E40993">
        <w:t>/L  was observed after 96 weeks of treatment. These changes are not considered to be clinically relevant since they do not reflect a change in glomerular filtration rate (</w:t>
      </w:r>
      <w:r w:rsidRPr="00E40993">
        <w:rPr>
          <w:i/>
        </w:rPr>
        <w:t>see Pharmacodynamics – Effects on Renal Function</w:t>
      </w:r>
      <w:r w:rsidRPr="00E40993">
        <w:t>).</w:t>
      </w:r>
      <w:r w:rsidRPr="00E40993">
        <w:rPr>
          <w:rStyle w:val="CSIchar"/>
        </w:rPr>
        <w:t xml:space="preserve"> </w:t>
      </w:r>
    </w:p>
    <w:p w:rsidR="00524EED" w:rsidRPr="00E40993" w:rsidRDefault="00524EED" w:rsidP="00510C45">
      <w:pPr>
        <w:rPr>
          <w:rStyle w:val="CSIchar"/>
        </w:rPr>
      </w:pPr>
      <w:r w:rsidRPr="00E40993">
        <w:t xml:space="preserve">Small increases in total bilirubin were observed on </w:t>
      </w:r>
      <w:proofErr w:type="spellStart"/>
      <w:r w:rsidRPr="00E40993">
        <w:t>dolutegravir</w:t>
      </w:r>
      <w:proofErr w:type="spellEnd"/>
      <w:r w:rsidRPr="00E40993">
        <w:t xml:space="preserve"> and </w:t>
      </w:r>
      <w:proofErr w:type="spellStart"/>
      <w:r w:rsidRPr="00E40993">
        <w:t>raltegravir</w:t>
      </w:r>
      <w:proofErr w:type="spellEnd"/>
      <w:r w:rsidRPr="00E40993">
        <w:t xml:space="preserve"> (but not </w:t>
      </w:r>
      <w:proofErr w:type="spellStart"/>
      <w:r w:rsidRPr="00E40993">
        <w:t>efavirenz</w:t>
      </w:r>
      <w:proofErr w:type="spellEnd"/>
      <w:r w:rsidRPr="00E40993">
        <w:t xml:space="preserve">) arms in the </w:t>
      </w:r>
      <w:r w:rsidR="00235F50">
        <w:t>clinical trials</w:t>
      </w:r>
      <w:r w:rsidRPr="00E40993">
        <w:t xml:space="preserve">. These changes are not considered clinically relevant as they likely reflect competition between </w:t>
      </w:r>
      <w:proofErr w:type="spellStart"/>
      <w:r w:rsidRPr="00E40993">
        <w:t>dolutegravir</w:t>
      </w:r>
      <w:proofErr w:type="spellEnd"/>
      <w:r w:rsidRPr="00E40993">
        <w:t xml:space="preserve"> and unconjugated bilirubin for a common clearance pathway (UGT1A1) (</w:t>
      </w:r>
      <w:r w:rsidRPr="00E40993">
        <w:rPr>
          <w:i/>
        </w:rPr>
        <w:t>see Pharmacokinetics – Metabolism</w:t>
      </w:r>
      <w:r w:rsidRPr="00E40993">
        <w:t>).</w:t>
      </w:r>
      <w:r w:rsidRPr="00E40993">
        <w:rPr>
          <w:rStyle w:val="CSIchar"/>
        </w:rPr>
        <w:t xml:space="preserve"> </w:t>
      </w:r>
    </w:p>
    <w:p w:rsidR="00524EED" w:rsidRPr="00E40993" w:rsidRDefault="00524EED" w:rsidP="00510C45">
      <w:pPr>
        <w:rPr>
          <w:color w:val="000000" w:themeColor="text1"/>
        </w:rPr>
      </w:pPr>
      <w:r w:rsidRPr="00E40993">
        <w:t xml:space="preserve">Asymptomatic </w:t>
      </w:r>
      <w:proofErr w:type="spellStart"/>
      <w:r w:rsidRPr="00E40993">
        <w:t>creatine</w:t>
      </w:r>
      <w:proofErr w:type="spellEnd"/>
      <w:r w:rsidRPr="00E40993">
        <w:t xml:space="preserve"> phosphokinase (CPK) elevations mainly in association with ex</w:t>
      </w:r>
      <w:r w:rsidRPr="00E40993">
        <w:rPr>
          <w:color w:val="000000" w:themeColor="text1"/>
        </w:rPr>
        <w:t xml:space="preserve">ercise have also been reported with </w:t>
      </w:r>
      <w:proofErr w:type="spellStart"/>
      <w:r w:rsidRPr="00E40993">
        <w:rPr>
          <w:color w:val="000000" w:themeColor="text1"/>
        </w:rPr>
        <w:t>dolutegravir</w:t>
      </w:r>
      <w:proofErr w:type="spellEnd"/>
      <w:r w:rsidRPr="00E40993">
        <w:rPr>
          <w:color w:val="000000" w:themeColor="text1"/>
        </w:rPr>
        <w:t xml:space="preserve"> therapy.</w:t>
      </w:r>
    </w:p>
    <w:p w:rsidR="00D61A62" w:rsidRPr="009E224F" w:rsidRDefault="00D61A62" w:rsidP="00CF3C5F">
      <w:pPr>
        <w:pStyle w:val="Heading2"/>
        <w:rPr>
          <w:i/>
          <w:lang w:val="en-GB"/>
        </w:rPr>
      </w:pPr>
      <w:r w:rsidRPr="009E224F">
        <w:rPr>
          <w:i/>
          <w:lang w:val="en-GB"/>
        </w:rPr>
        <w:t xml:space="preserve">Paediatric </w:t>
      </w:r>
      <w:r w:rsidR="00E92191">
        <w:rPr>
          <w:i/>
          <w:lang w:val="en-GB"/>
        </w:rPr>
        <w:t>P</w:t>
      </w:r>
      <w:r w:rsidRPr="009E224F">
        <w:rPr>
          <w:i/>
          <w:lang w:val="en-GB"/>
        </w:rPr>
        <w:t>opulation</w:t>
      </w:r>
    </w:p>
    <w:p w:rsidR="00524EED" w:rsidRPr="00E40993" w:rsidRDefault="00524EED" w:rsidP="00510C45">
      <w:r w:rsidRPr="00E40993">
        <w:rPr>
          <w:rFonts w:eastAsia="MS Mincho"/>
          <w:color w:val="000000" w:themeColor="text1"/>
        </w:rPr>
        <w:t>There are no clinical study data o</w:t>
      </w:r>
      <w:r w:rsidRPr="00E40993">
        <w:rPr>
          <w:rFonts w:eastAsia="MS Mincho"/>
        </w:rPr>
        <w:t xml:space="preserve">n the effects of </w:t>
      </w:r>
      <w:r w:rsidR="001238DD" w:rsidRPr="00E40993">
        <w:t>TRIUMEQ</w:t>
      </w:r>
      <w:r w:rsidRPr="00E40993">
        <w:rPr>
          <w:rFonts w:eastAsia="MS Mincho"/>
        </w:rPr>
        <w:t xml:space="preserve"> in the paediatric population. Individual components have been investigated in adolescents aged 12 to 18.</w:t>
      </w:r>
    </w:p>
    <w:p w:rsidR="00524EED" w:rsidRPr="00E40993" w:rsidRDefault="00524EED" w:rsidP="00510C45">
      <w:r w:rsidRPr="00E40993">
        <w:t xml:space="preserve">Based on limited available data with the </w:t>
      </w:r>
      <w:proofErr w:type="spellStart"/>
      <w:r w:rsidRPr="00E40993">
        <w:t>dolutegravir</w:t>
      </w:r>
      <w:proofErr w:type="spellEnd"/>
      <w:r w:rsidRPr="00E40993">
        <w:t xml:space="preserve"> single entity used in combination with other antiretroviral agents to treat adolescents (12 to less than 18 years of age), there were no additional types of adverse reactions beyond those observed in the adult population.</w:t>
      </w:r>
    </w:p>
    <w:p w:rsidR="00524EED" w:rsidRPr="00A37BF2" w:rsidRDefault="00D65F52" w:rsidP="00510C45">
      <w:r w:rsidRPr="00EC1844">
        <w:t>The individual preparations of ABC and 3TC have been investigated separately, and as a dual nucleoside backbone, in</w:t>
      </w:r>
      <w:r w:rsidRPr="00A37BF2">
        <w:rPr>
          <w:sz w:val="16"/>
          <w:szCs w:val="16"/>
        </w:rPr>
        <w:t xml:space="preserve"> </w:t>
      </w:r>
      <w:r w:rsidRPr="00EC1844">
        <w:t>combination antiretroviral therapy to treat ART- naive and ART- experienced HIV- infected paediatric patients (data available on the use of ABC and 3TC in children less than three months are limited).  No additional types of undesirable effects have been observed beyond those characterised for the adult population.</w:t>
      </w:r>
    </w:p>
    <w:p w:rsidR="009E224F" w:rsidRPr="00A37BF2" w:rsidRDefault="00D65F52" w:rsidP="002A0499">
      <w:pPr>
        <w:keepNext/>
        <w:rPr>
          <w:rStyle w:val="LBLLevel3"/>
          <w:b/>
          <w:i/>
        </w:rPr>
      </w:pPr>
      <w:proofErr w:type="spellStart"/>
      <w:r w:rsidRPr="00A37BF2">
        <w:rPr>
          <w:rStyle w:val="LBLLevel3"/>
          <w:b/>
          <w:i/>
        </w:rPr>
        <w:t>Abacavir</w:t>
      </w:r>
      <w:proofErr w:type="spellEnd"/>
      <w:r w:rsidRPr="00A37BF2">
        <w:rPr>
          <w:rStyle w:val="LBLLevel3"/>
          <w:b/>
          <w:i/>
        </w:rPr>
        <w:t xml:space="preserve"> </w:t>
      </w:r>
      <w:proofErr w:type="spellStart"/>
      <w:r w:rsidRPr="00A37BF2">
        <w:rPr>
          <w:rStyle w:val="LBLLevel3"/>
          <w:b/>
          <w:i/>
        </w:rPr>
        <w:t>Sulfate</w:t>
      </w:r>
      <w:proofErr w:type="spellEnd"/>
      <w:r w:rsidRPr="00A37BF2">
        <w:rPr>
          <w:rStyle w:val="LBLLevel3"/>
          <w:b/>
          <w:i/>
        </w:rPr>
        <w:t xml:space="preserve"> and Lamivudine</w:t>
      </w:r>
    </w:p>
    <w:p w:rsidR="009E224F" w:rsidRPr="00A37BF2" w:rsidRDefault="00D65F52" w:rsidP="002A0499">
      <w:pPr>
        <w:keepNext/>
        <w:rPr>
          <w:rFonts w:eastAsia="MS Mincho"/>
          <w:color w:val="000000" w:themeColor="text1"/>
        </w:rPr>
      </w:pPr>
      <w:r w:rsidRPr="00A37BF2">
        <w:rPr>
          <w:rFonts w:eastAsia="MS Mincho"/>
          <w:color w:val="000000" w:themeColor="text1"/>
        </w:rPr>
        <w:t xml:space="preserve">Laboratory abnormalities observed in clinical trials of </w:t>
      </w:r>
      <w:proofErr w:type="spellStart"/>
      <w:r w:rsidR="000520F8">
        <w:rPr>
          <w:rFonts w:eastAsia="MS Mincho"/>
          <w:color w:val="000000" w:themeColor="text1"/>
        </w:rPr>
        <w:t>abacavir</w:t>
      </w:r>
      <w:proofErr w:type="spellEnd"/>
      <w:r w:rsidR="000520F8" w:rsidRPr="00A37BF2">
        <w:rPr>
          <w:rFonts w:eastAsia="MS Mincho"/>
          <w:color w:val="000000" w:themeColor="text1"/>
        </w:rPr>
        <w:t xml:space="preserve"> </w:t>
      </w:r>
      <w:r w:rsidRPr="00A37BF2">
        <w:rPr>
          <w:rFonts w:eastAsia="MS Mincho"/>
          <w:color w:val="000000" w:themeColor="text1"/>
        </w:rPr>
        <w:t xml:space="preserve">(in combination with other </w:t>
      </w:r>
      <w:proofErr w:type="spellStart"/>
      <w:r w:rsidRPr="00A37BF2">
        <w:rPr>
          <w:rFonts w:eastAsia="MS Mincho"/>
          <w:color w:val="000000" w:themeColor="text1"/>
        </w:rPr>
        <w:t>antiretrovir</w:t>
      </w:r>
      <w:proofErr w:type="spellEnd"/>
      <w:r w:rsidRPr="00A37BF2">
        <w:rPr>
          <w:rFonts w:eastAsia="MS Mincho"/>
          <w:color w:val="000000" w:themeColor="text1"/>
        </w:rPr>
        <w:t xml:space="preserve"> treatment) were </w:t>
      </w:r>
      <w:proofErr w:type="spellStart"/>
      <w:r w:rsidRPr="00A37BF2">
        <w:rPr>
          <w:rFonts w:eastAsia="MS Mincho"/>
          <w:color w:val="000000" w:themeColor="text1"/>
        </w:rPr>
        <w:t>anemia</w:t>
      </w:r>
      <w:proofErr w:type="spellEnd"/>
      <w:r w:rsidRPr="00A37BF2">
        <w:rPr>
          <w:rFonts w:eastAsia="MS Mincho"/>
          <w:color w:val="000000" w:themeColor="text1"/>
        </w:rPr>
        <w:t xml:space="preserve">, neutropenia, </w:t>
      </w:r>
      <w:r w:rsidR="000520F8">
        <w:rPr>
          <w:rFonts w:eastAsia="MS Mincho"/>
          <w:color w:val="000000" w:themeColor="text1"/>
        </w:rPr>
        <w:t xml:space="preserve">thrombocytopenia, low white blood cell count, </w:t>
      </w:r>
      <w:r w:rsidR="00EC1844">
        <w:rPr>
          <w:rFonts w:eastAsia="MS Mincho"/>
          <w:color w:val="000000" w:themeColor="text1"/>
        </w:rPr>
        <w:t>elevated liver chemistries (AST, ALT, alkaline phosphatise, bilirubin)</w:t>
      </w:r>
      <w:r w:rsidRPr="00A37BF2">
        <w:rPr>
          <w:rFonts w:eastAsia="MS Mincho"/>
          <w:color w:val="000000" w:themeColor="text1"/>
        </w:rPr>
        <w:t xml:space="preserve">, and elevations of CPK, blood glucose, and triglycerides. Additional laboratory abnormalities observed in clinical trials of 3TC (in combination with other </w:t>
      </w:r>
      <w:proofErr w:type="spellStart"/>
      <w:r w:rsidRPr="00A37BF2">
        <w:rPr>
          <w:rFonts w:eastAsia="MS Mincho"/>
          <w:color w:val="000000" w:themeColor="text1"/>
        </w:rPr>
        <w:t>antiretrovir</w:t>
      </w:r>
      <w:proofErr w:type="spellEnd"/>
      <w:r w:rsidRPr="00A37BF2">
        <w:rPr>
          <w:rFonts w:eastAsia="MS Mincho"/>
          <w:color w:val="000000" w:themeColor="text1"/>
        </w:rPr>
        <w:t xml:space="preserve"> treatment) were thrombocytopenia and elevated levels of bilirubin, amylase, and lipase.</w:t>
      </w:r>
    </w:p>
    <w:p w:rsidR="009E224F" w:rsidRPr="00E40993" w:rsidRDefault="009E224F" w:rsidP="00510C45"/>
    <w:p w:rsidR="00D61A62" w:rsidRPr="00E40993" w:rsidRDefault="00524EED" w:rsidP="00CF3C5F">
      <w:pPr>
        <w:pStyle w:val="Heading2"/>
        <w:rPr>
          <w:lang w:val="en-GB"/>
        </w:rPr>
      </w:pPr>
      <w:r w:rsidRPr="00E40993">
        <w:rPr>
          <w:lang w:val="en-GB"/>
        </w:rPr>
        <w:t xml:space="preserve">Post-marketing </w:t>
      </w:r>
      <w:r w:rsidR="00E92191">
        <w:rPr>
          <w:lang w:val="en-GB"/>
        </w:rPr>
        <w:t>D</w:t>
      </w:r>
      <w:r w:rsidRPr="00E40993">
        <w:rPr>
          <w:lang w:val="en-GB"/>
        </w:rPr>
        <w:t>ata</w:t>
      </w:r>
    </w:p>
    <w:p w:rsidR="00524EED" w:rsidRPr="00E40993" w:rsidRDefault="00524EED" w:rsidP="00510C45">
      <w:r w:rsidRPr="00E40993">
        <w:t xml:space="preserve">In addition to the adverse reactions included from clinical trial data, the adverse reactions listed in Table </w:t>
      </w:r>
      <w:r w:rsidR="004744C5">
        <w:t>9</w:t>
      </w:r>
      <w:r w:rsidR="004744C5" w:rsidRPr="00E40993">
        <w:t xml:space="preserve"> </w:t>
      </w:r>
      <w:r w:rsidRPr="00E40993">
        <w:t xml:space="preserve">below have been identified during post-approval use of </w:t>
      </w:r>
      <w:proofErr w:type="spellStart"/>
      <w:r w:rsidRPr="00E40993">
        <w:t>abacavir</w:t>
      </w:r>
      <w:proofErr w:type="spellEnd"/>
      <w:r w:rsidRPr="00E40993">
        <w:t xml:space="preserve"> and lamivudine. These events have been chosen for inclusion due to a potential causal connection to </w:t>
      </w:r>
      <w:proofErr w:type="spellStart"/>
      <w:r w:rsidRPr="00E40993">
        <w:t>abacavir</w:t>
      </w:r>
      <w:proofErr w:type="spellEnd"/>
      <w:r w:rsidRPr="00E40993">
        <w:t xml:space="preserve"> and/or lamivudine.  No </w:t>
      </w:r>
      <w:proofErr w:type="spellStart"/>
      <w:r w:rsidRPr="00E40993">
        <w:t>dolutegravir</w:t>
      </w:r>
      <w:proofErr w:type="spellEnd"/>
      <w:r w:rsidRPr="00E40993">
        <w:t xml:space="preserve"> or</w:t>
      </w:r>
      <w:r w:rsidRPr="00E40993">
        <w:rPr>
          <w:rFonts w:eastAsia="MS Mincho"/>
        </w:rPr>
        <w:t xml:space="preserve"> </w:t>
      </w:r>
      <w:r w:rsidR="001238DD" w:rsidRPr="00E40993">
        <w:t>TRIUMEQ</w:t>
      </w:r>
      <w:r w:rsidRPr="00E40993">
        <w:t xml:space="preserve"> post-marketing data are available.</w:t>
      </w:r>
    </w:p>
    <w:p w:rsidR="00524EED" w:rsidRPr="00E40993" w:rsidRDefault="00524EED" w:rsidP="00524EED">
      <w:pPr>
        <w:jc w:val="center"/>
      </w:pPr>
    </w:p>
    <w:p w:rsidR="00524EED" w:rsidRPr="00E40993" w:rsidRDefault="00524EED" w:rsidP="004F503C">
      <w:pPr>
        <w:ind w:left="709"/>
        <w:jc w:val="left"/>
        <w:rPr>
          <w:rFonts w:eastAsia="MS Mincho" w:cs="Arial"/>
          <w:b/>
          <w:szCs w:val="22"/>
        </w:rPr>
      </w:pPr>
      <w:r w:rsidRPr="00E40993">
        <w:rPr>
          <w:rFonts w:eastAsia="MS Mincho" w:cs="Arial"/>
          <w:b/>
          <w:szCs w:val="22"/>
        </w:rPr>
        <w:t xml:space="preserve">Table </w:t>
      </w:r>
      <w:r w:rsidR="004744C5">
        <w:rPr>
          <w:rFonts w:eastAsia="MS Mincho" w:cs="Arial"/>
          <w:b/>
          <w:szCs w:val="22"/>
        </w:rPr>
        <w:t>9</w:t>
      </w:r>
      <w:r w:rsidRPr="00E40993">
        <w:rPr>
          <w:rFonts w:eastAsia="MS Mincho" w:cs="Arial"/>
          <w:b/>
          <w:szCs w:val="22"/>
        </w:rPr>
        <w:tab/>
        <w:t xml:space="preserve"> Adverse reactions based on post-marketing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119"/>
        <w:gridCol w:w="2967"/>
      </w:tblGrid>
      <w:tr w:rsidR="00524EED" w:rsidRPr="00E40993" w:rsidTr="004F503C">
        <w:trPr>
          <w:cantSplit/>
          <w:tblHeader/>
        </w:trPr>
        <w:tc>
          <w:tcPr>
            <w:tcW w:w="2552" w:type="dxa"/>
            <w:shd w:val="clear" w:color="auto" w:fill="auto"/>
          </w:tcPr>
          <w:p w:rsidR="00524EED" w:rsidRPr="00E40993" w:rsidRDefault="00524EED" w:rsidP="004C0AFE">
            <w:pPr>
              <w:jc w:val="left"/>
            </w:pPr>
            <w:r w:rsidRPr="00E40993">
              <w:rPr>
                <w:b/>
              </w:rPr>
              <w:t>System organ class</w:t>
            </w:r>
          </w:p>
        </w:tc>
        <w:tc>
          <w:tcPr>
            <w:tcW w:w="3119" w:type="dxa"/>
            <w:shd w:val="clear" w:color="auto" w:fill="auto"/>
          </w:tcPr>
          <w:p w:rsidR="00524EED" w:rsidRPr="00E40993" w:rsidRDefault="00524EED" w:rsidP="004C0AFE">
            <w:pPr>
              <w:jc w:val="left"/>
            </w:pPr>
            <w:proofErr w:type="spellStart"/>
            <w:r w:rsidRPr="00E40993">
              <w:rPr>
                <w:b/>
              </w:rPr>
              <w:t>Abacavir</w:t>
            </w:r>
            <w:proofErr w:type="spellEnd"/>
          </w:p>
        </w:tc>
        <w:tc>
          <w:tcPr>
            <w:tcW w:w="2967" w:type="dxa"/>
            <w:shd w:val="clear" w:color="auto" w:fill="auto"/>
          </w:tcPr>
          <w:p w:rsidR="00524EED" w:rsidRPr="00E40993" w:rsidRDefault="00524EED" w:rsidP="004C0AFE">
            <w:pPr>
              <w:jc w:val="left"/>
            </w:pPr>
            <w:r w:rsidRPr="00E40993">
              <w:rPr>
                <w:b/>
              </w:rPr>
              <w:t>Lamivudine</w:t>
            </w:r>
          </w:p>
        </w:tc>
      </w:tr>
      <w:tr w:rsidR="00524EED" w:rsidRPr="00E40993" w:rsidTr="004F503C">
        <w:trPr>
          <w:cantSplit/>
        </w:trPr>
        <w:tc>
          <w:tcPr>
            <w:tcW w:w="2552" w:type="dxa"/>
            <w:shd w:val="clear" w:color="auto" w:fill="auto"/>
          </w:tcPr>
          <w:p w:rsidR="00524EED" w:rsidRPr="00E40993" w:rsidRDefault="00524EED" w:rsidP="004C0AFE">
            <w:pPr>
              <w:jc w:val="left"/>
            </w:pPr>
            <w:r w:rsidRPr="00E40993">
              <w:t>Blood and lymphatic systems disorders</w:t>
            </w:r>
          </w:p>
        </w:tc>
        <w:tc>
          <w:tcPr>
            <w:tcW w:w="3119" w:type="dxa"/>
            <w:shd w:val="clear" w:color="auto" w:fill="auto"/>
          </w:tcPr>
          <w:p w:rsidR="00524EED" w:rsidRPr="00E40993" w:rsidRDefault="00524EED" w:rsidP="004C0AFE">
            <w:pPr>
              <w:jc w:val="left"/>
            </w:pPr>
          </w:p>
        </w:tc>
        <w:tc>
          <w:tcPr>
            <w:tcW w:w="2967" w:type="dxa"/>
            <w:shd w:val="clear" w:color="auto" w:fill="auto"/>
          </w:tcPr>
          <w:p w:rsidR="00524EED" w:rsidRPr="00E40993" w:rsidRDefault="00524EED" w:rsidP="004C0AFE">
            <w:pPr>
              <w:jc w:val="left"/>
            </w:pPr>
            <w:r w:rsidRPr="00E40993">
              <w:t>Very rare: pure red cell aplasia</w:t>
            </w:r>
          </w:p>
        </w:tc>
      </w:tr>
      <w:tr w:rsidR="00524EED" w:rsidRPr="00E40993" w:rsidTr="004F503C">
        <w:trPr>
          <w:cantSplit/>
        </w:trPr>
        <w:tc>
          <w:tcPr>
            <w:tcW w:w="2552" w:type="dxa"/>
            <w:shd w:val="clear" w:color="auto" w:fill="auto"/>
          </w:tcPr>
          <w:p w:rsidR="00524EED" w:rsidRPr="00E40993" w:rsidRDefault="00524EED" w:rsidP="004C0AFE">
            <w:pPr>
              <w:jc w:val="left"/>
            </w:pPr>
            <w:r w:rsidRPr="00E40993">
              <w:t>Metabolism and nutrition disorders</w:t>
            </w:r>
          </w:p>
        </w:tc>
        <w:tc>
          <w:tcPr>
            <w:tcW w:w="3119" w:type="dxa"/>
            <w:shd w:val="clear" w:color="auto" w:fill="auto"/>
          </w:tcPr>
          <w:p w:rsidR="00524EED" w:rsidRPr="00E40993" w:rsidRDefault="00524EED" w:rsidP="004C0AFE">
            <w:pPr>
              <w:jc w:val="left"/>
            </w:pPr>
            <w:r w:rsidRPr="00E40993">
              <w:t xml:space="preserve">Common: </w:t>
            </w:r>
            <w:proofErr w:type="spellStart"/>
            <w:r w:rsidRPr="00E40993">
              <w:t>hyperlactataemia</w:t>
            </w:r>
            <w:proofErr w:type="spellEnd"/>
          </w:p>
          <w:p w:rsidR="00524EED" w:rsidRPr="00E40993" w:rsidRDefault="00524EED" w:rsidP="009C34E7">
            <w:pPr>
              <w:jc w:val="left"/>
            </w:pPr>
            <w:r w:rsidRPr="00E40993">
              <w:t>Rare: lactic acidosis</w:t>
            </w:r>
            <w:r w:rsidR="009C34E7" w:rsidRPr="00E40993">
              <w:rPr>
                <w:vertAlign w:val="superscript"/>
              </w:rPr>
              <w:t>1</w:t>
            </w:r>
          </w:p>
        </w:tc>
        <w:tc>
          <w:tcPr>
            <w:tcW w:w="2967" w:type="dxa"/>
            <w:shd w:val="clear" w:color="auto" w:fill="auto"/>
          </w:tcPr>
          <w:p w:rsidR="00524EED" w:rsidRPr="00E40993" w:rsidRDefault="00524EED" w:rsidP="004C0AFE">
            <w:pPr>
              <w:jc w:val="left"/>
            </w:pPr>
            <w:r w:rsidRPr="00E40993">
              <w:t xml:space="preserve">Common: </w:t>
            </w:r>
            <w:proofErr w:type="spellStart"/>
            <w:r w:rsidRPr="00E40993">
              <w:t>hyperlactataemia</w:t>
            </w:r>
            <w:proofErr w:type="spellEnd"/>
          </w:p>
          <w:p w:rsidR="00524EED" w:rsidRPr="00E40993" w:rsidRDefault="00524EED" w:rsidP="00B12657">
            <w:pPr>
              <w:jc w:val="left"/>
            </w:pPr>
            <w:r w:rsidRPr="00E40993">
              <w:t>Rare: lactic acidosis</w:t>
            </w:r>
            <w:r w:rsidR="00753CD9" w:rsidRPr="00753CD9">
              <w:rPr>
                <w:vertAlign w:val="superscript"/>
              </w:rPr>
              <w:t>1</w:t>
            </w:r>
          </w:p>
        </w:tc>
      </w:tr>
      <w:tr w:rsidR="00524EED" w:rsidRPr="00E40993" w:rsidTr="004F503C">
        <w:trPr>
          <w:cantSplit/>
        </w:trPr>
        <w:tc>
          <w:tcPr>
            <w:tcW w:w="2552" w:type="dxa"/>
            <w:shd w:val="clear" w:color="auto" w:fill="auto"/>
          </w:tcPr>
          <w:p w:rsidR="00524EED" w:rsidRPr="00E40993" w:rsidRDefault="00524EED" w:rsidP="004C0AFE">
            <w:pPr>
              <w:jc w:val="left"/>
            </w:pPr>
            <w:r w:rsidRPr="00E40993">
              <w:t>Nervous system disorders</w:t>
            </w:r>
          </w:p>
        </w:tc>
        <w:tc>
          <w:tcPr>
            <w:tcW w:w="3119" w:type="dxa"/>
            <w:shd w:val="clear" w:color="auto" w:fill="auto"/>
          </w:tcPr>
          <w:p w:rsidR="00524EED" w:rsidRPr="00E40993" w:rsidRDefault="00524EED" w:rsidP="004C0AFE">
            <w:pPr>
              <w:jc w:val="left"/>
            </w:pPr>
          </w:p>
        </w:tc>
        <w:tc>
          <w:tcPr>
            <w:tcW w:w="2967" w:type="dxa"/>
            <w:shd w:val="clear" w:color="auto" w:fill="auto"/>
          </w:tcPr>
          <w:p w:rsidR="00524EED" w:rsidRPr="00E40993" w:rsidRDefault="00524EED" w:rsidP="004C0AFE">
            <w:pPr>
              <w:jc w:val="left"/>
            </w:pPr>
            <w:r w:rsidRPr="00E40993">
              <w:t xml:space="preserve">Very rare: </w:t>
            </w:r>
            <w:proofErr w:type="spellStart"/>
            <w:r w:rsidRPr="00E40993">
              <w:t>paraesthesiae</w:t>
            </w:r>
            <w:proofErr w:type="spellEnd"/>
            <w:r w:rsidRPr="00E40993">
              <w:t>,  peripheral neuropathy has been reported although a causal relationship to treatment is uncertain</w:t>
            </w:r>
          </w:p>
        </w:tc>
      </w:tr>
      <w:tr w:rsidR="00524EED" w:rsidRPr="00E40993" w:rsidTr="004F503C">
        <w:trPr>
          <w:cantSplit/>
        </w:trPr>
        <w:tc>
          <w:tcPr>
            <w:tcW w:w="2552" w:type="dxa"/>
            <w:shd w:val="clear" w:color="auto" w:fill="auto"/>
          </w:tcPr>
          <w:p w:rsidR="00524EED" w:rsidRPr="00E40993" w:rsidRDefault="00524EED" w:rsidP="004C0AFE">
            <w:pPr>
              <w:jc w:val="left"/>
            </w:pPr>
            <w:r w:rsidRPr="00E40993">
              <w:t>Gastrointestinal disorders</w:t>
            </w:r>
          </w:p>
        </w:tc>
        <w:tc>
          <w:tcPr>
            <w:tcW w:w="3119" w:type="dxa"/>
            <w:shd w:val="clear" w:color="auto" w:fill="auto"/>
          </w:tcPr>
          <w:p w:rsidR="00524EED" w:rsidRPr="00E40993" w:rsidRDefault="00524EED" w:rsidP="004C0AFE">
            <w:pPr>
              <w:jc w:val="left"/>
            </w:pPr>
            <w:r w:rsidRPr="00E40993">
              <w:t xml:space="preserve">Rare: pancreatitis, but a causal relationship to </w:t>
            </w:r>
            <w:proofErr w:type="spellStart"/>
            <w:r w:rsidRPr="00E40993">
              <w:t>abacavir</w:t>
            </w:r>
            <w:proofErr w:type="spellEnd"/>
            <w:r w:rsidRPr="00E40993">
              <w:t xml:space="preserve"> is uncertain</w:t>
            </w:r>
          </w:p>
        </w:tc>
        <w:tc>
          <w:tcPr>
            <w:tcW w:w="2967" w:type="dxa"/>
            <w:shd w:val="clear" w:color="auto" w:fill="auto"/>
          </w:tcPr>
          <w:p w:rsidR="00524EED" w:rsidRPr="00E40993" w:rsidRDefault="00524EED" w:rsidP="004C0AFE">
            <w:pPr>
              <w:jc w:val="left"/>
            </w:pPr>
            <w:r w:rsidRPr="00E40993">
              <w:t>Rare: rises in serum amylase, pancreatitis, although a causal relationship to lamivudine is uncertain</w:t>
            </w:r>
          </w:p>
        </w:tc>
      </w:tr>
      <w:tr w:rsidR="00524EED" w:rsidRPr="00E40993" w:rsidTr="004F503C">
        <w:trPr>
          <w:cantSplit/>
        </w:trPr>
        <w:tc>
          <w:tcPr>
            <w:tcW w:w="2552" w:type="dxa"/>
            <w:shd w:val="clear" w:color="auto" w:fill="auto"/>
          </w:tcPr>
          <w:p w:rsidR="00524EED" w:rsidRPr="00E40993" w:rsidRDefault="00524EED" w:rsidP="004C0AFE">
            <w:pPr>
              <w:jc w:val="left"/>
            </w:pPr>
            <w:r w:rsidRPr="00E40993">
              <w:t>Skin and subcutaneous tissue disorders</w:t>
            </w:r>
          </w:p>
        </w:tc>
        <w:tc>
          <w:tcPr>
            <w:tcW w:w="3119" w:type="dxa"/>
            <w:shd w:val="clear" w:color="auto" w:fill="auto"/>
          </w:tcPr>
          <w:p w:rsidR="00524EED" w:rsidRPr="00E40993" w:rsidRDefault="00524EED" w:rsidP="004C0AFE">
            <w:pPr>
              <w:jc w:val="left"/>
            </w:pPr>
            <w:r w:rsidRPr="00E40993">
              <w:t>Common: rash (without systemic symptoms)</w:t>
            </w:r>
          </w:p>
          <w:p w:rsidR="00524EED" w:rsidRPr="00E40993" w:rsidRDefault="00524EED" w:rsidP="004C0AFE">
            <w:pPr>
              <w:jc w:val="left"/>
            </w:pPr>
            <w:r w:rsidRPr="00E40993">
              <w:t xml:space="preserve">Very rare: erythema </w:t>
            </w:r>
            <w:proofErr w:type="spellStart"/>
            <w:r w:rsidRPr="00E40993">
              <w:t>multiforme</w:t>
            </w:r>
            <w:proofErr w:type="spellEnd"/>
            <w:r w:rsidRPr="00E40993">
              <w:t xml:space="preserve">, Stevens-Johnson syndrome and toxic epidermal </w:t>
            </w:r>
            <w:proofErr w:type="spellStart"/>
            <w:r w:rsidRPr="00E40993">
              <w:t>necrolysis</w:t>
            </w:r>
            <w:proofErr w:type="spellEnd"/>
          </w:p>
        </w:tc>
        <w:tc>
          <w:tcPr>
            <w:tcW w:w="2967" w:type="dxa"/>
            <w:shd w:val="clear" w:color="auto" w:fill="auto"/>
          </w:tcPr>
          <w:p w:rsidR="00524EED" w:rsidRPr="00E40993" w:rsidRDefault="00524EED" w:rsidP="004C0AFE">
            <w:pPr>
              <w:jc w:val="left"/>
            </w:pPr>
            <w:r w:rsidRPr="00E40993">
              <w:t>Common: alopecia</w:t>
            </w:r>
          </w:p>
        </w:tc>
      </w:tr>
      <w:tr w:rsidR="00524EED" w:rsidRPr="00E40993" w:rsidTr="004F503C">
        <w:trPr>
          <w:cantSplit/>
        </w:trPr>
        <w:tc>
          <w:tcPr>
            <w:tcW w:w="2552" w:type="dxa"/>
            <w:shd w:val="clear" w:color="auto" w:fill="auto"/>
          </w:tcPr>
          <w:p w:rsidR="00524EED" w:rsidRPr="00E40993" w:rsidRDefault="00524EED" w:rsidP="004C0AFE">
            <w:pPr>
              <w:jc w:val="left"/>
              <w:rPr>
                <w:color w:val="000000" w:themeColor="text1"/>
              </w:rPr>
            </w:pPr>
            <w:r w:rsidRPr="00E40993">
              <w:rPr>
                <w:color w:val="000000" w:themeColor="text1"/>
              </w:rPr>
              <w:t>Musculoskeletal and connective tissue disorders</w:t>
            </w:r>
          </w:p>
        </w:tc>
        <w:tc>
          <w:tcPr>
            <w:tcW w:w="3119" w:type="dxa"/>
            <w:shd w:val="clear" w:color="auto" w:fill="auto"/>
          </w:tcPr>
          <w:p w:rsidR="00524EED" w:rsidRPr="00E40993" w:rsidRDefault="00524EED" w:rsidP="004C0AFE">
            <w:pPr>
              <w:jc w:val="left"/>
              <w:rPr>
                <w:color w:val="000000" w:themeColor="text1"/>
              </w:rPr>
            </w:pPr>
          </w:p>
        </w:tc>
        <w:tc>
          <w:tcPr>
            <w:tcW w:w="2967" w:type="dxa"/>
            <w:shd w:val="clear" w:color="auto" w:fill="auto"/>
          </w:tcPr>
          <w:p w:rsidR="00524EED" w:rsidRPr="00E40993" w:rsidRDefault="00524EED" w:rsidP="004C0AFE">
            <w:pPr>
              <w:jc w:val="left"/>
              <w:rPr>
                <w:color w:val="000000" w:themeColor="text1"/>
              </w:rPr>
            </w:pPr>
            <w:r w:rsidRPr="00E40993">
              <w:rPr>
                <w:color w:val="000000" w:themeColor="text1"/>
              </w:rPr>
              <w:t>Common: arthralgia, muscle disorders</w:t>
            </w:r>
          </w:p>
          <w:p w:rsidR="00524EED" w:rsidRPr="00E40993" w:rsidRDefault="00524EED" w:rsidP="004C0AFE">
            <w:pPr>
              <w:jc w:val="left"/>
              <w:rPr>
                <w:color w:val="000000" w:themeColor="text1"/>
              </w:rPr>
            </w:pPr>
            <w:r w:rsidRPr="00E40993">
              <w:rPr>
                <w:color w:val="000000" w:themeColor="text1"/>
              </w:rPr>
              <w:t>Rare: rhabdomyolysis</w:t>
            </w:r>
          </w:p>
        </w:tc>
      </w:tr>
    </w:tbl>
    <w:p w:rsidR="00524EED" w:rsidRPr="00567D06" w:rsidRDefault="00532C37" w:rsidP="00510C45">
      <w:pPr>
        <w:rPr>
          <w:sz w:val="20"/>
        </w:rPr>
      </w:pPr>
      <w:r w:rsidRPr="00532C37">
        <w:rPr>
          <w:sz w:val="20"/>
          <w:vertAlign w:val="superscript"/>
        </w:rPr>
        <w:t>1</w:t>
      </w:r>
      <w:r w:rsidRPr="00532C37">
        <w:rPr>
          <w:sz w:val="20"/>
        </w:rPr>
        <w:t>Lactic acidosis (</w:t>
      </w:r>
      <w:r w:rsidRPr="00532C37">
        <w:rPr>
          <w:i/>
          <w:sz w:val="20"/>
        </w:rPr>
        <w:t>see Precautions</w:t>
      </w:r>
      <w:r w:rsidRPr="00532C37">
        <w:rPr>
          <w:sz w:val="20"/>
        </w:rPr>
        <w:t>)</w:t>
      </w:r>
    </w:p>
    <w:p w:rsidR="00524EED" w:rsidRPr="00E40993" w:rsidRDefault="00524EED" w:rsidP="00510C45">
      <w:r w:rsidRPr="00E40993">
        <w:t xml:space="preserve">Redistribution/accumulation of body fat has been observed in some </w:t>
      </w:r>
      <w:r w:rsidR="007C720C">
        <w:t>patient</w:t>
      </w:r>
      <w:r w:rsidRPr="00E40993">
        <w:t>s receiving combination antiretroviral therapy (</w:t>
      </w:r>
      <w:r w:rsidRPr="00E40993">
        <w:rPr>
          <w:i/>
        </w:rPr>
        <w:t>see Precautions</w:t>
      </w:r>
      <w:r w:rsidRPr="00E40993">
        <w:t>).The incidence of this event is dependent on multiple factors including the particular antiretroviral drug combination.</w:t>
      </w:r>
    </w:p>
    <w:p w:rsidR="00C43BEA" w:rsidRPr="00E40993" w:rsidRDefault="00C43BEA" w:rsidP="001D275A">
      <w:pPr>
        <w:rPr>
          <w:rFonts w:cs="Arial"/>
          <w:color w:val="000000" w:themeColor="text1"/>
          <w:szCs w:val="22"/>
        </w:rPr>
      </w:pPr>
    </w:p>
    <w:bookmarkEnd w:id="2"/>
    <w:bookmarkEnd w:id="3"/>
    <w:p w:rsidR="0077380F" w:rsidRPr="00E40993" w:rsidRDefault="0077380F" w:rsidP="0045447B">
      <w:pPr>
        <w:pStyle w:val="Heading1"/>
      </w:pPr>
      <w:r w:rsidRPr="00E40993">
        <w:t xml:space="preserve">DOSAGE </w:t>
      </w:r>
      <w:smartTag w:uri="urn:schemas-microsoft-com:office:smarttags" w:element="stockticker">
        <w:r w:rsidRPr="00E40993">
          <w:t>AND</w:t>
        </w:r>
      </w:smartTag>
      <w:r w:rsidRPr="00E40993">
        <w:t xml:space="preserve"> ADMINISTRATION</w:t>
      </w:r>
    </w:p>
    <w:p w:rsidR="00310E11" w:rsidRPr="00E40993" w:rsidRDefault="00310E11" w:rsidP="00510C45">
      <w:pPr>
        <w:rPr>
          <w:rFonts w:eastAsia="MS Mincho"/>
          <w:lang w:eastAsia="en-US"/>
        </w:rPr>
      </w:pPr>
      <w:r w:rsidRPr="00E40993">
        <w:rPr>
          <w:rFonts w:eastAsia="MS Mincho"/>
          <w:lang w:eastAsia="en-US"/>
        </w:rPr>
        <w:t>Therapy should be initiated by a physician experienced in the management of HIV infection.</w:t>
      </w:r>
    </w:p>
    <w:p w:rsidR="002A0562" w:rsidRPr="00E40993" w:rsidRDefault="002A0562" w:rsidP="002A0562">
      <w:r w:rsidRPr="00E40993">
        <w:t>The recommended dose of TRIUMEQ in adults and adolescents weighing at least 40 kg is one tablet once daily</w:t>
      </w:r>
      <w:r>
        <w:t xml:space="preserve">, </w:t>
      </w:r>
      <w:r w:rsidRPr="00E40993">
        <w:rPr>
          <w:rFonts w:eastAsia="MS Mincho"/>
          <w:lang w:eastAsia="en-US"/>
        </w:rPr>
        <w:t>taken with or without food</w:t>
      </w:r>
      <w:r w:rsidRPr="00E40993">
        <w:t>.</w:t>
      </w:r>
    </w:p>
    <w:p w:rsidR="002A0562" w:rsidRDefault="002A0562" w:rsidP="00510C45">
      <w:pPr>
        <w:rPr>
          <w:rFonts w:eastAsia="MS Mincho"/>
          <w:lang w:eastAsia="en-US"/>
        </w:rPr>
      </w:pPr>
      <w:r>
        <w:rPr>
          <w:rFonts w:eastAsia="MS Mincho"/>
          <w:lang w:eastAsia="en-US"/>
        </w:rPr>
        <w:t>Because TRIUMEQ is a fixed dose tablet, it should not be prescribed for patients requiring dose adjustment:</w:t>
      </w:r>
    </w:p>
    <w:p w:rsidR="00310E11" w:rsidRPr="002A0562" w:rsidRDefault="002A0562" w:rsidP="002A0562">
      <w:pPr>
        <w:pStyle w:val="ListParagraph"/>
        <w:numPr>
          <w:ilvl w:val="0"/>
          <w:numId w:val="30"/>
        </w:numPr>
        <w:rPr>
          <w:rFonts w:eastAsia="MS Mincho"/>
          <w:lang w:eastAsia="en-US"/>
        </w:rPr>
      </w:pPr>
      <w:r w:rsidRPr="002A0562">
        <w:rPr>
          <w:rFonts w:eastAsia="MS Mincho"/>
          <w:lang w:eastAsia="en-US"/>
        </w:rPr>
        <w:t>Adults or adolescents weighing &lt;</w:t>
      </w:r>
      <w:r w:rsidR="00310E11" w:rsidRPr="002A0562">
        <w:rPr>
          <w:rFonts w:eastAsia="MS Mincho"/>
          <w:lang w:eastAsia="en-US"/>
        </w:rPr>
        <w:t>40 kg</w:t>
      </w:r>
    </w:p>
    <w:p w:rsidR="002A0562" w:rsidRPr="002A0562" w:rsidRDefault="002A0562" w:rsidP="002A0562">
      <w:pPr>
        <w:pStyle w:val="ListParagraph"/>
        <w:numPr>
          <w:ilvl w:val="0"/>
          <w:numId w:val="30"/>
        </w:numPr>
        <w:rPr>
          <w:rFonts w:eastAsia="MS Mincho"/>
          <w:lang w:eastAsia="en-US"/>
        </w:rPr>
      </w:pPr>
      <w:r w:rsidRPr="002A0562">
        <w:rPr>
          <w:rFonts w:eastAsia="MS Mincho"/>
          <w:lang w:eastAsia="en-US"/>
        </w:rPr>
        <w:t>Children &lt; 12 years of age</w:t>
      </w:r>
    </w:p>
    <w:p w:rsidR="002A0562" w:rsidRPr="002A0562" w:rsidRDefault="002A0562" w:rsidP="002A0562">
      <w:pPr>
        <w:pStyle w:val="ListParagraph"/>
        <w:numPr>
          <w:ilvl w:val="0"/>
          <w:numId w:val="30"/>
        </w:numPr>
        <w:rPr>
          <w:rFonts w:eastAsia="MS Mincho"/>
          <w:lang w:eastAsia="en-US"/>
        </w:rPr>
      </w:pPr>
      <w:r w:rsidRPr="002A0562">
        <w:rPr>
          <w:rFonts w:eastAsia="MS Mincho"/>
          <w:lang w:eastAsia="en-US"/>
        </w:rPr>
        <w:t>Patients with creatinine clearance &lt;50 mL/min</w:t>
      </w:r>
    </w:p>
    <w:p w:rsidR="002A0562" w:rsidRPr="002A0562" w:rsidRDefault="00D65F52" w:rsidP="002A0562">
      <w:pPr>
        <w:pStyle w:val="ListParagraph"/>
        <w:numPr>
          <w:ilvl w:val="0"/>
          <w:numId w:val="30"/>
        </w:numPr>
        <w:rPr>
          <w:rFonts w:eastAsia="MS Mincho"/>
          <w:lang w:eastAsia="en-US"/>
        </w:rPr>
      </w:pPr>
      <w:r w:rsidRPr="00D65F52">
        <w:rPr>
          <w:rFonts w:eastAsia="MS Mincho"/>
          <w:lang w:eastAsia="en-US"/>
        </w:rPr>
        <w:t>Patients with mild hepatic impairment</w:t>
      </w:r>
    </w:p>
    <w:p w:rsidR="002A0562" w:rsidRDefault="00D65F52" w:rsidP="002A0562">
      <w:pPr>
        <w:pStyle w:val="ListParagraph"/>
        <w:numPr>
          <w:ilvl w:val="0"/>
          <w:numId w:val="30"/>
        </w:numPr>
        <w:rPr>
          <w:rFonts w:eastAsia="MS Mincho"/>
          <w:lang w:eastAsia="en-US"/>
        </w:rPr>
      </w:pPr>
      <w:r w:rsidRPr="00D65F52">
        <w:rPr>
          <w:rFonts w:eastAsia="MS Mincho"/>
          <w:lang w:eastAsia="en-US"/>
        </w:rPr>
        <w:t>Patients resistant to integrase inhibitors</w:t>
      </w:r>
    </w:p>
    <w:p w:rsidR="00557690" w:rsidRPr="00557690" w:rsidRDefault="00557690" w:rsidP="00557690">
      <w:pPr>
        <w:rPr>
          <w:rFonts w:eastAsia="MS Mincho"/>
          <w:lang w:eastAsia="en-US"/>
        </w:rPr>
      </w:pPr>
    </w:p>
    <w:p w:rsidR="00662717" w:rsidRPr="00E40993" w:rsidRDefault="004A7031" w:rsidP="00CF3C5F">
      <w:pPr>
        <w:pStyle w:val="Heading2"/>
        <w:rPr>
          <w:rFonts w:eastAsia="MS Mincho"/>
          <w:lang w:eastAsia="en-US"/>
        </w:rPr>
      </w:pPr>
      <w:r w:rsidRPr="00E40993">
        <w:rPr>
          <w:rFonts w:eastAsia="MS Mincho"/>
          <w:lang w:eastAsia="en-US"/>
        </w:rPr>
        <w:t>Populations</w:t>
      </w:r>
    </w:p>
    <w:p w:rsidR="00486F5D" w:rsidRPr="00E40993" w:rsidRDefault="0029371B" w:rsidP="00CF3C5F">
      <w:pPr>
        <w:pStyle w:val="Head3"/>
        <w:rPr>
          <w:rFonts w:eastAsia="MS Mincho"/>
          <w:lang w:val="en-GB" w:eastAsia="en-US"/>
        </w:rPr>
      </w:pPr>
      <w:r w:rsidRPr="00E40993">
        <w:rPr>
          <w:rFonts w:eastAsia="MS Mincho"/>
          <w:lang w:val="en-GB" w:eastAsia="en-US"/>
        </w:rPr>
        <w:t>Children</w:t>
      </w:r>
    </w:p>
    <w:p w:rsidR="00541DE7" w:rsidRDefault="00541DE7" w:rsidP="00510C45">
      <w:pPr>
        <w:rPr>
          <w:rFonts w:eastAsia="MS Mincho"/>
          <w:lang w:eastAsia="en-US"/>
        </w:rPr>
      </w:pPr>
      <w:r>
        <w:rPr>
          <w:rFonts w:eastAsia="MS Mincho"/>
          <w:lang w:eastAsia="en-US"/>
        </w:rPr>
        <w:t xml:space="preserve">Based on indications for use for TIVICAY </w:t>
      </w:r>
      <w:r w:rsidR="002A0499">
        <w:rPr>
          <w:rFonts w:eastAsia="MS Mincho"/>
          <w:lang w:eastAsia="en-US"/>
        </w:rPr>
        <w:t>[</w:t>
      </w:r>
      <w:proofErr w:type="spellStart"/>
      <w:r w:rsidR="002A0499">
        <w:rPr>
          <w:rFonts w:eastAsia="MS Mincho"/>
          <w:lang w:eastAsia="en-US"/>
        </w:rPr>
        <w:t>dolutegravir</w:t>
      </w:r>
      <w:proofErr w:type="spellEnd"/>
      <w:r w:rsidR="002A0499">
        <w:rPr>
          <w:rFonts w:eastAsia="MS Mincho"/>
          <w:lang w:eastAsia="en-US"/>
        </w:rPr>
        <w:t xml:space="preserve">] </w:t>
      </w:r>
      <w:r>
        <w:rPr>
          <w:rFonts w:eastAsia="MS Mincho"/>
          <w:lang w:eastAsia="en-US"/>
        </w:rPr>
        <w:t>and KIVEXA</w:t>
      </w:r>
      <w:r w:rsidR="002A0499">
        <w:rPr>
          <w:rFonts w:eastAsia="MS Mincho"/>
          <w:lang w:eastAsia="en-US"/>
        </w:rPr>
        <w:t xml:space="preserve"> </w:t>
      </w:r>
      <w:r w:rsidR="002A0499" w:rsidRPr="00034E3A">
        <w:t xml:space="preserve"> </w:t>
      </w:r>
      <w:r w:rsidR="002A0499" w:rsidRPr="00034E3A">
        <w:rPr>
          <w:rFonts w:cs="Arial"/>
          <w:snapToGrid w:val="0"/>
          <w:color w:val="000000"/>
          <w:lang w:eastAsia="en-US"/>
        </w:rPr>
        <w:t>[</w:t>
      </w:r>
      <w:proofErr w:type="spellStart"/>
      <w:r w:rsidR="002A0499" w:rsidRPr="00034E3A">
        <w:rPr>
          <w:rFonts w:cs="Arial"/>
          <w:snapToGrid w:val="0"/>
          <w:color w:val="000000"/>
          <w:lang w:eastAsia="en-US"/>
        </w:rPr>
        <w:t>abacavir</w:t>
      </w:r>
      <w:proofErr w:type="spellEnd"/>
      <w:r w:rsidR="002A0499" w:rsidRPr="00034E3A">
        <w:rPr>
          <w:rFonts w:cs="Arial"/>
          <w:snapToGrid w:val="0"/>
          <w:color w:val="000000"/>
          <w:lang w:eastAsia="en-US"/>
        </w:rPr>
        <w:t>/lamivudine]</w:t>
      </w:r>
      <w:r>
        <w:rPr>
          <w:rFonts w:eastAsia="MS Mincho"/>
          <w:lang w:eastAsia="en-US"/>
        </w:rPr>
        <w:t xml:space="preserve">, TRIUMEQ is indicated for use in adolescents aged 12 years and above (See Product Information for TIVICAY </w:t>
      </w:r>
      <w:r w:rsidR="002A0499">
        <w:rPr>
          <w:rFonts w:eastAsia="MS Mincho"/>
          <w:lang w:eastAsia="en-US"/>
        </w:rPr>
        <w:t>[</w:t>
      </w:r>
      <w:proofErr w:type="spellStart"/>
      <w:r w:rsidR="002A0499">
        <w:rPr>
          <w:rFonts w:eastAsia="MS Mincho"/>
          <w:lang w:eastAsia="en-US"/>
        </w:rPr>
        <w:t>dolutegravir</w:t>
      </w:r>
      <w:proofErr w:type="spellEnd"/>
      <w:r w:rsidR="002A0499">
        <w:rPr>
          <w:rFonts w:eastAsia="MS Mincho"/>
          <w:lang w:eastAsia="en-US"/>
        </w:rPr>
        <w:t xml:space="preserve">] </w:t>
      </w:r>
      <w:r>
        <w:rPr>
          <w:rFonts w:eastAsia="MS Mincho"/>
          <w:lang w:eastAsia="en-US"/>
        </w:rPr>
        <w:t>and KIVEXA</w:t>
      </w:r>
      <w:r w:rsidR="002A0499">
        <w:rPr>
          <w:rFonts w:eastAsia="MS Mincho"/>
          <w:lang w:eastAsia="en-US"/>
        </w:rPr>
        <w:t xml:space="preserve"> </w:t>
      </w:r>
      <w:r w:rsidR="002A0499" w:rsidRPr="00034E3A">
        <w:t xml:space="preserve"> </w:t>
      </w:r>
      <w:r w:rsidR="002A0499" w:rsidRPr="00034E3A">
        <w:rPr>
          <w:rFonts w:cs="Arial"/>
          <w:snapToGrid w:val="0"/>
          <w:color w:val="000000"/>
          <w:lang w:eastAsia="en-US"/>
        </w:rPr>
        <w:t>[</w:t>
      </w:r>
      <w:proofErr w:type="spellStart"/>
      <w:r w:rsidR="002A0499" w:rsidRPr="00034E3A">
        <w:rPr>
          <w:rFonts w:cs="Arial"/>
          <w:snapToGrid w:val="0"/>
          <w:color w:val="000000"/>
          <w:lang w:eastAsia="en-US"/>
        </w:rPr>
        <w:t>abacavir</w:t>
      </w:r>
      <w:proofErr w:type="spellEnd"/>
      <w:r w:rsidR="002A0499">
        <w:rPr>
          <w:rFonts w:cs="Arial"/>
          <w:snapToGrid w:val="0"/>
          <w:color w:val="000000"/>
          <w:lang w:eastAsia="en-US"/>
        </w:rPr>
        <w:t>/lamivudine</w:t>
      </w:r>
      <w:r w:rsidR="002A0499" w:rsidRPr="00034E3A">
        <w:rPr>
          <w:rFonts w:cs="Arial"/>
          <w:snapToGrid w:val="0"/>
          <w:color w:val="000000"/>
          <w:lang w:eastAsia="en-US"/>
        </w:rPr>
        <w:t>]</w:t>
      </w:r>
      <w:r>
        <w:rPr>
          <w:rFonts w:eastAsia="MS Mincho"/>
          <w:lang w:eastAsia="en-US"/>
        </w:rPr>
        <w:t xml:space="preserve">).  </w:t>
      </w:r>
    </w:p>
    <w:p w:rsidR="0029371B" w:rsidRPr="00E40993" w:rsidRDefault="0029371B" w:rsidP="00510C45">
      <w:pPr>
        <w:rPr>
          <w:rFonts w:eastAsia="MS Mincho"/>
          <w:lang w:eastAsia="en-US"/>
        </w:rPr>
      </w:pPr>
      <w:r w:rsidRPr="00E40993">
        <w:rPr>
          <w:rFonts w:eastAsia="MS Mincho"/>
          <w:lang w:eastAsia="en-US"/>
        </w:rPr>
        <w:t>TRIUMEQ is not recommended for treatment of children less than 12 years of age as the necessary dose adjustment cannot be made. Clinical data is currently not available for this combination. Physicians should refer to the individual product information for TIVICAY</w:t>
      </w:r>
      <w:r w:rsidR="002A0499">
        <w:rPr>
          <w:rFonts w:eastAsia="MS Mincho"/>
          <w:lang w:eastAsia="en-US"/>
        </w:rPr>
        <w:t xml:space="preserve"> [</w:t>
      </w:r>
      <w:proofErr w:type="spellStart"/>
      <w:r w:rsidR="002A0499">
        <w:rPr>
          <w:rFonts w:eastAsia="MS Mincho"/>
          <w:lang w:eastAsia="en-US"/>
        </w:rPr>
        <w:t>dolutegravir</w:t>
      </w:r>
      <w:proofErr w:type="spellEnd"/>
      <w:r w:rsidR="002A0499">
        <w:rPr>
          <w:rFonts w:eastAsia="MS Mincho"/>
          <w:lang w:eastAsia="en-US"/>
        </w:rPr>
        <w:t>]</w:t>
      </w:r>
      <w:r w:rsidRPr="00E40993">
        <w:rPr>
          <w:rFonts w:eastAsia="MS Mincho"/>
          <w:lang w:eastAsia="en-US"/>
        </w:rPr>
        <w:t>, ZIA</w:t>
      </w:r>
      <w:smartTag w:uri="schemas-GSKSiteLocations-com/fourthcoffee" w:element="flavor">
        <w:r w:rsidRPr="00E40993">
          <w:rPr>
            <w:rFonts w:eastAsia="MS Mincho"/>
            <w:lang w:eastAsia="en-US"/>
          </w:rPr>
          <w:t>GEN</w:t>
        </w:r>
      </w:smartTag>
      <w:r w:rsidRPr="00E40993">
        <w:rPr>
          <w:rFonts w:eastAsia="MS Mincho"/>
          <w:lang w:eastAsia="en-US"/>
        </w:rPr>
        <w:t xml:space="preserve"> </w:t>
      </w:r>
      <w:r w:rsidR="002A0499">
        <w:rPr>
          <w:rFonts w:eastAsia="MS Mincho"/>
          <w:lang w:eastAsia="en-US"/>
        </w:rPr>
        <w:t>[</w:t>
      </w:r>
      <w:proofErr w:type="spellStart"/>
      <w:r w:rsidR="002A0499">
        <w:rPr>
          <w:rFonts w:eastAsia="MS Mincho"/>
          <w:lang w:eastAsia="en-US"/>
        </w:rPr>
        <w:t>abacavir</w:t>
      </w:r>
      <w:proofErr w:type="spellEnd"/>
      <w:r w:rsidR="002A0499">
        <w:rPr>
          <w:rFonts w:eastAsia="MS Mincho"/>
          <w:lang w:eastAsia="en-US"/>
        </w:rPr>
        <w:t xml:space="preserve">] </w:t>
      </w:r>
      <w:r w:rsidRPr="00E40993">
        <w:rPr>
          <w:rFonts w:eastAsia="MS Mincho"/>
          <w:lang w:eastAsia="en-US"/>
        </w:rPr>
        <w:t>and 3TC</w:t>
      </w:r>
      <w:r w:rsidR="002A0499">
        <w:rPr>
          <w:rFonts w:eastAsia="MS Mincho"/>
          <w:lang w:eastAsia="en-US"/>
        </w:rPr>
        <w:t xml:space="preserve"> [lamivudine]</w:t>
      </w:r>
      <w:r w:rsidRPr="00E40993">
        <w:rPr>
          <w:rFonts w:eastAsia="MS Mincho"/>
          <w:lang w:eastAsia="en-US"/>
        </w:rPr>
        <w:t>.</w:t>
      </w:r>
    </w:p>
    <w:p w:rsidR="00662717" w:rsidRPr="00E40993" w:rsidRDefault="0029371B" w:rsidP="00CF3C5F">
      <w:pPr>
        <w:pStyle w:val="Head3"/>
        <w:rPr>
          <w:rFonts w:eastAsia="MS Mincho"/>
          <w:lang w:eastAsia="en-US"/>
        </w:rPr>
      </w:pPr>
      <w:r w:rsidRPr="00E40993">
        <w:rPr>
          <w:rFonts w:eastAsia="MS Mincho"/>
          <w:lang w:eastAsia="en-US"/>
        </w:rPr>
        <w:t>Elderly</w:t>
      </w:r>
    </w:p>
    <w:p w:rsidR="0029371B" w:rsidRPr="00E40993" w:rsidRDefault="0029371B" w:rsidP="00510C45">
      <w:r w:rsidRPr="00E40993">
        <w:t xml:space="preserve">There are limited data available on the use of </w:t>
      </w:r>
      <w:proofErr w:type="spellStart"/>
      <w:r w:rsidR="007C779A">
        <w:rPr>
          <w:rFonts w:eastAsia="MS Mincho"/>
          <w:lang w:eastAsia="en-US"/>
        </w:rPr>
        <w:t>dolutegravir</w:t>
      </w:r>
      <w:proofErr w:type="spellEnd"/>
      <w:r w:rsidRPr="00E40993">
        <w:rPr>
          <w:rFonts w:eastAsia="MS Mincho"/>
          <w:lang w:eastAsia="en-US"/>
        </w:rPr>
        <w:t xml:space="preserve">, </w:t>
      </w:r>
      <w:proofErr w:type="spellStart"/>
      <w:r w:rsidR="007C779A">
        <w:rPr>
          <w:rFonts w:eastAsia="MS Mincho"/>
          <w:lang w:eastAsia="en-US"/>
        </w:rPr>
        <w:t>abacavir</w:t>
      </w:r>
      <w:proofErr w:type="spellEnd"/>
      <w:r w:rsidR="007C779A">
        <w:rPr>
          <w:rFonts w:eastAsia="MS Mincho"/>
          <w:lang w:eastAsia="en-US"/>
        </w:rPr>
        <w:t xml:space="preserve"> </w:t>
      </w:r>
      <w:r w:rsidRPr="00E40993">
        <w:rPr>
          <w:rFonts w:eastAsia="MS Mincho"/>
          <w:lang w:eastAsia="en-US"/>
        </w:rPr>
        <w:t xml:space="preserve">and </w:t>
      </w:r>
      <w:r w:rsidR="007C779A">
        <w:rPr>
          <w:rFonts w:eastAsia="MS Mincho"/>
          <w:lang w:eastAsia="en-US"/>
        </w:rPr>
        <w:t>lamivudine</w:t>
      </w:r>
      <w:r w:rsidRPr="00E40993">
        <w:t xml:space="preserve"> in </w:t>
      </w:r>
      <w:r w:rsidR="007C720C">
        <w:t>patient</w:t>
      </w:r>
      <w:r w:rsidRPr="00E40993">
        <w:t xml:space="preserve">s aged 65 years and over.  However, there is no evidence that elderly </w:t>
      </w:r>
      <w:r w:rsidR="007C720C">
        <w:t>patient</w:t>
      </w:r>
      <w:r w:rsidRPr="00E40993">
        <w:t xml:space="preserve">s require a different dose than younger adult </w:t>
      </w:r>
      <w:r w:rsidR="007C720C">
        <w:t>patient</w:t>
      </w:r>
      <w:r w:rsidRPr="00E40993">
        <w:t>s (</w:t>
      </w:r>
      <w:r w:rsidRPr="00E40993">
        <w:rPr>
          <w:i/>
        </w:rPr>
        <w:t xml:space="preserve">see Pharmacokinetics – Special </w:t>
      </w:r>
      <w:r w:rsidR="007C720C">
        <w:rPr>
          <w:i/>
        </w:rPr>
        <w:t>Patient</w:t>
      </w:r>
      <w:r w:rsidRPr="00E40993">
        <w:rPr>
          <w:i/>
        </w:rPr>
        <w:t xml:space="preserve"> Populations</w:t>
      </w:r>
      <w:r w:rsidRPr="00E40993">
        <w:t>).</w:t>
      </w:r>
      <w:r w:rsidRPr="00E40993">
        <w:rPr>
          <w:rFonts w:eastAsia="MS Mincho"/>
        </w:rPr>
        <w:t xml:space="preserve"> </w:t>
      </w:r>
      <w:r w:rsidRPr="00E40993">
        <w:t xml:space="preserve">When treating elderly </w:t>
      </w:r>
      <w:r w:rsidR="007C720C">
        <w:t>patient</w:t>
      </w:r>
      <w:r w:rsidRPr="00E40993">
        <w:t>s, consideration needs to be given to the greater frequency of decreased hepatic, renal and cardiac function, concomitant medicinal products or disease.</w:t>
      </w:r>
    </w:p>
    <w:p w:rsidR="00662717" w:rsidRPr="00E40993" w:rsidRDefault="005341BF" w:rsidP="00CF3C5F">
      <w:pPr>
        <w:pStyle w:val="Head3"/>
        <w:rPr>
          <w:rFonts w:eastAsia="MS Mincho"/>
          <w:lang w:eastAsia="en-US"/>
        </w:rPr>
      </w:pPr>
      <w:r w:rsidRPr="00E40993">
        <w:rPr>
          <w:rFonts w:eastAsia="MS Mincho"/>
          <w:lang w:eastAsia="en-US"/>
        </w:rPr>
        <w:t>Renal Impairment</w:t>
      </w:r>
    </w:p>
    <w:p w:rsidR="005341BF" w:rsidRPr="00E40993" w:rsidRDefault="005341BF" w:rsidP="008B4B74">
      <w:pPr>
        <w:rPr>
          <w:rFonts w:eastAsia="MS Mincho"/>
          <w:lang w:val="en-GB" w:eastAsia="en-US"/>
        </w:rPr>
      </w:pPr>
      <w:r w:rsidRPr="00E40993">
        <w:rPr>
          <w:rFonts w:eastAsia="MS Mincho"/>
          <w:lang w:val="en-GB" w:eastAsia="en-US"/>
        </w:rPr>
        <w:t xml:space="preserve">Whilst no dosage adjustment of </w:t>
      </w:r>
      <w:proofErr w:type="spellStart"/>
      <w:r w:rsidRPr="00E40993">
        <w:rPr>
          <w:rFonts w:eastAsia="MS Mincho"/>
          <w:lang w:val="en-GB" w:eastAsia="en-US"/>
        </w:rPr>
        <w:t>dolutegravir</w:t>
      </w:r>
      <w:proofErr w:type="spellEnd"/>
      <w:r w:rsidRPr="00E40993">
        <w:rPr>
          <w:rFonts w:eastAsia="MS Mincho"/>
          <w:lang w:val="en-GB" w:eastAsia="en-US"/>
        </w:rPr>
        <w:t xml:space="preserve"> or </w:t>
      </w:r>
      <w:proofErr w:type="spellStart"/>
      <w:r w:rsidRPr="00E40993">
        <w:rPr>
          <w:rFonts w:eastAsia="MS Mincho"/>
          <w:lang w:val="en-GB" w:eastAsia="en-US"/>
        </w:rPr>
        <w:t>abacavir</w:t>
      </w:r>
      <w:proofErr w:type="spellEnd"/>
      <w:r w:rsidRPr="00E40993">
        <w:rPr>
          <w:rFonts w:eastAsia="MS Mincho"/>
          <w:lang w:val="en-GB" w:eastAsia="en-US"/>
        </w:rPr>
        <w:t xml:space="preserve"> is necessary in </w:t>
      </w:r>
      <w:r w:rsidR="007C720C">
        <w:rPr>
          <w:rFonts w:eastAsia="MS Mincho"/>
          <w:lang w:val="en-GB" w:eastAsia="en-US"/>
        </w:rPr>
        <w:t>patient</w:t>
      </w:r>
      <w:r w:rsidRPr="00E40993">
        <w:rPr>
          <w:rFonts w:eastAsia="MS Mincho"/>
          <w:lang w:val="en-GB" w:eastAsia="en-US"/>
        </w:rPr>
        <w:t xml:space="preserve">s with renal impairment, a dose reduction of lamivudine is required due to decreased clearance. Therefore TRIUMEQ is not recommended for use in </w:t>
      </w:r>
      <w:r w:rsidR="007C720C">
        <w:rPr>
          <w:rFonts w:eastAsia="MS Mincho"/>
          <w:lang w:val="en-GB" w:eastAsia="en-US"/>
        </w:rPr>
        <w:t>patient</w:t>
      </w:r>
      <w:r w:rsidRPr="00E40993">
        <w:rPr>
          <w:rFonts w:eastAsia="MS Mincho"/>
          <w:lang w:val="en-GB" w:eastAsia="en-US"/>
        </w:rPr>
        <w:t>s with a creatinine clearance less than 50 ml/min (</w:t>
      </w:r>
      <w:r w:rsidRPr="00E40993">
        <w:rPr>
          <w:rFonts w:eastAsia="MS Mincho"/>
          <w:i/>
          <w:lang w:val="en-GB" w:eastAsia="en-US"/>
        </w:rPr>
        <w:t xml:space="preserve">see Pharmacokinetics – Special </w:t>
      </w:r>
      <w:r w:rsidR="007C720C">
        <w:rPr>
          <w:rFonts w:eastAsia="MS Mincho"/>
          <w:i/>
          <w:lang w:val="en-GB" w:eastAsia="en-US"/>
        </w:rPr>
        <w:t>Patient</w:t>
      </w:r>
      <w:r w:rsidRPr="00E40993">
        <w:rPr>
          <w:rFonts w:eastAsia="MS Mincho"/>
          <w:i/>
          <w:lang w:val="en-GB" w:eastAsia="en-US"/>
        </w:rPr>
        <w:t xml:space="preserve"> Populations</w:t>
      </w:r>
      <w:r w:rsidRPr="00E40993">
        <w:rPr>
          <w:rFonts w:eastAsia="MS Mincho"/>
          <w:lang w:val="en-GB" w:eastAsia="en-US"/>
        </w:rPr>
        <w:t>).</w:t>
      </w:r>
    </w:p>
    <w:p w:rsidR="001D275A" w:rsidRPr="00E40993" w:rsidRDefault="00750029" w:rsidP="00CF3C5F">
      <w:pPr>
        <w:pStyle w:val="Head3"/>
      </w:pPr>
      <w:r w:rsidRPr="00E40993">
        <w:t>Hepatic I</w:t>
      </w:r>
      <w:r w:rsidR="001D275A" w:rsidRPr="00E40993">
        <w:t>mpairment</w:t>
      </w:r>
    </w:p>
    <w:p w:rsidR="005341BF" w:rsidRPr="00E40993" w:rsidRDefault="005341BF" w:rsidP="008B4B74">
      <w:pPr>
        <w:rPr>
          <w:rFonts w:eastAsia="MS Mincho"/>
          <w:lang w:val="en-GB" w:eastAsia="en-US"/>
        </w:rPr>
      </w:pPr>
      <w:r w:rsidRPr="00E40993">
        <w:rPr>
          <w:rFonts w:eastAsia="MS Mincho"/>
          <w:lang w:val="en-GB" w:eastAsia="en-US"/>
        </w:rPr>
        <w:t xml:space="preserve">A dose reduction of </w:t>
      </w:r>
      <w:proofErr w:type="spellStart"/>
      <w:r w:rsidRPr="00E40993">
        <w:rPr>
          <w:rFonts w:eastAsia="MS Mincho"/>
          <w:lang w:val="en-GB" w:eastAsia="en-US"/>
        </w:rPr>
        <w:t>abacavir</w:t>
      </w:r>
      <w:proofErr w:type="spellEnd"/>
      <w:r w:rsidRPr="00E40993">
        <w:rPr>
          <w:rFonts w:eastAsia="MS Mincho"/>
          <w:lang w:val="en-GB" w:eastAsia="en-US"/>
        </w:rPr>
        <w:t xml:space="preserve"> may be required for </w:t>
      </w:r>
      <w:r w:rsidR="007C720C">
        <w:rPr>
          <w:rFonts w:eastAsia="MS Mincho"/>
          <w:lang w:val="en-GB" w:eastAsia="en-US"/>
        </w:rPr>
        <w:t>patient</w:t>
      </w:r>
      <w:r w:rsidRPr="00E40993">
        <w:rPr>
          <w:rFonts w:eastAsia="MS Mincho"/>
          <w:lang w:val="en-GB" w:eastAsia="en-US"/>
        </w:rPr>
        <w:t xml:space="preserve">s with mild hepatic impairment (Child-Pugh grade A). As dose reduction is not possible with TRIUMEQ, the separate preparations of </w:t>
      </w:r>
      <w:proofErr w:type="spellStart"/>
      <w:r w:rsidRPr="00E40993">
        <w:rPr>
          <w:rFonts w:eastAsia="MS Mincho"/>
          <w:lang w:val="en-GB" w:eastAsia="en-US"/>
        </w:rPr>
        <w:t>dolutegravir</w:t>
      </w:r>
      <w:proofErr w:type="spellEnd"/>
      <w:r w:rsidRPr="00E40993">
        <w:rPr>
          <w:rFonts w:eastAsia="MS Mincho"/>
          <w:lang w:val="en-GB" w:eastAsia="en-US"/>
        </w:rPr>
        <w:t xml:space="preserve">, </w:t>
      </w:r>
      <w:proofErr w:type="spellStart"/>
      <w:r w:rsidRPr="00E40993">
        <w:rPr>
          <w:rFonts w:eastAsia="MS Mincho"/>
          <w:lang w:val="en-GB" w:eastAsia="en-US"/>
        </w:rPr>
        <w:t>abacavir</w:t>
      </w:r>
      <w:proofErr w:type="spellEnd"/>
      <w:r w:rsidRPr="00E40993">
        <w:rPr>
          <w:rFonts w:eastAsia="MS Mincho"/>
          <w:lang w:val="en-GB" w:eastAsia="en-US"/>
        </w:rPr>
        <w:t xml:space="preserve"> or lamivudine should be used when this is judged necessary.  TRIUMEQ is not recommended in </w:t>
      </w:r>
      <w:r w:rsidR="007C720C">
        <w:rPr>
          <w:rFonts w:eastAsia="MS Mincho"/>
          <w:lang w:val="en-GB" w:eastAsia="en-US"/>
        </w:rPr>
        <w:t>patient</w:t>
      </w:r>
      <w:r w:rsidRPr="00E40993">
        <w:rPr>
          <w:rFonts w:eastAsia="MS Mincho"/>
          <w:lang w:val="en-GB" w:eastAsia="en-US"/>
        </w:rPr>
        <w:t>s with moderate and severe hepatic impairment (Child-Pugh grade B or C) (</w:t>
      </w:r>
      <w:r w:rsidRPr="00E40993">
        <w:rPr>
          <w:rFonts w:eastAsia="MS Mincho"/>
          <w:i/>
          <w:lang w:val="en-GB" w:eastAsia="en-US"/>
        </w:rPr>
        <w:t xml:space="preserve">see Pharmacokinetics – Special </w:t>
      </w:r>
      <w:r w:rsidR="007C720C">
        <w:rPr>
          <w:rFonts w:eastAsia="MS Mincho"/>
          <w:i/>
          <w:lang w:val="en-GB" w:eastAsia="en-US"/>
        </w:rPr>
        <w:t>Patient</w:t>
      </w:r>
      <w:r w:rsidRPr="00E40993">
        <w:rPr>
          <w:rFonts w:eastAsia="MS Mincho"/>
          <w:i/>
          <w:lang w:val="en-GB" w:eastAsia="en-US"/>
        </w:rPr>
        <w:t xml:space="preserve"> Populations</w:t>
      </w:r>
      <w:r w:rsidRPr="00E40993">
        <w:rPr>
          <w:rFonts w:eastAsia="MS Mincho"/>
          <w:lang w:val="en-GB" w:eastAsia="en-US"/>
        </w:rPr>
        <w:t xml:space="preserve">). </w:t>
      </w:r>
    </w:p>
    <w:p w:rsidR="004F640B" w:rsidRPr="00E40993" w:rsidRDefault="002B0485" w:rsidP="002B0485">
      <w:pPr>
        <w:rPr>
          <w:rFonts w:cs="Arial"/>
          <w:color w:val="000000" w:themeColor="text1"/>
          <w:szCs w:val="22"/>
        </w:rPr>
      </w:pPr>
      <w:r w:rsidRPr="00557690">
        <w:rPr>
          <w:rFonts w:eastAsia="MS Mincho"/>
          <w:lang w:eastAsia="en-US"/>
        </w:rPr>
        <w:t xml:space="preserve">Separate preparations of </w:t>
      </w:r>
      <w:proofErr w:type="spellStart"/>
      <w:r w:rsidR="007C779A">
        <w:rPr>
          <w:rFonts w:eastAsia="MS Mincho"/>
          <w:lang w:eastAsia="en-US"/>
        </w:rPr>
        <w:t>dolutegravir</w:t>
      </w:r>
      <w:proofErr w:type="spellEnd"/>
      <w:r w:rsidRPr="00557690">
        <w:rPr>
          <w:rFonts w:eastAsia="MS Mincho"/>
          <w:lang w:eastAsia="en-US"/>
        </w:rPr>
        <w:t xml:space="preserve">, </w:t>
      </w:r>
      <w:proofErr w:type="spellStart"/>
      <w:r w:rsidR="007C779A">
        <w:rPr>
          <w:rFonts w:eastAsia="MS Mincho"/>
          <w:lang w:eastAsia="en-US"/>
        </w:rPr>
        <w:t>abacavir</w:t>
      </w:r>
      <w:proofErr w:type="spellEnd"/>
      <w:r w:rsidRPr="00557690">
        <w:rPr>
          <w:rFonts w:eastAsia="MS Mincho"/>
          <w:lang w:eastAsia="en-US"/>
        </w:rPr>
        <w:t xml:space="preserve"> or </w:t>
      </w:r>
      <w:r w:rsidR="007C779A">
        <w:rPr>
          <w:rFonts w:eastAsia="MS Mincho"/>
          <w:lang w:eastAsia="en-US"/>
        </w:rPr>
        <w:t>lamivudine</w:t>
      </w:r>
      <w:r w:rsidRPr="00557690">
        <w:rPr>
          <w:rFonts w:eastAsia="MS Mincho"/>
          <w:lang w:eastAsia="en-US"/>
        </w:rPr>
        <w:t xml:space="preserve"> should be administered in cases where discontinuation or dose adjustment is indicated. In these cases the physician should refer to the individual product information for these medicinal products.</w:t>
      </w:r>
    </w:p>
    <w:p w:rsidR="000B3F7C" w:rsidRPr="00E40993" w:rsidRDefault="0077380F" w:rsidP="00CF3C5F">
      <w:pPr>
        <w:pStyle w:val="Heading1"/>
      </w:pPr>
      <w:r w:rsidRPr="00E40993">
        <w:t>O</w:t>
      </w:r>
      <w:smartTag w:uri="schemas-GSKSiteLocations-com/fourthcoffee" w:element="flavor">
        <w:r w:rsidRPr="00E40993">
          <w:t>VER</w:t>
        </w:r>
      </w:smartTag>
      <w:r w:rsidRPr="00E40993">
        <w:t>DOSAGE</w:t>
      </w:r>
    </w:p>
    <w:p w:rsidR="0055143F" w:rsidRPr="00E40993" w:rsidRDefault="00750029" w:rsidP="00CF3C5F">
      <w:pPr>
        <w:pStyle w:val="Heading2"/>
      </w:pPr>
      <w:r w:rsidRPr="00E40993">
        <w:t>Symptoms and S</w:t>
      </w:r>
      <w:r w:rsidR="0055143F" w:rsidRPr="00E40993">
        <w:t>igns</w:t>
      </w:r>
    </w:p>
    <w:p w:rsidR="0055143F" w:rsidRPr="00E40993" w:rsidRDefault="0055143F" w:rsidP="008B4B74">
      <w:r w:rsidRPr="00E40993">
        <w:t xml:space="preserve">There is currently limited experience with </w:t>
      </w:r>
      <w:proofErr w:type="spellStart"/>
      <w:r w:rsidRPr="00E40993">
        <w:t>overdosage</w:t>
      </w:r>
      <w:proofErr w:type="spellEnd"/>
      <w:r w:rsidRPr="00E40993">
        <w:t xml:space="preserve"> in </w:t>
      </w:r>
      <w:proofErr w:type="spellStart"/>
      <w:r w:rsidR="00A726E6" w:rsidRPr="00E40993">
        <w:t>dolutegravir</w:t>
      </w:r>
      <w:proofErr w:type="spellEnd"/>
      <w:r w:rsidRPr="00E40993">
        <w:t xml:space="preserve">.  </w:t>
      </w:r>
    </w:p>
    <w:p w:rsidR="0055143F" w:rsidRPr="00E40993" w:rsidRDefault="0055143F" w:rsidP="008B4B74">
      <w:r w:rsidRPr="00E40993">
        <w:t xml:space="preserve">Limited experience of single higher doses (up to 250 mg in healthy </w:t>
      </w:r>
      <w:r w:rsidR="007C720C">
        <w:t>patient</w:t>
      </w:r>
      <w:r w:rsidR="00304016" w:rsidRPr="00E40993">
        <w:t>s</w:t>
      </w:r>
      <w:r w:rsidRPr="00E40993">
        <w:t xml:space="preserve">) revealed no specific symptoms or signs, apart from those listed as adverse reactions.  </w:t>
      </w:r>
    </w:p>
    <w:p w:rsidR="006F7A5E" w:rsidRPr="00E40993" w:rsidRDefault="006F7A5E" w:rsidP="008B4B74">
      <w:pPr>
        <w:rPr>
          <w:lang w:val="en-GB"/>
        </w:rPr>
      </w:pPr>
      <w:r w:rsidRPr="00E40993">
        <w:rPr>
          <w:lang w:val="en-GB"/>
        </w:rPr>
        <w:t xml:space="preserve">No specific symptoms or signs have been identified following acute overdose with </w:t>
      </w:r>
      <w:proofErr w:type="spellStart"/>
      <w:r w:rsidRPr="00E40993">
        <w:rPr>
          <w:lang w:val="en-GB"/>
        </w:rPr>
        <w:t>abacavir</w:t>
      </w:r>
      <w:proofErr w:type="spellEnd"/>
      <w:r w:rsidRPr="00E40993">
        <w:rPr>
          <w:lang w:val="en-GB"/>
        </w:rPr>
        <w:t xml:space="preserve"> or lamivudine, apart from those listed as adverse reactions. </w:t>
      </w:r>
    </w:p>
    <w:p w:rsidR="0055143F" w:rsidRPr="00E40993" w:rsidRDefault="0055143F" w:rsidP="00CF3C5F">
      <w:pPr>
        <w:pStyle w:val="Heading2"/>
      </w:pPr>
      <w:r w:rsidRPr="00E40993">
        <w:t xml:space="preserve">Treatment </w:t>
      </w:r>
    </w:p>
    <w:p w:rsidR="00DA4E7F" w:rsidRPr="00E40993" w:rsidRDefault="00DA4E7F" w:rsidP="008B4B74">
      <w:pPr>
        <w:rPr>
          <w:lang w:val="en-GB"/>
        </w:rPr>
      </w:pPr>
      <w:r w:rsidRPr="00E40993">
        <w:rPr>
          <w:lang w:val="en-GB"/>
        </w:rPr>
        <w:t>Further management should be as clinically indicated or as recommended by the national poisons centre, where available.</w:t>
      </w:r>
    </w:p>
    <w:p w:rsidR="00DA4E7F" w:rsidRPr="00E40993" w:rsidRDefault="00DA4E7F" w:rsidP="008B4B74">
      <w:pPr>
        <w:rPr>
          <w:lang w:val="en-GB"/>
        </w:rPr>
      </w:pPr>
      <w:r w:rsidRPr="00E40993">
        <w:rPr>
          <w:lang w:val="en-GB"/>
        </w:rPr>
        <w:t xml:space="preserve">If overdose occurs, the </w:t>
      </w:r>
      <w:r w:rsidR="007C720C">
        <w:rPr>
          <w:lang w:val="en-GB"/>
        </w:rPr>
        <w:t>patient</w:t>
      </w:r>
      <w:r w:rsidRPr="00E40993">
        <w:rPr>
          <w:lang w:val="en-GB"/>
        </w:rPr>
        <w:t xml:space="preserve"> should be treated supportively with appropriate monitoring as necessary. Since lamivudine is </w:t>
      </w:r>
      <w:proofErr w:type="spellStart"/>
      <w:r w:rsidRPr="00E40993">
        <w:rPr>
          <w:lang w:val="en-GB"/>
        </w:rPr>
        <w:t>dialysable</w:t>
      </w:r>
      <w:proofErr w:type="spellEnd"/>
      <w:r w:rsidRPr="00E40993">
        <w:rPr>
          <w:lang w:val="en-GB"/>
        </w:rPr>
        <w:t xml:space="preserve">, continuous haemodialysis could be used in the treatment of overdose, although this has not been studied. It is not known whether </w:t>
      </w:r>
      <w:proofErr w:type="spellStart"/>
      <w:r w:rsidRPr="00E40993">
        <w:rPr>
          <w:lang w:val="en-GB"/>
        </w:rPr>
        <w:t>abacavir</w:t>
      </w:r>
      <w:proofErr w:type="spellEnd"/>
      <w:r w:rsidRPr="00E40993">
        <w:rPr>
          <w:lang w:val="en-GB"/>
        </w:rPr>
        <w:t xml:space="preserve"> can be removed by peritoneal dialysis or haemodialysis. As </w:t>
      </w:r>
      <w:proofErr w:type="spellStart"/>
      <w:r w:rsidRPr="00E40993">
        <w:rPr>
          <w:lang w:val="en-GB"/>
        </w:rPr>
        <w:t>dolutegravir</w:t>
      </w:r>
      <w:proofErr w:type="spellEnd"/>
      <w:r w:rsidRPr="00E40993">
        <w:rPr>
          <w:lang w:val="en-GB"/>
        </w:rPr>
        <w:t xml:space="preserve"> is highly bound to plasma proteins, it is unlikely that it will be significantly removed by dialysis.</w:t>
      </w:r>
    </w:p>
    <w:p w:rsidR="004F640B" w:rsidRPr="00E40993" w:rsidRDefault="004F640B" w:rsidP="008B4B74">
      <w:pPr>
        <w:rPr>
          <w:color w:val="000000" w:themeColor="text1"/>
        </w:rPr>
      </w:pPr>
      <w:r w:rsidRPr="00E40993">
        <w:rPr>
          <w:color w:val="000000" w:themeColor="text1"/>
        </w:rPr>
        <w:t>For information on the management of overdose, contact the Poison Information Centre on 131126 (Australia).</w:t>
      </w:r>
    </w:p>
    <w:p w:rsidR="0048071E" w:rsidRPr="00E40993" w:rsidRDefault="0048071E" w:rsidP="008B4B74">
      <w:pPr>
        <w:rPr>
          <w:color w:val="000000" w:themeColor="text1"/>
        </w:rPr>
      </w:pPr>
    </w:p>
    <w:p w:rsidR="0077380F" w:rsidRPr="00E40993" w:rsidRDefault="0077380F" w:rsidP="0045447B">
      <w:pPr>
        <w:pStyle w:val="Heading1"/>
      </w:pPr>
      <w:r w:rsidRPr="00E40993">
        <w:t xml:space="preserve">PRESENTATION </w:t>
      </w:r>
      <w:smartTag w:uri="urn:schemas-microsoft-com:office:smarttags" w:element="stockticker">
        <w:r w:rsidRPr="00E40993">
          <w:t>AND</w:t>
        </w:r>
      </w:smartTag>
      <w:r w:rsidRPr="00E40993">
        <w:t xml:space="preserve"> STORAGE CONDITIONS</w:t>
      </w:r>
    </w:p>
    <w:p w:rsidR="00596CDD" w:rsidRPr="00E40993" w:rsidRDefault="00596CDD" w:rsidP="008B4B74">
      <w:r w:rsidRPr="00E40993">
        <w:rPr>
          <w:rFonts w:cs="Arial"/>
          <w:szCs w:val="22"/>
        </w:rPr>
        <w:t>Purple</w:t>
      </w:r>
      <w:r w:rsidR="0055143F" w:rsidRPr="00E40993">
        <w:rPr>
          <w:rFonts w:cs="Arial"/>
          <w:szCs w:val="22"/>
        </w:rPr>
        <w:t xml:space="preserve">, </w:t>
      </w:r>
      <w:r w:rsidR="00D03547" w:rsidRPr="00E40993">
        <w:rPr>
          <w:rFonts w:cs="Arial"/>
          <w:szCs w:val="22"/>
        </w:rPr>
        <w:t xml:space="preserve">film-coated, </w:t>
      </w:r>
      <w:r w:rsidRPr="00E40993">
        <w:rPr>
          <w:rFonts w:cs="Arial"/>
          <w:szCs w:val="22"/>
        </w:rPr>
        <w:t>oval</w:t>
      </w:r>
      <w:r w:rsidR="0055143F" w:rsidRPr="00E40993">
        <w:rPr>
          <w:rFonts w:cs="Arial"/>
          <w:szCs w:val="22"/>
        </w:rPr>
        <w:t>, biconvex tablets</w:t>
      </w:r>
      <w:r w:rsidR="00A50B9E" w:rsidRPr="00E40993">
        <w:rPr>
          <w:rFonts w:cs="Arial"/>
          <w:szCs w:val="22"/>
        </w:rPr>
        <w:t>,</w:t>
      </w:r>
      <w:r w:rsidR="0055143F" w:rsidRPr="00E40993">
        <w:rPr>
          <w:rFonts w:cs="Arial"/>
          <w:szCs w:val="22"/>
        </w:rPr>
        <w:t xml:space="preserve"> debossed with ‘572</w:t>
      </w:r>
      <w:r w:rsidRPr="00E40993">
        <w:rPr>
          <w:rFonts w:cs="Arial"/>
          <w:szCs w:val="22"/>
        </w:rPr>
        <w:t xml:space="preserve"> Tr</w:t>
      </w:r>
      <w:r w:rsidR="006156C3">
        <w:rPr>
          <w:rFonts w:cs="Arial"/>
          <w:szCs w:val="22"/>
        </w:rPr>
        <w:t>ı</w:t>
      </w:r>
      <w:r w:rsidR="0055143F" w:rsidRPr="00E40993">
        <w:rPr>
          <w:rFonts w:cs="Arial"/>
          <w:szCs w:val="22"/>
        </w:rPr>
        <w:t xml:space="preserve">’ on one side. </w:t>
      </w:r>
      <w:r w:rsidRPr="00E40993">
        <w:rPr>
          <w:szCs w:val="22"/>
        </w:rPr>
        <w:t>Each film-coated tablet contai</w:t>
      </w:r>
      <w:r w:rsidRPr="00E40993">
        <w:t xml:space="preserve">ns 50 mg of </w:t>
      </w:r>
      <w:proofErr w:type="spellStart"/>
      <w:r w:rsidRPr="00E40993">
        <w:t>dolutegravir</w:t>
      </w:r>
      <w:proofErr w:type="spellEnd"/>
      <w:r w:rsidRPr="00E40993">
        <w:t xml:space="preserve"> (as </w:t>
      </w:r>
      <w:proofErr w:type="spellStart"/>
      <w:r w:rsidRPr="00E40993">
        <w:t>dolutegravir</w:t>
      </w:r>
      <w:proofErr w:type="spellEnd"/>
      <w:r w:rsidRPr="00E40993">
        <w:t xml:space="preserve"> sodium), 600 mg of </w:t>
      </w:r>
      <w:proofErr w:type="spellStart"/>
      <w:r w:rsidRPr="00E40993">
        <w:t>abacavir</w:t>
      </w:r>
      <w:proofErr w:type="spellEnd"/>
      <w:r w:rsidRPr="00E40993">
        <w:t xml:space="preserve"> </w:t>
      </w:r>
      <w:r w:rsidR="00CD77AF" w:rsidRPr="00E40993">
        <w:t>(</w:t>
      </w:r>
      <w:r w:rsidRPr="00E40993">
        <w:t xml:space="preserve">as </w:t>
      </w:r>
      <w:proofErr w:type="spellStart"/>
      <w:r w:rsidRPr="00E40993">
        <w:t>abacavir</w:t>
      </w:r>
      <w:proofErr w:type="spellEnd"/>
      <w:r w:rsidRPr="00E40993">
        <w:t xml:space="preserve"> </w:t>
      </w:r>
      <w:r w:rsidR="00CD77AF" w:rsidRPr="00E40993">
        <w:t>sulphate)</w:t>
      </w:r>
      <w:r w:rsidRPr="00E40993">
        <w:t xml:space="preserve"> and 300 mg of lamivudine.</w:t>
      </w:r>
    </w:p>
    <w:p w:rsidR="0055143F" w:rsidRPr="00E40993" w:rsidRDefault="00D209CC" w:rsidP="008B4B74">
      <w:pPr>
        <w:rPr>
          <w:rFonts w:cs="Arial"/>
          <w:szCs w:val="22"/>
        </w:rPr>
      </w:pPr>
      <w:r w:rsidRPr="00E40993">
        <w:rPr>
          <w:rFonts w:cs="Arial"/>
          <w:szCs w:val="22"/>
        </w:rPr>
        <w:t>TRIUMEQ</w:t>
      </w:r>
      <w:r w:rsidR="006A46FE" w:rsidRPr="00E40993">
        <w:rPr>
          <w:rFonts w:cs="Arial"/>
          <w:szCs w:val="22"/>
        </w:rPr>
        <w:t xml:space="preserve"> </w:t>
      </w:r>
      <w:r w:rsidR="00127EFA" w:rsidRPr="00E40993">
        <w:rPr>
          <w:rFonts w:cs="Arial"/>
          <w:szCs w:val="22"/>
        </w:rPr>
        <w:t>tablets are</w:t>
      </w:r>
      <w:r w:rsidR="002E3F26" w:rsidRPr="00E40993">
        <w:rPr>
          <w:rFonts w:cs="Arial"/>
          <w:szCs w:val="22"/>
        </w:rPr>
        <w:t xml:space="preserve"> supplied in </w:t>
      </w:r>
      <w:r w:rsidRPr="00E40993">
        <w:rPr>
          <w:rFonts w:cs="Arial"/>
          <w:szCs w:val="22"/>
        </w:rPr>
        <w:t xml:space="preserve">white </w:t>
      </w:r>
      <w:r w:rsidR="00E8445D" w:rsidRPr="00E40993">
        <w:rPr>
          <w:rFonts w:cs="Arial"/>
          <w:szCs w:val="22"/>
        </w:rPr>
        <w:t>h</w:t>
      </w:r>
      <w:r w:rsidR="002E3F26" w:rsidRPr="00E40993">
        <w:rPr>
          <w:rFonts w:cs="Arial"/>
          <w:szCs w:val="22"/>
        </w:rPr>
        <w:t xml:space="preserve">igh </w:t>
      </w:r>
      <w:r w:rsidR="00E8445D" w:rsidRPr="00E40993">
        <w:rPr>
          <w:rFonts w:cs="Arial"/>
          <w:szCs w:val="22"/>
        </w:rPr>
        <w:t>d</w:t>
      </w:r>
      <w:r w:rsidR="002E3F26" w:rsidRPr="00E40993">
        <w:rPr>
          <w:rFonts w:cs="Arial"/>
          <w:szCs w:val="22"/>
        </w:rPr>
        <w:t xml:space="preserve">ensity </w:t>
      </w:r>
      <w:r w:rsidR="00E8445D" w:rsidRPr="00E40993">
        <w:rPr>
          <w:rFonts w:cs="Arial"/>
          <w:szCs w:val="22"/>
        </w:rPr>
        <w:t>p</w:t>
      </w:r>
      <w:r w:rsidR="002E3F26" w:rsidRPr="00E40993">
        <w:rPr>
          <w:rFonts w:cs="Arial"/>
          <w:szCs w:val="22"/>
        </w:rPr>
        <w:t>olyethylene</w:t>
      </w:r>
      <w:r w:rsidRPr="00E40993">
        <w:rPr>
          <w:rFonts w:cs="Arial"/>
          <w:szCs w:val="22"/>
        </w:rPr>
        <w:t xml:space="preserve"> (HDPE</w:t>
      </w:r>
      <w:r w:rsidR="00101C2D" w:rsidRPr="00E40993">
        <w:rPr>
          <w:rFonts w:cs="Arial"/>
          <w:szCs w:val="22"/>
        </w:rPr>
        <w:t>)</w:t>
      </w:r>
      <w:r w:rsidR="002E3F26" w:rsidRPr="00E40993">
        <w:rPr>
          <w:rFonts w:cs="Arial"/>
          <w:szCs w:val="22"/>
        </w:rPr>
        <w:t xml:space="preserve"> bottles </w:t>
      </w:r>
      <w:r w:rsidR="00EF0911">
        <w:rPr>
          <w:rFonts w:cs="Arial"/>
          <w:szCs w:val="22"/>
        </w:rPr>
        <w:t xml:space="preserve">with child resistant closure packs </w:t>
      </w:r>
      <w:r w:rsidR="006866BA" w:rsidRPr="00E40993">
        <w:rPr>
          <w:rFonts w:cs="Arial"/>
          <w:szCs w:val="22"/>
        </w:rPr>
        <w:t>containing 30 tablets.</w:t>
      </w:r>
    </w:p>
    <w:p w:rsidR="005056FE" w:rsidRPr="00E40993" w:rsidRDefault="00A74A84" w:rsidP="008B4B74">
      <w:pPr>
        <w:rPr>
          <w:lang w:val="en-GB"/>
        </w:rPr>
      </w:pPr>
      <w:r w:rsidRPr="00E40993">
        <w:t>Store below</w:t>
      </w:r>
      <w:r w:rsidR="00AB392D" w:rsidRPr="00E40993">
        <w:t xml:space="preserve"> 30°C.</w:t>
      </w:r>
      <w:r w:rsidR="004F503C" w:rsidRPr="00E40993">
        <w:t xml:space="preserve"> </w:t>
      </w:r>
      <w:r w:rsidR="005056FE" w:rsidRPr="00E40993">
        <w:rPr>
          <w:lang w:val="en-GB"/>
        </w:rPr>
        <w:t>Store in the original package in order to protect from moisture. Keep the bottle tightly closed. Do not remove the desiccant.</w:t>
      </w:r>
    </w:p>
    <w:p w:rsidR="00815E4A" w:rsidRPr="00E40993" w:rsidRDefault="00815E4A" w:rsidP="0055143F">
      <w:pPr>
        <w:spacing w:before="120" w:after="240"/>
        <w:rPr>
          <w:rFonts w:cs="Arial"/>
          <w:b/>
          <w:color w:val="000000" w:themeColor="text1"/>
          <w:szCs w:val="22"/>
        </w:rPr>
      </w:pPr>
    </w:p>
    <w:p w:rsidR="0077380F" w:rsidRPr="00E40993" w:rsidRDefault="0077380F" w:rsidP="0045447B">
      <w:pPr>
        <w:pStyle w:val="Heading1"/>
      </w:pPr>
      <w:r w:rsidRPr="00E40993">
        <w:t xml:space="preserve">NAME </w:t>
      </w:r>
      <w:smartTag w:uri="urn:schemas-microsoft-com:office:smarttags" w:element="stockticker">
        <w:r w:rsidRPr="00E40993">
          <w:t>AND</w:t>
        </w:r>
      </w:smartTag>
      <w:r w:rsidRPr="00E40993">
        <w:t xml:space="preserve"> ADDRESS OF THE SPONSOR</w:t>
      </w:r>
    </w:p>
    <w:p w:rsidR="003A21A0" w:rsidRPr="00E40993" w:rsidRDefault="0055143F" w:rsidP="008B4B74">
      <w:proofErr w:type="spellStart"/>
      <w:r w:rsidRPr="00E40993">
        <w:t>ViiV</w:t>
      </w:r>
      <w:proofErr w:type="spellEnd"/>
      <w:r w:rsidRPr="00E40993">
        <w:t xml:space="preserve"> Healthcare</w:t>
      </w:r>
      <w:r w:rsidR="003A21A0" w:rsidRPr="00E40993">
        <w:t xml:space="preserve"> Pty Ltd,</w:t>
      </w:r>
    </w:p>
    <w:p w:rsidR="003A21A0" w:rsidRPr="00E40993" w:rsidRDefault="003A21A0" w:rsidP="008B4B74">
      <w:pPr>
        <w:rPr>
          <w:rStyle w:val="HTMLTypewriter"/>
          <w:rFonts w:ascii="Arial" w:hAnsi="Arial" w:cs="Arial"/>
          <w:color w:val="000000" w:themeColor="text1"/>
          <w:sz w:val="22"/>
          <w:szCs w:val="22"/>
        </w:rPr>
      </w:pPr>
      <w:r w:rsidRPr="00E40993">
        <w:rPr>
          <w:rStyle w:val="HTMLTypewriter"/>
          <w:rFonts w:ascii="Arial" w:hAnsi="Arial" w:cs="Arial"/>
          <w:color w:val="000000" w:themeColor="text1"/>
          <w:sz w:val="22"/>
          <w:szCs w:val="22"/>
        </w:rPr>
        <w:t xml:space="preserve">Level 4, 436 Johnston Street, </w:t>
      </w:r>
    </w:p>
    <w:p w:rsidR="003A21A0" w:rsidRPr="00E40993" w:rsidRDefault="003A21A0" w:rsidP="008B4B74">
      <w:r w:rsidRPr="00E40993">
        <w:rPr>
          <w:rStyle w:val="HTMLTypewriter"/>
          <w:rFonts w:ascii="Arial" w:hAnsi="Arial" w:cs="Arial"/>
          <w:color w:val="000000" w:themeColor="text1"/>
          <w:sz w:val="22"/>
          <w:szCs w:val="22"/>
        </w:rPr>
        <w:t>Abbotsford, Victoria, 3067</w:t>
      </w:r>
    </w:p>
    <w:p w:rsidR="00053893" w:rsidRPr="00E40993" w:rsidRDefault="00E60B01" w:rsidP="0045447B">
      <w:pPr>
        <w:pStyle w:val="Heading1"/>
      </w:pPr>
      <w:r>
        <w:br/>
      </w:r>
      <w:r w:rsidR="00D06FFC" w:rsidRPr="00E40993">
        <w:t>POISON SCHEDULE OF THE MEDICINE</w:t>
      </w:r>
    </w:p>
    <w:p w:rsidR="00571510" w:rsidRPr="00E40993" w:rsidRDefault="00053893" w:rsidP="008B4B74">
      <w:r w:rsidRPr="00E40993">
        <w:t>Schedule 4 – Prescription Only Medicine</w:t>
      </w:r>
      <w:r w:rsidR="00571510" w:rsidRPr="00E40993">
        <w:t xml:space="preserve"> </w:t>
      </w:r>
    </w:p>
    <w:p w:rsidR="00AC3812" w:rsidRDefault="004F640B" w:rsidP="0055143F">
      <w:pPr>
        <w:pStyle w:val="Heading4"/>
        <w:rPr>
          <w:rFonts w:ascii="Arial" w:hAnsi="Arial" w:cs="Arial"/>
          <w:b w:val="0"/>
          <w:color w:val="000000" w:themeColor="text1"/>
          <w:sz w:val="22"/>
          <w:szCs w:val="22"/>
        </w:rPr>
      </w:pPr>
      <w:r w:rsidRPr="00E40993">
        <w:rPr>
          <w:rFonts w:ascii="Arial" w:hAnsi="Arial" w:cs="Arial"/>
          <w:color w:val="000000" w:themeColor="text1"/>
          <w:sz w:val="22"/>
          <w:szCs w:val="22"/>
        </w:rPr>
        <w:t xml:space="preserve">Date of </w:t>
      </w:r>
      <w:r w:rsidR="00BC0276" w:rsidRPr="00E40993">
        <w:rPr>
          <w:rFonts w:ascii="Arial" w:hAnsi="Arial" w:cs="Arial"/>
          <w:color w:val="000000" w:themeColor="text1"/>
          <w:sz w:val="22"/>
          <w:szCs w:val="22"/>
        </w:rPr>
        <w:t>f</w:t>
      </w:r>
      <w:r w:rsidRPr="00E40993">
        <w:rPr>
          <w:rFonts w:ascii="Arial" w:hAnsi="Arial" w:cs="Arial"/>
          <w:color w:val="000000" w:themeColor="text1"/>
          <w:sz w:val="22"/>
          <w:szCs w:val="22"/>
        </w:rPr>
        <w:t xml:space="preserve">irst inclusion in the Australian Register of Therapeutic Goods (the ARTG): </w:t>
      </w:r>
      <w:r w:rsidR="009C7D8A">
        <w:rPr>
          <w:rFonts w:ascii="Arial" w:hAnsi="Arial" w:cs="Arial"/>
          <w:b w:val="0"/>
          <w:color w:val="000000" w:themeColor="text1"/>
          <w:sz w:val="22"/>
          <w:szCs w:val="22"/>
        </w:rPr>
        <w:t>1</w:t>
      </w:r>
      <w:r w:rsidR="00887AE3">
        <w:rPr>
          <w:rFonts w:ascii="Arial" w:hAnsi="Arial" w:cs="Arial"/>
          <w:b w:val="0"/>
          <w:color w:val="000000" w:themeColor="text1"/>
          <w:sz w:val="22"/>
          <w:szCs w:val="22"/>
        </w:rPr>
        <w:t>4</w:t>
      </w:r>
      <w:r w:rsidR="009C7D8A">
        <w:rPr>
          <w:rFonts w:ascii="Arial" w:hAnsi="Arial" w:cs="Arial"/>
          <w:b w:val="0"/>
          <w:color w:val="000000" w:themeColor="text1"/>
          <w:sz w:val="22"/>
          <w:szCs w:val="22"/>
        </w:rPr>
        <w:t xml:space="preserve"> January 2015</w:t>
      </w:r>
    </w:p>
    <w:p w:rsidR="009C7D8A" w:rsidRPr="009C7D8A" w:rsidRDefault="009C7D8A" w:rsidP="009C7D8A"/>
    <w:p w:rsidR="00D37BE1" w:rsidRPr="00E40993" w:rsidRDefault="00D37BE1" w:rsidP="0055143F">
      <w:pPr>
        <w:spacing w:after="240"/>
        <w:rPr>
          <w:rFonts w:cs="Arial"/>
          <w:b/>
          <w:color w:val="000000" w:themeColor="text1"/>
          <w:szCs w:val="22"/>
        </w:rPr>
      </w:pPr>
      <w:r w:rsidRPr="00E40993">
        <w:rPr>
          <w:rFonts w:cs="Arial"/>
          <w:b/>
          <w:color w:val="000000" w:themeColor="text1"/>
          <w:szCs w:val="22"/>
        </w:rPr>
        <w:t>Date of most recent amendment:</w:t>
      </w:r>
      <w:r w:rsidRPr="00E40993">
        <w:rPr>
          <w:rFonts w:cs="Arial"/>
          <w:b/>
          <w:color w:val="000000" w:themeColor="text1"/>
          <w:szCs w:val="22"/>
        </w:rPr>
        <w:tab/>
      </w:r>
      <w:r w:rsidR="00887AE3">
        <w:rPr>
          <w:rFonts w:cs="Arial"/>
          <w:color w:val="000000" w:themeColor="text1"/>
          <w:szCs w:val="22"/>
        </w:rPr>
        <w:t>N/A</w:t>
      </w:r>
    </w:p>
    <w:p w:rsidR="005D14FF" w:rsidRPr="00CF4E15" w:rsidRDefault="0055143F" w:rsidP="00AC3812">
      <w:pPr>
        <w:spacing w:after="240"/>
        <w:rPr>
          <w:rFonts w:cs="Arial"/>
          <w:color w:val="000000" w:themeColor="text1"/>
          <w:szCs w:val="22"/>
        </w:rPr>
      </w:pPr>
      <w:r w:rsidRPr="00E40993">
        <w:rPr>
          <w:rFonts w:cs="Arial"/>
          <w:color w:val="000000" w:themeColor="text1"/>
          <w:szCs w:val="22"/>
        </w:rPr>
        <w:t>T</w:t>
      </w:r>
      <w:r w:rsidR="00596CDD" w:rsidRPr="00E40993">
        <w:rPr>
          <w:rFonts w:cs="Arial"/>
          <w:color w:val="000000" w:themeColor="text1"/>
          <w:szCs w:val="22"/>
        </w:rPr>
        <w:t>RIUMEQ</w:t>
      </w:r>
      <w:r w:rsidR="00197554" w:rsidRPr="00E40993">
        <w:rPr>
          <w:rFonts w:cs="Arial"/>
          <w:color w:val="000000" w:themeColor="text1"/>
          <w:szCs w:val="22"/>
        </w:rPr>
        <w:t xml:space="preserve">, </w:t>
      </w:r>
      <w:r w:rsidR="00C72325">
        <w:rPr>
          <w:rFonts w:cs="Arial"/>
          <w:color w:val="000000" w:themeColor="text1"/>
          <w:szCs w:val="22"/>
        </w:rPr>
        <w:t xml:space="preserve">TIVICAY, </w:t>
      </w:r>
      <w:r w:rsidR="00197554" w:rsidRPr="00E40993">
        <w:rPr>
          <w:rFonts w:cs="Arial"/>
          <w:color w:val="000000" w:themeColor="text1"/>
          <w:szCs w:val="22"/>
        </w:rPr>
        <w:t>KIVEXA,</w:t>
      </w:r>
      <w:r w:rsidR="009C0402" w:rsidRPr="00E40993">
        <w:rPr>
          <w:rFonts w:cs="Arial"/>
          <w:color w:val="000000" w:themeColor="text1"/>
          <w:szCs w:val="22"/>
        </w:rPr>
        <w:t xml:space="preserve"> </w:t>
      </w:r>
      <w:r w:rsidR="00AD4A74" w:rsidRPr="00E40993">
        <w:rPr>
          <w:rFonts w:cs="Arial"/>
          <w:color w:val="000000" w:themeColor="text1"/>
          <w:szCs w:val="22"/>
        </w:rPr>
        <w:t xml:space="preserve">3TC, </w:t>
      </w:r>
      <w:r w:rsidR="00197554" w:rsidRPr="00E40993">
        <w:rPr>
          <w:rFonts w:cs="Arial"/>
          <w:color w:val="000000" w:themeColor="text1"/>
          <w:szCs w:val="22"/>
        </w:rPr>
        <w:t>TRIZIVIR, ZIAGEN</w:t>
      </w:r>
      <w:r w:rsidR="009C0402" w:rsidRPr="00E40993">
        <w:rPr>
          <w:rFonts w:cs="Arial"/>
          <w:color w:val="000000" w:themeColor="text1"/>
          <w:szCs w:val="22"/>
        </w:rPr>
        <w:t xml:space="preserve"> are</w:t>
      </w:r>
      <w:r w:rsidR="005D14FF" w:rsidRPr="00E40993">
        <w:rPr>
          <w:rFonts w:cs="Arial"/>
          <w:color w:val="000000" w:themeColor="text1"/>
          <w:szCs w:val="22"/>
        </w:rPr>
        <w:t xml:space="preserve"> registered </w:t>
      </w:r>
      <w:proofErr w:type="spellStart"/>
      <w:r w:rsidR="005D14FF" w:rsidRPr="00E40993">
        <w:rPr>
          <w:rFonts w:cs="Arial"/>
          <w:color w:val="000000" w:themeColor="text1"/>
          <w:szCs w:val="22"/>
        </w:rPr>
        <w:t>trade mark</w:t>
      </w:r>
      <w:r w:rsidR="009C0402" w:rsidRPr="00E40993">
        <w:rPr>
          <w:rFonts w:cs="Arial"/>
          <w:color w:val="000000" w:themeColor="text1"/>
          <w:szCs w:val="22"/>
        </w:rPr>
        <w:t>s</w:t>
      </w:r>
      <w:proofErr w:type="spellEnd"/>
      <w:r w:rsidR="005D14FF" w:rsidRPr="00E40993">
        <w:rPr>
          <w:rFonts w:cs="Arial"/>
          <w:color w:val="000000" w:themeColor="text1"/>
          <w:szCs w:val="22"/>
        </w:rPr>
        <w:t xml:space="preserve"> of </w:t>
      </w:r>
      <w:r w:rsidR="00625EF6" w:rsidRPr="00E40993">
        <w:rPr>
          <w:rFonts w:cs="Arial"/>
          <w:color w:val="000000" w:themeColor="text1"/>
          <w:szCs w:val="22"/>
        </w:rPr>
        <w:t xml:space="preserve">the </w:t>
      </w:r>
      <w:proofErr w:type="spellStart"/>
      <w:r w:rsidRPr="00E40993">
        <w:rPr>
          <w:rFonts w:cs="Arial"/>
          <w:color w:val="000000" w:themeColor="text1"/>
          <w:szCs w:val="22"/>
        </w:rPr>
        <w:t>ViiV</w:t>
      </w:r>
      <w:proofErr w:type="spellEnd"/>
      <w:r w:rsidRPr="00E40993">
        <w:rPr>
          <w:rFonts w:cs="Arial"/>
          <w:color w:val="000000" w:themeColor="text1"/>
          <w:szCs w:val="22"/>
        </w:rPr>
        <w:t xml:space="preserve"> Healthcare</w:t>
      </w:r>
      <w:r w:rsidR="00625EF6" w:rsidRPr="00E40993">
        <w:rPr>
          <w:rFonts w:cs="Arial"/>
          <w:color w:val="000000" w:themeColor="text1"/>
          <w:szCs w:val="22"/>
        </w:rPr>
        <w:t xml:space="preserve"> Group of Companies</w:t>
      </w:r>
      <w:r w:rsidR="0085442C" w:rsidRPr="00E40993">
        <w:rPr>
          <w:rFonts w:cs="Arial"/>
          <w:color w:val="000000" w:themeColor="text1"/>
          <w:szCs w:val="22"/>
        </w:rPr>
        <w:t>.</w:t>
      </w:r>
    </w:p>
    <w:p w:rsidR="00C8561F" w:rsidRPr="00CF4E15" w:rsidRDefault="004F640B" w:rsidP="008B4B74">
      <w:r w:rsidRPr="00CF4E15">
        <w:t xml:space="preserve">Version </w:t>
      </w:r>
      <w:r w:rsidR="00C75187" w:rsidRPr="00CF4E15">
        <w:t>1.0</w:t>
      </w:r>
    </w:p>
    <w:sectPr w:rsidR="00C8561F" w:rsidRPr="00CF4E15" w:rsidSect="00C556BA">
      <w:headerReference w:type="default" r:id="rId13"/>
      <w:footerReference w:type="default" r:id="rId14"/>
      <w:pgSz w:w="11906" w:h="16838" w:code="9"/>
      <w:pgMar w:top="1440" w:right="1540" w:bottom="1440" w:left="1540" w:header="720" w:footer="720" w:gutter="0"/>
      <w:paperSrc w:first="4"/>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F81" w:rsidRDefault="00BD1F81" w:rsidP="007E0C5E">
      <w:r>
        <w:separator/>
      </w:r>
    </w:p>
  </w:endnote>
  <w:endnote w:type="continuationSeparator" w:id="0">
    <w:p w:rsidR="00BD1F81" w:rsidRDefault="00BD1F81" w:rsidP="007E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G Times (W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1A" w:rsidRPr="00E8070F" w:rsidRDefault="00176B1A" w:rsidP="00AD2C82">
    <w:pPr>
      <w:pStyle w:val="Footer"/>
      <w:tabs>
        <w:tab w:val="clear" w:pos="8306"/>
        <w:tab w:val="right" w:pos="8880"/>
      </w:tabs>
      <w:spacing w:before="240"/>
      <w:rPr>
        <w:rFonts w:cs="Arial"/>
        <w:szCs w:val="16"/>
      </w:rPr>
    </w:pPr>
    <w:r w:rsidRPr="005D14FF">
      <w:rPr>
        <w:rFonts w:cs="Arial"/>
        <w:sz w:val="16"/>
        <w:szCs w:val="16"/>
      </w:rPr>
      <w:tab/>
    </w:r>
    <w:r w:rsidR="0060712B" w:rsidRPr="00E8070F">
      <w:rPr>
        <w:rStyle w:val="PageNumber"/>
        <w:rFonts w:cs="Arial"/>
        <w:szCs w:val="16"/>
      </w:rPr>
      <w:fldChar w:fldCharType="begin"/>
    </w:r>
    <w:r w:rsidRPr="00E8070F">
      <w:rPr>
        <w:rStyle w:val="PageNumber"/>
        <w:rFonts w:cs="Arial"/>
        <w:szCs w:val="16"/>
      </w:rPr>
      <w:instrText xml:space="preserve"> PAGE </w:instrText>
    </w:r>
    <w:r w:rsidR="0060712B" w:rsidRPr="00E8070F">
      <w:rPr>
        <w:rStyle w:val="PageNumber"/>
        <w:rFonts w:cs="Arial"/>
        <w:szCs w:val="16"/>
      </w:rPr>
      <w:fldChar w:fldCharType="separate"/>
    </w:r>
    <w:r w:rsidR="008D5772">
      <w:rPr>
        <w:rStyle w:val="PageNumber"/>
        <w:rFonts w:cs="Arial"/>
        <w:noProof/>
        <w:szCs w:val="16"/>
      </w:rPr>
      <w:t>1</w:t>
    </w:r>
    <w:r w:rsidR="0060712B" w:rsidRPr="00E8070F">
      <w:rPr>
        <w:rStyle w:val="PageNumber"/>
        <w:rFonts w:cs="Arial"/>
        <w:szCs w:val="16"/>
      </w:rPr>
      <w:fldChar w:fldCharType="end"/>
    </w:r>
    <w:r w:rsidRPr="00E8070F">
      <w:rPr>
        <w:rStyle w:val="PageNumber"/>
        <w:rFonts w:cs="Arial"/>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F81" w:rsidRDefault="00BD1F81" w:rsidP="007E0C5E">
      <w:r>
        <w:separator/>
      </w:r>
    </w:p>
  </w:footnote>
  <w:footnote w:type="continuationSeparator" w:id="0">
    <w:p w:rsidR="00BD1F81" w:rsidRDefault="00BD1F81" w:rsidP="007E0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7126B0" w:rsidRPr="007126B0" w:rsidTr="00150505">
      <w:tc>
        <w:tcPr>
          <w:tcW w:w="8720" w:type="dxa"/>
          <w:shd w:val="clear" w:color="auto" w:fill="E4F2E0"/>
        </w:tcPr>
        <w:p w:rsidR="007126B0" w:rsidRPr="008D5772" w:rsidRDefault="007126B0" w:rsidP="00150505">
          <w:pPr>
            <w:spacing w:before="40" w:after="40"/>
            <w:rPr>
              <w:rFonts w:ascii="Cambria" w:hAnsi="Cambria"/>
              <w:b/>
              <w:sz w:val="20"/>
            </w:rPr>
          </w:pPr>
          <w:r w:rsidRPr="008D5772">
            <w:rPr>
              <w:rFonts w:ascii="Cambria" w:hAnsi="Cambria"/>
              <w:b/>
              <w:sz w:val="20"/>
            </w:rPr>
            <w:t xml:space="preserve">Attachment 1: Product information for AusPAR </w:t>
          </w:r>
          <w:proofErr w:type="spellStart"/>
          <w:r w:rsidRPr="008D5772">
            <w:rPr>
              <w:rFonts w:ascii="Cambria" w:hAnsi="Cambria"/>
              <w:b/>
              <w:sz w:val="20"/>
            </w:rPr>
            <w:t>Triumeq</w:t>
          </w:r>
          <w:proofErr w:type="spellEnd"/>
          <w:r w:rsidRPr="008D5772">
            <w:rPr>
              <w:rFonts w:ascii="Cambria" w:hAnsi="Cambria"/>
              <w:b/>
              <w:sz w:val="20"/>
            </w:rPr>
            <w:t xml:space="preserve"> </w:t>
          </w:r>
          <w:proofErr w:type="spellStart"/>
          <w:r w:rsidRPr="008D5772">
            <w:rPr>
              <w:rFonts w:ascii="Cambria" w:hAnsi="Cambria"/>
              <w:b/>
              <w:sz w:val="20"/>
            </w:rPr>
            <w:t>Dolutegravir</w:t>
          </w:r>
          <w:proofErr w:type="spellEnd"/>
          <w:r w:rsidRPr="008D5772">
            <w:rPr>
              <w:rFonts w:ascii="Cambria" w:hAnsi="Cambria"/>
              <w:b/>
              <w:sz w:val="20"/>
            </w:rPr>
            <w:t xml:space="preserve"> sodium/</w:t>
          </w:r>
          <w:proofErr w:type="spellStart"/>
          <w:r w:rsidRPr="008D5772">
            <w:rPr>
              <w:rFonts w:ascii="Cambria" w:hAnsi="Cambria"/>
              <w:b/>
              <w:sz w:val="20"/>
            </w:rPr>
            <w:t>abacavir</w:t>
          </w:r>
          <w:proofErr w:type="spellEnd"/>
          <w:r w:rsidRPr="008D5772">
            <w:rPr>
              <w:rFonts w:ascii="Cambria" w:hAnsi="Cambria"/>
              <w:b/>
              <w:sz w:val="20"/>
            </w:rPr>
            <w:t xml:space="preserve"> </w:t>
          </w:r>
          <w:proofErr w:type="spellStart"/>
          <w:r w:rsidRPr="008D5772">
            <w:rPr>
              <w:rFonts w:ascii="Cambria" w:hAnsi="Cambria"/>
              <w:b/>
              <w:sz w:val="20"/>
            </w:rPr>
            <w:t>sulfate</w:t>
          </w:r>
          <w:proofErr w:type="spellEnd"/>
          <w:r w:rsidRPr="008D5772">
            <w:rPr>
              <w:rFonts w:ascii="Cambria" w:hAnsi="Cambria"/>
              <w:b/>
              <w:sz w:val="20"/>
            </w:rPr>
            <w:t xml:space="preserve">/lamivudine </w:t>
          </w:r>
          <w:proofErr w:type="spellStart"/>
          <w:r w:rsidRPr="008D5772">
            <w:rPr>
              <w:rFonts w:ascii="Cambria" w:hAnsi="Cambria"/>
              <w:b/>
              <w:sz w:val="20"/>
            </w:rPr>
            <w:t>ViiV</w:t>
          </w:r>
          <w:proofErr w:type="spellEnd"/>
          <w:r w:rsidRPr="008D5772">
            <w:rPr>
              <w:rFonts w:ascii="Cambria" w:hAnsi="Cambria"/>
              <w:b/>
              <w:sz w:val="20"/>
            </w:rPr>
            <w:t xml:space="preserve"> Healthcare Pty Ltd PM-2013-04112-1-2 19 May 2015. This Product Information was approved at the time this AusPAR was published.</w:t>
          </w:r>
        </w:p>
      </w:tc>
    </w:tr>
  </w:tbl>
  <w:p w:rsidR="007126B0" w:rsidRDefault="00712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62EC"/>
    <w:multiLevelType w:val="multilevel"/>
    <w:tmpl w:val="9D38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F102E"/>
    <w:multiLevelType w:val="hybridMultilevel"/>
    <w:tmpl w:val="EA568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3A031A"/>
    <w:multiLevelType w:val="multilevel"/>
    <w:tmpl w:val="7A0A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462E8"/>
    <w:multiLevelType w:val="multilevel"/>
    <w:tmpl w:val="6A7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D67AE5"/>
    <w:multiLevelType w:val="hybridMultilevel"/>
    <w:tmpl w:val="C1CC691E"/>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18BF7AB6"/>
    <w:multiLevelType w:val="multilevel"/>
    <w:tmpl w:val="FA0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CD6691"/>
    <w:multiLevelType w:val="multilevel"/>
    <w:tmpl w:val="1B167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59349F"/>
    <w:multiLevelType w:val="multilevel"/>
    <w:tmpl w:val="F6BE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F31B8D"/>
    <w:multiLevelType w:val="hybridMultilevel"/>
    <w:tmpl w:val="71707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5256FC"/>
    <w:multiLevelType w:val="multilevel"/>
    <w:tmpl w:val="B8C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11">
    <w:nsid w:val="36354D2E"/>
    <w:multiLevelType w:val="hybridMultilevel"/>
    <w:tmpl w:val="5CA8F6C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nsid w:val="39983C65"/>
    <w:multiLevelType w:val="multilevel"/>
    <w:tmpl w:val="5DD04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937210"/>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4F7C09"/>
    <w:multiLevelType w:val="multilevel"/>
    <w:tmpl w:val="5B74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FC4BFE"/>
    <w:multiLevelType w:val="hybridMultilevel"/>
    <w:tmpl w:val="1924C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2C6AD2"/>
    <w:multiLevelType w:val="hybridMultilevel"/>
    <w:tmpl w:val="71B49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hint="default"/>
      </w:rPr>
    </w:lvl>
  </w:abstractNum>
  <w:abstractNum w:abstractNumId="18">
    <w:nsid w:val="497439B9"/>
    <w:multiLevelType w:val="multilevel"/>
    <w:tmpl w:val="776A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0135FE"/>
    <w:multiLevelType w:val="multilevel"/>
    <w:tmpl w:val="053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955171"/>
    <w:multiLevelType w:val="multilevel"/>
    <w:tmpl w:val="3A183D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5BC5AF1"/>
    <w:multiLevelType w:val="hybridMultilevel"/>
    <w:tmpl w:val="31CA6A24"/>
    <w:lvl w:ilvl="0" w:tplc="78B656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89068D"/>
    <w:multiLevelType w:val="hybridMultilevel"/>
    <w:tmpl w:val="0D8CF0A2"/>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nsid w:val="68566F33"/>
    <w:multiLevelType w:val="multilevel"/>
    <w:tmpl w:val="6BAE8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DE616F"/>
    <w:multiLevelType w:val="multilevel"/>
    <w:tmpl w:val="667E7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615C46"/>
    <w:multiLevelType w:val="multilevel"/>
    <w:tmpl w:val="5498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CB0AB5"/>
    <w:multiLevelType w:val="hybridMultilevel"/>
    <w:tmpl w:val="03C4C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F006623"/>
    <w:multiLevelType w:val="multilevel"/>
    <w:tmpl w:val="43C2F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5"/>
  </w:num>
  <w:num w:numId="3">
    <w:abstractNumId w:val="21"/>
  </w:num>
  <w:num w:numId="4">
    <w:abstractNumId w:val="18"/>
  </w:num>
  <w:num w:numId="5">
    <w:abstractNumId w:val="5"/>
  </w:num>
  <w:num w:numId="6">
    <w:abstractNumId w:val="20"/>
  </w:num>
  <w:num w:numId="7">
    <w:abstractNumId w:val="28"/>
  </w:num>
  <w:num w:numId="8">
    <w:abstractNumId w:val="9"/>
  </w:num>
  <w:num w:numId="9">
    <w:abstractNumId w:val="3"/>
  </w:num>
  <w:num w:numId="10">
    <w:abstractNumId w:val="26"/>
  </w:num>
  <w:num w:numId="11">
    <w:abstractNumId w:val="24"/>
  </w:num>
  <w:num w:numId="12">
    <w:abstractNumId w:val="7"/>
  </w:num>
  <w:num w:numId="13">
    <w:abstractNumId w:val="12"/>
  </w:num>
  <w:num w:numId="14">
    <w:abstractNumId w:val="0"/>
  </w:num>
  <w:num w:numId="15">
    <w:abstractNumId w:val="6"/>
  </w:num>
  <w:num w:numId="16">
    <w:abstractNumId w:val="2"/>
  </w:num>
  <w:num w:numId="17">
    <w:abstractNumId w:val="14"/>
  </w:num>
  <w:num w:numId="18">
    <w:abstractNumId w:val="16"/>
  </w:num>
  <w:num w:numId="19">
    <w:abstractNumId w:val="10"/>
  </w:num>
  <w:num w:numId="20">
    <w:abstractNumId w:val="15"/>
  </w:num>
  <w:num w:numId="21">
    <w:abstractNumId w:val="27"/>
  </w:num>
  <w:num w:numId="22">
    <w:abstractNumId w:val="1"/>
  </w:num>
  <w:num w:numId="23">
    <w:abstractNumId w:val="19"/>
  </w:num>
  <w:num w:numId="24">
    <w:abstractNumId w:val="2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80F"/>
    <w:rsid w:val="000011AB"/>
    <w:rsid w:val="000015D0"/>
    <w:rsid w:val="00001FC7"/>
    <w:rsid w:val="0000415C"/>
    <w:rsid w:val="00004213"/>
    <w:rsid w:val="0000486E"/>
    <w:rsid w:val="00011357"/>
    <w:rsid w:val="00014AB3"/>
    <w:rsid w:val="00015507"/>
    <w:rsid w:val="000158B9"/>
    <w:rsid w:val="00017196"/>
    <w:rsid w:val="00020A7D"/>
    <w:rsid w:val="00020E93"/>
    <w:rsid w:val="00021821"/>
    <w:rsid w:val="000238DB"/>
    <w:rsid w:val="000238E2"/>
    <w:rsid w:val="00025E18"/>
    <w:rsid w:val="0002677F"/>
    <w:rsid w:val="00027F18"/>
    <w:rsid w:val="000300DC"/>
    <w:rsid w:val="00030FF6"/>
    <w:rsid w:val="00032B91"/>
    <w:rsid w:val="000349E7"/>
    <w:rsid w:val="00034E3A"/>
    <w:rsid w:val="000364F2"/>
    <w:rsid w:val="0003714F"/>
    <w:rsid w:val="00040349"/>
    <w:rsid w:val="00046B0B"/>
    <w:rsid w:val="000520F8"/>
    <w:rsid w:val="0005241E"/>
    <w:rsid w:val="00052FF9"/>
    <w:rsid w:val="00053893"/>
    <w:rsid w:val="00054CDD"/>
    <w:rsid w:val="00057FA4"/>
    <w:rsid w:val="00061606"/>
    <w:rsid w:val="000627B1"/>
    <w:rsid w:val="00062E80"/>
    <w:rsid w:val="0006658E"/>
    <w:rsid w:val="00066E44"/>
    <w:rsid w:val="00067B47"/>
    <w:rsid w:val="000705E3"/>
    <w:rsid w:val="00070FFF"/>
    <w:rsid w:val="000740B2"/>
    <w:rsid w:val="00080B86"/>
    <w:rsid w:val="000812F1"/>
    <w:rsid w:val="0008316D"/>
    <w:rsid w:val="0008662C"/>
    <w:rsid w:val="00086A67"/>
    <w:rsid w:val="00086D0C"/>
    <w:rsid w:val="00087E4C"/>
    <w:rsid w:val="000924DE"/>
    <w:rsid w:val="0009465E"/>
    <w:rsid w:val="000967D4"/>
    <w:rsid w:val="000A06E5"/>
    <w:rsid w:val="000A0809"/>
    <w:rsid w:val="000A0D8B"/>
    <w:rsid w:val="000A3C39"/>
    <w:rsid w:val="000A3E03"/>
    <w:rsid w:val="000A65C1"/>
    <w:rsid w:val="000A69EA"/>
    <w:rsid w:val="000A6D13"/>
    <w:rsid w:val="000A7B38"/>
    <w:rsid w:val="000B1E7D"/>
    <w:rsid w:val="000B3607"/>
    <w:rsid w:val="000B3C21"/>
    <w:rsid w:val="000B3F7C"/>
    <w:rsid w:val="000B589C"/>
    <w:rsid w:val="000B59EC"/>
    <w:rsid w:val="000B60AF"/>
    <w:rsid w:val="000B71C1"/>
    <w:rsid w:val="000C33E1"/>
    <w:rsid w:val="000C4B0E"/>
    <w:rsid w:val="000C54FE"/>
    <w:rsid w:val="000C6FEC"/>
    <w:rsid w:val="000C786D"/>
    <w:rsid w:val="000D527A"/>
    <w:rsid w:val="000D5AD2"/>
    <w:rsid w:val="000D5BC1"/>
    <w:rsid w:val="000D67A0"/>
    <w:rsid w:val="000D6D2C"/>
    <w:rsid w:val="000E2066"/>
    <w:rsid w:val="000E3381"/>
    <w:rsid w:val="000F00B3"/>
    <w:rsid w:val="000F0ABE"/>
    <w:rsid w:val="000F5CB4"/>
    <w:rsid w:val="000F6AEA"/>
    <w:rsid w:val="00100E05"/>
    <w:rsid w:val="00101560"/>
    <w:rsid w:val="00101C2D"/>
    <w:rsid w:val="00102127"/>
    <w:rsid w:val="0011028D"/>
    <w:rsid w:val="00110F26"/>
    <w:rsid w:val="0011285B"/>
    <w:rsid w:val="0011319F"/>
    <w:rsid w:val="00116A72"/>
    <w:rsid w:val="001175BA"/>
    <w:rsid w:val="0011765A"/>
    <w:rsid w:val="001177E9"/>
    <w:rsid w:val="0012062E"/>
    <w:rsid w:val="00122542"/>
    <w:rsid w:val="001238DD"/>
    <w:rsid w:val="00127EFA"/>
    <w:rsid w:val="001304EF"/>
    <w:rsid w:val="00132F16"/>
    <w:rsid w:val="0013393D"/>
    <w:rsid w:val="00135002"/>
    <w:rsid w:val="001358B8"/>
    <w:rsid w:val="00140811"/>
    <w:rsid w:val="001412CB"/>
    <w:rsid w:val="00146BFC"/>
    <w:rsid w:val="001470C2"/>
    <w:rsid w:val="00147238"/>
    <w:rsid w:val="00150BA2"/>
    <w:rsid w:val="00151C31"/>
    <w:rsid w:val="0015570B"/>
    <w:rsid w:val="00162AA0"/>
    <w:rsid w:val="0016492D"/>
    <w:rsid w:val="001651AE"/>
    <w:rsid w:val="00166919"/>
    <w:rsid w:val="001679F8"/>
    <w:rsid w:val="001703BF"/>
    <w:rsid w:val="00173505"/>
    <w:rsid w:val="00175FDA"/>
    <w:rsid w:val="00176B1A"/>
    <w:rsid w:val="00181F40"/>
    <w:rsid w:val="001822C0"/>
    <w:rsid w:val="00184B4D"/>
    <w:rsid w:val="00185310"/>
    <w:rsid w:val="0018638E"/>
    <w:rsid w:val="00190B7F"/>
    <w:rsid w:val="00191430"/>
    <w:rsid w:val="001931DB"/>
    <w:rsid w:val="001943B1"/>
    <w:rsid w:val="00197076"/>
    <w:rsid w:val="00197554"/>
    <w:rsid w:val="0019756D"/>
    <w:rsid w:val="001A02AA"/>
    <w:rsid w:val="001A06F9"/>
    <w:rsid w:val="001A24CC"/>
    <w:rsid w:val="001A323C"/>
    <w:rsid w:val="001A3375"/>
    <w:rsid w:val="001A5098"/>
    <w:rsid w:val="001A76F6"/>
    <w:rsid w:val="001B1E48"/>
    <w:rsid w:val="001B5251"/>
    <w:rsid w:val="001C30DD"/>
    <w:rsid w:val="001C3291"/>
    <w:rsid w:val="001C39F9"/>
    <w:rsid w:val="001C4A43"/>
    <w:rsid w:val="001C5F96"/>
    <w:rsid w:val="001D275A"/>
    <w:rsid w:val="001D418E"/>
    <w:rsid w:val="001D63BD"/>
    <w:rsid w:val="001D67EB"/>
    <w:rsid w:val="001D6F52"/>
    <w:rsid w:val="001D73A9"/>
    <w:rsid w:val="001E1174"/>
    <w:rsid w:val="001E3B9A"/>
    <w:rsid w:val="001E44A6"/>
    <w:rsid w:val="001E4B71"/>
    <w:rsid w:val="001E68AA"/>
    <w:rsid w:val="001E6B5C"/>
    <w:rsid w:val="001E7620"/>
    <w:rsid w:val="001E7B24"/>
    <w:rsid w:val="001F1DA0"/>
    <w:rsid w:val="001F3AC4"/>
    <w:rsid w:val="002004D1"/>
    <w:rsid w:val="00200531"/>
    <w:rsid w:val="00200646"/>
    <w:rsid w:val="0020088F"/>
    <w:rsid w:val="002024B1"/>
    <w:rsid w:val="00203B45"/>
    <w:rsid w:val="00204677"/>
    <w:rsid w:val="00204FAD"/>
    <w:rsid w:val="0020582F"/>
    <w:rsid w:val="00205DF5"/>
    <w:rsid w:val="00206968"/>
    <w:rsid w:val="00206EAC"/>
    <w:rsid w:val="00212E1F"/>
    <w:rsid w:val="00213ECB"/>
    <w:rsid w:val="00215F9D"/>
    <w:rsid w:val="00217C68"/>
    <w:rsid w:val="002227E6"/>
    <w:rsid w:val="00224C45"/>
    <w:rsid w:val="00226F73"/>
    <w:rsid w:val="00231706"/>
    <w:rsid w:val="00231E86"/>
    <w:rsid w:val="00232D14"/>
    <w:rsid w:val="00232D60"/>
    <w:rsid w:val="00235A71"/>
    <w:rsid w:val="00235F50"/>
    <w:rsid w:val="002362C1"/>
    <w:rsid w:val="00236E6E"/>
    <w:rsid w:val="00240DC2"/>
    <w:rsid w:val="00242B97"/>
    <w:rsid w:val="002464FE"/>
    <w:rsid w:val="002477D0"/>
    <w:rsid w:val="002501AE"/>
    <w:rsid w:val="002507E5"/>
    <w:rsid w:val="002542C9"/>
    <w:rsid w:val="00254BEF"/>
    <w:rsid w:val="00255F6E"/>
    <w:rsid w:val="00260928"/>
    <w:rsid w:val="00260DBC"/>
    <w:rsid w:val="002624EA"/>
    <w:rsid w:val="00263055"/>
    <w:rsid w:val="00264ACD"/>
    <w:rsid w:val="0027009F"/>
    <w:rsid w:val="00270C48"/>
    <w:rsid w:val="0027207B"/>
    <w:rsid w:val="00272FD4"/>
    <w:rsid w:val="002736CB"/>
    <w:rsid w:val="0027656B"/>
    <w:rsid w:val="002771DC"/>
    <w:rsid w:val="00281BB6"/>
    <w:rsid w:val="002820C1"/>
    <w:rsid w:val="002856F7"/>
    <w:rsid w:val="00286983"/>
    <w:rsid w:val="0028718F"/>
    <w:rsid w:val="00287ECD"/>
    <w:rsid w:val="002900DA"/>
    <w:rsid w:val="0029371B"/>
    <w:rsid w:val="002941FB"/>
    <w:rsid w:val="0029516A"/>
    <w:rsid w:val="00295542"/>
    <w:rsid w:val="00295906"/>
    <w:rsid w:val="002972E8"/>
    <w:rsid w:val="002A0499"/>
    <w:rsid w:val="002A0562"/>
    <w:rsid w:val="002A1160"/>
    <w:rsid w:val="002A339A"/>
    <w:rsid w:val="002A3760"/>
    <w:rsid w:val="002B0485"/>
    <w:rsid w:val="002B09B5"/>
    <w:rsid w:val="002B2657"/>
    <w:rsid w:val="002B5CDF"/>
    <w:rsid w:val="002B716B"/>
    <w:rsid w:val="002C0D5A"/>
    <w:rsid w:val="002C2705"/>
    <w:rsid w:val="002C6159"/>
    <w:rsid w:val="002C6202"/>
    <w:rsid w:val="002D04FC"/>
    <w:rsid w:val="002D548E"/>
    <w:rsid w:val="002D5D36"/>
    <w:rsid w:val="002D7ECE"/>
    <w:rsid w:val="002E1A44"/>
    <w:rsid w:val="002E2B5A"/>
    <w:rsid w:val="002E3C73"/>
    <w:rsid w:val="002E3CC4"/>
    <w:rsid w:val="002E3F26"/>
    <w:rsid w:val="002E716A"/>
    <w:rsid w:val="0030180F"/>
    <w:rsid w:val="00304016"/>
    <w:rsid w:val="0031018B"/>
    <w:rsid w:val="00310E11"/>
    <w:rsid w:val="0031147B"/>
    <w:rsid w:val="003119C6"/>
    <w:rsid w:val="00312114"/>
    <w:rsid w:val="0031228D"/>
    <w:rsid w:val="00315A30"/>
    <w:rsid w:val="0032451A"/>
    <w:rsid w:val="00324B6F"/>
    <w:rsid w:val="00325EBD"/>
    <w:rsid w:val="00327C91"/>
    <w:rsid w:val="003301B3"/>
    <w:rsid w:val="003331E1"/>
    <w:rsid w:val="00334E78"/>
    <w:rsid w:val="0033556E"/>
    <w:rsid w:val="003363CB"/>
    <w:rsid w:val="00336CEC"/>
    <w:rsid w:val="00340862"/>
    <w:rsid w:val="003426E5"/>
    <w:rsid w:val="00345BBE"/>
    <w:rsid w:val="00346CCC"/>
    <w:rsid w:val="00346F5B"/>
    <w:rsid w:val="00347FCA"/>
    <w:rsid w:val="00351A56"/>
    <w:rsid w:val="00363313"/>
    <w:rsid w:val="003643B0"/>
    <w:rsid w:val="00364E6C"/>
    <w:rsid w:val="00364EC1"/>
    <w:rsid w:val="003658CE"/>
    <w:rsid w:val="00365F63"/>
    <w:rsid w:val="00370602"/>
    <w:rsid w:val="00373083"/>
    <w:rsid w:val="00375168"/>
    <w:rsid w:val="003763F0"/>
    <w:rsid w:val="00377B25"/>
    <w:rsid w:val="003825B7"/>
    <w:rsid w:val="003841A3"/>
    <w:rsid w:val="003862B4"/>
    <w:rsid w:val="00391728"/>
    <w:rsid w:val="00391A5C"/>
    <w:rsid w:val="00392076"/>
    <w:rsid w:val="00395778"/>
    <w:rsid w:val="00397CF0"/>
    <w:rsid w:val="003A12BA"/>
    <w:rsid w:val="003A1A27"/>
    <w:rsid w:val="003A21A0"/>
    <w:rsid w:val="003A4A74"/>
    <w:rsid w:val="003A5D30"/>
    <w:rsid w:val="003A6CE8"/>
    <w:rsid w:val="003A6D61"/>
    <w:rsid w:val="003A6F2C"/>
    <w:rsid w:val="003B0279"/>
    <w:rsid w:val="003B0290"/>
    <w:rsid w:val="003B0D0E"/>
    <w:rsid w:val="003B116C"/>
    <w:rsid w:val="003B2351"/>
    <w:rsid w:val="003B5C9D"/>
    <w:rsid w:val="003B7191"/>
    <w:rsid w:val="003C1167"/>
    <w:rsid w:val="003C2F19"/>
    <w:rsid w:val="003C388F"/>
    <w:rsid w:val="003C45A0"/>
    <w:rsid w:val="003C57DF"/>
    <w:rsid w:val="003D045B"/>
    <w:rsid w:val="003D0937"/>
    <w:rsid w:val="003D18FF"/>
    <w:rsid w:val="003D38CC"/>
    <w:rsid w:val="003D5E68"/>
    <w:rsid w:val="003D6FFA"/>
    <w:rsid w:val="003D7A39"/>
    <w:rsid w:val="003E126B"/>
    <w:rsid w:val="003E268C"/>
    <w:rsid w:val="003E50D1"/>
    <w:rsid w:val="003E5872"/>
    <w:rsid w:val="003F2F09"/>
    <w:rsid w:val="003F47FB"/>
    <w:rsid w:val="003F50F7"/>
    <w:rsid w:val="003F604F"/>
    <w:rsid w:val="0040251F"/>
    <w:rsid w:val="00407469"/>
    <w:rsid w:val="00412F59"/>
    <w:rsid w:val="0041356E"/>
    <w:rsid w:val="00415ED3"/>
    <w:rsid w:val="0041733F"/>
    <w:rsid w:val="00421699"/>
    <w:rsid w:val="00421B54"/>
    <w:rsid w:val="004231CD"/>
    <w:rsid w:val="0042558A"/>
    <w:rsid w:val="004343C1"/>
    <w:rsid w:val="004374E5"/>
    <w:rsid w:val="00443E93"/>
    <w:rsid w:val="00443F50"/>
    <w:rsid w:val="00447F48"/>
    <w:rsid w:val="0045447B"/>
    <w:rsid w:val="004555A3"/>
    <w:rsid w:val="00460B66"/>
    <w:rsid w:val="00460FA2"/>
    <w:rsid w:val="00463BF1"/>
    <w:rsid w:val="004663C9"/>
    <w:rsid w:val="004665A7"/>
    <w:rsid w:val="00467041"/>
    <w:rsid w:val="004733CF"/>
    <w:rsid w:val="004744C5"/>
    <w:rsid w:val="00474F4B"/>
    <w:rsid w:val="00477953"/>
    <w:rsid w:val="0048071E"/>
    <w:rsid w:val="004822BB"/>
    <w:rsid w:val="004837F6"/>
    <w:rsid w:val="00484917"/>
    <w:rsid w:val="00485922"/>
    <w:rsid w:val="00486F5D"/>
    <w:rsid w:val="00495E08"/>
    <w:rsid w:val="004979C8"/>
    <w:rsid w:val="004A0972"/>
    <w:rsid w:val="004A2889"/>
    <w:rsid w:val="004A2B5F"/>
    <w:rsid w:val="004A7031"/>
    <w:rsid w:val="004B03B0"/>
    <w:rsid w:val="004B182F"/>
    <w:rsid w:val="004B6F1D"/>
    <w:rsid w:val="004C0AFE"/>
    <w:rsid w:val="004C1835"/>
    <w:rsid w:val="004C49FA"/>
    <w:rsid w:val="004C7251"/>
    <w:rsid w:val="004D348A"/>
    <w:rsid w:val="004D3C08"/>
    <w:rsid w:val="004D4DFC"/>
    <w:rsid w:val="004E0623"/>
    <w:rsid w:val="004E1851"/>
    <w:rsid w:val="004E39C1"/>
    <w:rsid w:val="004E594E"/>
    <w:rsid w:val="004E7695"/>
    <w:rsid w:val="004F22E1"/>
    <w:rsid w:val="004F40DF"/>
    <w:rsid w:val="004F503C"/>
    <w:rsid w:val="004F640B"/>
    <w:rsid w:val="004F649F"/>
    <w:rsid w:val="00503751"/>
    <w:rsid w:val="00503813"/>
    <w:rsid w:val="00503D97"/>
    <w:rsid w:val="005056FE"/>
    <w:rsid w:val="00510741"/>
    <w:rsid w:val="00510C45"/>
    <w:rsid w:val="00512D45"/>
    <w:rsid w:val="00513F40"/>
    <w:rsid w:val="005141DC"/>
    <w:rsid w:val="00514933"/>
    <w:rsid w:val="00515393"/>
    <w:rsid w:val="00516EB8"/>
    <w:rsid w:val="00517A18"/>
    <w:rsid w:val="0052052E"/>
    <w:rsid w:val="00522701"/>
    <w:rsid w:val="00524EED"/>
    <w:rsid w:val="00525CE1"/>
    <w:rsid w:val="00525F95"/>
    <w:rsid w:val="00526174"/>
    <w:rsid w:val="005315E3"/>
    <w:rsid w:val="0053235A"/>
    <w:rsid w:val="00532C37"/>
    <w:rsid w:val="005341BF"/>
    <w:rsid w:val="00535737"/>
    <w:rsid w:val="00535C5B"/>
    <w:rsid w:val="00541DE7"/>
    <w:rsid w:val="00542B6F"/>
    <w:rsid w:val="00542F1F"/>
    <w:rsid w:val="0054351E"/>
    <w:rsid w:val="00545C9C"/>
    <w:rsid w:val="00547CC2"/>
    <w:rsid w:val="00550A08"/>
    <w:rsid w:val="0055143F"/>
    <w:rsid w:val="00553D40"/>
    <w:rsid w:val="005543FB"/>
    <w:rsid w:val="00556903"/>
    <w:rsid w:val="00557690"/>
    <w:rsid w:val="005601D5"/>
    <w:rsid w:val="00561C31"/>
    <w:rsid w:val="00561C40"/>
    <w:rsid w:val="00565F48"/>
    <w:rsid w:val="00566A9F"/>
    <w:rsid w:val="00566E83"/>
    <w:rsid w:val="00567D06"/>
    <w:rsid w:val="00567DA6"/>
    <w:rsid w:val="00571510"/>
    <w:rsid w:val="00573BA2"/>
    <w:rsid w:val="00576012"/>
    <w:rsid w:val="0057789F"/>
    <w:rsid w:val="00580ADF"/>
    <w:rsid w:val="00581324"/>
    <w:rsid w:val="005817D4"/>
    <w:rsid w:val="00582B87"/>
    <w:rsid w:val="0058718A"/>
    <w:rsid w:val="0058761C"/>
    <w:rsid w:val="0059079A"/>
    <w:rsid w:val="00595396"/>
    <w:rsid w:val="00595E69"/>
    <w:rsid w:val="00596CDD"/>
    <w:rsid w:val="005B043B"/>
    <w:rsid w:val="005B05A4"/>
    <w:rsid w:val="005B05C4"/>
    <w:rsid w:val="005B0AEF"/>
    <w:rsid w:val="005B1880"/>
    <w:rsid w:val="005B259A"/>
    <w:rsid w:val="005B3470"/>
    <w:rsid w:val="005B788B"/>
    <w:rsid w:val="005B7D9A"/>
    <w:rsid w:val="005C0C85"/>
    <w:rsid w:val="005C13B9"/>
    <w:rsid w:val="005C4C1D"/>
    <w:rsid w:val="005C53E8"/>
    <w:rsid w:val="005D05AD"/>
    <w:rsid w:val="005D14FF"/>
    <w:rsid w:val="005D17BD"/>
    <w:rsid w:val="005D1C1F"/>
    <w:rsid w:val="005D2A38"/>
    <w:rsid w:val="005D3316"/>
    <w:rsid w:val="005D4367"/>
    <w:rsid w:val="005D4F14"/>
    <w:rsid w:val="005D64B4"/>
    <w:rsid w:val="005E3BAF"/>
    <w:rsid w:val="005E6572"/>
    <w:rsid w:val="005E659D"/>
    <w:rsid w:val="005F2C3C"/>
    <w:rsid w:val="005F3492"/>
    <w:rsid w:val="0060022C"/>
    <w:rsid w:val="00601220"/>
    <w:rsid w:val="00604409"/>
    <w:rsid w:val="0060712B"/>
    <w:rsid w:val="006118C4"/>
    <w:rsid w:val="006156C3"/>
    <w:rsid w:val="0061573B"/>
    <w:rsid w:val="00620B4B"/>
    <w:rsid w:val="00622C1B"/>
    <w:rsid w:val="00623744"/>
    <w:rsid w:val="00623F11"/>
    <w:rsid w:val="00624209"/>
    <w:rsid w:val="00624F36"/>
    <w:rsid w:val="00625EF6"/>
    <w:rsid w:val="00626590"/>
    <w:rsid w:val="00626C3C"/>
    <w:rsid w:val="00635C9B"/>
    <w:rsid w:val="00641398"/>
    <w:rsid w:val="00650654"/>
    <w:rsid w:val="00661E0C"/>
    <w:rsid w:val="00662717"/>
    <w:rsid w:val="00662DC2"/>
    <w:rsid w:val="006638AC"/>
    <w:rsid w:val="006641F5"/>
    <w:rsid w:val="006647FA"/>
    <w:rsid w:val="00664A43"/>
    <w:rsid w:val="00666B58"/>
    <w:rsid w:val="00666E34"/>
    <w:rsid w:val="006732E5"/>
    <w:rsid w:val="006866BA"/>
    <w:rsid w:val="00690641"/>
    <w:rsid w:val="006918B5"/>
    <w:rsid w:val="00693263"/>
    <w:rsid w:val="0069341C"/>
    <w:rsid w:val="00694B42"/>
    <w:rsid w:val="00694F9B"/>
    <w:rsid w:val="00697766"/>
    <w:rsid w:val="006A4433"/>
    <w:rsid w:val="006A46FE"/>
    <w:rsid w:val="006B4EB2"/>
    <w:rsid w:val="006B516B"/>
    <w:rsid w:val="006C2F13"/>
    <w:rsid w:val="006C47A4"/>
    <w:rsid w:val="006C5119"/>
    <w:rsid w:val="006C5125"/>
    <w:rsid w:val="006C5A97"/>
    <w:rsid w:val="006C6156"/>
    <w:rsid w:val="006C7627"/>
    <w:rsid w:val="006D27CB"/>
    <w:rsid w:val="006D76FE"/>
    <w:rsid w:val="006D7A52"/>
    <w:rsid w:val="006E368F"/>
    <w:rsid w:val="006E37C3"/>
    <w:rsid w:val="006E455B"/>
    <w:rsid w:val="006E7A5D"/>
    <w:rsid w:val="006F1154"/>
    <w:rsid w:val="006F1DC3"/>
    <w:rsid w:val="006F2D67"/>
    <w:rsid w:val="006F549B"/>
    <w:rsid w:val="006F6E12"/>
    <w:rsid w:val="006F7A5E"/>
    <w:rsid w:val="006F7F1C"/>
    <w:rsid w:val="0070493A"/>
    <w:rsid w:val="0070698C"/>
    <w:rsid w:val="007077CD"/>
    <w:rsid w:val="007126B0"/>
    <w:rsid w:val="007173C3"/>
    <w:rsid w:val="00717D75"/>
    <w:rsid w:val="00717E12"/>
    <w:rsid w:val="007258FF"/>
    <w:rsid w:val="00733E08"/>
    <w:rsid w:val="00735D61"/>
    <w:rsid w:val="007401BF"/>
    <w:rsid w:val="00742FCE"/>
    <w:rsid w:val="00744001"/>
    <w:rsid w:val="00746E0F"/>
    <w:rsid w:val="007476E7"/>
    <w:rsid w:val="00750029"/>
    <w:rsid w:val="00751A92"/>
    <w:rsid w:val="00753CD9"/>
    <w:rsid w:val="007548ED"/>
    <w:rsid w:val="007561FB"/>
    <w:rsid w:val="0076062C"/>
    <w:rsid w:val="00760FD9"/>
    <w:rsid w:val="00761D9F"/>
    <w:rsid w:val="00762690"/>
    <w:rsid w:val="00764E79"/>
    <w:rsid w:val="00766CC8"/>
    <w:rsid w:val="00767F7A"/>
    <w:rsid w:val="007704D4"/>
    <w:rsid w:val="00771498"/>
    <w:rsid w:val="00772E1A"/>
    <w:rsid w:val="0077380F"/>
    <w:rsid w:val="00780C12"/>
    <w:rsid w:val="00785098"/>
    <w:rsid w:val="00785641"/>
    <w:rsid w:val="00786EDB"/>
    <w:rsid w:val="007878F5"/>
    <w:rsid w:val="00795EAD"/>
    <w:rsid w:val="00796D87"/>
    <w:rsid w:val="007A0414"/>
    <w:rsid w:val="007A25A3"/>
    <w:rsid w:val="007A4042"/>
    <w:rsid w:val="007A4294"/>
    <w:rsid w:val="007A7438"/>
    <w:rsid w:val="007A7DA0"/>
    <w:rsid w:val="007B0220"/>
    <w:rsid w:val="007B0AE1"/>
    <w:rsid w:val="007B1612"/>
    <w:rsid w:val="007B2E15"/>
    <w:rsid w:val="007B30F0"/>
    <w:rsid w:val="007B482C"/>
    <w:rsid w:val="007B4A21"/>
    <w:rsid w:val="007C1F70"/>
    <w:rsid w:val="007C720C"/>
    <w:rsid w:val="007C74F5"/>
    <w:rsid w:val="007C779A"/>
    <w:rsid w:val="007C78E6"/>
    <w:rsid w:val="007C7F11"/>
    <w:rsid w:val="007D4183"/>
    <w:rsid w:val="007D5AC2"/>
    <w:rsid w:val="007D5B3A"/>
    <w:rsid w:val="007D666A"/>
    <w:rsid w:val="007D7826"/>
    <w:rsid w:val="007E0C5E"/>
    <w:rsid w:val="007F520F"/>
    <w:rsid w:val="00801275"/>
    <w:rsid w:val="00801464"/>
    <w:rsid w:val="00801924"/>
    <w:rsid w:val="00802545"/>
    <w:rsid w:val="008029D3"/>
    <w:rsid w:val="008036BE"/>
    <w:rsid w:val="008044A2"/>
    <w:rsid w:val="00805AF3"/>
    <w:rsid w:val="0080749D"/>
    <w:rsid w:val="00807BAF"/>
    <w:rsid w:val="00814974"/>
    <w:rsid w:val="00814995"/>
    <w:rsid w:val="00815E4A"/>
    <w:rsid w:val="00821B74"/>
    <w:rsid w:val="0082223F"/>
    <w:rsid w:val="00822F86"/>
    <w:rsid w:val="00830F04"/>
    <w:rsid w:val="00831C94"/>
    <w:rsid w:val="00834D76"/>
    <w:rsid w:val="00835B52"/>
    <w:rsid w:val="00837A7D"/>
    <w:rsid w:val="008423FC"/>
    <w:rsid w:val="008433F8"/>
    <w:rsid w:val="0084413B"/>
    <w:rsid w:val="00844450"/>
    <w:rsid w:val="0085442C"/>
    <w:rsid w:val="00854D12"/>
    <w:rsid w:val="0086019C"/>
    <w:rsid w:val="00865540"/>
    <w:rsid w:val="00870846"/>
    <w:rsid w:val="00871615"/>
    <w:rsid w:val="00880762"/>
    <w:rsid w:val="00881359"/>
    <w:rsid w:val="00881AE4"/>
    <w:rsid w:val="00885B1D"/>
    <w:rsid w:val="00885E64"/>
    <w:rsid w:val="00885F85"/>
    <w:rsid w:val="00887AE3"/>
    <w:rsid w:val="00890978"/>
    <w:rsid w:val="00891323"/>
    <w:rsid w:val="00896D46"/>
    <w:rsid w:val="008976DA"/>
    <w:rsid w:val="008A349F"/>
    <w:rsid w:val="008A4157"/>
    <w:rsid w:val="008A5B7A"/>
    <w:rsid w:val="008A6314"/>
    <w:rsid w:val="008A759A"/>
    <w:rsid w:val="008B3094"/>
    <w:rsid w:val="008B4B74"/>
    <w:rsid w:val="008B4C1E"/>
    <w:rsid w:val="008B5FCE"/>
    <w:rsid w:val="008B6007"/>
    <w:rsid w:val="008B6AC1"/>
    <w:rsid w:val="008C1D8B"/>
    <w:rsid w:val="008C4255"/>
    <w:rsid w:val="008C432C"/>
    <w:rsid w:val="008C77DE"/>
    <w:rsid w:val="008C7DD8"/>
    <w:rsid w:val="008D1053"/>
    <w:rsid w:val="008D1231"/>
    <w:rsid w:val="008D1A69"/>
    <w:rsid w:val="008D3982"/>
    <w:rsid w:val="008D4F9E"/>
    <w:rsid w:val="008D52BD"/>
    <w:rsid w:val="008D5772"/>
    <w:rsid w:val="008D6904"/>
    <w:rsid w:val="008D78B4"/>
    <w:rsid w:val="008E6417"/>
    <w:rsid w:val="008E71F9"/>
    <w:rsid w:val="008F3206"/>
    <w:rsid w:val="008F56F3"/>
    <w:rsid w:val="0090141E"/>
    <w:rsid w:val="009051B8"/>
    <w:rsid w:val="00906B4D"/>
    <w:rsid w:val="009076DF"/>
    <w:rsid w:val="00911F64"/>
    <w:rsid w:val="00912DB9"/>
    <w:rsid w:val="00915736"/>
    <w:rsid w:val="00920353"/>
    <w:rsid w:val="0092162C"/>
    <w:rsid w:val="009221A3"/>
    <w:rsid w:val="00922761"/>
    <w:rsid w:val="009229A7"/>
    <w:rsid w:val="00930B18"/>
    <w:rsid w:val="00931652"/>
    <w:rsid w:val="0093524F"/>
    <w:rsid w:val="0093535E"/>
    <w:rsid w:val="0093717D"/>
    <w:rsid w:val="009373EA"/>
    <w:rsid w:val="00937DF4"/>
    <w:rsid w:val="0094339F"/>
    <w:rsid w:val="00947FC3"/>
    <w:rsid w:val="00950D65"/>
    <w:rsid w:val="009514FB"/>
    <w:rsid w:val="00953A88"/>
    <w:rsid w:val="00955F3D"/>
    <w:rsid w:val="00956F17"/>
    <w:rsid w:val="0095734D"/>
    <w:rsid w:val="00960FC4"/>
    <w:rsid w:val="00961B58"/>
    <w:rsid w:val="0096418F"/>
    <w:rsid w:val="00974B01"/>
    <w:rsid w:val="009763C8"/>
    <w:rsid w:val="00976C45"/>
    <w:rsid w:val="00981EE1"/>
    <w:rsid w:val="00982469"/>
    <w:rsid w:val="00985F7C"/>
    <w:rsid w:val="00995041"/>
    <w:rsid w:val="00995554"/>
    <w:rsid w:val="00996B1D"/>
    <w:rsid w:val="00996C39"/>
    <w:rsid w:val="009A020D"/>
    <w:rsid w:val="009A05B9"/>
    <w:rsid w:val="009A12AB"/>
    <w:rsid w:val="009A1F9B"/>
    <w:rsid w:val="009A368E"/>
    <w:rsid w:val="009A390F"/>
    <w:rsid w:val="009A3957"/>
    <w:rsid w:val="009B0011"/>
    <w:rsid w:val="009B476D"/>
    <w:rsid w:val="009B78D4"/>
    <w:rsid w:val="009C0402"/>
    <w:rsid w:val="009C34E7"/>
    <w:rsid w:val="009C7D8A"/>
    <w:rsid w:val="009D0F70"/>
    <w:rsid w:val="009D1DB1"/>
    <w:rsid w:val="009E166E"/>
    <w:rsid w:val="009E224F"/>
    <w:rsid w:val="009E76F1"/>
    <w:rsid w:val="009E7A57"/>
    <w:rsid w:val="009E7F62"/>
    <w:rsid w:val="009F01EB"/>
    <w:rsid w:val="009F0FD3"/>
    <w:rsid w:val="009F5670"/>
    <w:rsid w:val="009F70E5"/>
    <w:rsid w:val="009F78ED"/>
    <w:rsid w:val="00A0089C"/>
    <w:rsid w:val="00A05EF7"/>
    <w:rsid w:val="00A0650E"/>
    <w:rsid w:val="00A06D92"/>
    <w:rsid w:val="00A1284B"/>
    <w:rsid w:val="00A13BDC"/>
    <w:rsid w:val="00A1619E"/>
    <w:rsid w:val="00A16D85"/>
    <w:rsid w:val="00A21424"/>
    <w:rsid w:val="00A2580D"/>
    <w:rsid w:val="00A26247"/>
    <w:rsid w:val="00A26A37"/>
    <w:rsid w:val="00A30074"/>
    <w:rsid w:val="00A3173F"/>
    <w:rsid w:val="00A340F2"/>
    <w:rsid w:val="00A37934"/>
    <w:rsid w:val="00A37BF2"/>
    <w:rsid w:val="00A43CF3"/>
    <w:rsid w:val="00A44CB0"/>
    <w:rsid w:val="00A44ED5"/>
    <w:rsid w:val="00A45ECA"/>
    <w:rsid w:val="00A50B9E"/>
    <w:rsid w:val="00A50BC2"/>
    <w:rsid w:val="00A5627B"/>
    <w:rsid w:val="00A577CE"/>
    <w:rsid w:val="00A57B4E"/>
    <w:rsid w:val="00A60CF6"/>
    <w:rsid w:val="00A64032"/>
    <w:rsid w:val="00A67816"/>
    <w:rsid w:val="00A70B06"/>
    <w:rsid w:val="00A71A23"/>
    <w:rsid w:val="00A726E6"/>
    <w:rsid w:val="00A72A3D"/>
    <w:rsid w:val="00A73987"/>
    <w:rsid w:val="00A74A84"/>
    <w:rsid w:val="00A74CD4"/>
    <w:rsid w:val="00A76E43"/>
    <w:rsid w:val="00A77BBD"/>
    <w:rsid w:val="00A8010D"/>
    <w:rsid w:val="00A816A6"/>
    <w:rsid w:val="00A81D03"/>
    <w:rsid w:val="00A82271"/>
    <w:rsid w:val="00A93928"/>
    <w:rsid w:val="00A97564"/>
    <w:rsid w:val="00A97916"/>
    <w:rsid w:val="00AA05CA"/>
    <w:rsid w:val="00AA379D"/>
    <w:rsid w:val="00AA39EE"/>
    <w:rsid w:val="00AB1EB7"/>
    <w:rsid w:val="00AB392D"/>
    <w:rsid w:val="00AB41DE"/>
    <w:rsid w:val="00AC05CC"/>
    <w:rsid w:val="00AC0CE2"/>
    <w:rsid w:val="00AC3812"/>
    <w:rsid w:val="00AC7CAD"/>
    <w:rsid w:val="00AD2C82"/>
    <w:rsid w:val="00AD37AD"/>
    <w:rsid w:val="00AD3FE4"/>
    <w:rsid w:val="00AD4A74"/>
    <w:rsid w:val="00AD6C01"/>
    <w:rsid w:val="00AE58B9"/>
    <w:rsid w:val="00AF6402"/>
    <w:rsid w:val="00B007CB"/>
    <w:rsid w:val="00B062C1"/>
    <w:rsid w:val="00B07729"/>
    <w:rsid w:val="00B110AA"/>
    <w:rsid w:val="00B12657"/>
    <w:rsid w:val="00B127EF"/>
    <w:rsid w:val="00B1558B"/>
    <w:rsid w:val="00B16C10"/>
    <w:rsid w:val="00B268A0"/>
    <w:rsid w:val="00B273A2"/>
    <w:rsid w:val="00B31297"/>
    <w:rsid w:val="00B31FC7"/>
    <w:rsid w:val="00B33487"/>
    <w:rsid w:val="00B3369D"/>
    <w:rsid w:val="00B341D2"/>
    <w:rsid w:val="00B3531F"/>
    <w:rsid w:val="00B35A4B"/>
    <w:rsid w:val="00B417FA"/>
    <w:rsid w:val="00B41E96"/>
    <w:rsid w:val="00B41FD7"/>
    <w:rsid w:val="00B429BD"/>
    <w:rsid w:val="00B42DA4"/>
    <w:rsid w:val="00B471F9"/>
    <w:rsid w:val="00B479D9"/>
    <w:rsid w:val="00B47B0C"/>
    <w:rsid w:val="00B47F9B"/>
    <w:rsid w:val="00B51F8F"/>
    <w:rsid w:val="00B547B4"/>
    <w:rsid w:val="00B56697"/>
    <w:rsid w:val="00B57901"/>
    <w:rsid w:val="00B63B1E"/>
    <w:rsid w:val="00B661A6"/>
    <w:rsid w:val="00B728DB"/>
    <w:rsid w:val="00B73044"/>
    <w:rsid w:val="00B77C1B"/>
    <w:rsid w:val="00B77DD3"/>
    <w:rsid w:val="00B82780"/>
    <w:rsid w:val="00B849FF"/>
    <w:rsid w:val="00B91FB6"/>
    <w:rsid w:val="00B92055"/>
    <w:rsid w:val="00B92636"/>
    <w:rsid w:val="00B95FBB"/>
    <w:rsid w:val="00B96902"/>
    <w:rsid w:val="00BA0B21"/>
    <w:rsid w:val="00BA1329"/>
    <w:rsid w:val="00BA4F3F"/>
    <w:rsid w:val="00BA4F63"/>
    <w:rsid w:val="00BA546D"/>
    <w:rsid w:val="00BA5AA5"/>
    <w:rsid w:val="00BA633F"/>
    <w:rsid w:val="00BA7C69"/>
    <w:rsid w:val="00BB2384"/>
    <w:rsid w:val="00BB2AFE"/>
    <w:rsid w:val="00BB5364"/>
    <w:rsid w:val="00BB620E"/>
    <w:rsid w:val="00BB6258"/>
    <w:rsid w:val="00BC0276"/>
    <w:rsid w:val="00BC7F72"/>
    <w:rsid w:val="00BD0AA2"/>
    <w:rsid w:val="00BD14EE"/>
    <w:rsid w:val="00BD1F81"/>
    <w:rsid w:val="00BD59CE"/>
    <w:rsid w:val="00BD5E74"/>
    <w:rsid w:val="00BD77CE"/>
    <w:rsid w:val="00BE0490"/>
    <w:rsid w:val="00BE1373"/>
    <w:rsid w:val="00BE3DCE"/>
    <w:rsid w:val="00BE7B2E"/>
    <w:rsid w:val="00BF28D4"/>
    <w:rsid w:val="00BF2BED"/>
    <w:rsid w:val="00BF2F13"/>
    <w:rsid w:val="00BF4CC5"/>
    <w:rsid w:val="00C02589"/>
    <w:rsid w:val="00C050A1"/>
    <w:rsid w:val="00C14A30"/>
    <w:rsid w:val="00C154C2"/>
    <w:rsid w:val="00C15891"/>
    <w:rsid w:val="00C20CF0"/>
    <w:rsid w:val="00C2169F"/>
    <w:rsid w:val="00C222C0"/>
    <w:rsid w:val="00C228B5"/>
    <w:rsid w:val="00C23AB1"/>
    <w:rsid w:val="00C240B1"/>
    <w:rsid w:val="00C24953"/>
    <w:rsid w:val="00C332EF"/>
    <w:rsid w:val="00C33AF8"/>
    <w:rsid w:val="00C365AA"/>
    <w:rsid w:val="00C405DD"/>
    <w:rsid w:val="00C40735"/>
    <w:rsid w:val="00C41CC6"/>
    <w:rsid w:val="00C42AF2"/>
    <w:rsid w:val="00C43BEA"/>
    <w:rsid w:val="00C452A1"/>
    <w:rsid w:val="00C53502"/>
    <w:rsid w:val="00C5438D"/>
    <w:rsid w:val="00C556BA"/>
    <w:rsid w:val="00C62A88"/>
    <w:rsid w:val="00C62BDC"/>
    <w:rsid w:val="00C63332"/>
    <w:rsid w:val="00C72325"/>
    <w:rsid w:val="00C73C07"/>
    <w:rsid w:val="00C74442"/>
    <w:rsid w:val="00C75187"/>
    <w:rsid w:val="00C76E45"/>
    <w:rsid w:val="00C773DD"/>
    <w:rsid w:val="00C80CFA"/>
    <w:rsid w:val="00C8410E"/>
    <w:rsid w:val="00C848F3"/>
    <w:rsid w:val="00C8561F"/>
    <w:rsid w:val="00C8574F"/>
    <w:rsid w:val="00C85B67"/>
    <w:rsid w:val="00C868D0"/>
    <w:rsid w:val="00C94B91"/>
    <w:rsid w:val="00C95BE5"/>
    <w:rsid w:val="00CA10DF"/>
    <w:rsid w:val="00CA11AC"/>
    <w:rsid w:val="00CA19B9"/>
    <w:rsid w:val="00CA2EBA"/>
    <w:rsid w:val="00CA5E9C"/>
    <w:rsid w:val="00CA6706"/>
    <w:rsid w:val="00CA7B00"/>
    <w:rsid w:val="00CB06AD"/>
    <w:rsid w:val="00CB2AE1"/>
    <w:rsid w:val="00CB2BC9"/>
    <w:rsid w:val="00CB4031"/>
    <w:rsid w:val="00CB7BE4"/>
    <w:rsid w:val="00CC2C07"/>
    <w:rsid w:val="00CC7344"/>
    <w:rsid w:val="00CD1BD6"/>
    <w:rsid w:val="00CD52C8"/>
    <w:rsid w:val="00CD77AF"/>
    <w:rsid w:val="00CE2027"/>
    <w:rsid w:val="00CE48B2"/>
    <w:rsid w:val="00CE6CC2"/>
    <w:rsid w:val="00CE79B5"/>
    <w:rsid w:val="00CF0BB9"/>
    <w:rsid w:val="00CF190C"/>
    <w:rsid w:val="00CF1D93"/>
    <w:rsid w:val="00CF3C5F"/>
    <w:rsid w:val="00CF4E15"/>
    <w:rsid w:val="00CF56C0"/>
    <w:rsid w:val="00CF6FC6"/>
    <w:rsid w:val="00CF7A23"/>
    <w:rsid w:val="00D01820"/>
    <w:rsid w:val="00D03547"/>
    <w:rsid w:val="00D05071"/>
    <w:rsid w:val="00D05A2E"/>
    <w:rsid w:val="00D06FFC"/>
    <w:rsid w:val="00D0777C"/>
    <w:rsid w:val="00D10571"/>
    <w:rsid w:val="00D13600"/>
    <w:rsid w:val="00D14157"/>
    <w:rsid w:val="00D17FB2"/>
    <w:rsid w:val="00D20656"/>
    <w:rsid w:val="00D209CC"/>
    <w:rsid w:val="00D21521"/>
    <w:rsid w:val="00D25268"/>
    <w:rsid w:val="00D25F3B"/>
    <w:rsid w:val="00D360E9"/>
    <w:rsid w:val="00D37BE1"/>
    <w:rsid w:val="00D40732"/>
    <w:rsid w:val="00D417D7"/>
    <w:rsid w:val="00D41BD0"/>
    <w:rsid w:val="00D42761"/>
    <w:rsid w:val="00D45AB9"/>
    <w:rsid w:val="00D4677C"/>
    <w:rsid w:val="00D51E7C"/>
    <w:rsid w:val="00D52E82"/>
    <w:rsid w:val="00D53C48"/>
    <w:rsid w:val="00D55586"/>
    <w:rsid w:val="00D578E8"/>
    <w:rsid w:val="00D57A4B"/>
    <w:rsid w:val="00D57B72"/>
    <w:rsid w:val="00D6014E"/>
    <w:rsid w:val="00D60294"/>
    <w:rsid w:val="00D6094F"/>
    <w:rsid w:val="00D61A62"/>
    <w:rsid w:val="00D62C6D"/>
    <w:rsid w:val="00D64EB0"/>
    <w:rsid w:val="00D65F52"/>
    <w:rsid w:val="00D73833"/>
    <w:rsid w:val="00D74D35"/>
    <w:rsid w:val="00D760A8"/>
    <w:rsid w:val="00D82230"/>
    <w:rsid w:val="00D8772F"/>
    <w:rsid w:val="00D92297"/>
    <w:rsid w:val="00DA06F6"/>
    <w:rsid w:val="00DA1792"/>
    <w:rsid w:val="00DA493A"/>
    <w:rsid w:val="00DA4E7F"/>
    <w:rsid w:val="00DA62E6"/>
    <w:rsid w:val="00DA74D7"/>
    <w:rsid w:val="00DA7A33"/>
    <w:rsid w:val="00DB2147"/>
    <w:rsid w:val="00DB267A"/>
    <w:rsid w:val="00DB303D"/>
    <w:rsid w:val="00DB3A5F"/>
    <w:rsid w:val="00DB6BFC"/>
    <w:rsid w:val="00DC08E0"/>
    <w:rsid w:val="00DC536A"/>
    <w:rsid w:val="00DD2142"/>
    <w:rsid w:val="00DD28B9"/>
    <w:rsid w:val="00DD5B41"/>
    <w:rsid w:val="00DE0935"/>
    <w:rsid w:val="00DE0FFB"/>
    <w:rsid w:val="00DE3D9E"/>
    <w:rsid w:val="00DE44B8"/>
    <w:rsid w:val="00DE61FA"/>
    <w:rsid w:val="00DF4AB4"/>
    <w:rsid w:val="00DF5489"/>
    <w:rsid w:val="00DF5C0C"/>
    <w:rsid w:val="00E017C2"/>
    <w:rsid w:val="00E04C72"/>
    <w:rsid w:val="00E04F22"/>
    <w:rsid w:val="00E11368"/>
    <w:rsid w:val="00E134CB"/>
    <w:rsid w:val="00E16D7E"/>
    <w:rsid w:val="00E17279"/>
    <w:rsid w:val="00E20260"/>
    <w:rsid w:val="00E2235D"/>
    <w:rsid w:val="00E27B3D"/>
    <w:rsid w:val="00E3033A"/>
    <w:rsid w:val="00E30DEB"/>
    <w:rsid w:val="00E31B6C"/>
    <w:rsid w:val="00E32477"/>
    <w:rsid w:val="00E32636"/>
    <w:rsid w:val="00E34238"/>
    <w:rsid w:val="00E40993"/>
    <w:rsid w:val="00E4356E"/>
    <w:rsid w:val="00E45ACA"/>
    <w:rsid w:val="00E46591"/>
    <w:rsid w:val="00E4714E"/>
    <w:rsid w:val="00E51864"/>
    <w:rsid w:val="00E5200E"/>
    <w:rsid w:val="00E53E80"/>
    <w:rsid w:val="00E54C3C"/>
    <w:rsid w:val="00E60B01"/>
    <w:rsid w:val="00E63838"/>
    <w:rsid w:val="00E67A92"/>
    <w:rsid w:val="00E713CD"/>
    <w:rsid w:val="00E775D0"/>
    <w:rsid w:val="00E803C1"/>
    <w:rsid w:val="00E8070F"/>
    <w:rsid w:val="00E811C8"/>
    <w:rsid w:val="00E8156F"/>
    <w:rsid w:val="00E81E59"/>
    <w:rsid w:val="00E834E3"/>
    <w:rsid w:val="00E8445D"/>
    <w:rsid w:val="00E90150"/>
    <w:rsid w:val="00E92191"/>
    <w:rsid w:val="00E93638"/>
    <w:rsid w:val="00E93EF2"/>
    <w:rsid w:val="00E971F8"/>
    <w:rsid w:val="00EA0EF2"/>
    <w:rsid w:val="00EA283C"/>
    <w:rsid w:val="00EB2012"/>
    <w:rsid w:val="00EB24FF"/>
    <w:rsid w:val="00EB4132"/>
    <w:rsid w:val="00EB4715"/>
    <w:rsid w:val="00EC088E"/>
    <w:rsid w:val="00EC1844"/>
    <w:rsid w:val="00EC1975"/>
    <w:rsid w:val="00EC1BFB"/>
    <w:rsid w:val="00ED072F"/>
    <w:rsid w:val="00ED1D25"/>
    <w:rsid w:val="00ED4CAC"/>
    <w:rsid w:val="00ED6C8D"/>
    <w:rsid w:val="00EF0911"/>
    <w:rsid w:val="00EF2F5B"/>
    <w:rsid w:val="00EF5A60"/>
    <w:rsid w:val="00EF7955"/>
    <w:rsid w:val="00F02F76"/>
    <w:rsid w:val="00F0343F"/>
    <w:rsid w:val="00F10948"/>
    <w:rsid w:val="00F10B00"/>
    <w:rsid w:val="00F11C84"/>
    <w:rsid w:val="00F215FE"/>
    <w:rsid w:val="00F24F2F"/>
    <w:rsid w:val="00F25965"/>
    <w:rsid w:val="00F26F16"/>
    <w:rsid w:val="00F30E06"/>
    <w:rsid w:val="00F31A2A"/>
    <w:rsid w:val="00F33046"/>
    <w:rsid w:val="00F347F0"/>
    <w:rsid w:val="00F37548"/>
    <w:rsid w:val="00F40F98"/>
    <w:rsid w:val="00F42310"/>
    <w:rsid w:val="00F42761"/>
    <w:rsid w:val="00F43E42"/>
    <w:rsid w:val="00F44345"/>
    <w:rsid w:val="00F45DE6"/>
    <w:rsid w:val="00F47066"/>
    <w:rsid w:val="00F477DB"/>
    <w:rsid w:val="00F5199C"/>
    <w:rsid w:val="00F522CE"/>
    <w:rsid w:val="00F531D1"/>
    <w:rsid w:val="00F54D51"/>
    <w:rsid w:val="00F563C3"/>
    <w:rsid w:val="00F60171"/>
    <w:rsid w:val="00F61B91"/>
    <w:rsid w:val="00F63D90"/>
    <w:rsid w:val="00F728F2"/>
    <w:rsid w:val="00F73EFB"/>
    <w:rsid w:val="00F75B65"/>
    <w:rsid w:val="00F75B87"/>
    <w:rsid w:val="00F80585"/>
    <w:rsid w:val="00F869CE"/>
    <w:rsid w:val="00F91146"/>
    <w:rsid w:val="00F91FA9"/>
    <w:rsid w:val="00F92BE6"/>
    <w:rsid w:val="00F94E8E"/>
    <w:rsid w:val="00F97629"/>
    <w:rsid w:val="00F97823"/>
    <w:rsid w:val="00F97B4F"/>
    <w:rsid w:val="00F97CF7"/>
    <w:rsid w:val="00FA27CA"/>
    <w:rsid w:val="00FA43C5"/>
    <w:rsid w:val="00FA6AE3"/>
    <w:rsid w:val="00FB09FC"/>
    <w:rsid w:val="00FB2E11"/>
    <w:rsid w:val="00FB4500"/>
    <w:rsid w:val="00FB4C1A"/>
    <w:rsid w:val="00FB5A87"/>
    <w:rsid w:val="00FD0B6C"/>
    <w:rsid w:val="00FD7B19"/>
    <w:rsid w:val="00FE1C87"/>
    <w:rsid w:val="00FE34CD"/>
    <w:rsid w:val="00FE43C3"/>
    <w:rsid w:val="00FF24FE"/>
    <w:rsid w:val="00FF51B0"/>
    <w:rsid w:val="00FF59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schemas-GSKSiteLocations-com/fourthcoffee" w:name="flavor"/>
  <w:shapeDefaults>
    <o:shapedefaults v:ext="edit" spidmax="166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04"/>
    <w:pPr>
      <w:spacing w:after="120" w:line="240" w:lineRule="atLeast"/>
      <w:jc w:val="both"/>
    </w:pPr>
    <w:rPr>
      <w:rFonts w:ascii="Arial" w:hAnsi="Arial"/>
      <w:sz w:val="22"/>
    </w:rPr>
  </w:style>
  <w:style w:type="paragraph" w:styleId="Heading1">
    <w:name w:val="heading 1"/>
    <w:next w:val="Normal"/>
    <w:link w:val="Heading1Char"/>
    <w:uiPriority w:val="9"/>
    <w:qFormat/>
    <w:rsid w:val="0045447B"/>
    <w:pPr>
      <w:keepNext/>
      <w:keepLines/>
      <w:spacing w:before="120" w:after="240" w:line="240" w:lineRule="atLeast"/>
      <w:outlineLvl w:val="0"/>
    </w:pPr>
    <w:rPr>
      <w:rFonts w:ascii="Arial Bold" w:eastAsiaTheme="majorEastAsia" w:hAnsi="Arial Bold" w:cstheme="majorBidi"/>
      <w:b/>
      <w:bCs/>
      <w:caps/>
      <w:color w:val="000000" w:themeColor="text1"/>
      <w:sz w:val="22"/>
      <w:szCs w:val="28"/>
    </w:rPr>
  </w:style>
  <w:style w:type="paragraph" w:styleId="Heading2">
    <w:name w:val="heading 2"/>
    <w:basedOn w:val="Normal"/>
    <w:link w:val="Heading2Char"/>
    <w:uiPriority w:val="9"/>
    <w:qFormat/>
    <w:rsid w:val="00C222C0"/>
    <w:pPr>
      <w:outlineLvl w:val="1"/>
    </w:pPr>
    <w:rPr>
      <w:b/>
      <w:bCs/>
      <w:szCs w:val="3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b/>
      <w:sz w:val="28"/>
      <w:lang w:val="en-GB" w:eastAsia="en-US"/>
    </w:rPr>
  </w:style>
  <w:style w:type="character" w:customStyle="1" w:styleId="Heading2Char">
    <w:name w:val="Heading 2 Char"/>
    <w:basedOn w:val="DefaultParagraphFont"/>
    <w:link w:val="Heading2"/>
    <w:uiPriority w:val="9"/>
    <w:rsid w:val="00C222C0"/>
    <w:rPr>
      <w:rFonts w:ascii="Arial" w:hAnsi="Arial"/>
      <w:b/>
      <w:bCs/>
      <w:sz w:val="22"/>
      <w:szCs w:val="36"/>
    </w:rPr>
  </w:style>
  <w:style w:type="character" w:customStyle="1" w:styleId="Heading4Char">
    <w:name w:val="Heading 4 Char"/>
    <w:basedOn w:val="DefaultParagraphFont"/>
    <w:link w:val="Heading4"/>
    <w:uiPriority w:val="9"/>
    <w:rsid w:val="001E3B9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basedOn w:val="DefaultParagraphFont"/>
    <w:uiPriority w:val="99"/>
    <w:semiHidden/>
    <w:unhideWhenUsed/>
    <w:rsid w:val="003A21A0"/>
    <w:rPr>
      <w:rFonts w:ascii="Courier New" w:eastAsia="Calibri" w:hAnsi="Courier New" w:cs="Courier New" w:hint="default"/>
      <w:sz w:val="20"/>
      <w:szCs w:val="20"/>
    </w:rPr>
  </w:style>
  <w:style w:type="paragraph" w:styleId="ListParagraph">
    <w:name w:val="List Paragraph"/>
    <w:basedOn w:val="Normal"/>
    <w:uiPriority w:val="34"/>
    <w:qFormat/>
    <w:rsid w:val="00982469"/>
    <w:pPr>
      <w:ind w:left="720"/>
      <w:contextualSpacing/>
    </w:pPr>
  </w:style>
  <w:style w:type="character" w:styleId="CommentReference">
    <w:name w:val="annotation reference"/>
    <w:basedOn w:val="DefaultParagraphFont"/>
    <w:uiPriority w:val="99"/>
    <w:unhideWhenUsed/>
    <w:rsid w:val="00236E6E"/>
    <w:rPr>
      <w:sz w:val="16"/>
      <w:szCs w:val="16"/>
    </w:rPr>
  </w:style>
  <w:style w:type="paragraph" w:styleId="CommentText">
    <w:name w:val="annotation text"/>
    <w:basedOn w:val="Normal"/>
    <w:link w:val="CommentTextChar"/>
    <w:unhideWhenUsed/>
    <w:rsid w:val="00236E6E"/>
  </w:style>
  <w:style w:type="character" w:customStyle="1" w:styleId="CommentTextChar">
    <w:name w:val="Comment Text Char"/>
    <w:basedOn w:val="DefaultParagraphFont"/>
    <w:link w:val="CommentText"/>
    <w:rsid w:val="00236E6E"/>
  </w:style>
  <w:style w:type="paragraph" w:styleId="CommentSubject">
    <w:name w:val="annotation subject"/>
    <w:basedOn w:val="CommentText"/>
    <w:next w:val="CommentText"/>
    <w:link w:val="CommentSubjectChar"/>
    <w:uiPriority w:val="99"/>
    <w:semiHidden/>
    <w:unhideWhenUsed/>
    <w:rsid w:val="00236E6E"/>
    <w:rPr>
      <w:b/>
      <w:bCs/>
    </w:rPr>
  </w:style>
  <w:style w:type="character" w:customStyle="1" w:styleId="CommentSubjectChar">
    <w:name w:val="Comment Subject Char"/>
    <w:basedOn w:val="CommentTextChar"/>
    <w:link w:val="CommentSubject"/>
    <w:uiPriority w:val="99"/>
    <w:semiHidden/>
    <w:rsid w:val="00236E6E"/>
    <w:rPr>
      <w:b/>
      <w:bCs/>
    </w:rPr>
  </w:style>
  <w:style w:type="paragraph" w:styleId="BalloonText">
    <w:name w:val="Balloon Text"/>
    <w:basedOn w:val="Normal"/>
    <w:link w:val="BalloonTextChar"/>
    <w:uiPriority w:val="99"/>
    <w:semiHidden/>
    <w:unhideWhenUsed/>
    <w:rsid w:val="00236E6E"/>
    <w:rPr>
      <w:rFonts w:ascii="Tahoma" w:hAnsi="Tahoma" w:cs="Tahoma"/>
      <w:sz w:val="16"/>
      <w:szCs w:val="16"/>
    </w:rPr>
  </w:style>
  <w:style w:type="character" w:customStyle="1" w:styleId="BalloonTextChar">
    <w:name w:val="Balloon Text Char"/>
    <w:basedOn w:val="DefaultParagraphFont"/>
    <w:link w:val="BalloonText"/>
    <w:uiPriority w:val="99"/>
    <w:semiHidden/>
    <w:rsid w:val="00236E6E"/>
    <w:rPr>
      <w:rFonts w:ascii="Tahoma" w:hAnsi="Tahoma" w:cs="Tahoma"/>
      <w:sz w:val="16"/>
      <w:szCs w:val="16"/>
    </w:rPr>
  </w:style>
  <w:style w:type="paragraph" w:customStyle="1" w:styleId="NoNumHead5">
    <w:name w:val="NoNum:Head5"/>
    <w:basedOn w:val="Normal"/>
    <w:next w:val="Normal"/>
    <w:rsid w:val="00236E6E"/>
    <w:pPr>
      <w:keepNext/>
      <w:spacing w:after="240"/>
      <w:outlineLvl w:val="0"/>
    </w:pPr>
    <w:rPr>
      <w:b/>
      <w:i/>
      <w:lang w:val="en-GB" w:eastAsia="en-GB"/>
    </w:rPr>
  </w:style>
  <w:style w:type="paragraph" w:customStyle="1" w:styleId="listbull">
    <w:name w:val="list:bull"/>
    <w:basedOn w:val="Normal"/>
    <w:link w:val="listbullChar"/>
    <w:rsid w:val="00E8156F"/>
    <w:pPr>
      <w:numPr>
        <w:numId w:val="19"/>
      </w:numPr>
      <w:tabs>
        <w:tab w:val="clear" w:pos="432"/>
      </w:tabs>
    </w:pPr>
    <w:rPr>
      <w:sz w:val="24"/>
      <w:lang w:val="en-GB" w:eastAsia="en-GB"/>
    </w:rPr>
  </w:style>
  <w:style w:type="paragraph" w:customStyle="1" w:styleId="NoNumHead2">
    <w:name w:val="NoNum:Head2"/>
    <w:basedOn w:val="Normal"/>
    <w:next w:val="Normal"/>
    <w:link w:val="NoNumHead2Char"/>
    <w:rsid w:val="00E8156F"/>
    <w:pPr>
      <w:keepNext/>
      <w:spacing w:before="120" w:after="240"/>
      <w:outlineLvl w:val="0"/>
    </w:pPr>
    <w:rPr>
      <w:b/>
      <w:sz w:val="26"/>
      <w:lang w:val="en-GB" w:eastAsia="en-GB"/>
    </w:rPr>
  </w:style>
  <w:style w:type="character" w:customStyle="1" w:styleId="listbullChar">
    <w:name w:val="list:bull Char"/>
    <w:basedOn w:val="DefaultParagraphFont"/>
    <w:link w:val="listbull"/>
    <w:rsid w:val="00E8156F"/>
    <w:rPr>
      <w:sz w:val="24"/>
      <w:lang w:val="en-GB" w:eastAsia="en-GB"/>
    </w:rPr>
  </w:style>
  <w:style w:type="character" w:customStyle="1" w:styleId="CSIchar">
    <w:name w:val="CSIchar"/>
    <w:basedOn w:val="DefaultParagraphFont"/>
    <w:qFormat/>
    <w:rsid w:val="00517A18"/>
    <w:rPr>
      <w:shd w:val="clear" w:color="auto" w:fill="CCCCCC"/>
    </w:rPr>
  </w:style>
  <w:style w:type="paragraph" w:customStyle="1" w:styleId="Default">
    <w:name w:val="Default"/>
    <w:rsid w:val="00517A18"/>
    <w:pPr>
      <w:autoSpaceDE w:val="0"/>
      <w:autoSpaceDN w:val="0"/>
      <w:adjustRightInd w:val="0"/>
    </w:pPr>
    <w:rPr>
      <w:color w:val="000000"/>
      <w:sz w:val="24"/>
      <w:szCs w:val="24"/>
      <w:lang w:val="en-US" w:eastAsia="en-US"/>
    </w:rPr>
  </w:style>
  <w:style w:type="paragraph" w:styleId="Caption">
    <w:name w:val="caption"/>
    <w:basedOn w:val="Normal"/>
    <w:next w:val="Normal"/>
    <w:link w:val="CaptionChar"/>
    <w:qFormat/>
    <w:rsid w:val="00C43BEA"/>
    <w:pPr>
      <w:spacing w:before="120"/>
    </w:pPr>
    <w:rPr>
      <w:b/>
      <w:sz w:val="24"/>
      <w:lang w:val="en-GB" w:eastAsia="en-GB"/>
    </w:rPr>
  </w:style>
  <w:style w:type="paragraph" w:customStyle="1" w:styleId="NoNumHead4">
    <w:name w:val="NoNum:Head4"/>
    <w:basedOn w:val="Normal"/>
    <w:next w:val="Normal"/>
    <w:link w:val="NoNumHead4Char"/>
    <w:rsid w:val="00C43BEA"/>
    <w:pPr>
      <w:keepNext/>
      <w:spacing w:before="120" w:after="240"/>
      <w:outlineLvl w:val="0"/>
    </w:pPr>
    <w:rPr>
      <w:b/>
      <w:lang w:val="en-GB" w:eastAsia="en-GB"/>
    </w:rPr>
  </w:style>
  <w:style w:type="paragraph" w:customStyle="1" w:styleId="tabletextNS">
    <w:name w:val="table:textNS"/>
    <w:basedOn w:val="Normal"/>
    <w:link w:val="tabletextNSChar"/>
    <w:qFormat/>
    <w:rsid w:val="00C43BEA"/>
    <w:rPr>
      <w:rFonts w:ascii="Arial Narrow" w:hAnsi="Arial Narrow"/>
      <w:sz w:val="24"/>
      <w:lang w:val="en-GB" w:eastAsia="en-GB"/>
    </w:rPr>
  </w:style>
  <w:style w:type="character" w:customStyle="1" w:styleId="tabletextNSChar">
    <w:name w:val="table:textNS Char"/>
    <w:basedOn w:val="DefaultParagraphFont"/>
    <w:link w:val="tabletextNS"/>
    <w:rsid w:val="00C43BEA"/>
    <w:rPr>
      <w:rFonts w:ascii="Arial Narrow" w:hAnsi="Arial Narrow"/>
      <w:sz w:val="24"/>
      <w:lang w:val="en-GB" w:eastAsia="en-GB"/>
    </w:rPr>
  </w:style>
  <w:style w:type="character" w:customStyle="1" w:styleId="CaptionChar">
    <w:name w:val="Caption Char"/>
    <w:basedOn w:val="DefaultParagraphFont"/>
    <w:link w:val="Caption"/>
    <w:rsid w:val="00C43BEA"/>
    <w:rPr>
      <w:b/>
      <w:sz w:val="24"/>
      <w:lang w:val="en-GB" w:eastAsia="en-GB"/>
    </w:rPr>
  </w:style>
  <w:style w:type="character" w:customStyle="1" w:styleId="CSI">
    <w:name w:val="CSI"/>
    <w:basedOn w:val="DefaultParagraphFont"/>
    <w:uiPriority w:val="1"/>
    <w:qFormat/>
    <w:rsid w:val="00C43BEA"/>
    <w:rPr>
      <w:bdr w:val="none" w:sz="0" w:space="0" w:color="auto"/>
      <w:shd w:val="clear" w:color="auto" w:fill="BFBFBF"/>
    </w:rPr>
  </w:style>
  <w:style w:type="paragraph" w:customStyle="1" w:styleId="NoNumHead3">
    <w:name w:val="NoNum:Head3"/>
    <w:basedOn w:val="NoNumHead2"/>
    <w:next w:val="Normal"/>
    <w:rsid w:val="001D275A"/>
    <w:rPr>
      <w:sz w:val="24"/>
    </w:rPr>
  </w:style>
  <w:style w:type="paragraph" w:customStyle="1" w:styleId="LBLBulletStyle1">
    <w:name w:val="LBL BulletStyle 1"/>
    <w:basedOn w:val="Normal"/>
    <w:rsid w:val="00DE0935"/>
    <w:pPr>
      <w:numPr>
        <w:numId w:val="23"/>
      </w:numPr>
      <w:tabs>
        <w:tab w:val="left" w:pos="720"/>
        <w:tab w:val="left" w:pos="994"/>
      </w:tabs>
      <w:spacing w:line="320" w:lineRule="atLeast"/>
    </w:pPr>
    <w:rPr>
      <w:sz w:val="24"/>
      <w:lang w:val="en-US" w:eastAsia="en-US"/>
    </w:rPr>
  </w:style>
  <w:style w:type="character" w:customStyle="1" w:styleId="NoNumHead2Char">
    <w:name w:val="NoNum:Head2 Char"/>
    <w:basedOn w:val="DefaultParagraphFont"/>
    <w:link w:val="NoNumHead2"/>
    <w:rsid w:val="00912DB9"/>
    <w:rPr>
      <w:rFonts w:ascii="Arial" w:hAnsi="Arial"/>
      <w:b/>
      <w:sz w:val="26"/>
      <w:lang w:val="en-GB" w:eastAsia="en-GB"/>
    </w:rPr>
  </w:style>
  <w:style w:type="paragraph" w:customStyle="1" w:styleId="captiontable">
    <w:name w:val="caption:table"/>
    <w:basedOn w:val="Normal"/>
    <w:next w:val="Normal"/>
    <w:link w:val="captiontableChar"/>
    <w:rsid w:val="00785641"/>
    <w:pPr>
      <w:keepNext/>
      <w:spacing w:after="240"/>
      <w:ind w:left="1440" w:hanging="1440"/>
    </w:pPr>
    <w:rPr>
      <w:b/>
      <w:lang w:val="en-GB" w:eastAsia="en-GB"/>
    </w:rPr>
  </w:style>
  <w:style w:type="character" w:customStyle="1" w:styleId="captiontableChar">
    <w:name w:val="caption:table Char"/>
    <w:basedOn w:val="DefaultParagraphFont"/>
    <w:link w:val="captiontable"/>
    <w:locked/>
    <w:rsid w:val="00785641"/>
    <w:rPr>
      <w:rFonts w:ascii="Arial" w:hAnsi="Arial"/>
      <w:b/>
      <w:sz w:val="22"/>
      <w:lang w:val="en-GB" w:eastAsia="en-GB"/>
    </w:rPr>
  </w:style>
  <w:style w:type="character" w:customStyle="1" w:styleId="LBLLevel3">
    <w:name w:val="LBLLevel 3"/>
    <w:basedOn w:val="DefaultParagraphFont"/>
    <w:rsid w:val="003D5E68"/>
    <w:rPr>
      <w:rFonts w:ascii="Arial" w:hAnsi="Arial"/>
      <w:u w:val="single"/>
    </w:rPr>
  </w:style>
  <w:style w:type="character" w:customStyle="1" w:styleId="NoNumHead4Char">
    <w:name w:val="NoNum:Head4 Char"/>
    <w:basedOn w:val="DefaultParagraphFont"/>
    <w:link w:val="NoNumHead4"/>
    <w:rsid w:val="0011765A"/>
    <w:rPr>
      <w:rFonts w:ascii="Arial" w:hAnsi="Arial"/>
      <w:b/>
      <w:sz w:val="22"/>
      <w:lang w:val="en-GB" w:eastAsia="en-GB"/>
    </w:rPr>
  </w:style>
  <w:style w:type="paragraph" w:customStyle="1" w:styleId="subhead">
    <w:name w:val="subhead"/>
    <w:basedOn w:val="Normal"/>
    <w:rsid w:val="004665A7"/>
    <w:pPr>
      <w:tabs>
        <w:tab w:val="left" w:pos="720"/>
        <w:tab w:val="left" w:pos="994"/>
      </w:tabs>
      <w:spacing w:after="0" w:line="280" w:lineRule="exact"/>
    </w:pPr>
    <w:rPr>
      <w:rFonts w:ascii="Times New Roman" w:hAnsi="Times New Roman"/>
      <w:b/>
      <w:sz w:val="24"/>
      <w:lang w:val="en-US" w:eastAsia="en-US"/>
    </w:rPr>
  </w:style>
  <w:style w:type="character" w:customStyle="1" w:styleId="LBLLevel2Char">
    <w:name w:val="LBLLevel 2 Char"/>
    <w:basedOn w:val="DefaultParagraphFont"/>
    <w:link w:val="LBLLevel2"/>
    <w:rsid w:val="00746E0F"/>
    <w:rPr>
      <w:rFonts w:ascii="Arial" w:hAnsi="Arial"/>
      <w:b/>
      <w:sz w:val="24"/>
      <w:szCs w:val="24"/>
      <w:lang w:val="en-US" w:eastAsia="en-US"/>
    </w:rPr>
  </w:style>
  <w:style w:type="paragraph" w:customStyle="1" w:styleId="LBLLevel2">
    <w:name w:val="LBLLevel 2"/>
    <w:basedOn w:val="Normal"/>
    <w:next w:val="Normal"/>
    <w:link w:val="LBLLevel2Char"/>
    <w:rsid w:val="00746E0F"/>
    <w:pPr>
      <w:tabs>
        <w:tab w:val="left" w:pos="720"/>
        <w:tab w:val="left" w:pos="990"/>
        <w:tab w:val="left" w:pos="1260"/>
      </w:tabs>
      <w:spacing w:after="0" w:line="320" w:lineRule="atLeast"/>
    </w:pPr>
    <w:rPr>
      <w:b/>
      <w:sz w:val="24"/>
      <w:szCs w:val="24"/>
      <w:lang w:val="en-US" w:eastAsia="en-US"/>
    </w:rPr>
  </w:style>
  <w:style w:type="character" w:customStyle="1" w:styleId="LBLTableFootnotesChar">
    <w:name w:val="LBL Table Footnotes Char"/>
    <w:basedOn w:val="DefaultParagraphFont"/>
    <w:link w:val="LBLTableFootnotes"/>
    <w:rsid w:val="00746E0F"/>
    <w:rPr>
      <w:sz w:val="24"/>
      <w:lang w:val="en-US" w:eastAsia="en-US"/>
    </w:rPr>
  </w:style>
  <w:style w:type="paragraph" w:customStyle="1" w:styleId="LBLTableFootnotes">
    <w:name w:val="LBL Table Footnotes"/>
    <w:basedOn w:val="Normal"/>
    <w:link w:val="LBLTableFootnotesChar"/>
    <w:rsid w:val="00746E0F"/>
    <w:pPr>
      <w:tabs>
        <w:tab w:val="left" w:pos="720"/>
        <w:tab w:val="left" w:pos="994"/>
      </w:tabs>
      <w:spacing w:after="0" w:line="320" w:lineRule="atLeast"/>
      <w:ind w:left="274" w:hanging="274"/>
    </w:pPr>
    <w:rPr>
      <w:rFonts w:ascii="Times New Roman" w:hAnsi="Times New Roman"/>
      <w:sz w:val="24"/>
      <w:lang w:val="en-US" w:eastAsia="en-US"/>
    </w:rPr>
  </w:style>
  <w:style w:type="character" w:customStyle="1" w:styleId="LBLLevel4">
    <w:name w:val="LBLLevel 4"/>
    <w:rsid w:val="00746E0F"/>
    <w:rPr>
      <w:rFonts w:ascii="Arial" w:hAnsi="Arial" w:cs="Arial"/>
      <w:i/>
    </w:rPr>
  </w:style>
  <w:style w:type="character" w:styleId="Strong">
    <w:name w:val="Strong"/>
    <w:basedOn w:val="DefaultParagraphFont"/>
    <w:uiPriority w:val="22"/>
    <w:qFormat/>
    <w:rsid w:val="00746E0F"/>
    <w:rPr>
      <w:b/>
      <w:bCs/>
    </w:rPr>
  </w:style>
  <w:style w:type="paragraph" w:styleId="TOC6">
    <w:name w:val="toc 6"/>
    <w:basedOn w:val="TOC3"/>
    <w:next w:val="Normal"/>
    <w:autoRedefine/>
    <w:semiHidden/>
    <w:rsid w:val="00C14A30"/>
    <w:pPr>
      <w:tabs>
        <w:tab w:val="left" w:pos="2088"/>
        <w:tab w:val="right" w:leader="dot" w:pos="8637"/>
      </w:tabs>
      <w:spacing w:after="0" w:line="240" w:lineRule="auto"/>
      <w:ind w:left="2088" w:right="850" w:hanging="936"/>
    </w:pPr>
    <w:rPr>
      <w:rFonts w:cs="Arial"/>
      <w:szCs w:val="22"/>
      <w:lang w:val="en-GB" w:eastAsia="en-US"/>
    </w:rPr>
  </w:style>
  <w:style w:type="paragraph" w:customStyle="1" w:styleId="tabletext">
    <w:name w:val="table:text"/>
    <w:basedOn w:val="Normal"/>
    <w:rsid w:val="00C14A30"/>
    <w:pPr>
      <w:spacing w:before="120" w:line="240" w:lineRule="auto"/>
    </w:pPr>
    <w:rPr>
      <w:rFonts w:ascii="Arial Narrow" w:hAnsi="Arial Narrow"/>
      <w:sz w:val="24"/>
      <w:lang w:val="en-GB" w:eastAsia="en-GB"/>
    </w:rPr>
  </w:style>
  <w:style w:type="paragraph" w:styleId="TOC3">
    <w:name w:val="toc 3"/>
    <w:basedOn w:val="Normal"/>
    <w:next w:val="Normal"/>
    <w:autoRedefine/>
    <w:uiPriority w:val="39"/>
    <w:semiHidden/>
    <w:unhideWhenUsed/>
    <w:rsid w:val="00C14A30"/>
    <w:pPr>
      <w:spacing w:after="100"/>
      <w:ind w:left="440"/>
    </w:pPr>
  </w:style>
  <w:style w:type="paragraph" w:customStyle="1" w:styleId="CitationTitle">
    <w:name w:val="Citation Title"/>
    <w:basedOn w:val="Normal"/>
    <w:autoRedefine/>
    <w:rsid w:val="005141DC"/>
    <w:pPr>
      <w:spacing w:after="0" w:line="240" w:lineRule="auto"/>
      <w:ind w:left="562"/>
    </w:pPr>
    <w:rPr>
      <w:rFonts w:ascii="Times New Roman" w:hAnsi="Times New Roman"/>
      <w:sz w:val="24"/>
      <w:lang w:val="en-GB" w:eastAsia="en-US"/>
    </w:rPr>
  </w:style>
  <w:style w:type="paragraph" w:customStyle="1" w:styleId="Postspace">
    <w:name w:val="Postspace"/>
    <w:basedOn w:val="Normal"/>
    <w:autoRedefine/>
    <w:rsid w:val="00460B66"/>
    <w:pPr>
      <w:spacing w:after="220" w:line="240" w:lineRule="auto"/>
    </w:pPr>
    <w:rPr>
      <w:rFonts w:ascii="Times New Roman" w:hAnsi="Times New Roman"/>
      <w:b/>
      <w:color w:val="0000FF"/>
      <w:sz w:val="24"/>
      <w:lang w:val="en-GB" w:eastAsia="en-US"/>
    </w:rPr>
  </w:style>
  <w:style w:type="paragraph" w:customStyle="1" w:styleId="TableCell">
    <w:name w:val="TableCell"/>
    <w:basedOn w:val="Normal"/>
    <w:rsid w:val="00460B66"/>
    <w:pPr>
      <w:spacing w:after="0" w:line="240" w:lineRule="auto"/>
    </w:pPr>
    <w:rPr>
      <w:rFonts w:ascii="Times New Roman" w:hAnsi="Times New Roman"/>
      <w:sz w:val="24"/>
      <w:lang w:val="en-GB" w:eastAsia="en-US"/>
    </w:rPr>
  </w:style>
  <w:style w:type="paragraph" w:customStyle="1" w:styleId="listdash">
    <w:name w:val="list:dash"/>
    <w:basedOn w:val="Normal"/>
    <w:rsid w:val="00460B66"/>
    <w:pPr>
      <w:numPr>
        <w:numId w:val="26"/>
      </w:numPr>
      <w:spacing w:after="240" w:line="240" w:lineRule="auto"/>
    </w:pPr>
    <w:rPr>
      <w:rFonts w:ascii="Times New Roman" w:hAnsi="Times New Roman"/>
      <w:sz w:val="24"/>
      <w:lang w:val="en-GB" w:eastAsia="en-US"/>
    </w:rPr>
  </w:style>
  <w:style w:type="paragraph" w:customStyle="1" w:styleId="anchor">
    <w:name w:val="anchor"/>
    <w:basedOn w:val="Normal"/>
    <w:autoRedefine/>
    <w:rsid w:val="00947FC3"/>
    <w:pPr>
      <w:spacing w:after="0" w:line="240" w:lineRule="auto"/>
    </w:pPr>
    <w:rPr>
      <w:rFonts w:ascii="Times New Roman" w:eastAsia="MS Mincho" w:hAnsi="Times New Roman"/>
      <w:sz w:val="24"/>
      <w:lang w:val="en-GB" w:eastAsia="en-US"/>
    </w:rPr>
  </w:style>
  <w:style w:type="paragraph" w:customStyle="1" w:styleId="listindentbull">
    <w:name w:val="list:indent bull"/>
    <w:rsid w:val="00524EED"/>
    <w:pPr>
      <w:numPr>
        <w:numId w:val="27"/>
      </w:numPr>
      <w:tabs>
        <w:tab w:val="clear" w:pos="864"/>
        <w:tab w:val="left" w:pos="567"/>
      </w:tabs>
      <w:ind w:left="567" w:hanging="567"/>
    </w:pPr>
    <w:rPr>
      <w:sz w:val="24"/>
      <w:lang w:val="en-GB" w:eastAsia="en-US"/>
    </w:rPr>
  </w:style>
  <w:style w:type="character" w:customStyle="1" w:styleId="Heading1Char">
    <w:name w:val="Heading 1 Char"/>
    <w:basedOn w:val="DefaultParagraphFont"/>
    <w:link w:val="Heading1"/>
    <w:uiPriority w:val="9"/>
    <w:rsid w:val="0045447B"/>
    <w:rPr>
      <w:rFonts w:ascii="Arial Bold" w:eastAsiaTheme="majorEastAsia" w:hAnsi="Arial Bold" w:cstheme="majorBidi"/>
      <w:b/>
      <w:bCs/>
      <w:caps/>
      <w:color w:val="000000" w:themeColor="text1"/>
      <w:sz w:val="22"/>
      <w:szCs w:val="28"/>
    </w:rPr>
  </w:style>
  <w:style w:type="paragraph" w:customStyle="1" w:styleId="Head3">
    <w:name w:val="Head 3"/>
    <w:basedOn w:val="Heading2"/>
    <w:qFormat/>
    <w:rsid w:val="006118C4"/>
    <w:rPr>
      <w:i/>
    </w:rPr>
  </w:style>
  <w:style w:type="paragraph" w:styleId="Revision">
    <w:name w:val="Revision"/>
    <w:hidden/>
    <w:uiPriority w:val="99"/>
    <w:semiHidden/>
    <w:rsid w:val="00E017C2"/>
    <w:rPr>
      <w:rFonts w:ascii="Arial" w:hAnsi="Arial"/>
      <w:sz w:val="22"/>
    </w:rPr>
  </w:style>
  <w:style w:type="paragraph" w:styleId="BodyText3">
    <w:name w:val="Body Text 3"/>
    <w:basedOn w:val="Normal"/>
    <w:link w:val="BodyText3Char"/>
    <w:rsid w:val="007C78E6"/>
    <w:pPr>
      <w:spacing w:after="0" w:line="240" w:lineRule="auto"/>
    </w:pPr>
    <w:rPr>
      <w:rFonts w:ascii="CG Times (WN)" w:hAnsi="CG Times (WN)"/>
      <w:strike/>
      <w:lang w:val="en-GB"/>
    </w:rPr>
  </w:style>
  <w:style w:type="character" w:customStyle="1" w:styleId="BodyText3Char">
    <w:name w:val="Body Text 3 Char"/>
    <w:basedOn w:val="DefaultParagraphFont"/>
    <w:link w:val="BodyText3"/>
    <w:rsid w:val="007C78E6"/>
    <w:rPr>
      <w:rFonts w:ascii="CG Times (WN)" w:hAnsi="CG Times (WN)"/>
      <w:strike/>
      <w:sz w:val="22"/>
      <w:lang w:val="en-GB"/>
    </w:rPr>
  </w:style>
  <w:style w:type="paragraph" w:styleId="PlainText">
    <w:name w:val="Plain Text"/>
    <w:basedOn w:val="Normal"/>
    <w:link w:val="PlainTextChar"/>
    <w:uiPriority w:val="99"/>
    <w:semiHidden/>
    <w:unhideWhenUsed/>
    <w:rsid w:val="00DE3D9E"/>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DE3D9E"/>
    <w:rPr>
      <w:rFonts w:ascii="Consolas" w:hAnsi="Consolas" w:cs="Consolas"/>
      <w:sz w:val="21"/>
      <w:szCs w:val="21"/>
    </w:rPr>
  </w:style>
  <w:style w:type="table" w:customStyle="1" w:styleId="TableGrid1">
    <w:name w:val="Table Grid1"/>
    <w:basedOn w:val="TableNormal"/>
    <w:next w:val="TableGrid"/>
    <w:uiPriority w:val="59"/>
    <w:rsid w:val="007126B0"/>
    <w:pPr>
      <w:spacing w:after="200" w:line="0" w:lineRule="auto"/>
    </w:pPr>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904"/>
    <w:pPr>
      <w:spacing w:after="120" w:line="240" w:lineRule="atLeast"/>
      <w:jc w:val="both"/>
    </w:pPr>
    <w:rPr>
      <w:rFonts w:ascii="Arial" w:hAnsi="Arial"/>
      <w:sz w:val="22"/>
    </w:rPr>
  </w:style>
  <w:style w:type="paragraph" w:styleId="Heading1">
    <w:name w:val="heading 1"/>
    <w:next w:val="Normal"/>
    <w:link w:val="Heading1Char"/>
    <w:uiPriority w:val="9"/>
    <w:qFormat/>
    <w:rsid w:val="0045447B"/>
    <w:pPr>
      <w:keepNext/>
      <w:keepLines/>
      <w:spacing w:before="120" w:after="240" w:line="240" w:lineRule="atLeast"/>
      <w:outlineLvl w:val="0"/>
    </w:pPr>
    <w:rPr>
      <w:rFonts w:ascii="Arial Bold" w:eastAsiaTheme="majorEastAsia" w:hAnsi="Arial Bold" w:cstheme="majorBidi"/>
      <w:b/>
      <w:bCs/>
      <w:caps/>
      <w:color w:val="000000" w:themeColor="text1"/>
      <w:sz w:val="22"/>
      <w:szCs w:val="28"/>
    </w:rPr>
  </w:style>
  <w:style w:type="paragraph" w:styleId="Heading2">
    <w:name w:val="heading 2"/>
    <w:basedOn w:val="Normal"/>
    <w:link w:val="Heading2Char"/>
    <w:uiPriority w:val="9"/>
    <w:qFormat/>
    <w:rsid w:val="00C222C0"/>
    <w:pPr>
      <w:outlineLvl w:val="1"/>
    </w:pPr>
    <w:rPr>
      <w:b/>
      <w:bCs/>
      <w:szCs w:val="36"/>
    </w:rPr>
  </w:style>
  <w:style w:type="paragraph" w:styleId="Heading4">
    <w:name w:val="heading 4"/>
    <w:basedOn w:val="Normal"/>
    <w:next w:val="Normal"/>
    <w:link w:val="Heading4Char"/>
    <w:uiPriority w:val="9"/>
    <w:unhideWhenUsed/>
    <w:qFormat/>
    <w:rsid w:val="001E3B9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E3B9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b/>
      <w:sz w:val="28"/>
      <w:lang w:val="en-GB" w:eastAsia="en-US"/>
    </w:rPr>
  </w:style>
  <w:style w:type="character" w:customStyle="1" w:styleId="Heading2Char">
    <w:name w:val="Heading 2 Char"/>
    <w:basedOn w:val="DefaultParagraphFont"/>
    <w:link w:val="Heading2"/>
    <w:uiPriority w:val="9"/>
    <w:rsid w:val="00C222C0"/>
    <w:rPr>
      <w:rFonts w:ascii="Arial" w:hAnsi="Arial"/>
      <w:b/>
      <w:bCs/>
      <w:sz w:val="22"/>
      <w:szCs w:val="36"/>
    </w:rPr>
  </w:style>
  <w:style w:type="character" w:customStyle="1" w:styleId="Heading4Char">
    <w:name w:val="Heading 4 Char"/>
    <w:basedOn w:val="DefaultParagraphFont"/>
    <w:link w:val="Heading4"/>
    <w:uiPriority w:val="9"/>
    <w:rsid w:val="001E3B9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E3B9A"/>
    <w:rPr>
      <w:rFonts w:ascii="Calibri" w:eastAsia="Times New Roman" w:hAnsi="Calibri" w:cs="Times New Roman"/>
      <w:b/>
      <w:bCs/>
      <w:i/>
      <w:iCs/>
      <w:sz w:val="26"/>
      <w:szCs w:val="26"/>
    </w:rPr>
  </w:style>
  <w:style w:type="paragraph" w:styleId="NormalWeb">
    <w:name w:val="Normal (Web)"/>
    <w:basedOn w:val="Normal"/>
    <w:uiPriority w:val="99"/>
    <w:unhideWhenUsed/>
    <w:rsid w:val="001E3B9A"/>
    <w:pPr>
      <w:spacing w:before="100" w:beforeAutospacing="1" w:after="100" w:afterAutospacing="1"/>
    </w:pPr>
    <w:rPr>
      <w:sz w:val="24"/>
      <w:szCs w:val="24"/>
    </w:rPr>
  </w:style>
  <w:style w:type="character" w:styleId="HTMLTypewriter">
    <w:name w:val="HTML Typewriter"/>
    <w:basedOn w:val="DefaultParagraphFont"/>
    <w:uiPriority w:val="99"/>
    <w:semiHidden/>
    <w:unhideWhenUsed/>
    <w:rsid w:val="003A21A0"/>
    <w:rPr>
      <w:rFonts w:ascii="Courier New" w:eastAsia="Calibri" w:hAnsi="Courier New" w:cs="Courier New" w:hint="default"/>
      <w:sz w:val="20"/>
      <w:szCs w:val="20"/>
    </w:rPr>
  </w:style>
  <w:style w:type="paragraph" w:styleId="ListParagraph">
    <w:name w:val="List Paragraph"/>
    <w:basedOn w:val="Normal"/>
    <w:uiPriority w:val="34"/>
    <w:qFormat/>
    <w:rsid w:val="00982469"/>
    <w:pPr>
      <w:ind w:left="720"/>
      <w:contextualSpacing/>
    </w:pPr>
  </w:style>
  <w:style w:type="character" w:styleId="CommentReference">
    <w:name w:val="annotation reference"/>
    <w:basedOn w:val="DefaultParagraphFont"/>
    <w:uiPriority w:val="99"/>
    <w:unhideWhenUsed/>
    <w:rsid w:val="00236E6E"/>
    <w:rPr>
      <w:sz w:val="16"/>
      <w:szCs w:val="16"/>
    </w:rPr>
  </w:style>
  <w:style w:type="paragraph" w:styleId="CommentText">
    <w:name w:val="annotation text"/>
    <w:basedOn w:val="Normal"/>
    <w:link w:val="CommentTextChar"/>
    <w:unhideWhenUsed/>
    <w:rsid w:val="00236E6E"/>
  </w:style>
  <w:style w:type="character" w:customStyle="1" w:styleId="CommentTextChar">
    <w:name w:val="Comment Text Char"/>
    <w:basedOn w:val="DefaultParagraphFont"/>
    <w:link w:val="CommentText"/>
    <w:rsid w:val="00236E6E"/>
  </w:style>
  <w:style w:type="paragraph" w:styleId="CommentSubject">
    <w:name w:val="annotation subject"/>
    <w:basedOn w:val="CommentText"/>
    <w:next w:val="CommentText"/>
    <w:link w:val="CommentSubjectChar"/>
    <w:uiPriority w:val="99"/>
    <w:semiHidden/>
    <w:unhideWhenUsed/>
    <w:rsid w:val="00236E6E"/>
    <w:rPr>
      <w:b/>
      <w:bCs/>
    </w:rPr>
  </w:style>
  <w:style w:type="character" w:customStyle="1" w:styleId="CommentSubjectChar">
    <w:name w:val="Comment Subject Char"/>
    <w:basedOn w:val="CommentTextChar"/>
    <w:link w:val="CommentSubject"/>
    <w:uiPriority w:val="99"/>
    <w:semiHidden/>
    <w:rsid w:val="00236E6E"/>
    <w:rPr>
      <w:b/>
      <w:bCs/>
    </w:rPr>
  </w:style>
  <w:style w:type="paragraph" w:styleId="BalloonText">
    <w:name w:val="Balloon Text"/>
    <w:basedOn w:val="Normal"/>
    <w:link w:val="BalloonTextChar"/>
    <w:uiPriority w:val="99"/>
    <w:semiHidden/>
    <w:unhideWhenUsed/>
    <w:rsid w:val="00236E6E"/>
    <w:rPr>
      <w:rFonts w:ascii="Tahoma" w:hAnsi="Tahoma" w:cs="Tahoma"/>
      <w:sz w:val="16"/>
      <w:szCs w:val="16"/>
    </w:rPr>
  </w:style>
  <w:style w:type="character" w:customStyle="1" w:styleId="BalloonTextChar">
    <w:name w:val="Balloon Text Char"/>
    <w:basedOn w:val="DefaultParagraphFont"/>
    <w:link w:val="BalloonText"/>
    <w:uiPriority w:val="99"/>
    <w:semiHidden/>
    <w:rsid w:val="00236E6E"/>
    <w:rPr>
      <w:rFonts w:ascii="Tahoma" w:hAnsi="Tahoma" w:cs="Tahoma"/>
      <w:sz w:val="16"/>
      <w:szCs w:val="16"/>
    </w:rPr>
  </w:style>
  <w:style w:type="paragraph" w:customStyle="1" w:styleId="NoNumHead5">
    <w:name w:val="NoNum:Head5"/>
    <w:basedOn w:val="Normal"/>
    <w:next w:val="Normal"/>
    <w:rsid w:val="00236E6E"/>
    <w:pPr>
      <w:keepNext/>
      <w:spacing w:after="240"/>
      <w:outlineLvl w:val="0"/>
    </w:pPr>
    <w:rPr>
      <w:b/>
      <w:i/>
      <w:lang w:val="en-GB" w:eastAsia="en-GB"/>
    </w:rPr>
  </w:style>
  <w:style w:type="paragraph" w:customStyle="1" w:styleId="listbull">
    <w:name w:val="list:bull"/>
    <w:basedOn w:val="Normal"/>
    <w:link w:val="listbullChar"/>
    <w:rsid w:val="00E8156F"/>
    <w:pPr>
      <w:numPr>
        <w:numId w:val="19"/>
      </w:numPr>
      <w:tabs>
        <w:tab w:val="clear" w:pos="432"/>
      </w:tabs>
    </w:pPr>
    <w:rPr>
      <w:sz w:val="24"/>
      <w:lang w:val="en-GB" w:eastAsia="en-GB"/>
    </w:rPr>
  </w:style>
  <w:style w:type="paragraph" w:customStyle="1" w:styleId="NoNumHead2">
    <w:name w:val="NoNum:Head2"/>
    <w:basedOn w:val="Normal"/>
    <w:next w:val="Normal"/>
    <w:link w:val="NoNumHead2Char"/>
    <w:rsid w:val="00E8156F"/>
    <w:pPr>
      <w:keepNext/>
      <w:spacing w:before="120" w:after="240"/>
      <w:outlineLvl w:val="0"/>
    </w:pPr>
    <w:rPr>
      <w:b/>
      <w:sz w:val="26"/>
      <w:lang w:val="en-GB" w:eastAsia="en-GB"/>
    </w:rPr>
  </w:style>
  <w:style w:type="character" w:customStyle="1" w:styleId="listbullChar">
    <w:name w:val="list:bull Char"/>
    <w:basedOn w:val="DefaultParagraphFont"/>
    <w:link w:val="listbull"/>
    <w:rsid w:val="00E8156F"/>
    <w:rPr>
      <w:sz w:val="24"/>
      <w:lang w:val="en-GB" w:eastAsia="en-GB"/>
    </w:rPr>
  </w:style>
  <w:style w:type="character" w:customStyle="1" w:styleId="CSIchar">
    <w:name w:val="CSIchar"/>
    <w:basedOn w:val="DefaultParagraphFont"/>
    <w:qFormat/>
    <w:rsid w:val="00517A18"/>
    <w:rPr>
      <w:shd w:val="clear" w:color="auto" w:fill="CCCCCC"/>
    </w:rPr>
  </w:style>
  <w:style w:type="paragraph" w:customStyle="1" w:styleId="Default">
    <w:name w:val="Default"/>
    <w:rsid w:val="00517A18"/>
    <w:pPr>
      <w:autoSpaceDE w:val="0"/>
      <w:autoSpaceDN w:val="0"/>
      <w:adjustRightInd w:val="0"/>
    </w:pPr>
    <w:rPr>
      <w:color w:val="000000"/>
      <w:sz w:val="24"/>
      <w:szCs w:val="24"/>
      <w:lang w:val="en-US" w:eastAsia="en-US"/>
    </w:rPr>
  </w:style>
  <w:style w:type="paragraph" w:styleId="Caption">
    <w:name w:val="caption"/>
    <w:basedOn w:val="Normal"/>
    <w:next w:val="Normal"/>
    <w:link w:val="CaptionChar"/>
    <w:qFormat/>
    <w:rsid w:val="00C43BEA"/>
    <w:pPr>
      <w:spacing w:before="120"/>
    </w:pPr>
    <w:rPr>
      <w:b/>
      <w:sz w:val="24"/>
      <w:lang w:val="en-GB" w:eastAsia="en-GB"/>
    </w:rPr>
  </w:style>
  <w:style w:type="paragraph" w:customStyle="1" w:styleId="NoNumHead4">
    <w:name w:val="NoNum:Head4"/>
    <w:basedOn w:val="Normal"/>
    <w:next w:val="Normal"/>
    <w:link w:val="NoNumHead4Char"/>
    <w:rsid w:val="00C43BEA"/>
    <w:pPr>
      <w:keepNext/>
      <w:spacing w:before="120" w:after="240"/>
      <w:outlineLvl w:val="0"/>
    </w:pPr>
    <w:rPr>
      <w:b/>
      <w:lang w:val="en-GB" w:eastAsia="en-GB"/>
    </w:rPr>
  </w:style>
  <w:style w:type="paragraph" w:customStyle="1" w:styleId="tabletextNS">
    <w:name w:val="table:textNS"/>
    <w:basedOn w:val="Normal"/>
    <w:link w:val="tabletextNSChar"/>
    <w:qFormat/>
    <w:rsid w:val="00C43BEA"/>
    <w:rPr>
      <w:rFonts w:ascii="Arial Narrow" w:hAnsi="Arial Narrow"/>
      <w:sz w:val="24"/>
      <w:lang w:val="en-GB" w:eastAsia="en-GB"/>
    </w:rPr>
  </w:style>
  <w:style w:type="character" w:customStyle="1" w:styleId="tabletextNSChar">
    <w:name w:val="table:textNS Char"/>
    <w:basedOn w:val="DefaultParagraphFont"/>
    <w:link w:val="tabletextNS"/>
    <w:rsid w:val="00C43BEA"/>
    <w:rPr>
      <w:rFonts w:ascii="Arial Narrow" w:hAnsi="Arial Narrow"/>
      <w:sz w:val="24"/>
      <w:lang w:val="en-GB" w:eastAsia="en-GB"/>
    </w:rPr>
  </w:style>
  <w:style w:type="character" w:customStyle="1" w:styleId="CaptionChar">
    <w:name w:val="Caption Char"/>
    <w:basedOn w:val="DefaultParagraphFont"/>
    <w:link w:val="Caption"/>
    <w:rsid w:val="00C43BEA"/>
    <w:rPr>
      <w:b/>
      <w:sz w:val="24"/>
      <w:lang w:val="en-GB" w:eastAsia="en-GB"/>
    </w:rPr>
  </w:style>
  <w:style w:type="character" w:customStyle="1" w:styleId="CSI">
    <w:name w:val="CSI"/>
    <w:basedOn w:val="DefaultParagraphFont"/>
    <w:uiPriority w:val="1"/>
    <w:qFormat/>
    <w:rsid w:val="00C43BEA"/>
    <w:rPr>
      <w:bdr w:val="none" w:sz="0" w:space="0" w:color="auto"/>
      <w:shd w:val="clear" w:color="auto" w:fill="BFBFBF"/>
    </w:rPr>
  </w:style>
  <w:style w:type="paragraph" w:customStyle="1" w:styleId="NoNumHead3">
    <w:name w:val="NoNum:Head3"/>
    <w:basedOn w:val="NoNumHead2"/>
    <w:next w:val="Normal"/>
    <w:rsid w:val="001D275A"/>
    <w:rPr>
      <w:sz w:val="24"/>
    </w:rPr>
  </w:style>
  <w:style w:type="paragraph" w:customStyle="1" w:styleId="LBLBulletStyle1">
    <w:name w:val="LBL BulletStyle 1"/>
    <w:basedOn w:val="Normal"/>
    <w:rsid w:val="00DE0935"/>
    <w:pPr>
      <w:numPr>
        <w:numId w:val="23"/>
      </w:numPr>
      <w:tabs>
        <w:tab w:val="left" w:pos="720"/>
        <w:tab w:val="left" w:pos="994"/>
      </w:tabs>
      <w:spacing w:line="320" w:lineRule="atLeast"/>
    </w:pPr>
    <w:rPr>
      <w:sz w:val="24"/>
      <w:lang w:val="en-US" w:eastAsia="en-US"/>
    </w:rPr>
  </w:style>
  <w:style w:type="character" w:customStyle="1" w:styleId="NoNumHead2Char">
    <w:name w:val="NoNum:Head2 Char"/>
    <w:basedOn w:val="DefaultParagraphFont"/>
    <w:link w:val="NoNumHead2"/>
    <w:rsid w:val="00912DB9"/>
    <w:rPr>
      <w:rFonts w:ascii="Arial" w:hAnsi="Arial"/>
      <w:b/>
      <w:sz w:val="26"/>
      <w:lang w:val="en-GB" w:eastAsia="en-GB"/>
    </w:rPr>
  </w:style>
  <w:style w:type="paragraph" w:customStyle="1" w:styleId="captiontable">
    <w:name w:val="caption:table"/>
    <w:basedOn w:val="Normal"/>
    <w:next w:val="Normal"/>
    <w:link w:val="captiontableChar"/>
    <w:rsid w:val="00785641"/>
    <w:pPr>
      <w:keepNext/>
      <w:spacing w:after="240"/>
      <w:ind w:left="1440" w:hanging="1440"/>
    </w:pPr>
    <w:rPr>
      <w:b/>
      <w:lang w:val="en-GB" w:eastAsia="en-GB"/>
    </w:rPr>
  </w:style>
  <w:style w:type="character" w:customStyle="1" w:styleId="captiontableChar">
    <w:name w:val="caption:table Char"/>
    <w:basedOn w:val="DefaultParagraphFont"/>
    <w:link w:val="captiontable"/>
    <w:locked/>
    <w:rsid w:val="00785641"/>
    <w:rPr>
      <w:rFonts w:ascii="Arial" w:hAnsi="Arial"/>
      <w:b/>
      <w:sz w:val="22"/>
      <w:lang w:val="en-GB" w:eastAsia="en-GB"/>
    </w:rPr>
  </w:style>
  <w:style w:type="character" w:customStyle="1" w:styleId="LBLLevel3">
    <w:name w:val="LBLLevel 3"/>
    <w:basedOn w:val="DefaultParagraphFont"/>
    <w:rsid w:val="003D5E68"/>
    <w:rPr>
      <w:rFonts w:ascii="Arial" w:hAnsi="Arial"/>
      <w:u w:val="single"/>
    </w:rPr>
  </w:style>
  <w:style w:type="character" w:customStyle="1" w:styleId="NoNumHead4Char">
    <w:name w:val="NoNum:Head4 Char"/>
    <w:basedOn w:val="DefaultParagraphFont"/>
    <w:link w:val="NoNumHead4"/>
    <w:rsid w:val="0011765A"/>
    <w:rPr>
      <w:rFonts w:ascii="Arial" w:hAnsi="Arial"/>
      <w:b/>
      <w:sz w:val="22"/>
      <w:lang w:val="en-GB" w:eastAsia="en-GB"/>
    </w:rPr>
  </w:style>
  <w:style w:type="paragraph" w:customStyle="1" w:styleId="subhead">
    <w:name w:val="subhead"/>
    <w:basedOn w:val="Normal"/>
    <w:rsid w:val="004665A7"/>
    <w:pPr>
      <w:tabs>
        <w:tab w:val="left" w:pos="720"/>
        <w:tab w:val="left" w:pos="994"/>
      </w:tabs>
      <w:spacing w:after="0" w:line="280" w:lineRule="exact"/>
    </w:pPr>
    <w:rPr>
      <w:rFonts w:ascii="Times New Roman" w:hAnsi="Times New Roman"/>
      <w:b/>
      <w:sz w:val="24"/>
      <w:lang w:val="en-US" w:eastAsia="en-US"/>
    </w:rPr>
  </w:style>
  <w:style w:type="character" w:customStyle="1" w:styleId="LBLLevel2Char">
    <w:name w:val="LBLLevel 2 Char"/>
    <w:basedOn w:val="DefaultParagraphFont"/>
    <w:link w:val="LBLLevel2"/>
    <w:rsid w:val="00746E0F"/>
    <w:rPr>
      <w:rFonts w:ascii="Arial" w:hAnsi="Arial"/>
      <w:b/>
      <w:sz w:val="24"/>
      <w:szCs w:val="24"/>
      <w:lang w:val="en-US" w:eastAsia="en-US"/>
    </w:rPr>
  </w:style>
  <w:style w:type="paragraph" w:customStyle="1" w:styleId="LBLLevel2">
    <w:name w:val="LBLLevel 2"/>
    <w:basedOn w:val="Normal"/>
    <w:next w:val="Normal"/>
    <w:link w:val="LBLLevel2Char"/>
    <w:rsid w:val="00746E0F"/>
    <w:pPr>
      <w:tabs>
        <w:tab w:val="left" w:pos="720"/>
        <w:tab w:val="left" w:pos="990"/>
        <w:tab w:val="left" w:pos="1260"/>
      </w:tabs>
      <w:spacing w:after="0" w:line="320" w:lineRule="atLeast"/>
    </w:pPr>
    <w:rPr>
      <w:b/>
      <w:sz w:val="24"/>
      <w:szCs w:val="24"/>
      <w:lang w:val="en-US" w:eastAsia="en-US"/>
    </w:rPr>
  </w:style>
  <w:style w:type="character" w:customStyle="1" w:styleId="LBLTableFootnotesChar">
    <w:name w:val="LBL Table Footnotes Char"/>
    <w:basedOn w:val="DefaultParagraphFont"/>
    <w:link w:val="LBLTableFootnotes"/>
    <w:rsid w:val="00746E0F"/>
    <w:rPr>
      <w:sz w:val="24"/>
      <w:lang w:val="en-US" w:eastAsia="en-US"/>
    </w:rPr>
  </w:style>
  <w:style w:type="paragraph" w:customStyle="1" w:styleId="LBLTableFootnotes">
    <w:name w:val="LBL Table Footnotes"/>
    <w:basedOn w:val="Normal"/>
    <w:link w:val="LBLTableFootnotesChar"/>
    <w:rsid w:val="00746E0F"/>
    <w:pPr>
      <w:tabs>
        <w:tab w:val="left" w:pos="720"/>
        <w:tab w:val="left" w:pos="994"/>
      </w:tabs>
      <w:spacing w:after="0" w:line="320" w:lineRule="atLeast"/>
      <w:ind w:left="274" w:hanging="274"/>
    </w:pPr>
    <w:rPr>
      <w:rFonts w:ascii="Times New Roman" w:hAnsi="Times New Roman"/>
      <w:sz w:val="24"/>
      <w:lang w:val="en-US" w:eastAsia="en-US"/>
    </w:rPr>
  </w:style>
  <w:style w:type="character" w:customStyle="1" w:styleId="LBLLevel4">
    <w:name w:val="LBLLevel 4"/>
    <w:rsid w:val="00746E0F"/>
    <w:rPr>
      <w:rFonts w:ascii="Arial" w:hAnsi="Arial" w:cs="Arial"/>
      <w:i/>
    </w:rPr>
  </w:style>
  <w:style w:type="character" w:styleId="Strong">
    <w:name w:val="Strong"/>
    <w:basedOn w:val="DefaultParagraphFont"/>
    <w:uiPriority w:val="22"/>
    <w:qFormat/>
    <w:rsid w:val="00746E0F"/>
    <w:rPr>
      <w:b/>
      <w:bCs/>
    </w:rPr>
  </w:style>
  <w:style w:type="paragraph" w:styleId="TOC6">
    <w:name w:val="toc 6"/>
    <w:basedOn w:val="TOC3"/>
    <w:next w:val="Normal"/>
    <w:autoRedefine/>
    <w:semiHidden/>
    <w:rsid w:val="00C14A30"/>
    <w:pPr>
      <w:tabs>
        <w:tab w:val="left" w:pos="2088"/>
        <w:tab w:val="right" w:leader="dot" w:pos="8637"/>
      </w:tabs>
      <w:spacing w:after="0" w:line="240" w:lineRule="auto"/>
      <w:ind w:left="2088" w:right="850" w:hanging="936"/>
    </w:pPr>
    <w:rPr>
      <w:rFonts w:cs="Arial"/>
      <w:szCs w:val="22"/>
      <w:lang w:val="en-GB" w:eastAsia="en-US"/>
    </w:rPr>
  </w:style>
  <w:style w:type="paragraph" w:customStyle="1" w:styleId="tabletext">
    <w:name w:val="table:text"/>
    <w:basedOn w:val="Normal"/>
    <w:rsid w:val="00C14A30"/>
    <w:pPr>
      <w:spacing w:before="120" w:line="240" w:lineRule="auto"/>
    </w:pPr>
    <w:rPr>
      <w:rFonts w:ascii="Arial Narrow" w:hAnsi="Arial Narrow"/>
      <w:sz w:val="24"/>
      <w:lang w:val="en-GB" w:eastAsia="en-GB"/>
    </w:rPr>
  </w:style>
  <w:style w:type="paragraph" w:styleId="TOC3">
    <w:name w:val="toc 3"/>
    <w:basedOn w:val="Normal"/>
    <w:next w:val="Normal"/>
    <w:autoRedefine/>
    <w:uiPriority w:val="39"/>
    <w:semiHidden/>
    <w:unhideWhenUsed/>
    <w:rsid w:val="00C14A30"/>
    <w:pPr>
      <w:spacing w:after="100"/>
      <w:ind w:left="440"/>
    </w:pPr>
  </w:style>
  <w:style w:type="paragraph" w:customStyle="1" w:styleId="CitationTitle">
    <w:name w:val="Citation Title"/>
    <w:basedOn w:val="Normal"/>
    <w:autoRedefine/>
    <w:rsid w:val="005141DC"/>
    <w:pPr>
      <w:spacing w:after="0" w:line="240" w:lineRule="auto"/>
      <w:ind w:left="562"/>
    </w:pPr>
    <w:rPr>
      <w:rFonts w:ascii="Times New Roman" w:hAnsi="Times New Roman"/>
      <w:sz w:val="24"/>
      <w:lang w:val="en-GB" w:eastAsia="en-US"/>
    </w:rPr>
  </w:style>
  <w:style w:type="paragraph" w:customStyle="1" w:styleId="Postspace">
    <w:name w:val="Postspace"/>
    <w:basedOn w:val="Normal"/>
    <w:autoRedefine/>
    <w:rsid w:val="00460B66"/>
    <w:pPr>
      <w:spacing w:after="220" w:line="240" w:lineRule="auto"/>
    </w:pPr>
    <w:rPr>
      <w:rFonts w:ascii="Times New Roman" w:hAnsi="Times New Roman"/>
      <w:b/>
      <w:color w:val="0000FF"/>
      <w:sz w:val="24"/>
      <w:lang w:val="en-GB" w:eastAsia="en-US"/>
    </w:rPr>
  </w:style>
  <w:style w:type="paragraph" w:customStyle="1" w:styleId="TableCell">
    <w:name w:val="TableCell"/>
    <w:basedOn w:val="Normal"/>
    <w:rsid w:val="00460B66"/>
    <w:pPr>
      <w:spacing w:after="0" w:line="240" w:lineRule="auto"/>
    </w:pPr>
    <w:rPr>
      <w:rFonts w:ascii="Times New Roman" w:hAnsi="Times New Roman"/>
      <w:sz w:val="24"/>
      <w:lang w:val="en-GB" w:eastAsia="en-US"/>
    </w:rPr>
  </w:style>
  <w:style w:type="paragraph" w:customStyle="1" w:styleId="listdash">
    <w:name w:val="list:dash"/>
    <w:basedOn w:val="Normal"/>
    <w:rsid w:val="00460B66"/>
    <w:pPr>
      <w:numPr>
        <w:numId w:val="26"/>
      </w:numPr>
      <w:spacing w:after="240" w:line="240" w:lineRule="auto"/>
    </w:pPr>
    <w:rPr>
      <w:rFonts w:ascii="Times New Roman" w:hAnsi="Times New Roman"/>
      <w:sz w:val="24"/>
      <w:lang w:val="en-GB" w:eastAsia="en-US"/>
    </w:rPr>
  </w:style>
  <w:style w:type="paragraph" w:customStyle="1" w:styleId="anchor">
    <w:name w:val="anchor"/>
    <w:basedOn w:val="Normal"/>
    <w:autoRedefine/>
    <w:rsid w:val="00947FC3"/>
    <w:pPr>
      <w:spacing w:after="0" w:line="240" w:lineRule="auto"/>
    </w:pPr>
    <w:rPr>
      <w:rFonts w:ascii="Times New Roman" w:eastAsia="MS Mincho" w:hAnsi="Times New Roman"/>
      <w:sz w:val="24"/>
      <w:lang w:val="en-GB" w:eastAsia="en-US"/>
    </w:rPr>
  </w:style>
  <w:style w:type="paragraph" w:customStyle="1" w:styleId="listindentbull">
    <w:name w:val="list:indent bull"/>
    <w:rsid w:val="00524EED"/>
    <w:pPr>
      <w:numPr>
        <w:numId w:val="27"/>
      </w:numPr>
      <w:tabs>
        <w:tab w:val="clear" w:pos="864"/>
        <w:tab w:val="left" w:pos="567"/>
      </w:tabs>
      <w:ind w:left="567" w:hanging="567"/>
    </w:pPr>
    <w:rPr>
      <w:sz w:val="24"/>
      <w:lang w:val="en-GB" w:eastAsia="en-US"/>
    </w:rPr>
  </w:style>
  <w:style w:type="character" w:customStyle="1" w:styleId="Heading1Char">
    <w:name w:val="Heading 1 Char"/>
    <w:basedOn w:val="DefaultParagraphFont"/>
    <w:link w:val="Heading1"/>
    <w:uiPriority w:val="9"/>
    <w:rsid w:val="0045447B"/>
    <w:rPr>
      <w:rFonts w:ascii="Arial Bold" w:eastAsiaTheme="majorEastAsia" w:hAnsi="Arial Bold" w:cstheme="majorBidi"/>
      <w:b/>
      <w:bCs/>
      <w:caps/>
      <w:color w:val="000000" w:themeColor="text1"/>
      <w:sz w:val="22"/>
      <w:szCs w:val="28"/>
    </w:rPr>
  </w:style>
  <w:style w:type="paragraph" w:customStyle="1" w:styleId="Head3">
    <w:name w:val="Head 3"/>
    <w:basedOn w:val="Heading2"/>
    <w:qFormat/>
    <w:rsid w:val="006118C4"/>
    <w:rPr>
      <w:i/>
    </w:rPr>
  </w:style>
  <w:style w:type="paragraph" w:styleId="Revision">
    <w:name w:val="Revision"/>
    <w:hidden/>
    <w:uiPriority w:val="99"/>
    <w:semiHidden/>
    <w:rsid w:val="00E017C2"/>
    <w:rPr>
      <w:rFonts w:ascii="Arial" w:hAnsi="Arial"/>
      <w:sz w:val="22"/>
    </w:rPr>
  </w:style>
  <w:style w:type="paragraph" w:styleId="BodyText3">
    <w:name w:val="Body Text 3"/>
    <w:basedOn w:val="Normal"/>
    <w:link w:val="BodyText3Char"/>
    <w:rsid w:val="007C78E6"/>
    <w:pPr>
      <w:spacing w:after="0" w:line="240" w:lineRule="auto"/>
    </w:pPr>
    <w:rPr>
      <w:rFonts w:ascii="CG Times (WN)" w:hAnsi="CG Times (WN)"/>
      <w:strike/>
      <w:lang w:val="en-GB"/>
    </w:rPr>
  </w:style>
  <w:style w:type="character" w:customStyle="1" w:styleId="BodyText3Char">
    <w:name w:val="Body Text 3 Char"/>
    <w:basedOn w:val="DefaultParagraphFont"/>
    <w:link w:val="BodyText3"/>
    <w:rsid w:val="007C78E6"/>
    <w:rPr>
      <w:rFonts w:ascii="CG Times (WN)" w:hAnsi="CG Times (WN)"/>
      <w:strike/>
      <w:sz w:val="22"/>
      <w:lang w:val="en-GB"/>
    </w:rPr>
  </w:style>
  <w:style w:type="paragraph" w:styleId="PlainText">
    <w:name w:val="Plain Text"/>
    <w:basedOn w:val="Normal"/>
    <w:link w:val="PlainTextChar"/>
    <w:uiPriority w:val="99"/>
    <w:semiHidden/>
    <w:unhideWhenUsed/>
    <w:rsid w:val="00DE3D9E"/>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DE3D9E"/>
    <w:rPr>
      <w:rFonts w:ascii="Consolas" w:hAnsi="Consolas" w:cs="Consolas"/>
      <w:sz w:val="21"/>
      <w:szCs w:val="21"/>
    </w:rPr>
  </w:style>
  <w:style w:type="table" w:customStyle="1" w:styleId="TableGrid1">
    <w:name w:val="Table Grid1"/>
    <w:basedOn w:val="TableNormal"/>
    <w:next w:val="TableGrid"/>
    <w:uiPriority w:val="59"/>
    <w:rsid w:val="007126B0"/>
    <w:pPr>
      <w:spacing w:after="200" w:line="0" w:lineRule="auto"/>
    </w:pPr>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172683">
      <w:bodyDiv w:val="1"/>
      <w:marLeft w:val="0"/>
      <w:marRight w:val="0"/>
      <w:marTop w:val="0"/>
      <w:marBottom w:val="0"/>
      <w:divBdr>
        <w:top w:val="none" w:sz="0" w:space="0" w:color="auto"/>
        <w:left w:val="none" w:sz="0" w:space="0" w:color="auto"/>
        <w:bottom w:val="none" w:sz="0" w:space="0" w:color="auto"/>
        <w:right w:val="none" w:sz="0" w:space="0" w:color="auto"/>
      </w:divBdr>
    </w:div>
    <w:div w:id="384646461">
      <w:bodyDiv w:val="1"/>
      <w:marLeft w:val="0"/>
      <w:marRight w:val="0"/>
      <w:marTop w:val="0"/>
      <w:marBottom w:val="0"/>
      <w:divBdr>
        <w:top w:val="none" w:sz="0" w:space="0" w:color="auto"/>
        <w:left w:val="none" w:sz="0" w:space="0" w:color="auto"/>
        <w:bottom w:val="none" w:sz="0" w:space="0" w:color="auto"/>
        <w:right w:val="none" w:sz="0" w:space="0" w:color="auto"/>
      </w:divBdr>
    </w:div>
    <w:div w:id="537427199">
      <w:bodyDiv w:val="1"/>
      <w:marLeft w:val="0"/>
      <w:marRight w:val="0"/>
      <w:marTop w:val="0"/>
      <w:marBottom w:val="0"/>
      <w:divBdr>
        <w:top w:val="none" w:sz="0" w:space="0" w:color="auto"/>
        <w:left w:val="none" w:sz="0" w:space="0" w:color="auto"/>
        <w:bottom w:val="none" w:sz="0" w:space="0" w:color="auto"/>
        <w:right w:val="none" w:sz="0" w:space="0" w:color="auto"/>
      </w:divBdr>
    </w:div>
    <w:div w:id="658969462">
      <w:bodyDiv w:val="1"/>
      <w:marLeft w:val="0"/>
      <w:marRight w:val="0"/>
      <w:marTop w:val="0"/>
      <w:marBottom w:val="0"/>
      <w:divBdr>
        <w:top w:val="none" w:sz="0" w:space="0" w:color="auto"/>
        <w:left w:val="none" w:sz="0" w:space="0" w:color="auto"/>
        <w:bottom w:val="none" w:sz="0" w:space="0" w:color="auto"/>
        <w:right w:val="none" w:sz="0" w:space="0" w:color="auto"/>
      </w:divBdr>
    </w:div>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878">
      <w:bodyDiv w:val="1"/>
      <w:marLeft w:val="0"/>
      <w:marRight w:val="0"/>
      <w:marTop w:val="0"/>
      <w:marBottom w:val="0"/>
      <w:divBdr>
        <w:top w:val="none" w:sz="0" w:space="0" w:color="auto"/>
        <w:left w:val="none" w:sz="0" w:space="0" w:color="auto"/>
        <w:bottom w:val="none" w:sz="0" w:space="0" w:color="auto"/>
        <w:right w:val="none" w:sz="0" w:space="0" w:color="auto"/>
      </w:divBdr>
    </w:div>
    <w:div w:id="1023169969">
      <w:bodyDiv w:val="1"/>
      <w:marLeft w:val="0"/>
      <w:marRight w:val="0"/>
      <w:marTop w:val="0"/>
      <w:marBottom w:val="0"/>
      <w:divBdr>
        <w:top w:val="none" w:sz="0" w:space="0" w:color="auto"/>
        <w:left w:val="none" w:sz="0" w:space="0" w:color="auto"/>
        <w:bottom w:val="none" w:sz="0" w:space="0" w:color="auto"/>
        <w:right w:val="none" w:sz="0" w:space="0" w:color="auto"/>
      </w:divBdr>
    </w:div>
    <w:div w:id="1026980022">
      <w:bodyDiv w:val="1"/>
      <w:marLeft w:val="0"/>
      <w:marRight w:val="0"/>
      <w:marTop w:val="0"/>
      <w:marBottom w:val="0"/>
      <w:divBdr>
        <w:top w:val="none" w:sz="0" w:space="0" w:color="auto"/>
        <w:left w:val="none" w:sz="0" w:space="0" w:color="auto"/>
        <w:bottom w:val="none" w:sz="0" w:space="0" w:color="auto"/>
        <w:right w:val="none" w:sz="0" w:space="0" w:color="auto"/>
      </w:divBdr>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16570797">
      <w:bodyDiv w:val="1"/>
      <w:marLeft w:val="0"/>
      <w:marRight w:val="0"/>
      <w:marTop w:val="0"/>
      <w:marBottom w:val="0"/>
      <w:divBdr>
        <w:top w:val="none" w:sz="0" w:space="0" w:color="auto"/>
        <w:left w:val="none" w:sz="0" w:space="0" w:color="auto"/>
        <w:bottom w:val="none" w:sz="0" w:space="0" w:color="auto"/>
        <w:right w:val="none" w:sz="0" w:space="0" w:color="auto"/>
      </w:divBdr>
    </w:div>
    <w:div w:id="1488471590">
      <w:bodyDiv w:val="1"/>
      <w:marLeft w:val="0"/>
      <w:marRight w:val="0"/>
      <w:marTop w:val="0"/>
      <w:marBottom w:val="0"/>
      <w:divBdr>
        <w:top w:val="none" w:sz="0" w:space="0" w:color="auto"/>
        <w:left w:val="none" w:sz="0" w:space="0" w:color="auto"/>
        <w:bottom w:val="none" w:sz="0" w:space="0" w:color="auto"/>
        <w:right w:val="none" w:sz="0" w:space="0" w:color="auto"/>
      </w:divBdr>
    </w:div>
    <w:div w:id="20828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D529-84F7-4F18-B807-13154B976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Template>
  <TotalTime>8</TotalTime>
  <Pages>36</Pages>
  <Words>13592</Words>
  <Characters>81928</Characters>
  <Application>Microsoft Office Word</Application>
  <DocSecurity>0</DocSecurity>
  <Lines>682</Lines>
  <Paragraphs>190</Paragraphs>
  <ScaleCrop>false</ScaleCrop>
  <HeadingPairs>
    <vt:vector size="2" baseType="variant">
      <vt:variant>
        <vt:lpstr>Title</vt:lpstr>
      </vt:variant>
      <vt:variant>
        <vt:i4>1</vt:i4>
      </vt:variant>
    </vt:vector>
  </HeadingPairs>
  <TitlesOfParts>
    <vt:vector size="1" baseType="lpstr">
      <vt:lpstr>AUDIT TRAIL</vt:lpstr>
    </vt:vector>
  </TitlesOfParts>
  <Company>ViiV Healthcare Pty Ltd</Company>
  <LinksUpToDate>false</LinksUpToDate>
  <CharactersWithSpaces>95330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dc:title>
  <dc:subject>prescription medicine regulation</dc:subject>
  <dc:creator>ViiV Healthcare Pty Ltd</dc:creator>
  <cp:keywords>product, information, prescription, medicine, regulation, australia, triumeq, dolutegravir, sodium, abacavir, sulfate, iamivudine</cp:keywords>
  <cp:lastModifiedBy>Lack, Janet</cp:lastModifiedBy>
  <cp:revision>4</cp:revision>
  <cp:lastPrinted>2014-10-30T04:28:00Z</cp:lastPrinted>
  <dcterms:created xsi:type="dcterms:W3CDTF">2015-06-25T01:47:00Z</dcterms:created>
  <dcterms:modified xsi:type="dcterms:W3CDTF">2015-07-15T00:11:00Z</dcterms:modified>
</cp:coreProperties>
</file>